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中共湖南省委巡视</w:t>
      </w:r>
    </w:p>
    <w:p>
      <w:pPr>
        <w:pStyle w:val="9"/>
        <w:jc w:val="center"/>
        <w:rPr>
          <w:sz w:val="84"/>
          <w:szCs w:val="84"/>
        </w:rPr>
      </w:pPr>
      <w:r>
        <w:rPr>
          <w:rFonts w:hint="eastAsia"/>
          <w:sz w:val="84"/>
          <w:szCs w:val="84"/>
        </w:rPr>
        <w:t>工作领导小组办公室</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第一部分中共湖南省委巡视工作领导小组办公室单位概况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r>
        <w:rPr>
          <w:rFonts w:hint="eastAsia"/>
          <w:sz w:val="84"/>
          <w:szCs w:val="84"/>
        </w:rPr>
        <w:t>中共湖南省委巡视</w:t>
      </w:r>
    </w:p>
    <w:p>
      <w:pPr>
        <w:pStyle w:val="9"/>
        <w:jc w:val="center"/>
        <w:rPr>
          <w:sz w:val="84"/>
          <w:szCs w:val="84"/>
        </w:rPr>
      </w:pPr>
      <w:r>
        <w:rPr>
          <w:rFonts w:hint="eastAsia"/>
          <w:sz w:val="84"/>
          <w:szCs w:val="84"/>
        </w:rPr>
        <w:t>工作领导小组办公室</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firstLine="0" w:firstLineChars="0"/>
        <w:jc w:val="left"/>
        <w:rPr>
          <w:rFonts w:ascii="黑体" w:hAnsi="黑体" w:eastAsia="黑体"/>
          <w:sz w:val="32"/>
          <w:szCs w:val="32"/>
        </w:rPr>
      </w:pPr>
    </w:p>
    <w:p>
      <w:pPr>
        <w:pStyle w:val="10"/>
        <w:ind w:firstLine="0" w:firstLineChars="0"/>
        <w:jc w:val="left"/>
        <w:rPr>
          <w:rFonts w:ascii="黑体" w:hAnsi="黑体" w:eastAsia="黑体"/>
          <w:sz w:val="32"/>
          <w:szCs w:val="32"/>
        </w:rPr>
      </w:pPr>
    </w:p>
    <w:p>
      <w:pPr>
        <w:pStyle w:val="10"/>
        <w:numPr>
          <w:ilvl w:val="0"/>
          <w:numId w:val="1"/>
        </w:numPr>
        <w:ind w:firstLineChars="0"/>
        <w:jc w:val="left"/>
        <w:rPr>
          <w:rFonts w:ascii="方正仿宋_GBK" w:hAnsi="仿宋" w:eastAsia="方正仿宋_GBK"/>
          <w:b/>
          <w:sz w:val="32"/>
          <w:szCs w:val="32"/>
        </w:rPr>
      </w:pPr>
      <w:r>
        <w:rPr>
          <w:rFonts w:ascii="黑体" w:hAnsi="黑体" w:eastAsia="黑体"/>
          <w:sz w:val="32"/>
          <w:szCs w:val="32"/>
        </w:rPr>
        <w:t>部门职责</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中共湖南省委巡视工作领导小组办公室（以下简称省委巡视办）是中共湖南省委巡视工作领导小组（以下简称省委巡视工作领导小组）的日常办事机构，作为省直工作机关，为正厅级，设在中共湖南省纪律检查委员会。</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省委巡视办的主要职责是：</w:t>
      </w:r>
    </w:p>
    <w:p>
      <w:pPr>
        <w:overflowPunct w:val="0"/>
        <w:snapToGrid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（１）向省委巡视工作领导小组、中央巡视工作领导小组办公室报告巡视工作情况，传达贯彻中央和省委、省委巡视工作领导小组的决策和部署；</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（２）承担巡视工作有关政策研究、制度建设等工作；</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（３）统筹、协调、指导省委巡视组开展工作；</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（４）协调指导市州、县市区党委和省委教育工委、省国资委党委等开展巡察工作；</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（５）对省委、省委巡视工作领导小组决定的事项及巡视移交事项进行督办；</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（６）配合有关部门对巡视工作人员进行培训、考核、监督和管理；</w:t>
      </w:r>
    </w:p>
    <w:p>
      <w:pPr>
        <w:overflowPunct w:val="0"/>
        <w:spacing w:line="580" w:lineRule="exact"/>
        <w:ind w:firstLine="643" w:firstLineChars="200"/>
        <w:rPr>
          <w:rFonts w:asciiTheme="minorEastAsia" w:hAnsiTheme="minorEastAsia"/>
          <w:sz w:val="32"/>
          <w:szCs w:val="32"/>
        </w:rPr>
      </w:pPr>
      <w:r>
        <w:rPr>
          <w:rFonts w:hint="eastAsia" w:ascii="方正仿宋_GBK" w:hAnsi="仿宋" w:eastAsia="方正仿宋_GBK"/>
          <w:b/>
          <w:sz w:val="32"/>
          <w:szCs w:val="32"/>
        </w:rPr>
        <w:t>（７）完成省委和省委巡视工作领导小组交办的其他任务。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（一）内设机构设置。现设有综合处、巡视督导处和巡察指导处，省委巡视办为省委巡视工作领导小组的日常办事机构，为正厅级机构。无二级预算单位。</w:t>
      </w:r>
    </w:p>
    <w:p>
      <w:pPr>
        <w:overflowPunct w:val="0"/>
        <w:spacing w:line="58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（二）决算单位构成。省委巡视办</w:t>
      </w:r>
      <w:r>
        <w:rPr>
          <w:rFonts w:ascii="方正仿宋_GBK" w:hAnsi="仿宋" w:eastAsia="方正仿宋_GBK"/>
          <w:b/>
          <w:sz w:val="32"/>
          <w:szCs w:val="32"/>
        </w:rPr>
        <w:t>202</w:t>
      </w:r>
      <w:r>
        <w:rPr>
          <w:rFonts w:hint="eastAsia" w:ascii="方正仿宋_GBK" w:hAnsi="仿宋" w:eastAsia="方正仿宋_GBK"/>
          <w:b/>
          <w:sz w:val="32"/>
          <w:szCs w:val="32"/>
        </w:rPr>
        <w:t>1年部门决算汇总公开单位构成包括：省委巡视办本级。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3932"/>
        <w:gridCol w:w="659"/>
        <w:gridCol w:w="612"/>
        <w:gridCol w:w="697"/>
        <w:gridCol w:w="236"/>
        <w:gridCol w:w="844"/>
        <w:gridCol w:w="3614"/>
        <w:gridCol w:w="660"/>
        <w:gridCol w:w="654"/>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部门：中共湖南省委巡视工作领导小组办公室</w:t>
            </w:r>
          </w:p>
        </w:tc>
        <w:tc>
          <w:tcPr>
            <w:tcW w:w="69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97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7102"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385"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82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85"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2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3,721.28</w:t>
            </w:r>
          </w:p>
        </w:tc>
        <w:tc>
          <w:tcPr>
            <w:tcW w:w="361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3,510.18</w:t>
            </w: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1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1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1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1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100.00</w:t>
            </w: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1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2"/>
              </w:rPr>
              <w:t>七、社会保障和就业支出</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70.00</w:t>
            </w: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2"/>
              </w:rPr>
              <w:t>八、卫生健康支出</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89.00</w:t>
            </w: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3,721.28</w:t>
            </w:r>
          </w:p>
        </w:tc>
        <w:tc>
          <w:tcPr>
            <w:tcW w:w="3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63.50</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15.60</w:t>
            </w:r>
          </w:p>
        </w:tc>
      </w:tr>
      <w:tr>
        <w:tblPrEx>
          <w:tblCellMar>
            <w:top w:w="0" w:type="dxa"/>
            <w:left w:w="108" w:type="dxa"/>
            <w:bottom w:w="0" w:type="dxa"/>
            <w:right w:w="108" w:type="dxa"/>
          </w:tblCellMar>
        </w:tblPrEx>
        <w:trPr>
          <w:trHeight w:val="340" w:hRule="atLeast"/>
        </w:trPr>
        <w:tc>
          <w:tcPr>
            <w:tcW w:w="39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2385" w:type="dxa"/>
            <w:gridSpan w:val="4"/>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3,784.78</w:t>
            </w:r>
          </w:p>
        </w:tc>
        <w:tc>
          <w:tcPr>
            <w:tcW w:w="3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2827"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3,784.78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521" w:type="dxa"/>
        <w:tblInd w:w="0" w:type="dxa"/>
        <w:tblLayout w:type="fixed"/>
        <w:tblCellMar>
          <w:top w:w="0" w:type="dxa"/>
          <w:left w:w="0" w:type="dxa"/>
          <w:bottom w:w="0" w:type="dxa"/>
          <w:right w:w="0" w:type="dxa"/>
        </w:tblCellMar>
      </w:tblPr>
      <w:tblGrid>
        <w:gridCol w:w="314"/>
        <w:gridCol w:w="315"/>
        <w:gridCol w:w="364"/>
        <w:gridCol w:w="48"/>
        <w:gridCol w:w="135"/>
        <w:gridCol w:w="65"/>
        <w:gridCol w:w="36"/>
        <w:gridCol w:w="735"/>
        <w:gridCol w:w="1527"/>
        <w:gridCol w:w="15"/>
        <w:gridCol w:w="51"/>
        <w:gridCol w:w="76"/>
        <w:gridCol w:w="360"/>
        <w:gridCol w:w="158"/>
        <w:gridCol w:w="1663"/>
        <w:gridCol w:w="15"/>
        <w:gridCol w:w="524"/>
        <w:gridCol w:w="1993"/>
        <w:gridCol w:w="165"/>
        <w:gridCol w:w="450"/>
        <w:gridCol w:w="495"/>
        <w:gridCol w:w="554"/>
        <w:gridCol w:w="719"/>
        <w:gridCol w:w="386"/>
        <w:gridCol w:w="124"/>
        <w:gridCol w:w="45"/>
        <w:gridCol w:w="1139"/>
        <w:gridCol w:w="85"/>
        <w:gridCol w:w="20"/>
        <w:gridCol w:w="555"/>
        <w:gridCol w:w="524"/>
        <w:gridCol w:w="255"/>
        <w:gridCol w:w="39"/>
        <w:gridCol w:w="381"/>
        <w:gridCol w:w="824"/>
        <w:gridCol w:w="367"/>
      </w:tblGrid>
      <w:tr>
        <w:tblPrEx>
          <w:tblCellMar>
            <w:top w:w="0" w:type="dxa"/>
            <w:left w:w="0" w:type="dxa"/>
            <w:bottom w:w="0" w:type="dxa"/>
            <w:right w:w="0" w:type="dxa"/>
          </w:tblCellMar>
        </w:tblPrEx>
        <w:trPr>
          <w:gridAfter w:val="1"/>
          <w:wAfter w:w="367" w:type="dxa"/>
          <w:trHeight w:val="435" w:hRule="atLeast"/>
        </w:trPr>
        <w:tc>
          <w:tcPr>
            <w:tcW w:w="15154" w:type="dxa"/>
            <w:gridSpan w:val="35"/>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367" w:type="dxa"/>
          <w:trHeight w:val="285" w:hRule="atLeast"/>
        </w:trPr>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70" w:type="dxa"/>
            <w:gridSpan w:val="6"/>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883" w:type="dxa"/>
            <w:gridSpan w:val="7"/>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367" w:type="dxa"/>
          <w:trHeight w:val="285" w:hRule="atLeast"/>
        </w:trPr>
        <w:tc>
          <w:tcPr>
            <w:tcW w:w="630"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7924" w:type="dxa"/>
            <w:gridSpan w:val="17"/>
            <w:tcBorders>
              <w:top w:val="nil"/>
              <w:left w:val="nil"/>
              <w:bottom w:val="nil"/>
              <w:right w:val="nil"/>
            </w:tcBorders>
            <w:shd w:val="clear" w:color="000000" w:fill="FFFFFF"/>
            <w:tcMar>
              <w:top w:w="15" w:type="dxa"/>
              <w:left w:w="15" w:type="dxa"/>
              <w:bottom w:w="0" w:type="dxa"/>
              <w:right w:w="15" w:type="dxa"/>
            </w:tcMar>
            <w:vAlign w:val="center"/>
          </w:tcPr>
          <w:p>
            <w:pPr>
              <w:jc w:val="left"/>
              <w:rPr>
                <w:rFonts w:ascii="宋体" w:hAnsi="宋体" w:eastAsia="宋体" w:cs="宋体"/>
                <w:sz w:val="24"/>
                <w:szCs w:val="24"/>
              </w:rPr>
            </w:pPr>
            <w:r>
              <w:rPr>
                <w:rFonts w:hint="eastAsia" w:ascii="宋体" w:hAnsi="宋体" w:eastAsia="宋体" w:cs="宋体"/>
                <w:color w:val="000000"/>
                <w:kern w:val="0"/>
                <w:sz w:val="20"/>
                <w:szCs w:val="20"/>
              </w:rPr>
              <w:t>中共湖南省委巡视工作领导小组办公室</w:t>
            </w:r>
          </w:p>
        </w:tc>
        <w:tc>
          <w:tcPr>
            <w:tcW w:w="1500"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75"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367" w:type="dxa"/>
          <w:trHeight w:val="450" w:hRule="atLeast"/>
        </w:trPr>
        <w:tc>
          <w:tcPr>
            <w:tcW w:w="4189" w:type="dxa"/>
            <w:gridSpan w:val="1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20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16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00"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75"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4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33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24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367" w:type="dxa"/>
          <w:trHeight w:val="450" w:hRule="atLeast"/>
        </w:trPr>
        <w:tc>
          <w:tcPr>
            <w:tcW w:w="1234"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955" w:type="dxa"/>
            <w:gridSpan w:val="8"/>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20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367" w:type="dxa"/>
          <w:trHeight w:val="312" w:hRule="atLeast"/>
        </w:trPr>
        <w:tc>
          <w:tcPr>
            <w:tcW w:w="1234"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955" w:type="dxa"/>
            <w:gridSpan w:val="8"/>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0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367" w:type="dxa"/>
          <w:trHeight w:val="450" w:hRule="atLeast"/>
        </w:trPr>
        <w:tc>
          <w:tcPr>
            <w:tcW w:w="4189" w:type="dxa"/>
            <w:gridSpan w:val="1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205"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16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00"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75" w:type="dxa"/>
            <w:gridSpan w:val="4"/>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45"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335"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245"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367" w:type="dxa"/>
          <w:trHeight w:val="450" w:hRule="atLeast"/>
        </w:trPr>
        <w:tc>
          <w:tcPr>
            <w:tcW w:w="4189" w:type="dxa"/>
            <w:gridSpan w:val="1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3,721.28</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3,721.28</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b/>
                <w:color w:val="000000"/>
                <w:kern w:val="0"/>
                <w:sz w:val="20"/>
                <w:szCs w:val="20"/>
                <w:lang w:bidi="ar"/>
              </w:rPr>
              <w:t>201</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b/>
                <w:color w:val="000000"/>
                <w:kern w:val="0"/>
                <w:sz w:val="20"/>
                <w:szCs w:val="20"/>
                <w:lang w:bidi="ar"/>
              </w:rPr>
              <w:t>一般公共服务支出</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3,462.28</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3,462.28</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367" w:type="dxa"/>
          <w:trHeight w:val="429"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b/>
                <w:color w:val="000000"/>
                <w:kern w:val="0"/>
                <w:sz w:val="20"/>
                <w:szCs w:val="20"/>
                <w:lang w:bidi="ar"/>
              </w:rPr>
              <w:t>20111</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b/>
                <w:color w:val="000000"/>
                <w:kern w:val="0"/>
                <w:sz w:val="20"/>
                <w:szCs w:val="20"/>
                <w:lang w:bidi="ar"/>
              </w:rPr>
              <w:t>纪检监察事务</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3,462.28</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3,462.28</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color w:val="000000"/>
                <w:kern w:val="0"/>
                <w:sz w:val="20"/>
                <w:szCs w:val="20"/>
                <w:lang w:bidi="ar"/>
              </w:rPr>
              <w:t>2011101</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color w:val="000000"/>
                <w:kern w:val="0"/>
                <w:sz w:val="20"/>
                <w:szCs w:val="20"/>
                <w:lang w:bidi="ar"/>
              </w:rPr>
              <w:t xml:space="preserve">  行政运行</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1,490.80</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1,490.80</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color w:val="000000"/>
                <w:kern w:val="0"/>
                <w:sz w:val="20"/>
                <w:szCs w:val="20"/>
                <w:lang w:bidi="ar"/>
              </w:rPr>
              <w:t>2011102</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color w:val="000000"/>
                <w:kern w:val="0"/>
                <w:sz w:val="20"/>
                <w:szCs w:val="20"/>
                <w:lang w:bidi="ar"/>
              </w:rPr>
              <w:t xml:space="preserve">  一般行政管理事务</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1,971.48</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1,971.48</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205</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教育支出</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100.00</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100.00</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20508</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进修及培训</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100.00</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100.00</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color w:val="000000"/>
                <w:kern w:val="0"/>
                <w:sz w:val="20"/>
                <w:szCs w:val="20"/>
                <w:lang w:bidi="ar"/>
              </w:rPr>
              <w:t>2050803</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color w:val="000000"/>
                <w:kern w:val="0"/>
                <w:sz w:val="20"/>
                <w:szCs w:val="20"/>
                <w:lang w:bidi="ar"/>
              </w:rPr>
              <w:t xml:space="preserve">  培训支出</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100.00</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100.00</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208</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社会保障和就业支出</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70.00</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70.00</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b/>
                <w:color w:val="000000"/>
                <w:kern w:val="0"/>
                <w:sz w:val="20"/>
                <w:szCs w:val="20"/>
                <w:lang w:bidi="ar"/>
              </w:rPr>
              <w:t>20805</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b/>
                <w:color w:val="000000"/>
                <w:kern w:val="0"/>
                <w:sz w:val="20"/>
                <w:szCs w:val="20"/>
                <w:lang w:bidi="ar"/>
              </w:rPr>
              <w:t>行政事业单位养老支出</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70.00</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70.00</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color w:val="000000"/>
                <w:kern w:val="0"/>
                <w:sz w:val="20"/>
                <w:szCs w:val="20"/>
                <w:lang w:bidi="ar"/>
              </w:rPr>
              <w:t>2080505</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rPr>
                <w:rFonts w:ascii="宋体" w:hAnsi="宋体" w:eastAsia="宋体" w:cs="宋体"/>
                <w:sz w:val="24"/>
                <w:szCs w:val="24"/>
              </w:rPr>
            </w:pPr>
            <w:r>
              <w:rPr>
                <w:rFonts w:hint="eastAsia" w:ascii="宋体" w:hAnsi="宋体" w:eastAsia="宋体" w:cs="宋体"/>
                <w:color w:val="000000"/>
                <w:kern w:val="0"/>
                <w:sz w:val="20"/>
                <w:szCs w:val="20"/>
                <w:lang w:bidi="ar"/>
              </w:rPr>
              <w:t xml:space="preserve">  机关事业单位基本养老保险缴费支出</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70.00</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70.00</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210</w:t>
            </w:r>
          </w:p>
        </w:tc>
        <w:tc>
          <w:tcPr>
            <w:tcW w:w="3195" w:type="dxa"/>
            <w:gridSpan w:val="11"/>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卫生健康支出</w:t>
            </w:r>
          </w:p>
        </w:tc>
        <w:tc>
          <w:tcPr>
            <w:tcW w:w="220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89.00</w:t>
            </w:r>
          </w:p>
        </w:tc>
        <w:tc>
          <w:tcPr>
            <w:tcW w:w="216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89.00</w:t>
            </w:r>
          </w:p>
        </w:tc>
        <w:tc>
          <w:tcPr>
            <w:tcW w:w="1500"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75"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33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21011</w:t>
            </w:r>
          </w:p>
        </w:tc>
        <w:tc>
          <w:tcPr>
            <w:tcW w:w="3195" w:type="dxa"/>
            <w:gridSpan w:val="11"/>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b/>
                <w:color w:val="000000"/>
                <w:kern w:val="0"/>
                <w:sz w:val="20"/>
                <w:szCs w:val="20"/>
                <w:lang w:bidi="ar"/>
              </w:rPr>
              <w:t>行政事业单位医疗</w:t>
            </w:r>
          </w:p>
        </w:tc>
        <w:tc>
          <w:tcPr>
            <w:tcW w:w="22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89.00</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b/>
                <w:bCs/>
                <w:color w:val="000000"/>
                <w:kern w:val="0"/>
                <w:sz w:val="20"/>
                <w:szCs w:val="20"/>
                <w:lang w:bidi="ar"/>
              </w:rPr>
            </w:pPr>
            <w:r>
              <w:rPr>
                <w:rFonts w:hint="eastAsia" w:ascii="宋体" w:hAnsi="宋体" w:eastAsia="宋体" w:cs="宋体"/>
                <w:b/>
                <w:color w:val="000000"/>
                <w:kern w:val="0"/>
                <w:sz w:val="20"/>
                <w:szCs w:val="20"/>
                <w:lang w:bidi="ar"/>
              </w:rPr>
              <w:t>89.00</w:t>
            </w:r>
          </w:p>
        </w:tc>
        <w:tc>
          <w:tcPr>
            <w:tcW w:w="150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33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367" w:type="dxa"/>
          <w:trHeight w:val="450" w:hRule="atLeast"/>
        </w:trPr>
        <w:tc>
          <w:tcPr>
            <w:tcW w:w="99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color w:val="000000"/>
                <w:kern w:val="0"/>
                <w:sz w:val="20"/>
                <w:szCs w:val="20"/>
                <w:lang w:bidi="ar"/>
              </w:rPr>
              <w:t>2101101</w:t>
            </w:r>
          </w:p>
        </w:tc>
        <w:tc>
          <w:tcPr>
            <w:tcW w:w="3195" w:type="dxa"/>
            <w:gridSpan w:val="11"/>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ind w:left="63" w:leftChars="30"/>
              <w:jc w:val="left"/>
              <w:textAlignment w:val="center"/>
            </w:pPr>
            <w:r>
              <w:rPr>
                <w:rFonts w:hint="eastAsia" w:ascii="宋体" w:hAnsi="宋体" w:eastAsia="宋体" w:cs="宋体"/>
                <w:color w:val="000000"/>
                <w:kern w:val="0"/>
                <w:sz w:val="20"/>
                <w:szCs w:val="20"/>
                <w:lang w:bidi="ar"/>
              </w:rPr>
              <w:t xml:space="preserve">  行政单位医疗</w:t>
            </w:r>
          </w:p>
        </w:tc>
        <w:tc>
          <w:tcPr>
            <w:tcW w:w="220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89.00</w:t>
            </w:r>
          </w:p>
        </w:tc>
        <w:tc>
          <w:tcPr>
            <w:tcW w:w="2160"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overflowPunct w:val="0"/>
              <w:ind w:left="420" w:leftChars="200" w:right="105" w:rightChars="5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89.00</w:t>
            </w:r>
          </w:p>
        </w:tc>
        <w:tc>
          <w:tcPr>
            <w:tcW w:w="1500"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75"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33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c>
          <w:tcPr>
            <w:tcW w:w="1245"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367" w:type="dxa"/>
          <w:trHeight w:val="520" w:hRule="atLeast"/>
        </w:trPr>
        <w:tc>
          <w:tcPr>
            <w:tcW w:w="15154" w:type="dxa"/>
            <w:gridSpan w:val="35"/>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1"/>
          <w:wAfter w:w="367" w:type="dxa"/>
          <w:trHeight w:val="435" w:hRule="atLeast"/>
        </w:trPr>
        <w:tc>
          <w:tcPr>
            <w:tcW w:w="15154" w:type="dxa"/>
            <w:gridSpan w:val="35"/>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367" w:type="dxa"/>
          <w:trHeight w:val="285" w:hRule="atLeast"/>
        </w:trPr>
        <w:tc>
          <w:tcPr>
            <w:tcW w:w="1042"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65"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0" w:type="dxa"/>
            <w:gridSpan w:val="7"/>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5" w:type="dxa"/>
            <w:gridSpan w:val="5"/>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367" w:type="dxa"/>
          <w:trHeight w:val="411" w:hRule="atLeast"/>
        </w:trPr>
        <w:tc>
          <w:tcPr>
            <w:tcW w:w="1042" w:type="dxa"/>
            <w:gridSpan w:val="4"/>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827" w:type="dxa"/>
            <w:gridSpan w:val="12"/>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中共湖南省委巡视工作领导小组办公室</w:t>
            </w:r>
            <w:r>
              <w:rPr>
                <w:rFonts w:hint="eastAsia" w:ascii="宋体" w:hAnsi="宋体" w:eastAsia="宋体" w:cs="宋体"/>
                <w:kern w:val="0"/>
                <w:sz w:val="24"/>
                <w:szCs w:val="24"/>
              </w:rPr>
              <w:t>　　</w:t>
            </w:r>
          </w:p>
        </w:tc>
        <w:tc>
          <w:tcPr>
            <w:tcW w:w="25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5" w:type="dxa"/>
            <w:gridSpan w:val="5"/>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67" w:type="dxa"/>
          <w:trHeight w:val="450" w:hRule="atLeast"/>
        </w:trPr>
        <w:tc>
          <w:tcPr>
            <w:tcW w:w="3529"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340"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5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385"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9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18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0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367" w:type="dxa"/>
          <w:trHeight w:val="450" w:hRule="atLeast"/>
        </w:trPr>
        <w:tc>
          <w:tcPr>
            <w:tcW w:w="1264"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65"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3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8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1264"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8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3529"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340" w:type="dxa"/>
            <w:gridSpan w:val="7"/>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52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385"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95"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85"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00"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367" w:type="dxa"/>
          <w:trHeight w:val="450" w:hRule="atLeast"/>
        </w:trPr>
        <w:tc>
          <w:tcPr>
            <w:tcW w:w="3529"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3,769.18</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1,697.70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2,071.48</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201</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一般公共服务支出</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3,510.18</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1,538.70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1,971.48</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20111</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纪检监察事务</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3,510.18</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1,538.70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1,971.48</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2011101</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 xml:space="preserve">  行政运行</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1,538.70</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1,538.70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0.00</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2011102</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 xml:space="preserve">  一般行政管理事务</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1,971.48</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0.00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1,971.48</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205</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教育支出</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100.00</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0.00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100.00</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20508</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进修及培训</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100.00</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0.00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100.00</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2050803</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 xml:space="preserve">  培训支出</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100.00</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0.00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100.00</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208</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社会保障和就业支出</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70.00</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70.00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0.00</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20805</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行政事业单位养老支出</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70.00</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70.00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0.00</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2080505</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 xml:space="preserve">  机关事业单位基本养老保险缴费支出</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70.00</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70.00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0.00</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210</w:t>
            </w:r>
          </w:p>
        </w:tc>
        <w:tc>
          <w:tcPr>
            <w:tcW w:w="2355" w:type="dxa"/>
            <w:gridSpan w:val="4"/>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卫生健康支出</w:t>
            </w:r>
          </w:p>
        </w:tc>
        <w:tc>
          <w:tcPr>
            <w:tcW w:w="2340" w:type="dxa"/>
            <w:gridSpan w:val="7"/>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89.00</w:t>
            </w:r>
          </w:p>
        </w:tc>
        <w:tc>
          <w:tcPr>
            <w:tcW w:w="252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89.00</w:t>
            </w:r>
          </w:p>
        </w:tc>
        <w:tc>
          <w:tcPr>
            <w:tcW w:w="2385" w:type="dxa"/>
            <w:gridSpan w:val="5"/>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0.00</w:t>
            </w:r>
          </w:p>
        </w:tc>
        <w:tc>
          <w:tcPr>
            <w:tcW w:w="169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21011</w:t>
            </w:r>
          </w:p>
        </w:tc>
        <w:tc>
          <w:tcPr>
            <w:tcW w:w="235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行政事业单位医疗</w:t>
            </w:r>
          </w:p>
        </w:tc>
        <w:tc>
          <w:tcPr>
            <w:tcW w:w="23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89.00</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89.00</w:t>
            </w:r>
          </w:p>
        </w:tc>
        <w:tc>
          <w:tcPr>
            <w:tcW w:w="2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color w:val="000000"/>
                <w:kern w:val="0"/>
                <w:sz w:val="20"/>
                <w:szCs w:val="20"/>
                <w:lang w:bidi="ar"/>
              </w:rPr>
              <w:t>0.00</w:t>
            </w:r>
          </w:p>
        </w:tc>
        <w:tc>
          <w:tcPr>
            <w:tcW w:w="16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67" w:type="dxa"/>
          <w:trHeight w:val="450" w:hRule="atLeast"/>
        </w:trPr>
        <w:tc>
          <w:tcPr>
            <w:tcW w:w="117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2101101</w:t>
            </w:r>
          </w:p>
        </w:tc>
        <w:tc>
          <w:tcPr>
            <w:tcW w:w="2355"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 xml:space="preserve">  行政单位医疗</w:t>
            </w:r>
          </w:p>
        </w:tc>
        <w:tc>
          <w:tcPr>
            <w:tcW w:w="234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89.00</w:t>
            </w: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89.00</w:t>
            </w:r>
          </w:p>
        </w:tc>
        <w:tc>
          <w:tcPr>
            <w:tcW w:w="2385" w:type="dxa"/>
            <w:gridSpan w:val="5"/>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0"/>
                <w:szCs w:val="20"/>
                <w:lang w:bidi="ar"/>
              </w:rPr>
              <w:t>0.00</w:t>
            </w:r>
          </w:p>
        </w:tc>
        <w:tc>
          <w:tcPr>
            <w:tcW w:w="1695"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67" w:type="dxa"/>
          <w:trHeight w:val="520" w:hRule="atLeast"/>
        </w:trPr>
        <w:tc>
          <w:tcPr>
            <w:tcW w:w="15154" w:type="dxa"/>
            <w:gridSpan w:val="35"/>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360" w:hRule="atLeast"/>
        </w:trPr>
        <w:tc>
          <w:tcPr>
            <w:tcW w:w="15521" w:type="dxa"/>
            <w:gridSpan w:val="36"/>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11"/>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23"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50" w:type="dxa"/>
            <w:gridSpan w:val="5"/>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1"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5"/>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5854" w:type="dxa"/>
            <w:gridSpan w:val="15"/>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部门：中共湖南省委巡视工作领导小组办公室</w:t>
            </w:r>
            <w:r>
              <w:rPr>
                <w:rFonts w:hint="eastAsia" w:ascii="宋体" w:hAnsi="宋体" w:eastAsia="宋体" w:cs="宋体"/>
                <w:kern w:val="0"/>
                <w:sz w:val="24"/>
                <w:szCs w:val="24"/>
              </w:rPr>
              <w:t>　</w:t>
            </w:r>
          </w:p>
        </w:tc>
        <w:tc>
          <w:tcPr>
            <w:tcW w:w="3150" w:type="dxa"/>
            <w:gridSpan w:val="5"/>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1"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5"/>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854" w:type="dxa"/>
            <w:gridSpan w:val="1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667" w:type="dxa"/>
            <w:gridSpan w:val="21"/>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3,721.28</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3,510.18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3,510.18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100.00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100.00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70.00</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70.00</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2"/>
              </w:rPr>
              <w:t>七、社会保障和就业支出</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89.00</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89.00</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2"/>
              </w:rPr>
              <w:t>八、卫生健康支出</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3,721.28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kern w:val="0"/>
                <w:sz w:val="22"/>
              </w:rPr>
              <w:t>3,769.18</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3,769.18</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63.50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15.60</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15.60</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63.50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8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5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785"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845"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44" w:type="dxa"/>
            <w:gridSpan w:val="10"/>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8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82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3,784.78　</w:t>
            </w:r>
          </w:p>
        </w:tc>
        <w:tc>
          <w:tcPr>
            <w:tcW w:w="315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785" w:type="dxa"/>
            <w:gridSpan w:val="4"/>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rPr>
            </w:pPr>
            <w:r>
              <w:rPr>
                <w:rFonts w:hint="eastAsia" w:ascii="宋体" w:hAnsi="宋体" w:eastAsia="宋体" w:cs="宋体"/>
                <w:kern w:val="0"/>
                <w:sz w:val="22"/>
              </w:rPr>
              <w:t>3,784.78　</w:t>
            </w:r>
          </w:p>
        </w:tc>
        <w:tc>
          <w:tcPr>
            <w:tcW w:w="1845" w:type="dxa"/>
            <w:gridSpan w:val="5"/>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rPr>
            </w:pPr>
            <w:r>
              <w:rPr>
                <w:rFonts w:hint="eastAsia" w:ascii="宋体" w:hAnsi="宋体" w:eastAsia="宋体" w:cs="宋体"/>
                <w:kern w:val="0"/>
                <w:sz w:val="22"/>
              </w:rPr>
              <w:t>3,784.78　</w:t>
            </w:r>
          </w:p>
        </w:tc>
        <w:tc>
          <w:tcPr>
            <w:tcW w:w="120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1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36"/>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630" w:hanging="630" w:hangingChars="300"/>
        <w:jc w:val="left"/>
        <w:rPr>
          <w:rFonts w:ascii="Times New Roman" w:hAnsi="Times New Roman" w:eastAsia="宋体" w:cs="Times New Roman"/>
          <w:color w:val="000000"/>
          <w:kern w:val="0"/>
          <w:sz w:val="20"/>
          <w:szCs w:val="20"/>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中共湖南省委巡视工作领导小组办公室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w:t>
      </w:r>
      <w:r>
        <w:rPr>
          <w:rFonts w:hint="eastAsia" w:ascii="Times New Roman" w:hAnsi="Times New Roman" w:eastAsia="仿宋_GB2312" w:cs="Times New Roman"/>
          <w:color w:val="000000"/>
          <w:kern w:val="0"/>
          <w:szCs w:val="21"/>
        </w:rPr>
        <w:t>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5667" w:type="dxa"/>
        <w:jc w:val="center"/>
        <w:tblLayout w:type="fixed"/>
        <w:tblCellMar>
          <w:top w:w="0" w:type="dxa"/>
          <w:left w:w="108" w:type="dxa"/>
          <w:bottom w:w="0" w:type="dxa"/>
          <w:right w:w="108" w:type="dxa"/>
        </w:tblCellMar>
      </w:tblPr>
      <w:tblGrid>
        <w:gridCol w:w="802"/>
        <w:gridCol w:w="398"/>
        <w:gridCol w:w="2977"/>
        <w:gridCol w:w="698"/>
        <w:gridCol w:w="817"/>
        <w:gridCol w:w="900"/>
        <w:gridCol w:w="1403"/>
        <w:gridCol w:w="922"/>
        <w:gridCol w:w="1395"/>
        <w:gridCol w:w="907"/>
        <w:gridCol w:w="38"/>
        <w:gridCol w:w="2962"/>
        <w:gridCol w:w="233"/>
        <w:gridCol w:w="1215"/>
      </w:tblGrid>
      <w:tr>
        <w:tblPrEx>
          <w:tblCellMar>
            <w:top w:w="0" w:type="dxa"/>
            <w:left w:w="108" w:type="dxa"/>
            <w:bottom w:w="0" w:type="dxa"/>
            <w:right w:w="108" w:type="dxa"/>
          </w:tblCellMar>
        </w:tblPrEx>
        <w:trPr>
          <w:gridAfter w:val="2"/>
          <w:wAfter w:w="1448" w:type="dxa"/>
          <w:trHeight w:val="405" w:hRule="atLeast"/>
          <w:jc w:val="center"/>
        </w:trPr>
        <w:tc>
          <w:tcPr>
            <w:tcW w:w="487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44" w:type="dxa"/>
            <w:gridSpan w:val="8"/>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gridAfter w:val="2"/>
          <w:wAfter w:w="1448" w:type="dxa"/>
          <w:trHeight w:val="495" w:hRule="atLeast"/>
          <w:jc w:val="center"/>
        </w:trPr>
        <w:tc>
          <w:tcPr>
            <w:tcW w:w="120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6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12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24"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gridSpan w:val="2"/>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gridAfter w:val="2"/>
          <w:wAfter w:w="1448" w:type="dxa"/>
          <w:trHeight w:val="360" w:hRule="atLeast"/>
          <w:jc w:val="center"/>
        </w:trPr>
        <w:tc>
          <w:tcPr>
            <w:tcW w:w="120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2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2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2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2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2"/>
          <w:wAfter w:w="1448" w:type="dxa"/>
          <w:trHeight w:val="450" w:hRule="atLeast"/>
          <w:jc w:val="center"/>
        </w:trPr>
        <w:tc>
          <w:tcPr>
            <w:tcW w:w="4875"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gridAfter w:val="2"/>
          <w:wAfter w:w="1448" w:type="dxa"/>
          <w:trHeight w:val="450" w:hRule="atLeast"/>
          <w:jc w:val="center"/>
        </w:trPr>
        <w:tc>
          <w:tcPr>
            <w:tcW w:w="4875"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3,769.18</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1,697.70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2,071.48</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201</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一般公共服务支出</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3,510.18</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1,538.70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1,971.48</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20111</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纪检监察事务</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3,510.18</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1,538.70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1,971.48</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2011101</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 xml:space="preserve">  行政运行</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1,538.70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1,538.70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2011102</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 xml:space="preserve">  一般行政管理事务</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1,971.48</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0.00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1,971.48</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205</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教育支出</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100.00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0.00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100.00</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20508</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进修及培训</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100.00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0.00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100.00</w:t>
            </w:r>
          </w:p>
        </w:tc>
      </w:tr>
      <w:tr>
        <w:tblPrEx>
          <w:tblCellMar>
            <w:top w:w="0" w:type="dxa"/>
            <w:left w:w="108" w:type="dxa"/>
            <w:bottom w:w="0" w:type="dxa"/>
            <w:right w:w="108" w:type="dxa"/>
          </w:tblCellMar>
        </w:tblPrEx>
        <w:trPr>
          <w:gridAfter w:val="2"/>
          <w:wAfter w:w="1448" w:type="dxa"/>
          <w:trHeight w:val="9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2050803</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 xml:space="preserve">  培训支出</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100.00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0.00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100.00</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208</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社会保障和就业支出</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70.00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70.00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20805</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行政事业单位养老支出</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70.00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70.00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2080505</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 xml:space="preserve">  机关事业单位基本养老保险缴费支出</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70.00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70.00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210</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卫生健康支出</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89.00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89.00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21011</w:t>
            </w:r>
          </w:p>
        </w:tc>
        <w:tc>
          <w:tcPr>
            <w:tcW w:w="367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行政事业单位医疗</w:t>
            </w:r>
          </w:p>
        </w:tc>
        <w:tc>
          <w:tcPr>
            <w:tcW w:w="3120"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89.00</w:t>
            </w:r>
          </w:p>
        </w:tc>
        <w:tc>
          <w:tcPr>
            <w:tcW w:w="322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89.00</w:t>
            </w:r>
          </w:p>
        </w:tc>
        <w:tc>
          <w:tcPr>
            <w:tcW w:w="3000" w:type="dxa"/>
            <w:gridSpan w:val="2"/>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gridAfter w:val="2"/>
          <w:wAfter w:w="1448" w:type="dxa"/>
          <w:trHeight w:val="450" w:hRule="atLeast"/>
          <w:jc w:val="center"/>
        </w:trPr>
        <w:tc>
          <w:tcPr>
            <w:tcW w:w="12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2101101</w:t>
            </w:r>
          </w:p>
        </w:tc>
        <w:tc>
          <w:tcPr>
            <w:tcW w:w="3675" w:type="dxa"/>
            <w:gridSpan w:val="2"/>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 xml:space="preserve">  行政单位医疗</w:t>
            </w:r>
          </w:p>
        </w:tc>
        <w:tc>
          <w:tcPr>
            <w:tcW w:w="3120" w:type="dxa"/>
            <w:gridSpan w:val="3"/>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89.00</w:t>
            </w:r>
          </w:p>
        </w:tc>
        <w:tc>
          <w:tcPr>
            <w:tcW w:w="3224" w:type="dxa"/>
            <w:gridSpan w:val="3"/>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89.00</w:t>
            </w:r>
          </w:p>
        </w:tc>
        <w:tc>
          <w:tcPr>
            <w:tcW w:w="3000" w:type="dxa"/>
            <w:gridSpan w:val="2"/>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gridAfter w:val="2"/>
          <w:wAfter w:w="1448" w:type="dxa"/>
          <w:trHeight w:val="340" w:hRule="atLeast"/>
          <w:jc w:val="center"/>
        </w:trPr>
        <w:tc>
          <w:tcPr>
            <w:tcW w:w="14219" w:type="dxa"/>
            <w:gridSpan w:val="12"/>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tblPrEx>
          <w:tblCellMar>
            <w:top w:w="0" w:type="dxa"/>
            <w:left w:w="108" w:type="dxa"/>
            <w:bottom w:w="0" w:type="dxa"/>
            <w:right w:w="108" w:type="dxa"/>
          </w:tblCellMar>
        </w:tblPrEx>
        <w:trPr>
          <w:trHeight w:val="113" w:hRule="atLeast"/>
          <w:jc w:val="center"/>
        </w:trPr>
        <w:tc>
          <w:tcPr>
            <w:tcW w:w="15667" w:type="dxa"/>
            <w:gridSpan w:val="14"/>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中共湖南省委巡视工作领导小组办公室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        </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18"/>
                <w:szCs w:val="18"/>
              </w:rPr>
              <w:t>经济分类科目编码</w:t>
            </w:r>
          </w:p>
        </w:tc>
        <w:tc>
          <w:tcPr>
            <w:tcW w:w="33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5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经济分类科目编码</w:t>
            </w:r>
          </w:p>
        </w:tc>
        <w:tc>
          <w:tcPr>
            <w:tcW w:w="23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经济分类科目编码</w:t>
            </w:r>
          </w:p>
        </w:tc>
        <w:tc>
          <w:tcPr>
            <w:tcW w:w="3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工资福利支出</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982.75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商品和服务支出</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645.93</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307</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债务利息及费用支出</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30101</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基本工资</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180.49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30201</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办公费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135.84</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30701</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国内债务付息</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30102</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津贴补贴</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319.99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30202</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印刷费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18.70</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30702</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国外债务付息</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30103</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奖金</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186.46</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30203</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咨询费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资本性支出</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61.14</w:t>
            </w: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30106</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伙食补助费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39.72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30204</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手续费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31001</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房屋建筑物购建</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30107</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绩效工资</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30205</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水费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3.61</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31002</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办公设备购置</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30108</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机关事业单位基本养老保险缴费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60.13</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30206</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电费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5.00</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31003</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专用设备购置</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30109</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职业年金缴费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30207</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邮电费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11.92</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31005</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基础设施建设</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30110</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职工基本医疗保险缴费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54.80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30208</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取暖费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31006</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大型修缮</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30111</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公务员医疗补助缴费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37.92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30209</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物业管理费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31007</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信息网络及软件购置更新</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30112</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其他社会保障缴费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5.00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30211</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差旅费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31008</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物资储备</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30113</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住房公积金</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95.76</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30212</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因公出国（境）费用</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31009</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土地补偿</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30114</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医疗费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30213</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维修（护）费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15.02</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31010</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安置补助</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30199</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其他工资福利支出</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2.50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30214</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租赁费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1.14</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31011</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地上附着物和青苗补偿</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对个人和家庭的补助</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7.87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30215</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会议费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31012</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拆迁补偿</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30301</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离休费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30216</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培训费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31013</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公务用车购置</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61.14</w:t>
            </w: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30302</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退休费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30217</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公务接待费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2.00</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31019</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其他交通工具购置</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30303</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退职（役）费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30218</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专用材料费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31021</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文物和陈列品购置</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30304</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抚恤金</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30224</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被装购置费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31022</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无形资产购置</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30305</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生活补助</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0.90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30225</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专用燃料费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31099</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其他资本性支出</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30306</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救济费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30226</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劳务费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161.73</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399</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其他支出</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30307</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医疗费补助</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30227</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委托业务费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39906</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赠与</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30308</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助学金</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30228</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工会经费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16.65</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39907</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国家赔偿费用支出</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9"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30309</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奖励金</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30229</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福利费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13.29</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39908</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w:t>
            </w:r>
            <w:r>
              <w:rPr>
                <w:rFonts w:hint="eastAsia" w:ascii="宋体" w:hAnsi="宋体" w:eastAsia="宋体" w:cs="宋体"/>
                <w:color w:val="000000"/>
                <w:kern w:val="0"/>
                <w:sz w:val="15"/>
                <w:szCs w:val="15"/>
              </w:rPr>
              <w:t>对民间非营利组织和群众性自治组织补贴</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30310</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个人农业生产补贴</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30231</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公务用车运行维护费</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93.86</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39999</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6"/>
              </w:rPr>
            </w:pPr>
            <w:r>
              <w:rPr>
                <w:rFonts w:hint="eastAsia" w:ascii="宋体" w:hAnsi="宋体" w:eastAsia="宋体" w:cs="宋体"/>
                <w:color w:val="000000"/>
                <w:kern w:val="0"/>
                <w:sz w:val="18"/>
                <w:szCs w:val="16"/>
              </w:rPr>
              <w:t xml:space="preserve">  其他支出</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30311</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代缴社会保险费</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30239</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其他交通费用</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59.51</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1215" w:type="dxa"/>
            <w:tcBorders>
              <w:top w:val="nil"/>
              <w:left w:val="nil"/>
              <w:bottom w:val="single" w:color="auto" w:sz="4" w:space="0"/>
              <w:right w:val="single" w:color="auto" w:sz="4" w:space="0"/>
            </w:tcBorders>
            <w:shd w:val="clear" w:color="auto" w:fill="FFFFFF"/>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30399</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其他对个人和家庭的补助</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6.97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30240</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税金及附加费用</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1215" w:type="dxa"/>
            <w:tcBorders>
              <w:top w:val="nil"/>
              <w:left w:val="nil"/>
              <w:bottom w:val="single" w:color="auto" w:sz="4" w:space="0"/>
              <w:right w:val="single" w:color="auto" w:sz="4" w:space="0"/>
            </w:tcBorders>
            <w:shd w:val="clear" w:color="auto" w:fill="FFFFFF"/>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8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c>
          <w:tcPr>
            <w:tcW w:w="337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c>
          <w:tcPr>
            <w:tcW w:w="1515" w:type="dxa"/>
            <w:gridSpan w:val="2"/>
            <w:tcBorders>
              <w:top w:val="nil"/>
              <w:left w:val="nil"/>
              <w:bottom w:val="single" w:color="auto" w:sz="4" w:space="0"/>
              <w:right w:val="single" w:color="auto" w:sz="4" w:space="0"/>
            </w:tcBorders>
            <w:shd w:val="clear" w:color="auto" w:fill="FFFFFF"/>
            <w:vAlign w:val="center"/>
          </w:tcPr>
          <w:p>
            <w:pPr>
              <w:jc w:val="right"/>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30299</w:t>
            </w:r>
          </w:p>
        </w:tc>
        <w:tc>
          <w:tcPr>
            <w:tcW w:w="232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其他商品和服务支出</w:t>
            </w:r>
          </w:p>
        </w:tc>
        <w:tc>
          <w:tcPr>
            <w:tcW w:w="139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107.65</w:t>
            </w:r>
          </w:p>
        </w:tc>
        <w:tc>
          <w:tcPr>
            <w:tcW w:w="94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31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1215" w:type="dxa"/>
            <w:tcBorders>
              <w:top w:val="nil"/>
              <w:left w:val="nil"/>
              <w:bottom w:val="single" w:color="auto" w:sz="4" w:space="0"/>
              <w:right w:val="single" w:color="auto" w:sz="4" w:space="0"/>
            </w:tcBorders>
            <w:shd w:val="clear" w:color="auto" w:fill="FFFFFF"/>
            <w:vAlign w:val="center"/>
          </w:tcPr>
          <w:p>
            <w:pPr>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41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人员经费合计</w:t>
            </w:r>
          </w:p>
        </w:tc>
        <w:tc>
          <w:tcPr>
            <w:tcW w:w="1515" w:type="dxa"/>
            <w:gridSpan w:val="2"/>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8"/>
              </w:rPr>
            </w:pPr>
            <w:r>
              <w:rPr>
                <w:rFonts w:hint="eastAsia" w:ascii="宋体" w:hAnsi="宋体" w:eastAsia="宋体" w:cs="宋体"/>
                <w:color w:val="000000"/>
                <w:kern w:val="0"/>
                <w:sz w:val="20"/>
                <w:szCs w:val="20"/>
                <w:lang w:bidi="ar"/>
              </w:rPr>
              <w:t>990.63</w:t>
            </w:r>
          </w:p>
        </w:tc>
        <w:tc>
          <w:tcPr>
            <w:tcW w:w="876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公用经费合计</w:t>
            </w:r>
          </w:p>
        </w:tc>
        <w:tc>
          <w:tcPr>
            <w:tcW w:w="1215"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kern w:val="0"/>
                <w:sz w:val="20"/>
                <w:szCs w:val="16"/>
              </w:rPr>
            </w:pPr>
            <w:r>
              <w:rPr>
                <w:rFonts w:hint="eastAsia" w:ascii="宋体" w:hAnsi="宋体" w:eastAsia="宋体" w:cs="宋体"/>
                <w:color w:val="000000"/>
                <w:kern w:val="0"/>
                <w:sz w:val="20"/>
                <w:szCs w:val="20"/>
                <w:lang w:bidi="ar"/>
              </w:rPr>
              <w:t>707.07</w:t>
            </w:r>
          </w:p>
        </w:tc>
      </w:tr>
      <w:tr>
        <w:tblPrEx>
          <w:tblCellMar>
            <w:top w:w="0" w:type="dxa"/>
            <w:left w:w="108" w:type="dxa"/>
            <w:bottom w:w="0" w:type="dxa"/>
            <w:right w:w="108" w:type="dxa"/>
          </w:tblCellMar>
        </w:tblPrEx>
        <w:trPr>
          <w:trHeight w:val="284" w:hRule="exact"/>
          <w:jc w:val="center"/>
        </w:trPr>
        <w:tc>
          <w:tcPr>
            <w:tcW w:w="15667" w:type="dxa"/>
            <w:gridSpan w:val="14"/>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中共湖南省委巡视工作领导小组办公室</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 xml:space="preserve">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fixed"/>
        <w:tblCellMar>
          <w:top w:w="0" w:type="dxa"/>
          <w:left w:w="108" w:type="dxa"/>
          <w:bottom w:w="0" w:type="dxa"/>
          <w:right w:w="108" w:type="dxa"/>
        </w:tblCellMar>
      </w:tblPr>
      <w:tblGrid>
        <w:gridCol w:w="1455"/>
        <w:gridCol w:w="985"/>
        <w:gridCol w:w="1220"/>
        <w:gridCol w:w="1220"/>
        <w:gridCol w:w="1220"/>
        <w:gridCol w:w="1220"/>
        <w:gridCol w:w="1575"/>
        <w:gridCol w:w="865"/>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455"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575"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8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455"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75"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6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45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8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602" w:hRule="atLeast"/>
          <w:jc w:val="center"/>
        </w:trPr>
        <w:tc>
          <w:tcPr>
            <w:tcW w:w="1455"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157.00</w:t>
            </w:r>
          </w:p>
        </w:tc>
        <w:tc>
          <w:tcPr>
            <w:tcW w:w="985" w:type="dxa"/>
            <w:tcBorders>
              <w:top w:val="nil"/>
              <w:left w:val="nil"/>
              <w:bottom w:val="single" w:color="auto" w:sz="8"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155.00</w:t>
            </w:r>
          </w:p>
        </w:tc>
        <w:tc>
          <w:tcPr>
            <w:tcW w:w="1220" w:type="dxa"/>
            <w:tcBorders>
              <w:top w:val="nil"/>
              <w:left w:val="nil"/>
              <w:bottom w:val="single" w:color="auto" w:sz="8"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61.14</w:t>
            </w:r>
          </w:p>
        </w:tc>
        <w:tc>
          <w:tcPr>
            <w:tcW w:w="1220" w:type="dxa"/>
            <w:tcBorders>
              <w:top w:val="nil"/>
              <w:left w:val="nil"/>
              <w:bottom w:val="single" w:color="auto" w:sz="8"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93.86</w:t>
            </w:r>
          </w:p>
        </w:tc>
        <w:tc>
          <w:tcPr>
            <w:tcW w:w="1220" w:type="dxa"/>
            <w:tcBorders>
              <w:top w:val="nil"/>
              <w:left w:val="nil"/>
              <w:bottom w:val="single" w:color="auto" w:sz="8"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2.00</w:t>
            </w:r>
          </w:p>
        </w:tc>
        <w:tc>
          <w:tcPr>
            <w:tcW w:w="1575" w:type="dxa"/>
            <w:tcBorders>
              <w:top w:val="nil"/>
              <w:left w:val="nil"/>
              <w:bottom w:val="single" w:color="auto" w:sz="8"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157.00</w:t>
            </w:r>
          </w:p>
        </w:tc>
        <w:tc>
          <w:tcPr>
            <w:tcW w:w="865" w:type="dxa"/>
            <w:tcBorders>
              <w:top w:val="nil"/>
              <w:left w:val="nil"/>
              <w:bottom w:val="single" w:color="auto" w:sz="8"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0.00</w:t>
            </w:r>
          </w:p>
        </w:tc>
        <w:tc>
          <w:tcPr>
            <w:tcW w:w="1220" w:type="dxa"/>
            <w:tcBorders>
              <w:top w:val="nil"/>
              <w:left w:val="nil"/>
              <w:bottom w:val="single" w:color="auto" w:sz="8"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155.00</w:t>
            </w:r>
          </w:p>
        </w:tc>
        <w:tc>
          <w:tcPr>
            <w:tcW w:w="1220" w:type="dxa"/>
            <w:tcBorders>
              <w:top w:val="nil"/>
              <w:left w:val="nil"/>
              <w:bottom w:val="single" w:color="auto" w:sz="8"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61.14</w:t>
            </w:r>
          </w:p>
        </w:tc>
        <w:tc>
          <w:tcPr>
            <w:tcW w:w="1220" w:type="dxa"/>
            <w:tcBorders>
              <w:top w:val="nil"/>
              <w:left w:val="nil"/>
              <w:bottom w:val="single" w:color="auto" w:sz="8" w:space="0"/>
              <w:right w:val="nil"/>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93.86</w:t>
            </w:r>
          </w:p>
        </w:tc>
        <w:tc>
          <w:tcPr>
            <w:tcW w:w="1220" w:type="dxa"/>
            <w:tcBorders>
              <w:top w:val="nil"/>
              <w:left w:val="single" w:color="auto" w:sz="4" w:space="0"/>
              <w:bottom w:val="single" w:color="auto" w:sz="8" w:space="0"/>
              <w:right w:val="single" w:color="auto" w:sz="8" w:space="0"/>
            </w:tcBorders>
            <w:shd w:val="clear" w:color="auto" w:fill="FFFFFF"/>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lang w:bidi="ar"/>
              </w:rPr>
              <w:t>2.00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560" w:firstLineChars="200"/>
        <w:jc w:val="left"/>
        <w:rPr>
          <w:rFonts w:ascii="Times New Roman" w:hAnsi="Times New Roman" w:eastAsia="仿宋_GB2312" w:cs="Times New Roman"/>
          <w:kern w:val="0"/>
          <w:sz w:val="28"/>
          <w:szCs w:val="28"/>
        </w:rPr>
      </w:pPr>
    </w:p>
    <w:p>
      <w:pPr>
        <w:widowControl/>
        <w:ind w:firstLine="56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 w:val="28"/>
          <w:szCs w:val="28"/>
        </w:rPr>
        <w:t>说明：省委巡视办没有政府性基金收入，也没有使用政府性基金安排的支出，故本表无数据</w:t>
      </w:r>
      <w:r>
        <w:rPr>
          <w:rFonts w:ascii="Times New Roman" w:hAnsi="Times New Roman" w:eastAsia="仿宋_GB2312" w:cs="Times New Roman"/>
          <w:kern w:val="0"/>
          <w:sz w:val="28"/>
          <w:szCs w:val="28"/>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ind w:firstLine="560" w:firstLineChars="200"/>
        <w:rPr>
          <w:rFonts w:ascii="Times New Roman" w:hAnsi="Times New Roman" w:eastAsia="仿宋_GB2312" w:cs="Times New Roman"/>
          <w:sz w:val="28"/>
          <w:szCs w:val="28"/>
        </w:rPr>
        <w:sectPr>
          <w:pgSz w:w="16838" w:h="11906" w:orient="landscape"/>
          <w:pgMar w:top="720" w:right="720" w:bottom="720" w:left="720" w:header="851" w:footer="992" w:gutter="0"/>
          <w:cols w:space="425" w:num="1"/>
          <w:docGrid w:type="lines" w:linePitch="312" w:charSpace="0"/>
        </w:sectPr>
      </w:pPr>
      <w:r>
        <w:rPr>
          <w:rFonts w:hint="eastAsia" w:ascii="Times New Roman" w:hAnsi="Times New Roman" w:eastAsia="仿宋_GB2312" w:cs="Times New Roman"/>
          <w:sz w:val="28"/>
          <w:szCs w:val="28"/>
        </w:rPr>
        <w:t>说明：省委巡视办没有使用国有资本经营预算安排的支出，故本表无数据。</w:t>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0"/>
          <w:szCs w:val="70"/>
        </w:rPr>
      </w:pPr>
      <w:r>
        <w:rPr>
          <w:rFonts w:hint="eastAsia"/>
          <w:sz w:val="72"/>
          <w:szCs w:val="72"/>
        </w:rPr>
        <w:t>第三部分</w:t>
      </w:r>
    </w:p>
    <w:p>
      <w:pPr>
        <w:pStyle w:val="9"/>
        <w:jc w:val="center"/>
        <w:rPr>
          <w:sz w:val="70"/>
          <w:szCs w:val="70"/>
        </w:rPr>
      </w:pPr>
      <w:r>
        <w:rPr>
          <w:sz w:val="70"/>
          <w:szCs w:val="70"/>
        </w:rPr>
        <w:t>20</w:t>
      </w:r>
      <w:r>
        <w:rPr>
          <w:rFonts w:hint="eastAsia"/>
          <w:sz w:val="70"/>
          <w:szCs w:val="70"/>
        </w:rPr>
        <w:t>21年度部门决算</w:t>
      </w:r>
    </w:p>
    <w:p>
      <w:pPr>
        <w:pStyle w:val="9"/>
        <w:jc w:val="center"/>
        <w:rPr>
          <w:sz w:val="70"/>
          <w:szCs w:val="70"/>
        </w:rPr>
      </w:pPr>
      <w:r>
        <w:rPr>
          <w:rFonts w:hint="eastAsia"/>
          <w:sz w:val="70"/>
          <w:szCs w:val="70"/>
        </w:rPr>
        <w:t>情况说明</w:t>
      </w:r>
    </w:p>
    <w:p>
      <w:pPr>
        <w:widowControl/>
        <w:jc w:val="left"/>
        <w:rPr>
          <w:rFonts w:asciiTheme="minorEastAsia" w:hAnsiTheme="minorEastAsia"/>
          <w:sz w:val="32"/>
          <w:szCs w:val="32"/>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方正仿宋_GBK" w:hAnsi="方正仿宋_GBK" w:eastAsia="方正仿宋_GBK" w:cs="方正仿宋_GBK"/>
          <w:b/>
          <w:bCs/>
          <w:sz w:val="32"/>
          <w:szCs w:val="32"/>
        </w:rPr>
        <w:t>2021年度收、支总计3,784.78万元。与上年相比，增加183.89万元，增长5.11%，主要是因为人员经费的正常递增及巡视经费的增加。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2021年度收入合计3,784.78万元，其中：财政拨款收入3,784.78万元，占100%；上级补助收入0万元，占0%；事业收入0万元，占0%；经营收入0万元，占0%；附属单位上缴收入0万元，占0%；其他收入0万元，占0%。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2021年度支出合计3,769.18万元，其中：基本支出1,697.70万元，占45.04%；项目支出2,071.48万元，占54.96%；上缴上级支出0万元，占0%；经营支出0万元，占0%；对附属单位补助支出0万元，占0%。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Ansi="黑体"/>
          <w:b/>
          <w:sz w:val="32"/>
          <w:szCs w:val="32"/>
        </w:rPr>
      </w:pPr>
      <w:r>
        <w:rPr>
          <w:rFonts w:hint="eastAsia" w:ascii="方正仿宋_GBK" w:hAnsi="方正仿宋_GBK" w:eastAsia="方正仿宋_GBK" w:cs="方正仿宋_GBK"/>
          <w:b/>
          <w:bCs/>
          <w:sz w:val="32"/>
          <w:szCs w:val="32"/>
        </w:rPr>
        <w:t>2021年度财政拨款收、支总计3,784.78万元，与上年相比，增加183.89万元，增长5.11%，主要是因为人员经费的正常递增及巡视经费的增加。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2021年度财政拨款支出3,769.18万元，占本年支出合计</w:t>
      </w:r>
    </w:p>
    <w:p>
      <w:pPr>
        <w:pStyle w:val="9"/>
        <w:ind w:firstLine="640" w:firstLineChars="200"/>
        <w:rPr>
          <w:rFonts w:ascii="方正仿宋_GBK" w:hAnsi="方正仿宋_GBK" w:eastAsia="方正仿宋_GBK" w:cs="方正仿宋_GBK"/>
          <w:b/>
          <w:bCs/>
          <w:sz w:val="32"/>
          <w:szCs w:val="32"/>
        </w:rPr>
      </w:pPr>
    </w:p>
    <w:p>
      <w:pPr>
        <w:pStyle w:val="9"/>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的100%，与上年相比，财政拨款支出增加284.33万元，增长8.16%，主要是因为增人增支，巡视项目经费增加。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2021年度财政拨款支出3,769.18万元，主要用于以下方面：一般公共服务（类）支出3,510.18万元，占93.13%；教育（类）支出100万元，占2.65%；社会保障和就业支出70万元，占1.86%；卫生健康支出89万元，占2.36%。</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2021年度财政拨款支出年初预算数为3,605.48万元，支出决算数为3,769.18万元，完成年初预算的104.54%，其中：</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1、一般公共服务支出（类）纪检监察事务（款）行政运行（项）。</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年初预算为1,375.00万元，支出决算为1,538.70万元，完成年初预算的111.91%，决算数大于年初预算数的主要原因是：年中财政追加了新增人员经费及2020年度省绩效考核奖。</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2、一般公共服务支出（类）纪检监察事务（款）一般行政管理事务（项）。</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年初预算为1,971.48万元，支出决算为1,971.48万元，完成年初预算的100%。</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3、教育支出（类）进修及培训（款）培训支出（项）。</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年初预算为100万元，支出决算为100万元，完成年初预算的100%。</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社会保障和就业支出（类）行政事业单位养老支出（款）机关事业单位基本养老保险缴费支出（项）。</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年初预算为70万元，支出决算为70万元，完成年初预算的100%。</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5、卫生健康支出（类）行政事业单位医疗（款）行政单位医疗（项）。</w:t>
      </w:r>
    </w:p>
    <w:p>
      <w:pPr>
        <w:pStyle w:val="9"/>
        <w:ind w:firstLine="640" w:firstLineChars="200"/>
        <w:rPr>
          <w:rFonts w:asciiTheme="minorEastAsia" w:hAnsiTheme="minorEastAsia" w:eastAsiaTheme="minorEastAsia"/>
          <w:sz w:val="32"/>
          <w:szCs w:val="32"/>
        </w:rPr>
      </w:pPr>
      <w:r>
        <w:rPr>
          <w:rFonts w:hint="eastAsia" w:ascii="方正仿宋_GBK" w:hAnsi="方正仿宋_GBK" w:eastAsia="方正仿宋_GBK" w:cs="方正仿宋_GBK"/>
          <w:b/>
          <w:bCs/>
          <w:sz w:val="32"/>
          <w:szCs w:val="32"/>
        </w:rPr>
        <w:t>年初预算为89万元，支出决算为89万元，完成年初预算的100%。</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2021年度财政拨款基本支出1,697.70万元，其中：人员经费990.63万元，占基本支出的58.35%,主要包括基本工资、津贴补贴、奖金、伙食补助费、机关事业单位基本养老保险缴费、职工基本医疗保险缴费、公务员医疗补助缴费、其他社会保障缴费、住房公积金、其他工资福利支出、生活补助、对个人和家庭的补助；公用经费707.07万元，占基本支出的41.65%，主要包括办公费、印刷费、水费、电费、邮电费、维修（护）费、租赁费、公务接待费、劳务费、工会经费、福利费、公务用车运行维护费、其他交通费用、其他商品和服务支出、公务用车购置。</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2021年度“三公”经费财政拨款支出预算为157万元，支出决算为157万元，完成预算的100%，其中：</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因公出国（境）费支出预算为0万元，支出决算为0万元。与上年相比决算数相同。</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公务接待费支出预算为2万元，支出决算为2万元，完成预算的100%。与上年相比增加1.34万元，增长203.03%，增长的主要原因是疫情稳定后，公务接待活动有所恢复。</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公务用车购置费及运行维护费支出预算为155万元，支出决算为155万元，完成预算的100%。与上年相比减少6.10万元，减少3.79%，减少的主要原因是压减一般性支出，严格公务用车管理，严格控制“三公”经费开支。</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2021年度“三公”经费财政拨款支出决算中，公务接待费支出决算2万元，占1.27%，因公出国（境）费支出决算0万元，占0%，公务用车购置费及运行维护费支出决算155万元，占98.73%。其中：</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1、因公出国（境）费支出决算为0万元，全年安排因公出国（境）团组0个，累计0人次，无开支内容。</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2、公务接待费支出决算为2万元，全年共接待来访团组16个、来宾168人次，主要是中央巡视组来湘开展指导督导工作、各市州县汇报巡视整改情况发生的接待支出。</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公务用车购置费及运行维护费支出决算为155万元，其中：公务用车购置费61.14万元，省委巡视办更新公务用车3辆。公务用车运行维护费93.86万元，主要是公务用车汽油费、保险费、路桥费以及维修维护费等支出，截止2021年12月31日，我单位开支财政拨款的公务用车保有量为22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方正仿宋_GBK" w:hAnsi="方正仿宋_GBK" w:eastAsia="方正仿宋_GBK" w:cs="方正仿宋_GBK"/>
          <w:b/>
          <w:bCs/>
          <w:sz w:val="32"/>
          <w:szCs w:val="32"/>
        </w:rPr>
        <w:t>2021年度政府性基金预算财政拨款收入0万元；年初结转和结余0万元；支出0万元，其中基本支出0万元，项目支出0万元；年末结转和结余0万元。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本部门2021年度机关运行经费支出707.07万元，比年初预算数增加142.07万元，增长25.15%。主要原因是增人增支以及新增三台公务用车。</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Ansi="黑体"/>
          <w:b/>
          <w:sz w:val="32"/>
          <w:szCs w:val="32"/>
        </w:rPr>
      </w:pPr>
      <w:r>
        <w:rPr>
          <w:rFonts w:hint="eastAsia" w:ascii="方正仿宋_GBK" w:hAnsi="方正仿宋_GBK" w:eastAsia="方正仿宋_GBK" w:cs="方正仿宋_GBK"/>
          <w:b/>
          <w:bCs/>
          <w:sz w:val="32"/>
          <w:szCs w:val="32"/>
        </w:rPr>
        <w:t>2021年本部门开支会议费89.29万元，用于召开十一届省委第十一轮省委巡视工作动员部署会议，人数228人，内容为十一届省委第十一轮巡视工作动员部署会、抽调参加巡视年轻干部座谈会；开支培训费159.59万元，用于开展全省巡察干部业务培训班，人数790人，内容为围绕政治巡察在基层应把握的重点内容，党委落实巡察主体责任，提高巡察监督质量方面的方法创新和经验探索，加强巡察队伍建设等进行经验介绍。围绕撰写巡察报告，灵活运用各种方式方法发现问题，巡察干部职责与自身建设等开展业务辅导等。</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方正仿宋_GBK" w:hAnsi="方正仿宋_GBK" w:eastAsia="方正仿宋_GBK" w:cs="方正仿宋_GBK"/>
          <w:b/>
          <w:bCs/>
          <w:sz w:val="32"/>
          <w:szCs w:val="32"/>
        </w:rPr>
        <w:t>本部门2021年度政府采购支出总额427.32万元，其中：政府采购货物支出400.80万元、政府采购工程支出0万元、政府采购服务支出26.52万元。授予中小企业合同金额0万元，占政府采购支出总额的0%，其中：授予小微企业合同金额0万元，</w:t>
      </w:r>
      <w:r>
        <w:rPr>
          <w:rFonts w:hint="eastAsia" w:ascii="方正仿宋_GBK" w:hAnsi="方正仿宋_GBK" w:eastAsia="方正仿宋_GBK" w:cs="方正仿宋_GBK"/>
          <w:b/>
          <w:bCs/>
          <w:sz w:val="32"/>
          <w:szCs w:val="32"/>
          <w:highlight w:val="none"/>
          <w:lang w:eastAsia="zh-CN"/>
        </w:rPr>
        <w:t>由于</w:t>
      </w:r>
      <w:r>
        <w:rPr>
          <w:rFonts w:hint="eastAsia" w:ascii="方正仿宋_GBK" w:hAnsi="方正仿宋_GBK" w:eastAsia="方正仿宋_GBK" w:cs="方正仿宋_GBK"/>
          <w:b/>
          <w:bCs/>
          <w:sz w:val="32"/>
          <w:szCs w:val="32"/>
          <w:highlight w:val="none"/>
        </w:rPr>
        <w:t>授予中小企业合同金额</w:t>
      </w:r>
      <w:r>
        <w:rPr>
          <w:rFonts w:hint="eastAsia" w:ascii="方正仿宋_GBK" w:hAnsi="方正仿宋_GBK" w:eastAsia="方正仿宋_GBK" w:cs="方正仿宋_GBK"/>
          <w:b/>
          <w:bCs/>
          <w:sz w:val="32"/>
          <w:szCs w:val="32"/>
          <w:highlight w:val="none"/>
          <w:lang w:eastAsia="zh-CN"/>
        </w:rPr>
        <w:t>为</w:t>
      </w:r>
      <w:r>
        <w:rPr>
          <w:rFonts w:hint="eastAsia" w:ascii="方正仿宋_GBK" w:hAnsi="方正仿宋_GBK" w:eastAsia="方正仿宋_GBK" w:cs="方正仿宋_GBK"/>
          <w:b/>
          <w:bCs/>
          <w:sz w:val="32"/>
          <w:szCs w:val="32"/>
          <w:highlight w:val="none"/>
          <w:lang w:val="en-US" w:eastAsia="zh-CN"/>
        </w:rPr>
        <w:t>0，无法计算百分比</w:t>
      </w:r>
      <w:r>
        <w:rPr>
          <w:rFonts w:hint="eastAsia" w:ascii="方正仿宋_GBK" w:hAnsi="方正仿宋_GBK" w:eastAsia="方正仿宋_GBK" w:cs="方正仿宋_GBK"/>
          <w:b/>
          <w:bCs/>
          <w:sz w:val="32"/>
          <w:szCs w:val="32"/>
          <w:highlight w:val="none"/>
        </w:rPr>
        <w:t>；</w:t>
      </w:r>
      <w:r>
        <w:rPr>
          <w:rFonts w:hint="eastAsia" w:ascii="方正仿宋_GBK" w:hAnsi="方正仿宋_GBK" w:eastAsia="方正仿宋_GBK" w:cs="方正仿宋_GBK"/>
          <w:b/>
          <w:bCs/>
          <w:sz w:val="32"/>
          <w:szCs w:val="32"/>
        </w:rPr>
        <w:t>货物采购授予中小企业合同金额占货物支出金额的0%，工程采购授予中小企业合同金额占工程支出金额的0%，服务采购授予中小企业合同金额占服务支出金额的0%。</w:t>
      </w:r>
      <w:bookmarkStart w:id="3" w:name="_GoBack"/>
      <w:bookmarkEnd w:id="3"/>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截至2021年12月31日，本单位共有车辆22辆，其中，主要领导干部用车13辆，机要通信用车2辆、应急保障用车1辆、执法执勤用车4辆、特种专业技术用车2辆、其他用车0辆；单位价值50万元以上通用设备1台（套）；单位价值100万元以上专用设备0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根据预算绩效管理要求，省委巡视办组织对2021年度一般公共预算项目支出全面开展绩效自评，其中，一级项目1个，二级项目0个，共涉及资金2,071.48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pStyle w:val="9"/>
        <w:ind w:firstLine="640" w:firstLineChars="200"/>
        <w:rPr>
          <w:rFonts w:ascii="方正仿宋_GBK" w:hAnsi="方正仿宋_GBK" w:eastAsia="方正仿宋_GBK" w:cs="方正仿宋_GBK"/>
          <w:b/>
          <w:bCs/>
          <w:sz w:val="32"/>
          <w:szCs w:val="32"/>
          <w:highlight w:val="cyan"/>
        </w:rPr>
      </w:pPr>
      <w:r>
        <w:rPr>
          <w:rFonts w:hint="eastAsia" w:ascii="方正仿宋_GBK" w:hAnsi="方正仿宋_GBK" w:eastAsia="方正仿宋_GBK" w:cs="方正仿宋_GBK"/>
          <w:b/>
          <w:bCs/>
          <w:sz w:val="32"/>
          <w:szCs w:val="32"/>
        </w:rPr>
        <w:t>组织对“巡视业务工作经费”等1个项目开展了部门评价，涉及一般公共预算支出2,071.48万元，政府性基金预算支出0万元，国有资本经营预算支出0万元。从评价情况来看，2021年省委巡视办项目绩效目标基本符合实际需要，项目计划实施进度比较明确，项目决策依据比较充分，项目实施规划和管理制度较为完善，资金分配符合相关规定，分配及时，分配结果合理。项目在实施过程中严格执行有关制度规定。项目绩效目标如质如量完成，产出指标、效益指标、绩效指标均以达标。</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组织对“中共湖南省委巡视工作领导小组办公室”等1个单位开展整体支出绩效评价，涉及一般公共预算支出3,769.18万元，政府性基金预算支出0万元。从评价情况来看，2021年，省委巡视办在中央巡视办和湖南省委、省委巡视工作领导小组的坚强领导下，坚持以习近平新时代中国特色社会主义思想为指导，以接受中央巡视指导督导为契机，坚持政治定位，坚持问题导向，坚持系统观念，坚持依规依纪依法，推动了巡视巡察工作高质量发展。</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巡视业务工作经费项目绩效自评综述：根据年初设定的绩效目标，项目绩效自评得分为100分。项目全年预算数为2,071.48万元，执行数为2,071.48万元，完成预算的100%。项目绩效目标完成情况：一是分2轮对17个省直单位、10所省属高校、4家省管企业开展常规巡视，实现任期内巡视全覆盖；二是以巡视带巡察，市县两级巡察覆盖率100%;延伸巡察村（社区）2.9万个，覆盖率90%以上；三是狠抓巡视整改，对45个县市区整改情况开展抽查，对前八轮巡视移交的1729件问题线索办理情况进行大起底，对第十二轮巡视发现的上轮巡视整改不到位问题点名通报。发现的主要问题及原因：省委巡视办项目支出未偏离绩效目标。下一步改进措施：省委巡视办将根据工作情况严格按预算进一步提高公用经费控制率，继续建立和完善相关管理制度，确保财政资金投入的成效。</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部门绩效自评报告经财政厅审核后，按要求由省财政厅绩效管理处代为公开，主动接受社会监督。</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一般公共财政拨款：指省级财政当年拨付的资金。 </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基本支出：指为保障机构正常运转、完成日常工作任务而发生的人员支出和公用支出。 </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项目支出：指在基本支出以外为完成相关行政任务和事业发展目标所发生的支出。 </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支出。 </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年末结转和结余：指本年度或以前年度预算安排、因客观条件发生变化无法按原计划实施，需要延迟到以后年度按有关规定继续使用的资金，既包括财政拨款结转和结余，也包括事业收入、其他收入的结转和结余。</w:t>
      </w:r>
    </w:p>
    <w:p>
      <w:pPr>
        <w:pStyle w:val="9"/>
        <w:jc w:val="both"/>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after="156" w:afterLines="50" w:line="600" w:lineRule="exact"/>
        <w:jc w:val="center"/>
        <w:rPr>
          <w:rFonts w:ascii="Times New Roman" w:hAnsi="Times New Roman" w:eastAsia="仿宋_GB2312" w:cs="Times New Roman"/>
          <w:kern w:val="0"/>
          <w:sz w:val="24"/>
          <w:szCs w:val="24"/>
        </w:rPr>
      </w:pPr>
      <w:r>
        <w:rPr>
          <w:rFonts w:ascii="Times New Roman" w:hAnsi="Times New Roman" w:eastAsia="方正小标宋_GBK" w:cs="Times New Roman"/>
          <w:kern w:val="0"/>
          <w:sz w:val="36"/>
          <w:szCs w:val="36"/>
        </w:rPr>
        <w:t>202</w:t>
      </w:r>
      <w:r>
        <w:rPr>
          <w:rFonts w:hint="eastAsia" w:ascii="Times New Roman" w:hAnsi="Times New Roman" w:eastAsia="方正小标宋_GBK" w:cs="Times New Roman"/>
          <w:kern w:val="0"/>
          <w:sz w:val="36"/>
          <w:szCs w:val="36"/>
        </w:rPr>
        <w:t>1</w:t>
      </w:r>
      <w:r>
        <w:rPr>
          <w:rFonts w:ascii="Times New Roman" w:hAnsi="Times New Roman" w:eastAsia="方正小标宋_GBK" w:cs="Times New Roman"/>
          <w:kern w:val="0"/>
          <w:sz w:val="36"/>
          <w:szCs w:val="36"/>
        </w:rPr>
        <w:t>年度部门整体支出绩效评价基础数据表</w:t>
      </w:r>
    </w:p>
    <w:tbl>
      <w:tblPr>
        <w:tblStyle w:val="5"/>
        <w:tblW w:w="9618" w:type="dxa"/>
        <w:jc w:val="center"/>
        <w:tblLayout w:type="fixed"/>
        <w:tblCellMar>
          <w:top w:w="0" w:type="dxa"/>
          <w:left w:w="108" w:type="dxa"/>
          <w:bottom w:w="0" w:type="dxa"/>
          <w:right w:w="108" w:type="dxa"/>
        </w:tblCellMar>
      </w:tblPr>
      <w:tblGrid>
        <w:gridCol w:w="3354"/>
        <w:gridCol w:w="1189"/>
        <w:gridCol w:w="849"/>
        <w:gridCol w:w="1129"/>
        <w:gridCol w:w="1111"/>
        <w:gridCol w:w="1007"/>
        <w:gridCol w:w="979"/>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w:t>
            </w:r>
            <w:r>
              <w:rPr>
                <w:rFonts w:hint="eastAsia" w:ascii="Times New Roman" w:hAnsi="Times New Roman" w:eastAsia="仿宋_GB2312" w:cs="Times New Roman"/>
                <w:b/>
                <w:bCs/>
                <w:kern w:val="0"/>
                <w:szCs w:val="21"/>
              </w:rPr>
              <w:t>1</w:t>
            </w:r>
            <w:r>
              <w:rPr>
                <w:rFonts w:ascii="Times New Roman" w:hAnsi="Times New Roman" w:eastAsia="仿宋_GB2312" w:cs="Times New Roman"/>
                <w:b/>
                <w:bCs/>
                <w:kern w:val="0"/>
                <w:szCs w:val="21"/>
              </w:rPr>
              <w:t>年实际在职人数</w:t>
            </w:r>
          </w:p>
        </w:tc>
        <w:tc>
          <w:tcPr>
            <w:tcW w:w="19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w:t>
            </w:r>
            <w:r>
              <w:rPr>
                <w:rFonts w:ascii="Times New Roman" w:hAns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56.94%</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w:t>
            </w:r>
            <w:r>
              <w:rPr>
                <w:rFonts w:hint="eastAsia" w:ascii="Times New Roman" w:hAnsi="Times New Roman" w:eastAsia="仿宋_GB2312" w:cs="Times New Roman"/>
                <w:b/>
                <w:bCs/>
                <w:kern w:val="0"/>
                <w:szCs w:val="21"/>
              </w:rPr>
              <w:t>20</w:t>
            </w:r>
            <w:r>
              <w:rPr>
                <w:rFonts w:ascii="Times New Roman" w:hAnsi="Times New Roman" w:eastAsia="仿宋_GB2312" w:cs="Times New Roman"/>
                <w:b/>
                <w:bCs/>
                <w:kern w:val="0"/>
                <w:szCs w:val="21"/>
              </w:rPr>
              <w:t>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w:t>
            </w:r>
            <w:r>
              <w:rPr>
                <w:rFonts w:hint="eastAsia" w:ascii="Times New Roman" w:hAnsi="Times New Roman" w:eastAsia="仿宋_GB2312" w:cs="Times New Roman"/>
                <w:b/>
                <w:bCs/>
                <w:kern w:val="0"/>
                <w:szCs w:val="21"/>
              </w:rPr>
              <w:t>1</w:t>
            </w:r>
            <w:r>
              <w:rPr>
                <w:rFonts w:ascii="Times New Roman" w:hAnsi="Times New Roman" w:eastAsia="仿宋_GB2312" w:cs="Times New Roman"/>
                <w:b/>
                <w:bCs/>
                <w:kern w:val="0"/>
                <w:szCs w:val="21"/>
              </w:rPr>
              <w:t>年预算数</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w:t>
            </w:r>
            <w:r>
              <w:rPr>
                <w:rFonts w:hint="eastAsia" w:ascii="Times New Roman" w:hAnsi="Times New Roman" w:eastAsia="仿宋_GB2312" w:cs="Times New Roman"/>
                <w:b/>
                <w:bCs/>
                <w:kern w:val="0"/>
                <w:szCs w:val="21"/>
              </w:rPr>
              <w:t>1</w:t>
            </w:r>
            <w:r>
              <w:rPr>
                <w:rFonts w:ascii="Times New Roman" w:hAnsi="Times New Roman" w:eastAsia="仿宋_GB2312" w:cs="Times New Roman"/>
                <w:b/>
                <w:bCs/>
                <w:kern w:val="0"/>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161.76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161.07</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155</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155</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40.76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61.14</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120.31</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155</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93.86</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0.66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2159.98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2134.48</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2071.48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2159.98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2134.48</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2071.48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483.12</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565</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707.07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449.14</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kern w:val="0"/>
                <w:szCs w:val="21"/>
              </w:rPr>
              <w:t>550</w:t>
            </w:r>
            <w:r>
              <w:rPr>
                <w:rFonts w:ascii="Times New Roman" w:hAnsi="Times New Roman" w:eastAsia="仿宋_GB2312" w:cs="Times New Roman"/>
                <w:color w:val="FF0000"/>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kern w:val="0"/>
                <w:szCs w:val="21"/>
              </w:rPr>
              <w:t>698.46</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33.98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kern w:val="0"/>
                <w:szCs w:val="21"/>
              </w:rPr>
              <w:t>15</w:t>
            </w:r>
            <w:r>
              <w:rPr>
                <w:rFonts w:ascii="Times New Roman" w:hAnsi="Times New Roman" w:eastAsia="仿宋_GB2312" w:cs="Times New Roman"/>
                <w:color w:val="FF0000"/>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kern w:val="0"/>
                <w:szCs w:val="21"/>
              </w:rPr>
              <w:t>8.61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color w:val="FF0000"/>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FF0000"/>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color w:val="FF0000"/>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427.32</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年初预算1471.00</w:t>
            </w:r>
          </w:p>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调整预算1713.30</w:t>
            </w:r>
            <w:r>
              <w:rPr>
                <w:rFonts w:ascii="Times New Roman" w:hAnsi="Times New Roman" w:eastAsia="仿宋_GB2312" w:cs="Times New Roman"/>
                <w:kern w:val="0"/>
                <w:szCs w:val="21"/>
              </w:rPr>
              <w:t>　</w:t>
            </w:r>
          </w:p>
        </w:tc>
        <w:tc>
          <w:tcPr>
            <w:tcW w:w="19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1697.70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楼堂馆所控制情况</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w:t>
            </w:r>
            <w:r>
              <w:rPr>
                <w:rFonts w:hint="eastAsia" w:ascii="Times New Roman" w:hAnsi="Times New Roman" w:eastAsia="仿宋_GB2312" w:cs="Times New Roman"/>
                <w:kern w:val="0"/>
                <w:szCs w:val="21"/>
              </w:rPr>
              <w:t>1</w:t>
            </w:r>
            <w:r>
              <w:rPr>
                <w:rFonts w:ascii="Times New Roman" w:hAnsi="Times New Roman" w:eastAsia="仿宋_GB2312" w:cs="Times New Roman"/>
                <w:kern w:val="0"/>
                <w:szCs w:val="21"/>
              </w:rPr>
              <w:t>年完工项目）</w:t>
            </w:r>
          </w:p>
        </w:tc>
        <w:tc>
          <w:tcPr>
            <w:tcW w:w="11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批复规模</w:t>
            </w:r>
            <w:r>
              <w:rPr>
                <w:rFonts w:ascii="Times New Roman" w:hAnsi="Times New Roman" w:eastAsia="仿宋_GB2312" w:cs="Times New Roman"/>
                <w:bCs/>
                <w:kern w:val="0"/>
                <w:szCs w:val="21"/>
              </w:rPr>
              <w:br w:type="textWrapping"/>
            </w:r>
            <w:r>
              <w:rPr>
                <w:rFonts w:ascii="Times New Roman" w:hAnsi="Times New Roman" w:eastAsia="仿宋_GB2312" w:cs="Times New Roman"/>
                <w:bCs/>
                <w:kern w:val="0"/>
                <w:szCs w:val="21"/>
              </w:rPr>
              <w:t>（</w:t>
            </w:r>
            <w:r>
              <w:rPr>
                <w:rFonts w:ascii="Times New Roman" w:hAnsi="Times New Roman" w:eastAsia="宋体" w:cs="Times New Roman"/>
                <w:bCs/>
                <w:kern w:val="0"/>
                <w:szCs w:val="21"/>
              </w:rPr>
              <w:t>㎡</w:t>
            </w:r>
            <w:r>
              <w:rPr>
                <w:rFonts w:ascii="Times New Roman" w:hAnsi="Times New Roman" w:eastAsia="仿宋_GB2312" w:cs="Times New Roman"/>
                <w:bCs/>
                <w:kern w:val="0"/>
                <w:szCs w:val="21"/>
              </w:rPr>
              <w:t>）</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实际规模（</w:t>
            </w:r>
            <w:r>
              <w:rPr>
                <w:rFonts w:ascii="Times New Roman" w:hAnsi="Times New Roman" w:eastAsia="宋体" w:cs="Times New Roman"/>
                <w:bCs/>
                <w:kern w:val="0"/>
                <w:szCs w:val="21"/>
              </w:rPr>
              <w:t>㎡</w:t>
            </w:r>
            <w:r>
              <w:rPr>
                <w:rFonts w:ascii="Times New Roman" w:hAnsi="Times New Roman" w:eastAsia="仿宋_GB2312" w:cs="Times New Roman"/>
                <w:bCs/>
                <w:kern w:val="0"/>
                <w:szCs w:val="21"/>
              </w:rPr>
              <w:t>）</w:t>
            </w:r>
          </w:p>
        </w:tc>
        <w:tc>
          <w:tcPr>
            <w:tcW w:w="112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规模控制率</w:t>
            </w:r>
          </w:p>
        </w:tc>
        <w:tc>
          <w:tcPr>
            <w:tcW w:w="1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预算投资（万元）</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实际投资（万元）</w:t>
            </w: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投资概算控制率</w:t>
            </w:r>
          </w:p>
        </w:tc>
      </w:tr>
      <w:tr>
        <w:tblPrEx>
          <w:tblCellMar>
            <w:top w:w="0" w:type="dxa"/>
            <w:left w:w="108" w:type="dxa"/>
            <w:bottom w:w="0" w:type="dxa"/>
            <w:right w:w="108" w:type="dxa"/>
          </w:tblCellMar>
        </w:tblPrEx>
        <w:trPr>
          <w:trHeight w:val="578"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264"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无此项目</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厉行节约保障措施</w:t>
            </w:r>
          </w:p>
        </w:tc>
        <w:tc>
          <w:tcPr>
            <w:tcW w:w="626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eastAsia="仿宋_GB2312"/>
                <w:kern w:val="0"/>
                <w:szCs w:val="21"/>
              </w:rPr>
              <w:t>财务管理办法、支出业务内部控制、党政机关厉行节约浪费条例</w:t>
            </w:r>
          </w:p>
        </w:tc>
      </w:tr>
    </w:tbl>
    <w:p>
      <w:pPr>
        <w:widowControl/>
        <w:jc w:val="left"/>
        <w:rPr>
          <w:rFonts w:ascii="Times New Roman" w:hAnsi="Times New Roman" w:eastAsia="仿宋_GB2312" w:cs="Times New Roman"/>
          <w:kern w:val="0"/>
          <w:sz w:val="22"/>
          <w:szCs w:val="24"/>
        </w:rPr>
      </w:pPr>
      <w:r>
        <w:rPr>
          <w:rFonts w:ascii="Times New Roman" w:hAnsi="Times New Roman" w:eastAsia="仿宋_GB2312" w:cs="Times New Roman"/>
          <w:kern w:val="0"/>
          <w:sz w:val="22"/>
          <w:szCs w:val="24"/>
        </w:rPr>
        <w:t>说明：“项目支出”需要填报基本支出以外的所有项目支出情况，“公用经费”填报基本支出中的一般商品和服务支出。</w:t>
      </w:r>
    </w:p>
    <w:p>
      <w:pPr>
        <w:widowControl/>
        <w:spacing w:after="156" w:afterLines="50"/>
        <w:jc w:val="left"/>
        <w:rPr>
          <w:rFonts w:ascii="Times New Roman" w:hAnsi="Times New Roman" w:eastAsia="仿宋_GB2312" w:cs="Times New Roman"/>
          <w:kern w:val="0"/>
          <w:sz w:val="22"/>
          <w:szCs w:val="24"/>
        </w:rPr>
      </w:pPr>
    </w:p>
    <w:p>
      <w:pPr>
        <w:widowControl/>
        <w:spacing w:after="156" w:afterLines="50"/>
        <w:jc w:val="left"/>
        <w:rPr>
          <w:rFonts w:ascii="Times New Roman" w:hAnsi="Times New Roman" w:eastAsia="黑体" w:cs="Times New Roman"/>
          <w:sz w:val="32"/>
          <w:szCs w:val="32"/>
        </w:rPr>
      </w:pPr>
      <w:r>
        <w:rPr>
          <w:rFonts w:ascii="Times New Roman" w:hAnsi="Times New Roman" w:eastAsia="仿宋_GB2312" w:cs="Times New Roman"/>
          <w:kern w:val="0"/>
          <w:sz w:val="22"/>
          <w:szCs w:val="24"/>
        </w:rPr>
        <w:t>填表人：</w:t>
      </w:r>
      <w:r>
        <w:rPr>
          <w:rFonts w:hint="eastAsia" w:ascii="Times New Roman" w:hAnsi="Times New Roman" w:eastAsia="仿宋_GB2312" w:cs="Times New Roman"/>
          <w:kern w:val="0"/>
          <w:sz w:val="22"/>
          <w:szCs w:val="24"/>
        </w:rPr>
        <w:t>狄维</w:t>
      </w:r>
      <w:r>
        <w:rPr>
          <w:rFonts w:ascii="Times New Roman" w:hAnsi="Times New Roman" w:eastAsia="仿宋_GB2312" w:cs="Times New Roman"/>
          <w:kern w:val="0"/>
          <w:sz w:val="22"/>
          <w:szCs w:val="24"/>
        </w:rPr>
        <w:t xml:space="preserve">    填报日期：</w:t>
      </w:r>
      <w:r>
        <w:rPr>
          <w:rFonts w:hint="eastAsia" w:ascii="Times New Roman" w:hAnsi="Times New Roman" w:eastAsia="仿宋_GB2312" w:cs="Times New Roman"/>
          <w:kern w:val="0"/>
          <w:sz w:val="22"/>
          <w:szCs w:val="24"/>
        </w:rPr>
        <w:t>2022.5.17</w:t>
      </w:r>
      <w:r>
        <w:rPr>
          <w:rFonts w:ascii="Times New Roman" w:hAnsi="Times New Roman" w:eastAsia="仿宋_GB2312" w:cs="Times New Roman"/>
          <w:kern w:val="0"/>
          <w:sz w:val="22"/>
          <w:szCs w:val="24"/>
        </w:rPr>
        <w:t xml:space="preserve">    联系电话：</w:t>
      </w:r>
      <w:r>
        <w:rPr>
          <w:rFonts w:hint="eastAsia" w:ascii="Times New Roman" w:hAnsi="Times New Roman" w:eastAsia="仿宋_GB2312" w:cs="Times New Roman"/>
          <w:kern w:val="0"/>
          <w:sz w:val="22"/>
          <w:szCs w:val="24"/>
        </w:rPr>
        <w:t>82219181</w:t>
      </w:r>
      <w:r>
        <w:rPr>
          <w:rFonts w:ascii="Times New Roman" w:hAnsi="Times New Roman" w:eastAsia="仿宋_GB2312" w:cs="Times New Roman"/>
          <w:kern w:val="0"/>
          <w:sz w:val="22"/>
          <w:szCs w:val="24"/>
        </w:rPr>
        <w:t xml:space="preserve">    单位负责人签字：</w:t>
      </w:r>
      <w:r>
        <w:rPr>
          <w:rFonts w:ascii="Times New Roman" w:hAnsi="Times New Roman" w:eastAsia="仿宋_GB2312" w:cs="Times New Roman"/>
          <w:kern w:val="0"/>
          <w:sz w:val="22"/>
          <w:szCs w:val="24"/>
        </w:rPr>
        <w:br w:type="page"/>
      </w:r>
    </w:p>
    <w:p>
      <w:pPr>
        <w:widowControl/>
        <w:spacing w:after="156" w:afterLines="50"/>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rPr>
        <w:t>1</w:t>
      </w:r>
      <w:r>
        <w:rPr>
          <w:rFonts w:ascii="Times New Roman" w:hAnsi="Times New Roman" w:eastAsia="方正小标宋_GBK" w:cs="Times New Roman"/>
          <w:color w:val="000000"/>
          <w:kern w:val="0"/>
          <w:sz w:val="36"/>
          <w:szCs w:val="36"/>
        </w:rPr>
        <w:t>年度部门整体支出绩效自评表</w:t>
      </w:r>
    </w:p>
    <w:tbl>
      <w:tblPr>
        <w:tblStyle w:val="5"/>
        <w:tblW w:w="9993" w:type="dxa"/>
        <w:jc w:val="center"/>
        <w:tblLayout w:type="fixed"/>
        <w:tblCellMar>
          <w:top w:w="0" w:type="dxa"/>
          <w:left w:w="108" w:type="dxa"/>
          <w:bottom w:w="0" w:type="dxa"/>
          <w:right w:w="108" w:type="dxa"/>
        </w:tblCellMar>
      </w:tblPr>
      <w:tblGrid>
        <w:gridCol w:w="1080"/>
        <w:gridCol w:w="1080"/>
        <w:gridCol w:w="953"/>
        <w:gridCol w:w="1256"/>
        <w:gridCol w:w="95"/>
        <w:gridCol w:w="1152"/>
        <w:gridCol w:w="1324"/>
        <w:gridCol w:w="521"/>
        <w:gridCol w:w="188"/>
        <w:gridCol w:w="502"/>
        <w:gridCol w:w="490"/>
        <w:gridCol w:w="185"/>
        <w:gridCol w:w="1167"/>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省级预算部门名称</w:t>
            </w:r>
          </w:p>
        </w:tc>
        <w:tc>
          <w:tcPr>
            <w:tcW w:w="8913"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中共湖南省委巡视工作领导小组办公室</w:t>
            </w: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年度预</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算申请</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12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年初</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预算数</w:t>
            </w:r>
          </w:p>
        </w:tc>
        <w:tc>
          <w:tcPr>
            <w:tcW w:w="1247"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全年预算数</w:t>
            </w:r>
          </w:p>
        </w:tc>
        <w:tc>
          <w:tcPr>
            <w:tcW w:w="13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全年执行数</w:t>
            </w:r>
          </w:p>
        </w:tc>
        <w:tc>
          <w:tcPr>
            <w:tcW w:w="709"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99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135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CellMar>
            <w:top w:w="0" w:type="dxa"/>
            <w:left w:w="108" w:type="dxa"/>
            <w:bottom w:w="0" w:type="dxa"/>
            <w:right w:w="108" w:type="dxa"/>
          </w:tblCellMar>
        </w:tblPrEx>
        <w:trPr>
          <w:trHeight w:val="305" w:hRule="atLeast"/>
          <w:jc w:val="center"/>
        </w:trPr>
        <w:tc>
          <w:tcPr>
            <w:tcW w:w="1080"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年度资金总额</w:t>
            </w:r>
          </w:p>
        </w:tc>
        <w:tc>
          <w:tcPr>
            <w:tcW w:w="12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3605.48</w:t>
            </w:r>
          </w:p>
        </w:tc>
        <w:tc>
          <w:tcPr>
            <w:tcW w:w="1247"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3784.78</w:t>
            </w:r>
          </w:p>
        </w:tc>
        <w:tc>
          <w:tcPr>
            <w:tcW w:w="132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3769.18</w:t>
            </w:r>
          </w:p>
        </w:tc>
        <w:tc>
          <w:tcPr>
            <w:tcW w:w="709"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9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99.59%</w:t>
            </w:r>
          </w:p>
        </w:tc>
        <w:tc>
          <w:tcPr>
            <w:tcW w:w="135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3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按收入性质分：</w:t>
            </w:r>
          </w:p>
        </w:tc>
        <w:tc>
          <w:tcPr>
            <w:tcW w:w="4377" w:type="dxa"/>
            <w:gridSpan w:val="7"/>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3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其中：  一般公共预算：</w:t>
            </w:r>
            <w:r>
              <w:rPr>
                <w:rFonts w:hint="eastAsia" w:ascii="Times New Roman" w:hAnsi="Times New Roman" w:eastAsia="仿宋_GB2312" w:cs="Times New Roman"/>
                <w:color w:val="000000"/>
                <w:kern w:val="0"/>
                <w:szCs w:val="21"/>
              </w:rPr>
              <w:t>3784.78</w:t>
            </w:r>
          </w:p>
        </w:tc>
        <w:tc>
          <w:tcPr>
            <w:tcW w:w="4377" w:type="dxa"/>
            <w:gridSpan w:val="7"/>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其中：基本支出：</w:t>
            </w:r>
            <w:r>
              <w:rPr>
                <w:rFonts w:hint="eastAsia" w:ascii="Times New Roman" w:hAnsi="Times New Roman" w:eastAsia="仿宋_GB2312" w:cs="Times New Roman"/>
                <w:color w:val="000000"/>
                <w:kern w:val="0"/>
                <w:szCs w:val="21"/>
              </w:rPr>
              <w:t>1697.70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3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政府性基金拨款：</w:t>
            </w:r>
          </w:p>
        </w:tc>
        <w:tc>
          <w:tcPr>
            <w:tcW w:w="4377" w:type="dxa"/>
            <w:gridSpan w:val="7"/>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项目支出：</w:t>
            </w:r>
            <w:r>
              <w:rPr>
                <w:rFonts w:hint="eastAsia" w:ascii="Times New Roman" w:hAnsi="Times New Roman" w:eastAsia="仿宋_GB2312" w:cs="Times New Roman"/>
                <w:color w:val="000000"/>
                <w:kern w:val="0"/>
                <w:szCs w:val="21"/>
              </w:rPr>
              <w:t>2071.48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3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纳入专户管理的非税收入拨款：</w:t>
            </w:r>
          </w:p>
        </w:tc>
        <w:tc>
          <w:tcPr>
            <w:tcW w:w="4377" w:type="dxa"/>
            <w:gridSpan w:val="7"/>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36"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其他资金：</w:t>
            </w:r>
          </w:p>
        </w:tc>
        <w:tc>
          <w:tcPr>
            <w:tcW w:w="4377" w:type="dxa"/>
            <w:gridSpan w:val="7"/>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4536"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37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CellMar>
            <w:top w:w="0" w:type="dxa"/>
            <w:left w:w="108" w:type="dxa"/>
            <w:bottom w:w="0" w:type="dxa"/>
            <w:right w:w="108" w:type="dxa"/>
          </w:tblCellMar>
        </w:tblPrEx>
        <w:trPr>
          <w:trHeight w:val="363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36"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以省直单位、省属高校、省管企业为重点，分2轮对余下30个左右党组织进行常规巡视，适当开展专项巡视、巡视整改督查，确保如期高质完成本届省委巡视全覆盖任务。加强对总书记考察湖南重要讲话精神贯彻落实和“十四五”规划实施的政治监督，重点检查“三个高地”“四新使命”“五个重要任务”，以及“六稳六保”、三大攻坚战等重大决策部署贯彻落实情况。研究制定进一步加强巡视巡察整改和成果运用的措施，压实党委整改主体责任，推动纪检监察机关强化日常监督，建立整改评估机制，探索整改情况抽查机制。制定《关于推动市县巡察工作高质量发展的意见》，出台《关于推进巡察向村（社区）延伸的办法》。学习中央巡视办做法，对14个市州开展指导督导。</w:t>
            </w:r>
            <w:r>
              <w:rPr>
                <w:rFonts w:ascii="Times New Roman" w:hAnsi="Times New Roman" w:eastAsia="仿宋_GB2312" w:cs="Times New Roman"/>
                <w:color w:val="000000"/>
                <w:kern w:val="0"/>
                <w:szCs w:val="21"/>
              </w:rPr>
              <w:t>　　</w:t>
            </w:r>
          </w:p>
        </w:tc>
        <w:tc>
          <w:tcPr>
            <w:tcW w:w="437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省委分2轮对17个省直单位、10所省属高校、4家省管企业开展常规巡视，实现任期内巡视全覆盖。以巡视带巡察，市县两级巡察覆盖率100%;延伸巡察村居2.6万个，覆盖率90%以上。狠抓巡视整改，对45个县市区整改情况开展抽查，对前八轮巡视移交的1729件问题线索办理情况进行大起底，对第十二轮巡视发现的上轮巡视整改不到位问题点名通报。建立健全巡视机构与纪检监察、组织、宣传、政法、统计等部门协调协作机制。制定推动市县巡察工作高质量发展的指导意见，对82个县市区巡察工作开展专项检查。强化市级巡察机构在上下联动中的作用，指导湘潭市抓好试点工作，同步推进全省联动，形成“一盘棋”监督合力。</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9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84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实际完成值</w:t>
            </w:r>
          </w:p>
        </w:tc>
        <w:tc>
          <w:tcPr>
            <w:tcW w:w="69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6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1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blPrEx>
          <w:tblCellMar>
            <w:top w:w="0" w:type="dxa"/>
            <w:left w:w="108" w:type="dxa"/>
            <w:bottom w:w="0" w:type="dxa"/>
            <w:right w:w="108" w:type="dxa"/>
          </w:tblCellMar>
        </w:tblPrEx>
        <w:trPr>
          <w:trHeight w:val="205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巡视全覆盖</w:t>
            </w: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全面完成巡视全覆盖</w:t>
            </w:r>
          </w:p>
        </w:tc>
        <w:tc>
          <w:tcPr>
            <w:tcW w:w="184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克服疫情影响，分2轮对17个省直单位、10所省属高校、4家省管企业进行常规巡视。完成对274个党组织的巡视，实现圆满“收官”。</w:t>
            </w:r>
          </w:p>
        </w:tc>
        <w:tc>
          <w:tcPr>
            <w:tcW w:w="69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14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强化整改合力</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加大督促整改力度，确保整改效果</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巡视办会同省纪委相关监督检查室，对45个县市区落实整改情况进行抽查。在各方齐抓共管下，第十一轮巡视整改完成率达94.5%，各被巡视单位建立健全制度347项，开展各类专项整治22项。</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14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以巡视带巡察</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巡察覆盖率</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市县两级巡察覆盖率100%，延伸巡察村居2.6万个，覆盖率90%以上。</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加强上下联动，提高巡察监督质效</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出台意见、办法</w:t>
            </w:r>
          </w:p>
        </w:tc>
        <w:tc>
          <w:tcPr>
            <w:tcW w:w="18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出台《关于推动新时代市县巡察工作高质量发展的指导意见》《关于加强市县巡察工作常态化指导督导办法》等文件，提高工作规范化水平。</w:t>
            </w:r>
          </w:p>
        </w:tc>
        <w:tc>
          <w:tcPr>
            <w:tcW w:w="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做实检查指导</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提出建议，推动解决问题</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组建10个组对14个市州巡察工作开展现场指导督导，提出书面建议49条，口头建议284条，推动解决一批制约巡察工作高质量发展的突出问题。</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246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全面推进试点工作</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推动构建“1+13，全省一盘棋”工作格局</w:t>
            </w:r>
          </w:p>
        </w:tc>
        <w:tc>
          <w:tcPr>
            <w:tcW w:w="18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组织试点工作推进会，分片开展调研、编发试点简报等方式，传达中央巡视办部署要求，总结推广经验做法，推动互促共学，以点带面，推进全省巡察工作水平整体提升。</w:t>
            </w:r>
          </w:p>
        </w:tc>
        <w:tc>
          <w:tcPr>
            <w:tcW w:w="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5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问题线索移交</w:t>
            </w: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及时移交</w:t>
            </w:r>
          </w:p>
        </w:tc>
        <w:tc>
          <w:tcPr>
            <w:tcW w:w="184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及时移交</w:t>
            </w:r>
          </w:p>
        </w:tc>
        <w:tc>
          <w:tcPr>
            <w:tcW w:w="69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5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督促整改落实</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及时落实</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及时落实</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“三公”经费</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同比下降</w:t>
            </w:r>
          </w:p>
        </w:tc>
        <w:tc>
          <w:tcPr>
            <w:tcW w:w="18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同比下降</w:t>
            </w:r>
          </w:p>
        </w:tc>
        <w:tc>
          <w:tcPr>
            <w:tcW w:w="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5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一般性支出</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同比下降</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同比下降</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spacing w:line="240" w:lineRule="exact"/>
              <w:jc w:val="left"/>
              <w:rPr>
                <w:rFonts w:ascii="Times New Roman" w:hAnsi="Times New Roman" w:eastAsia="仿宋_GB2312" w:cs="Times New Roman"/>
                <w:color w:val="000000"/>
                <w:kern w:val="0"/>
                <w:szCs w:val="21"/>
              </w:rPr>
            </w:pPr>
          </w:p>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95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清退违规资金</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清退违规资金</w:t>
            </w:r>
          </w:p>
        </w:tc>
        <w:tc>
          <w:tcPr>
            <w:tcW w:w="18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巡视期间，交办立行立改问题1429个，办结1151个，督促清退违纪违规资金2亿多元。</w:t>
            </w:r>
          </w:p>
        </w:tc>
        <w:tc>
          <w:tcPr>
            <w:tcW w:w="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19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突出关键少数</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紧盯重点领域、领导班子</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坚持重点人重点事在哪里，巡视就聚焦到哪里。紧盯政治生态和工程建设、财务融资等重点领域，紧盯领导班子特别是“一把手”。</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19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粮食购销领域腐败问题专项整治</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开展专项巡视巡察</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统筹全省巡视巡察机构，省市县三级组建129个组对1119家涉粮单位开展专项巡视巡察。我省在中央纪委国家监委粮食购销领域腐败问题专项整治工作推进会上作了典型发言。</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紧盯民生领域</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制定措施，解决问题</w:t>
            </w:r>
          </w:p>
        </w:tc>
        <w:tc>
          <w:tcPr>
            <w:tcW w:w="18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在巡视组督促下，省委办公厅改进食堂伙食和优化机关大院门禁管理；省地质院改造职工宿舍，解决长年漏雨、如厕难的问题；省医保局制定措施，化解异地就医、购买“特药”难题；湘煤集团加快解决棚户区改造、伤病职工待遇低问题等。</w:t>
            </w:r>
          </w:p>
        </w:tc>
        <w:tc>
          <w:tcPr>
            <w:tcW w:w="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4</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4</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131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信访举报受理</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及时受理</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坚持群众反对什么、痛恨什么，就重点巡视什么、纠正什么。受理来信来访2603件。</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4</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4</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73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51" w:type="dxa"/>
            <w:gridSpan w:val="2"/>
            <w:tcBorders>
              <w:top w:val="single" w:color="auto" w:sz="4" w:space="0"/>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污染防治</w:t>
            </w:r>
          </w:p>
        </w:tc>
        <w:tc>
          <w:tcPr>
            <w:tcW w:w="1152"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有所改观</w:t>
            </w:r>
          </w:p>
        </w:tc>
        <w:tc>
          <w:tcPr>
            <w:tcW w:w="1845" w:type="dxa"/>
            <w:gridSpan w:val="2"/>
            <w:tcBorders>
              <w:top w:val="single" w:color="auto" w:sz="4" w:space="0"/>
              <w:left w:val="nil"/>
              <w:right w:val="single" w:color="auto" w:sz="4" w:space="0"/>
            </w:tcBorders>
            <w:shd w:val="clear" w:color="auto" w:fill="auto"/>
            <w:vAlign w:val="center"/>
          </w:tcPr>
          <w:p>
            <w:pPr>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巡视所到地区生态环境有所改观</w:t>
            </w:r>
          </w:p>
        </w:tc>
        <w:tc>
          <w:tcPr>
            <w:tcW w:w="690" w:type="dxa"/>
            <w:gridSpan w:val="2"/>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675" w:type="dxa"/>
            <w:gridSpan w:val="2"/>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p>
            <w:pPr>
              <w:widowControl/>
              <w:spacing w:line="240" w:lineRule="exact"/>
              <w:jc w:val="center"/>
              <w:rPr>
                <w:rFonts w:ascii="Times New Roman" w:hAnsi="Times New Roman" w:eastAsia="仿宋_GB2312" w:cs="Times New Roman"/>
                <w:color w:val="000000"/>
                <w:kern w:val="0"/>
                <w:szCs w:val="21"/>
              </w:rPr>
            </w:pP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p>
            <w:pPr>
              <w:widowControl/>
              <w:spacing w:line="240" w:lineRule="exact"/>
              <w:jc w:val="center"/>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优化方式方法</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推广运用“两个清单、两轮谈话、两次梳理”做法</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认真落实指导督导反馈意见，总结提炼“两个清单、两轮谈话、两次梳理”做法，在全省推广运用。坚持“人员统一管理、工作统筹开展”原则，统筹选人用人（含机构编制）、意识形态等专项检查工作，防止多头调阅资料、重复谈话，减轻被巡视单位负担等。</w:t>
            </w:r>
          </w:p>
        </w:tc>
        <w:tc>
          <w:tcPr>
            <w:tcW w:w="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加强信息化建设</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推广应用信息系统，提升信息化水平</w:t>
            </w:r>
          </w:p>
        </w:tc>
        <w:tc>
          <w:tcPr>
            <w:tcW w:w="18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以推广应用金纪三期巡视巡察信息系统为抓手，提升全省信息化建设水平。制定方案，配齐硬件，建设视频会商系统，实现巡视巡察干部信息系统培训、巡视巡察组单机系统应用、网络平台数据录入全覆盖。</w:t>
            </w:r>
          </w:p>
        </w:tc>
        <w:tc>
          <w:tcPr>
            <w:tcW w:w="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4</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4</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着力建章立制</w:t>
            </w: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制定制度、办法，出台机制、规定</w:t>
            </w:r>
          </w:p>
        </w:tc>
        <w:tc>
          <w:tcPr>
            <w:tcW w:w="184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探索制定党委和政府分管领导推进巡视巡察监督制度，出台与省纪委监委有关内设机构和省委组织部、省委宣传部、省直政法机关、省委保密办、省统计局的6项协作机制，研究制定省市县三级联动开展专项巡视巡察、对被巡视巡察对象开展约谈问责的办法。出台规范巡视干部授课培训、外出报备等制度规定，加强内部管理。</w:t>
            </w:r>
          </w:p>
        </w:tc>
        <w:tc>
          <w:tcPr>
            <w:tcW w:w="69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6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w:t>
            </w:r>
          </w:p>
        </w:tc>
        <w:tc>
          <w:tcPr>
            <w:tcW w:w="11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351" w:type="dxa"/>
            <w:gridSpan w:val="2"/>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推动成果运用</w:t>
            </w: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发现问题，移交线索</w:t>
            </w:r>
          </w:p>
        </w:tc>
        <w:tc>
          <w:tcPr>
            <w:tcW w:w="184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梳理汇总122个县市区党政“一把手”情况、429件省管干部问题线索办理情况，呈报省委相关领导同志。协调省纪委监委有关室，对前八轮巡视移交的1729件问题线索办理情况进行大起底。对第十二轮巡视发现的上轮巡视整改不到位情况，以领导小组名义进行点名通报。</w:t>
            </w:r>
          </w:p>
        </w:tc>
        <w:tc>
          <w:tcPr>
            <w:tcW w:w="69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6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11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仿宋_GB2312" w:hAnsi="宋体" w:eastAsia="仿宋_GB2312" w:cs="宋体"/>
                <w:color w:val="000000"/>
                <w:kern w:val="0"/>
                <w:szCs w:val="21"/>
              </w:rPr>
              <w:t>无偏差</w:t>
            </w:r>
          </w:p>
        </w:tc>
      </w:tr>
      <w:tr>
        <w:tblPrEx>
          <w:tblCellMar>
            <w:top w:w="0" w:type="dxa"/>
            <w:left w:w="108" w:type="dxa"/>
            <w:bottom w:w="0" w:type="dxa"/>
            <w:right w:w="108" w:type="dxa"/>
          </w:tblCellMar>
        </w:tblPrEx>
        <w:trPr>
          <w:trHeight w:val="270" w:hRule="atLeast"/>
          <w:jc w:val="center"/>
        </w:trPr>
        <w:tc>
          <w:tcPr>
            <w:tcW w:w="7461"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69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6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6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widowControl/>
        <w:spacing w:line="240" w:lineRule="exact"/>
        <w:jc w:val="left"/>
        <w:rPr>
          <w:rFonts w:ascii="Times New Roman" w:hAnsi="Times New Roman" w:eastAsia="仿宋_GB2312" w:cs="Times New Roman"/>
          <w:kern w:val="0"/>
          <w:szCs w:val="21"/>
        </w:rPr>
      </w:pPr>
    </w:p>
    <w:p>
      <w:pPr>
        <w:spacing w:line="600" w:lineRule="exact"/>
        <w:rPr>
          <w:rFonts w:ascii="Times New Roman" w:hAnsi="Times New Roman" w:eastAsia="黑体" w:cs="Times New Roman"/>
          <w:kern w:val="0"/>
          <w:sz w:val="32"/>
          <w:szCs w:val="32"/>
        </w:rPr>
      </w:pPr>
      <w:r>
        <w:rPr>
          <w:rFonts w:ascii="Times New Roman" w:hAnsi="Times New Roman" w:eastAsia="仿宋_GB2312" w:cs="Times New Roman"/>
          <w:kern w:val="0"/>
          <w:szCs w:val="21"/>
        </w:rPr>
        <w:t>填表人：</w:t>
      </w:r>
      <w:r>
        <w:rPr>
          <w:rFonts w:hint="eastAsia" w:ascii="Times New Roman" w:hAnsi="Times New Roman" w:eastAsia="仿宋_GB2312" w:cs="Times New Roman"/>
          <w:kern w:val="0"/>
          <w:szCs w:val="21"/>
        </w:rPr>
        <w:t>狄维</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填报日期：</w:t>
      </w:r>
      <w:r>
        <w:rPr>
          <w:rFonts w:hint="eastAsia" w:ascii="Times New Roman" w:hAnsi="Times New Roman" w:eastAsia="仿宋_GB2312" w:cs="Times New Roman"/>
          <w:kern w:val="0"/>
          <w:szCs w:val="21"/>
        </w:rPr>
        <w:t>2022.5.17</w:t>
      </w:r>
      <w:r>
        <w:rPr>
          <w:rFonts w:ascii="Times New Roman" w:hAnsi="Times New Roman" w:eastAsia="仿宋_GB2312" w:cs="Times New Roman"/>
          <w:kern w:val="0"/>
          <w:szCs w:val="21"/>
        </w:rPr>
        <w:t xml:space="preserve">     联系电话：</w:t>
      </w:r>
      <w:r>
        <w:rPr>
          <w:rFonts w:hint="eastAsia" w:ascii="Times New Roman" w:hAnsi="Times New Roman" w:eastAsia="仿宋_GB2312" w:cs="Times New Roman"/>
          <w:kern w:val="0"/>
          <w:szCs w:val="21"/>
        </w:rPr>
        <w:t>82219181</w:t>
      </w:r>
      <w:r>
        <w:rPr>
          <w:rFonts w:ascii="Times New Roman" w:hAnsi="Times New Roman" w:eastAsia="仿宋_GB2312" w:cs="Times New Roman"/>
          <w:kern w:val="0"/>
          <w:szCs w:val="21"/>
        </w:rPr>
        <w:t xml:space="preserve">      单位负责人签字：</w:t>
      </w: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jc w:val="center"/>
        <w:rPr>
          <w:rFonts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rPr>
        <w:t>2021年度中共湖南省委巡视工作领导小组办公室部门整体支出</w:t>
      </w:r>
    </w:p>
    <w:p>
      <w:pPr>
        <w:jc w:val="center"/>
        <w:rPr>
          <w:rFonts w:ascii="Times New Roman" w:hAnsi="Times New Roman" w:eastAsia="楷体_GB2312" w:cs="Times New Roman"/>
          <w:b/>
          <w:sz w:val="32"/>
          <w:szCs w:val="32"/>
        </w:rPr>
      </w:pPr>
      <w:r>
        <w:rPr>
          <w:rFonts w:hint="eastAsia" w:ascii="方正小标宋_GBK" w:hAnsi="Times New Roman" w:eastAsia="方正小标宋_GBK" w:cs="Times New Roman"/>
          <w:sz w:val="52"/>
          <w:szCs w:val="52"/>
        </w:rPr>
        <w:t>绩效自评报告</w:t>
      </w: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jc w:val="center"/>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ascii="Times New Roman" w:hAnsi="Times New Roman" w:eastAsia="仿宋_GB2312" w:cs="Times New Roman"/>
          <w:sz w:val="32"/>
          <w:szCs w:val="32"/>
          <w:u w:val="single"/>
        </w:rPr>
        <w:t>（盖章）</w:t>
      </w:r>
    </w:p>
    <w:p>
      <w:pPr>
        <w:spacing w:line="600" w:lineRule="exact"/>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2022</w:t>
      </w:r>
      <w:r>
        <w:rPr>
          <w:rFonts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 xml:space="preserve"> 月 </w:t>
      </w:r>
      <w:r>
        <w:rPr>
          <w:rFonts w:hint="eastAsia" w:ascii="Times New Roman" w:hAnsi="Times New Roman" w:eastAsia="楷体_GB2312" w:cs="Times New Roman"/>
          <w:sz w:val="32"/>
          <w:szCs w:val="32"/>
        </w:rPr>
        <w:t>19</w:t>
      </w:r>
      <w:r>
        <w:rPr>
          <w:rFonts w:ascii="Times New Roman" w:hAnsi="Times New Roman" w:eastAsia="楷体_GB2312" w:cs="Times New Roman"/>
          <w:sz w:val="32"/>
          <w:szCs w:val="32"/>
        </w:rPr>
        <w:t xml:space="preserve"> 日</w:t>
      </w:r>
    </w:p>
    <w:p>
      <w:pPr>
        <w:jc w:val="center"/>
        <w:rPr>
          <w:rFonts w:ascii="Times New Roman" w:hAnsi="Times New Roman" w:eastAsia="黑体" w:cs="Times New Roman"/>
          <w:sz w:val="32"/>
          <w:szCs w:val="32"/>
        </w:rPr>
      </w:pPr>
    </w:p>
    <w:p>
      <w:pPr>
        <w:rPr>
          <w:rFonts w:ascii="黑体" w:hAnsi="Times New Roman" w:eastAsia="黑体" w:cs="Times New Roman"/>
          <w:sz w:val="32"/>
          <w:szCs w:val="32"/>
        </w:rPr>
      </w:pPr>
    </w:p>
    <w:p>
      <w:pPr>
        <w:numPr>
          <w:ilvl w:val="0"/>
          <w:numId w:val="2"/>
        </w:numPr>
        <w:rPr>
          <w:rFonts w:ascii="黑体" w:hAnsi="Times New Roman" w:eastAsia="黑体" w:cs="Times New Roman"/>
          <w:sz w:val="32"/>
          <w:szCs w:val="32"/>
        </w:rPr>
      </w:pPr>
      <w:r>
        <w:rPr>
          <w:rFonts w:hint="eastAsia" w:ascii="黑体" w:hAnsi="Times New Roman" w:eastAsia="黑体" w:cs="Times New Roman"/>
          <w:sz w:val="32"/>
          <w:szCs w:val="32"/>
        </w:rPr>
        <w:t>部门（单位）基本情况</w:t>
      </w:r>
    </w:p>
    <w:p>
      <w:pPr>
        <w:overflowPunct w:val="0"/>
        <w:spacing w:line="58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中共湖南省委巡视工作领导小组办公室（以下简称省委巡视办）是中共湖南省委巡视工作领导小组（以下简称省委巡视工作领导小组）的日常办事机构，作为省直工作机关，为正厅级，设在中共湖南省纪律检查委员会。</w:t>
      </w:r>
    </w:p>
    <w:p>
      <w:pPr>
        <w:overflowPunct w:val="0"/>
        <w:spacing w:line="58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省委巡视办的主要职责是：</w:t>
      </w:r>
    </w:p>
    <w:p>
      <w:pPr>
        <w:overflowPunct w:val="0"/>
        <w:spacing w:line="58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（１）向省委巡视工作领导小组、中央巡视工作领导小组办公室报告巡视工作情况，传达贯彻中央和省委、省委巡视工作领导小组的决策和部署；</w:t>
      </w:r>
    </w:p>
    <w:p>
      <w:pPr>
        <w:overflowPunct w:val="0"/>
        <w:spacing w:line="58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（２）承担巡视工作有关政策研究、制度建设等工作；</w:t>
      </w:r>
    </w:p>
    <w:p>
      <w:pPr>
        <w:overflowPunct w:val="0"/>
        <w:spacing w:line="58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（３）统筹、协调、指导省委巡视组开展工作；</w:t>
      </w:r>
    </w:p>
    <w:p>
      <w:pPr>
        <w:overflowPunct w:val="0"/>
        <w:spacing w:line="58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（４）协调指导市州、县市区党委和省委教育工委、省国资委党委等开展巡察工作；</w:t>
      </w:r>
    </w:p>
    <w:p>
      <w:pPr>
        <w:overflowPunct w:val="0"/>
        <w:spacing w:line="58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（５）对省委、省委巡视工作领导小组决定的事项及巡视移交事项进行督办；</w:t>
      </w:r>
    </w:p>
    <w:p>
      <w:pPr>
        <w:overflowPunct w:val="0"/>
        <w:spacing w:line="58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（６）配合有关部门对巡视工作人员进行培训、考核、监督和管理；</w:t>
      </w:r>
    </w:p>
    <w:p>
      <w:pPr>
        <w:overflowPunct w:val="0"/>
        <w:spacing w:line="580" w:lineRule="exact"/>
        <w:ind w:firstLine="640" w:firstLineChars="200"/>
        <w:rPr>
          <w:rFonts w:ascii="黑体" w:hAnsi="Times New Roman" w:eastAsia="黑体" w:cs="Times New Roman"/>
          <w:sz w:val="32"/>
          <w:szCs w:val="32"/>
        </w:rPr>
      </w:pPr>
      <w:r>
        <w:rPr>
          <w:rFonts w:hint="eastAsia" w:ascii="方正仿宋_GBK" w:hAnsi="仿宋" w:eastAsia="方正仿宋_GBK"/>
          <w:b/>
          <w:sz w:val="32"/>
          <w:szCs w:val="32"/>
        </w:rPr>
        <w:t>（７）完成省委和省委巡视工作领导小组交办的其他任务。</w:t>
      </w:r>
    </w:p>
    <w:p>
      <w:pPr>
        <w:widowControl/>
        <w:spacing w:line="60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pPr>
        <w:widowControl/>
        <w:spacing w:line="600" w:lineRule="exac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widowControl/>
        <w:spacing w:line="600" w:lineRule="exact"/>
        <w:ind w:firstLine="640" w:firstLineChars="200"/>
        <w:rPr>
          <w:rFonts w:ascii="楷体_GB2312" w:hAnsi="Times New Roman" w:eastAsia="楷体_GB2312" w:cs="Times New Roman"/>
          <w:b/>
          <w:sz w:val="32"/>
          <w:szCs w:val="32"/>
        </w:rPr>
      </w:pPr>
      <w:r>
        <w:rPr>
          <w:rFonts w:hint="eastAsia" w:ascii="方正仿宋_GBK" w:hAnsi="仿宋" w:eastAsia="方正仿宋_GBK"/>
          <w:b/>
          <w:sz w:val="32"/>
          <w:szCs w:val="32"/>
        </w:rPr>
        <w:t>省委巡视办</w:t>
      </w:r>
      <w:r>
        <w:rPr>
          <w:rFonts w:hint="eastAsia" w:ascii="方正仿宋_GBK" w:eastAsia="方正仿宋_GBK"/>
          <w:b/>
          <w:snapToGrid w:val="0"/>
          <w:spacing w:val="8"/>
          <w:kern w:val="0"/>
          <w:sz w:val="32"/>
          <w:szCs w:val="32"/>
        </w:rPr>
        <w:t>2021年度一般公共预算基本支出1,697.70万元，其中人员经费990.63万元，包括工资福利支出982.76万元，对个人和家庭的补助支出7.87万元；日常公用经费707.07万元，全部为商品和服务支出。基本支出比上年增加372.83万元。</w:t>
      </w:r>
    </w:p>
    <w:p>
      <w:pPr>
        <w:widowControl/>
        <w:spacing w:line="600" w:lineRule="exac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pPr>
        <w:widowControl/>
        <w:spacing w:line="600" w:lineRule="exact"/>
        <w:ind w:firstLine="640" w:firstLineChars="200"/>
        <w:rPr>
          <w:rFonts w:ascii="方正仿宋_GBK" w:hAnsi="仿宋" w:eastAsia="方正仿宋_GBK"/>
          <w:b/>
          <w:sz w:val="32"/>
          <w:szCs w:val="32"/>
        </w:rPr>
      </w:pPr>
      <w:r>
        <w:rPr>
          <w:rFonts w:hint="eastAsia" w:ascii="方正仿宋_GBK" w:hAnsi="仿宋" w:eastAsia="方正仿宋_GBK"/>
          <w:b/>
          <w:sz w:val="32"/>
          <w:szCs w:val="32"/>
        </w:rPr>
        <w:t>省委巡视办2021</w:t>
      </w:r>
      <w:r>
        <w:rPr>
          <w:rFonts w:ascii="方正仿宋_GBK" w:hAnsi="仿宋" w:eastAsia="方正仿宋_GBK"/>
          <w:b/>
          <w:sz w:val="32"/>
          <w:szCs w:val="32"/>
        </w:rPr>
        <w:t>年度</w:t>
      </w:r>
      <w:r>
        <w:rPr>
          <w:rFonts w:hint="eastAsia" w:ascii="方正仿宋_GBK" w:hAnsi="仿宋" w:eastAsia="方正仿宋_GBK"/>
          <w:b/>
          <w:sz w:val="32"/>
          <w:szCs w:val="32"/>
        </w:rPr>
        <w:t>一般公共预算项目支出2,071.48万元，其中商品和服务支出1,940.34万元，资本性支出131.14万元。项目支出比上年减少88.5万元。</w:t>
      </w:r>
    </w:p>
    <w:p>
      <w:pPr>
        <w:widowControl/>
        <w:numPr>
          <w:ilvl w:val="0"/>
          <w:numId w:val="2"/>
        </w:num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政府性基金预算支出情况</w:t>
      </w:r>
    </w:p>
    <w:p>
      <w:pPr>
        <w:widowControl/>
        <w:spacing w:line="580" w:lineRule="exact"/>
        <w:ind w:firstLine="640" w:firstLineChars="200"/>
        <w:rPr>
          <w:rFonts w:ascii="仿宋_GB2312" w:eastAsia="仿宋_GB2312"/>
          <w:b/>
          <w:sz w:val="32"/>
          <w:szCs w:val="32"/>
        </w:rPr>
      </w:pPr>
      <w:r>
        <w:rPr>
          <w:rFonts w:hint="eastAsia" w:ascii="方正仿宋_GBK" w:hAnsi="仿宋" w:eastAsia="方正仿宋_GBK"/>
          <w:b/>
          <w:sz w:val="32"/>
          <w:szCs w:val="32"/>
        </w:rPr>
        <w:t>省委巡视办无政府性基金预算安排的支出</w:t>
      </w:r>
      <w:r>
        <w:rPr>
          <w:rFonts w:hint="eastAsia" w:ascii="仿宋_GB2312" w:eastAsia="仿宋_GB2312"/>
          <w:b/>
          <w:sz w:val="32"/>
          <w:szCs w:val="32"/>
        </w:rPr>
        <w:t>。</w:t>
      </w:r>
    </w:p>
    <w:p>
      <w:pPr>
        <w:widowControl/>
        <w:numPr>
          <w:ilvl w:val="0"/>
          <w:numId w:val="2"/>
        </w:num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pPr>
        <w:widowControl/>
        <w:spacing w:line="600" w:lineRule="exact"/>
        <w:ind w:firstLine="640" w:firstLineChars="200"/>
        <w:jc w:val="left"/>
        <w:rPr>
          <w:rFonts w:ascii="方正仿宋_GBK" w:hAnsi="仿宋" w:eastAsia="方正仿宋_GBK"/>
          <w:b/>
          <w:sz w:val="32"/>
          <w:szCs w:val="32"/>
        </w:rPr>
      </w:pPr>
      <w:r>
        <w:rPr>
          <w:rFonts w:hint="eastAsia" w:ascii="方正仿宋_GBK" w:hAnsi="仿宋" w:eastAsia="方正仿宋_GBK"/>
          <w:b/>
          <w:sz w:val="32"/>
          <w:szCs w:val="32"/>
        </w:rPr>
        <w:t>省委巡视办无国有资本经营预算安排的支出</w:t>
      </w:r>
      <w:r>
        <w:rPr>
          <w:rFonts w:hint="eastAsia" w:ascii="仿宋_GB2312" w:eastAsia="仿宋_GB2312"/>
          <w:b/>
          <w:sz w:val="32"/>
          <w:szCs w:val="32"/>
        </w:rPr>
        <w:t>。</w:t>
      </w:r>
    </w:p>
    <w:p>
      <w:pPr>
        <w:widowControl/>
        <w:numPr>
          <w:ilvl w:val="0"/>
          <w:numId w:val="2"/>
        </w:num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pPr>
        <w:widowControl/>
        <w:spacing w:line="580" w:lineRule="exact"/>
        <w:ind w:firstLine="640" w:firstLineChars="200"/>
        <w:jc w:val="left"/>
        <w:rPr>
          <w:rFonts w:ascii="Times New Roman" w:hAnsi="Times New Roman" w:eastAsia="黑体"/>
          <w:sz w:val="32"/>
          <w:szCs w:val="32"/>
        </w:rPr>
      </w:pPr>
      <w:r>
        <w:rPr>
          <w:rFonts w:hint="eastAsia" w:ascii="方正仿宋_GBK" w:hAnsi="仿宋" w:eastAsia="方正仿宋_GBK"/>
          <w:b/>
          <w:sz w:val="32"/>
          <w:szCs w:val="32"/>
        </w:rPr>
        <w:t>省委巡视办无社会保险基金预算安排的支出</w:t>
      </w:r>
      <w:r>
        <w:rPr>
          <w:rFonts w:hint="eastAsia" w:ascii="仿宋_GB2312" w:eastAsia="仿宋_GB2312"/>
          <w:b/>
          <w:sz w:val="32"/>
          <w:szCs w:val="32"/>
        </w:rPr>
        <w:t>。</w:t>
      </w:r>
    </w:p>
    <w:p>
      <w:pPr>
        <w:widowControl/>
        <w:numPr>
          <w:ilvl w:val="0"/>
          <w:numId w:val="2"/>
        </w:num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pPr>
        <w:widowControl/>
        <w:spacing w:line="580" w:lineRule="exact"/>
        <w:ind w:firstLine="640" w:firstLineChars="200"/>
        <w:jc w:val="left"/>
        <w:rPr>
          <w:rFonts w:ascii="方正仿宋_GBK" w:hAnsi="仿宋" w:eastAsia="方正仿宋_GBK"/>
          <w:b/>
          <w:sz w:val="32"/>
          <w:szCs w:val="32"/>
        </w:rPr>
      </w:pPr>
      <w:r>
        <w:rPr>
          <w:rFonts w:hint="eastAsia" w:ascii="方正仿宋_GBK" w:hAnsi="仿宋" w:eastAsia="方正仿宋_GBK"/>
          <w:b/>
          <w:sz w:val="32"/>
          <w:szCs w:val="32"/>
        </w:rPr>
        <w:t>2021年</w:t>
      </w:r>
      <w:r>
        <w:rPr>
          <w:rFonts w:hint="eastAsia" w:ascii="方正仿宋_GBK" w:hAnsi="仿宋" w:eastAsia="方正仿宋_GBK"/>
          <w:b/>
          <w:sz w:val="32"/>
          <w:szCs w:val="32"/>
          <w:lang w:val="zh-CN"/>
        </w:rPr>
        <w:t>以来，在中央巡视办和湖南省委、省委巡视工作领导小组的坚强领导下，我们坚持以习近平新时代中国特色社会主义思想为指导，以接受中央巡视指导督导为契机，坚持政治定位，坚持问题导向，坚持系统观念，坚持依规依纪依法，推动</w:t>
      </w:r>
      <w:r>
        <w:rPr>
          <w:rFonts w:hint="eastAsia" w:ascii="方正仿宋_GBK" w:hAnsi="仿宋" w:eastAsia="方正仿宋_GBK"/>
          <w:b/>
          <w:sz w:val="32"/>
          <w:szCs w:val="32"/>
        </w:rPr>
        <w:t>了</w:t>
      </w:r>
      <w:r>
        <w:rPr>
          <w:rFonts w:hint="eastAsia" w:ascii="方正仿宋_GBK" w:hAnsi="仿宋" w:eastAsia="方正仿宋_GBK"/>
          <w:b/>
          <w:sz w:val="32"/>
          <w:szCs w:val="32"/>
          <w:lang w:val="zh-CN"/>
        </w:rPr>
        <w:t>巡视</w:t>
      </w:r>
      <w:r>
        <w:rPr>
          <w:rFonts w:hint="eastAsia" w:ascii="方正仿宋_GBK" w:hAnsi="仿宋" w:eastAsia="方正仿宋_GBK"/>
          <w:b/>
          <w:sz w:val="32"/>
          <w:szCs w:val="32"/>
        </w:rPr>
        <w:t>巡察</w:t>
      </w:r>
      <w:r>
        <w:rPr>
          <w:rFonts w:hint="eastAsia" w:ascii="方正仿宋_GBK" w:hAnsi="仿宋" w:eastAsia="方正仿宋_GBK"/>
          <w:b/>
          <w:sz w:val="32"/>
          <w:szCs w:val="32"/>
          <w:lang w:val="zh-CN"/>
        </w:rPr>
        <w:t>工作高质量发展</w:t>
      </w:r>
      <w:r>
        <w:rPr>
          <w:rFonts w:hint="eastAsia" w:ascii="方正仿宋_GBK" w:hAnsi="仿宋" w:eastAsia="方正仿宋_GBK"/>
          <w:b/>
          <w:sz w:val="32"/>
          <w:szCs w:val="32"/>
        </w:rPr>
        <w:t>。</w:t>
      </w:r>
    </w:p>
    <w:p>
      <w:pPr>
        <w:widowControl/>
        <w:spacing w:line="580" w:lineRule="exact"/>
        <w:ind w:firstLine="640" w:firstLineChars="200"/>
        <w:jc w:val="left"/>
        <w:rPr>
          <w:rFonts w:ascii="方正仿宋_GBK" w:hAnsi="仿宋" w:eastAsia="方正仿宋_GBK"/>
          <w:b/>
          <w:sz w:val="32"/>
          <w:szCs w:val="32"/>
        </w:rPr>
      </w:pPr>
      <w:r>
        <w:rPr>
          <w:rFonts w:hint="eastAsia" w:ascii="方正仿宋_GBK" w:hAnsi="仿宋" w:eastAsia="方正仿宋_GBK"/>
          <w:b/>
          <w:sz w:val="32"/>
          <w:szCs w:val="32"/>
        </w:rPr>
        <w:t>省委分2轮对17个省直单位、10所省属高校、4家省管企业开展常规巡视，实现任期内巡视全覆盖。以巡视带巡察，市县两级巡察覆盖率100%;延伸巡察村居2.6万个，覆盖率90%以上。狠抓巡视整改，对45个县市区整改情况开展抽查，对前八轮巡视移交的1729件问题线索办理情况进行大起底，对第十二轮巡视发现的上轮巡视整改不到位问题点名通报。建立健全巡视机构与纪检监察、组织、宣传、政法、统计等部门协调协作机制。制定推动市县巡察工作高质量发展的指导意见，对82个县市区巡察工作开展专项检查。强化市级巡察机构在上下联动中的作用，指导湘潭市抓好试点工作，同步推进全省联动，形成“一盘棋”监督合力。</w:t>
      </w:r>
    </w:p>
    <w:p>
      <w:pPr>
        <w:widowControl/>
        <w:numPr>
          <w:ilvl w:val="0"/>
          <w:numId w:val="2"/>
        </w:num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存在的问题及原因分析</w:t>
      </w:r>
    </w:p>
    <w:p>
      <w:pPr>
        <w:widowControl/>
        <w:spacing w:line="580" w:lineRule="exact"/>
        <w:ind w:firstLine="640" w:firstLineChars="200"/>
        <w:jc w:val="left"/>
        <w:rPr>
          <w:rFonts w:ascii="Times New Roman" w:hAnsi="Times New Roman" w:eastAsia="仿宋_GB2312" w:cs="Times New Roman"/>
          <w:sz w:val="32"/>
          <w:szCs w:val="32"/>
        </w:rPr>
      </w:pPr>
      <w:r>
        <w:rPr>
          <w:rFonts w:hint="eastAsia" w:ascii="方正仿宋_GBK" w:hAnsi="仿宋" w:eastAsia="方正仿宋_GBK"/>
          <w:b/>
          <w:sz w:val="32"/>
          <w:szCs w:val="32"/>
        </w:rPr>
        <w:t>省委巡视办2021年度整体支出未偏离绩效目标。</w:t>
      </w:r>
    </w:p>
    <w:p>
      <w:pPr>
        <w:widowControl/>
        <w:numPr>
          <w:ilvl w:val="0"/>
          <w:numId w:val="2"/>
        </w:num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pPr>
        <w:widowControl/>
        <w:spacing w:line="600" w:lineRule="exact"/>
        <w:ind w:firstLine="640" w:firstLineChars="200"/>
        <w:jc w:val="left"/>
        <w:rPr>
          <w:rFonts w:ascii="Times New Roman" w:hAnsi="Times New Roman" w:eastAsia="黑体" w:cs="Times New Roman"/>
          <w:sz w:val="32"/>
          <w:szCs w:val="32"/>
        </w:rPr>
      </w:pPr>
      <w:r>
        <w:rPr>
          <w:rFonts w:hint="eastAsia" w:ascii="方正仿宋_GBK" w:hAnsi="仿宋" w:eastAsia="方正仿宋_GBK"/>
          <w:b/>
          <w:sz w:val="32"/>
          <w:szCs w:val="32"/>
        </w:rPr>
        <w:t>后阶段我们将根据工作情况严格按预算进一步提高公用经费控制率，继续建立和完善相关管理制度，确保财政资金投入的成效。</w:t>
      </w:r>
    </w:p>
    <w:p>
      <w:pPr>
        <w:widowControl/>
        <w:numPr>
          <w:ilvl w:val="0"/>
          <w:numId w:val="2"/>
        </w:num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部门整体支出绩效自评结果拟应用和公开情况</w:t>
      </w:r>
    </w:p>
    <w:p>
      <w:pPr>
        <w:widowControl/>
        <w:spacing w:line="600" w:lineRule="exact"/>
        <w:ind w:firstLine="640" w:firstLineChars="200"/>
        <w:jc w:val="left"/>
        <w:rPr>
          <w:rFonts w:ascii="Times New Roman" w:hAnsi="Times New Roman" w:eastAsia="黑体" w:cs="Times New Roman"/>
          <w:sz w:val="32"/>
          <w:szCs w:val="32"/>
        </w:rPr>
      </w:pPr>
      <w:r>
        <w:rPr>
          <w:rFonts w:hint="eastAsia" w:ascii="方正仿宋_GBK" w:hAnsi="仿宋" w:eastAsia="方正仿宋_GBK"/>
          <w:b/>
          <w:sz w:val="32"/>
          <w:szCs w:val="32"/>
        </w:rPr>
        <w:t>自评报告经财政厅审核后，将按要求由省财政厅绩效管理处代为公开，主动接受社会监督，并进一步建立、完善、运用好各项内控制度，管好用好财政资金。</w:t>
      </w:r>
    </w:p>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其他需要说明的情况</w:t>
      </w:r>
    </w:p>
    <w:p>
      <w:pPr>
        <w:widowControl/>
        <w:spacing w:line="600" w:lineRule="exact"/>
        <w:ind w:firstLine="640" w:firstLineChars="200"/>
        <w:jc w:val="left"/>
        <w:rPr>
          <w:rFonts w:ascii="Times New Roman" w:hAnsi="Times New Roman" w:eastAsia="黑体" w:cs="Times New Roman"/>
          <w:sz w:val="32"/>
          <w:szCs w:val="32"/>
        </w:rPr>
      </w:pPr>
      <w:r>
        <w:rPr>
          <w:rFonts w:hint="eastAsia" w:ascii="方正仿宋_GBK" w:hAnsi="仿宋" w:eastAsia="方正仿宋_GBK"/>
          <w:b/>
          <w:sz w:val="32"/>
          <w:szCs w:val="32"/>
        </w:rPr>
        <w:t>无</w:t>
      </w:r>
    </w:p>
    <w:p>
      <w:pPr>
        <w:widowControl/>
        <w:spacing w:before="156" w:beforeLines="50" w:after="156" w:afterLines="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22"/>
          <w:szCs w:val="24"/>
        </w:rPr>
        <w:br w:type="page"/>
      </w:r>
      <w:r>
        <w:rPr>
          <w:rFonts w:ascii="Times New Roman" w:hAnsi="Times New Roman" w:eastAsia="黑体" w:cs="Times New Roman"/>
          <w:kern w:val="0"/>
          <w:sz w:val="32"/>
          <w:szCs w:val="32"/>
        </w:rPr>
        <w:t>附件6-1</w:t>
      </w:r>
    </w:p>
    <w:p>
      <w:pPr>
        <w:spacing w:before="156" w:beforeLines="50" w:after="156" w:afterLines="50"/>
        <w:jc w:val="center"/>
        <w:rPr>
          <w:rFonts w:ascii="Times New Roman" w:hAnsi="Times New Roman" w:eastAsia="方正小标宋_GBK" w:cs="Times New Roman"/>
          <w:spacing w:val="-6"/>
          <w:sz w:val="36"/>
          <w:szCs w:val="36"/>
        </w:rPr>
      </w:pPr>
      <w:r>
        <w:rPr>
          <w:rFonts w:ascii="Times New Roman" w:hAnsi="Times New Roman" w:eastAsia="方正小标宋_GBK" w:cs="Times New Roman"/>
          <w:sz w:val="36"/>
          <w:szCs w:val="36"/>
        </w:rPr>
        <w:t>部门整体支出</w:t>
      </w:r>
      <w:r>
        <w:rPr>
          <w:rFonts w:ascii="Times New Roman" w:hAnsi="Times New Roman" w:eastAsia="方正小标宋_GBK" w:cs="Times New Roman"/>
          <w:spacing w:val="-6"/>
          <w:sz w:val="36"/>
          <w:szCs w:val="36"/>
        </w:rPr>
        <w:t>绩效自评工作考核评分表</w:t>
      </w:r>
    </w:p>
    <w:tbl>
      <w:tblPr>
        <w:tblStyle w:val="5"/>
        <w:tblW w:w="9503" w:type="dxa"/>
        <w:jc w:val="center"/>
        <w:tblLayout w:type="fixed"/>
        <w:tblCellMar>
          <w:top w:w="0" w:type="dxa"/>
          <w:left w:w="108" w:type="dxa"/>
          <w:bottom w:w="0" w:type="dxa"/>
          <w:right w:w="108" w:type="dxa"/>
        </w:tblCellMar>
      </w:tblPr>
      <w:tblGrid>
        <w:gridCol w:w="774"/>
        <w:gridCol w:w="1500"/>
        <w:gridCol w:w="6477"/>
        <w:gridCol w:w="752"/>
      </w:tblGrid>
      <w:tr>
        <w:tblPrEx>
          <w:tblCellMar>
            <w:top w:w="0" w:type="dxa"/>
            <w:left w:w="108" w:type="dxa"/>
            <w:bottom w:w="0" w:type="dxa"/>
            <w:right w:w="108" w:type="dxa"/>
          </w:tblCellMar>
        </w:tblPrEx>
        <w:trPr>
          <w:tblHeader/>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一级指标</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二级指标</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评分标准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评分</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布置工作</w:t>
            </w:r>
          </w:p>
          <w:p>
            <w:pPr>
              <w:spacing w:line="300" w:lineRule="exact"/>
              <w:jc w:val="center"/>
              <w:rPr>
                <w:rFonts w:ascii="Times New Roman" w:hAnsi="Times New Roman" w:eastAsia="仿宋_GB2312" w:cs="Times New Roman"/>
                <w:szCs w:val="21"/>
              </w:rPr>
            </w:pPr>
          </w:p>
          <w:p>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10分</w:t>
            </w:r>
          </w:p>
        </w:tc>
        <w:tc>
          <w:tcPr>
            <w:tcW w:w="1500" w:type="dxa"/>
            <w:tcBorders>
              <w:top w:val="single" w:color="auto" w:sz="4" w:space="0"/>
              <w:left w:val="nil"/>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自评通知</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（8分）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1、印发绩效自评通知的得2分，否则不得分。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2、按照本规程规定，绩效自评通知包括自评范围、自评主要依据、自评主要内容、自评程序和步骤、有关要求等内容，并附有本通知要求的附件的，得6分；否则缺1项扣1分，最多扣6分。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8</w:t>
            </w:r>
          </w:p>
        </w:tc>
      </w:tr>
      <w:tr>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工作小组</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成立绩效自评工作小组的得2分，否则不得分。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r>
      <w:tr>
        <w:trPr>
          <w:jc w:val="center"/>
        </w:trPr>
        <w:tc>
          <w:tcPr>
            <w:tcW w:w="774"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实施评价</w:t>
            </w:r>
          </w:p>
          <w:p>
            <w:pPr>
              <w:spacing w:line="300" w:lineRule="exact"/>
              <w:jc w:val="center"/>
              <w:rPr>
                <w:rFonts w:ascii="Times New Roman" w:hAnsi="Times New Roman" w:eastAsia="仿宋_GB2312" w:cs="Times New Roman"/>
                <w:szCs w:val="21"/>
              </w:rPr>
            </w:pP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30分</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单位自查</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20</w:t>
            </w:r>
          </w:p>
        </w:tc>
      </w:tr>
      <w:tr>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提交报告</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（10分）</w:t>
            </w:r>
          </w:p>
        </w:tc>
        <w:tc>
          <w:tcPr>
            <w:tcW w:w="6477" w:type="dxa"/>
            <w:tcBorders>
              <w:top w:val="nil"/>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按时向省财政厅报送报告的得10分；每推迟一个工作日报送报告的扣1分，最多扣10分。</w:t>
            </w:r>
          </w:p>
        </w:tc>
        <w:tc>
          <w:tcPr>
            <w:tcW w:w="752"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10</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自评报告</w:t>
            </w:r>
          </w:p>
          <w:p>
            <w:pPr>
              <w:spacing w:line="300" w:lineRule="exact"/>
              <w:jc w:val="center"/>
              <w:rPr>
                <w:rFonts w:ascii="Times New Roman" w:hAnsi="Times New Roman" w:eastAsia="仿宋_GB2312" w:cs="Times New Roman"/>
                <w:szCs w:val="21"/>
              </w:rPr>
            </w:pP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60分</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自评报告</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的完整性</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1、绩效自评报告正文部分内容齐全的，得8分；否则每少一个部分扣2分，最多扣8分。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15</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绩效自评表</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1、部门整体支出和项目支出绩效指标反映产出、效益、服务对象满意度方面的指标和预算执行率的权重符合本规程的，得2分，否则按比例扣除相应的分数。</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2、部门整体支出和项目支出绩效指标全部细化到三级指标的，得3分；部分细化的，酌情扣分；没有细化的，不得分。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15</w:t>
            </w:r>
          </w:p>
        </w:tc>
      </w:tr>
      <w:tr>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绩效评价</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报告反映</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问题情况</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绩效评价发现问题详实全面的得15分，只提出资金不足问题的不得分；其他情况酌情扣分。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15</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针对问题</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提出可行性建议的情况</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针对评价发现问题提出包含有关政策在内的可行性建议的得15分，只提出加大资金投入建议的不得分；其他情况酌情扣分。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15</w:t>
            </w:r>
          </w:p>
        </w:tc>
      </w:tr>
      <w:tr>
        <w:tblPrEx>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100分</w:t>
            </w: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100</w:t>
            </w:r>
          </w:p>
        </w:tc>
      </w:tr>
    </w:tbl>
    <w:p>
      <w:pPr>
        <w:ind w:firstLine="640" w:firstLineChars="200"/>
        <w:jc w:val="left"/>
        <w:rPr>
          <w:rFonts w:cs="黑体" w:asciiTheme="minorEastAsia" w:hAnsiTheme="minorEastAsia"/>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2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14A25"/>
    <w:multiLevelType w:val="singleLevel"/>
    <w:tmpl w:val="11A14A25"/>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430D3"/>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35FC"/>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56267"/>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F4E15"/>
    <w:rsid w:val="0AA10CEC"/>
    <w:rsid w:val="126B3CAC"/>
    <w:rsid w:val="13713CFE"/>
    <w:rsid w:val="13FE3047"/>
    <w:rsid w:val="16BF2C46"/>
    <w:rsid w:val="17555E43"/>
    <w:rsid w:val="1B472E6C"/>
    <w:rsid w:val="1B4C35FB"/>
    <w:rsid w:val="2B3E6C5B"/>
    <w:rsid w:val="2BF34C1A"/>
    <w:rsid w:val="2CE01D03"/>
    <w:rsid w:val="2D967217"/>
    <w:rsid w:val="30943715"/>
    <w:rsid w:val="30FE313D"/>
    <w:rsid w:val="37F21821"/>
    <w:rsid w:val="39DA03F7"/>
    <w:rsid w:val="404A3FDC"/>
    <w:rsid w:val="411072A6"/>
    <w:rsid w:val="42D46DB7"/>
    <w:rsid w:val="43CA1161"/>
    <w:rsid w:val="4DBE0667"/>
    <w:rsid w:val="4DCC6FAB"/>
    <w:rsid w:val="4F4D48E5"/>
    <w:rsid w:val="513E57C7"/>
    <w:rsid w:val="52C15ADD"/>
    <w:rsid w:val="54524E10"/>
    <w:rsid w:val="5857095B"/>
    <w:rsid w:val="5D1E0098"/>
    <w:rsid w:val="5E5E3E4A"/>
    <w:rsid w:val="5F124277"/>
    <w:rsid w:val="646D3E4E"/>
    <w:rsid w:val="68FB3D8F"/>
    <w:rsid w:val="691F6771"/>
    <w:rsid w:val="709600A3"/>
    <w:rsid w:val="75B02B4E"/>
    <w:rsid w:val="75F63F55"/>
    <w:rsid w:val="795407EB"/>
    <w:rsid w:val="7C0326E8"/>
    <w:rsid w:val="7CE3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13478-C512-4B62-A651-99E069DE03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12722</Words>
  <Characters>15060</Characters>
  <Lines>131</Lines>
  <Paragraphs>36</Paragraphs>
  <TotalTime>44</TotalTime>
  <ScaleCrop>false</ScaleCrop>
  <LinksUpToDate>false</LinksUpToDate>
  <CharactersWithSpaces>16391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2023-10-07T09:18:00Z</dcterms:created>
  <dc:creator>李航 null</dc:creator>
  <cp:lastModifiedBy>sjw</cp:lastModifiedBy>
  <cp:lastPrinted>2022-09-02T10:14:00Z</cp:lastPrinted>
  <dcterms:modified xsi:type="dcterms:W3CDTF">2023-10-10T02:50:08Z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2A43FA71D6514D41B1E436335637921C</vt:lpwstr>
  </property>
</Properties>
</file>