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民主党派湖南省委机关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预算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录</w:t>
      </w:r>
    </w:p>
    <w:p>
      <w:pPr>
        <w:spacing w:line="60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第一部分 2022年部门预算说明</w:t>
      </w:r>
    </w:p>
    <w:p>
      <w:pPr>
        <w:spacing w:line="60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第二部分 2022年部门预算表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1、收支总表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2、收入总表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3、支出总表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4、支出预算分类汇总表（按政府预算经济分类）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5、支出预算分类汇总表（按部门预算经济分类）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6、财政拨款收支总表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7、一般公共预算支出表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8、一般公共预算基本支出表-人员经费（工资福利支出）（按政府预算经济分类）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9、一般公共预算基本支出表-人员经费（工资福利支出）（按部门预算经济分类）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10、一般公共预算基本支出表-人员经费（对个人和家庭的补助）（按政府预算经济分类）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11、一般公共预算基本支出表-人员经费（对个人和家庭的补助）（按部门预算经济分类）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12、一般公共预算基本支出表-公用经费（商品和服务支出）（按政府预算经济分类）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13、一般公共预算基本支出表-公用经费（商品和服务支出）（按部门预算经济分类）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14、一般公共预算“三公”经费支出表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15、政府性基金预算支出表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16、政府性基金预算支出分类汇总表（按政府预算经济分类）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17、政府性基金预算支出分类汇总表（按部门预算经济分类）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18、国有资本经营预算支出表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19、财政专户管理资金预算支出表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20、省级专项资金预算汇总表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21、省级专项资金绩效目标表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22、其他项目支出绩效目标表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23、部门整体支出绩效目标表</w:t>
      </w:r>
    </w:p>
    <w:p>
      <w:p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注：以上部门预算报表中，空表表示本部门无相关收支情况。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第一部分 2022年部门预算说明</w:t>
      </w:r>
    </w:p>
    <w:p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一、部门基本概况</w:t>
      </w:r>
    </w:p>
    <w:p>
      <w:pPr>
        <w:spacing w:line="600" w:lineRule="exact"/>
        <w:ind w:firstLine="627" w:firstLineChars="196"/>
        <w:rPr>
          <w:rFonts w:hint="eastAsia" w:eastAsia="楷体_GB2312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（一）单位性质、机构设置及人员编制</w:t>
      </w:r>
    </w:p>
    <w:p>
      <w:pPr>
        <w:spacing w:line="640" w:lineRule="exact"/>
        <w:ind w:firstLine="640" w:firstLineChars="200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民主党派湖南省委机关是省直一级预算管理的行政单位，由中国国民党革命委员会湖南省委员会机关(以下简称民革省委机关)、中国民主同盟湖南省委员会机关(以下简称民盟省委机关)、中国民主促进会湖南省委员会机关(以下简称民进省委机关)、中国农工民主党湖南省委员会机关(以下简称农工党省委机关)、中国致公党湖南省委员会机关(以下简称致公党省委机关)、九三学社湖南省委员会机关(以下简称九三学社省委机关)和民主党派省委机关行政事务管理办公室(正处级，以下简称行管办)七个独立编制法人单位组成，并合署一院办公。各民主党派省委机关内设办公室(人事处)、组织处、参政议政处、宣传联络处、社会服务处5个职能处室；行管办内设秘书科、财务科、行保科、人事科4个职能科室。大院内的7个法人单位的法人代表组成“民主党派湖南省委机关管理委员会”(以下简称管委会)。各民主党派省委机关独立履行其工作职责，行政事务管理和后勤服务保障由行管办统一负责，涉及大院建设等公共事务由管委会协调解决</w:t>
      </w:r>
      <w:r>
        <w:rPr>
          <w:rFonts w:hint="eastAsia" w:ascii="方正仿宋简体" w:eastAsia="方正仿宋简体"/>
          <w:sz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各民主党派省委、中共机关党总支财务归口行管办财务科，工会财务工作按惯例受工会委托由行管办财务科完成，预算、经费开支审批和内控均相对独立。</w:t>
      </w:r>
      <w:r>
        <w:rPr>
          <w:rFonts w:hint="eastAsia" w:ascii="方正仿宋简体" w:eastAsia="方正仿宋简体"/>
          <w:sz w:val="32"/>
        </w:rPr>
        <w:t>行管办财务科负责预算汇总、财务核算等管理工作。</w:t>
      </w:r>
    </w:p>
    <w:p>
      <w:pPr>
        <w:spacing w:line="60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机关各单位编制合计16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人，其中行政编制为15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人，工勤编制1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人。截止20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年12月，机关各单位共计实有在职人员1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47</w:t>
      </w:r>
      <w:r>
        <w:rPr>
          <w:rFonts w:hint="eastAsia" w:ascii="方正仿宋简体" w:eastAsia="方正仿宋简体"/>
          <w:sz w:val="32"/>
          <w:szCs w:val="32"/>
        </w:rPr>
        <w:t>人，离休老干部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人，退休人员10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人，合计25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人。</w:t>
      </w:r>
    </w:p>
    <w:p>
      <w:pPr>
        <w:spacing w:line="600" w:lineRule="exact"/>
        <w:ind w:firstLine="630" w:firstLineChars="196"/>
        <w:rPr>
          <w:rFonts w:eastAsia="楷体_GB2312"/>
          <w:b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二、部门预算单位构成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民主党派湖南省委机关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三、部门收支总体情况</w:t>
      </w:r>
    </w:p>
    <w:p>
      <w:pPr>
        <w:spacing w:line="600" w:lineRule="exact"/>
        <w:ind w:firstLine="627" w:firstLineChars="196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（一）收入预算：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包括一般公共预算、政府性基金、国有资本经营预算等财政拨款收入，以及经营收入、事业收入等单位资金。2022年本部门收入预算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5780.14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万元，其中，一般公共预算拨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款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5258.75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万元，纳入专户管理的非税收入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35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上年结转结余486.39万元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</w:rPr>
        <w:t xml:space="preserve">收入较去年减少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none"/>
          <w:lang w:val="en-US" w:eastAsia="zh-CN"/>
        </w:rPr>
        <w:t>318.16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万元，主要是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上年结转结余减少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（二）支出预算：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5780.14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万元，其中，一般公共服务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4615.69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38.97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文化旅游体育与传媒22.2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社会保障和就业445.88万元，卫生健康341.26万元，节能环保30万元，住房保障286.14万元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。支出较去年减少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318.16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万元，主要是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一般公共服务支出、教育支出减少，无农林水项目支出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四、一般公共预算拨款支出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2022年本部门一般公共预算拨款支出预算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5780.14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万元，其中，一般公共服务支出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4615.69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79.85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%；教育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38.97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0.67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文化旅游体育与传媒22.2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社会保障和就业445.88万元，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7.71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卫生健康341.26万元，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节能环保30万元，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0.52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住房保障286.14万元，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4.95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%。具体安排情况如下：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（一）基本支出：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2022年本部门基本支出预算数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3791.02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（二）项目支出：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2022年本部门项目支出预算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1989.12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民主党派省委换届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经费支出360万元，主要用于各党派换届；民主党派业务工作专项支出709.36万元，主要用于基层组织、参政议政、社会服务等方面；运行维护经费支出 686.43万元，主要用于机关建设、组织发展运行等方面；民主监督工作经费76.13万元，主要用于开展长江（湖南段）、湘江（洞庭湖）生态环境保护；培训费38.97万元，主要用于党派成员培训，为党派成员提供交流学习的平台；海归论坛经费118.23万元，海归论坛经费主要用于聚焦湖南“开放崛起”战略建言献策，服务湖南对外招才引智，助力海归在湘创新创业，助力湖南“三高四新”战略实施。</w:t>
      </w: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五、政府性基金预算支出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本部门无政府性基金安排的支出</w:t>
      </w: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六、其他重要事项的情况说明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u w:val="none"/>
        </w:rPr>
        <w:t>（一）机关运行经费：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2022年本部门机关本级的机关运行经费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852.33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万元，比上年预算减少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50.13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万元，下降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5.55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%，主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电费、维修（护）费、其他商品和服务支出科目预算减少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（二）“三公”经费预算：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2022年本部门机关本级“三公”经费预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算数为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87.88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万元，其中，公务接待费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 xml:space="preserve"> 万元，公务用车购置及运行费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47.88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万元（其中，公务用车购置费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13.2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万元，公务用车运行费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34.68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 xml:space="preserve">万元），因公出国（境）费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万元。2022年“三公”经费预算较2021年增加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7.8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万元，主要是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新增公务用车购置费用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（三）一般性支出情况：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2022年本部门会议费预算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528.4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其中换届会议费360万元，用于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各党派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  <w:lang w:val="en-US" w:eastAsia="zh-CN"/>
        </w:rPr>
        <w:t>换届会，人数2300人次左右，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其他会议费168.4万元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  <w:lang w:val="en-US" w:eastAsia="zh-CN"/>
        </w:rPr>
        <w:t>，用于各党派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全会、常委会、参政议政工作会议等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，人数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3000人次左右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，内容为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加强民主党派自身建设，如何更好的履行参政议政职能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；培训费预算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177.13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万元，拟开展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各党派新党员、积极分子、骨干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培训，人数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1500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左右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，内容为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提高民主党派成员的政治理论水平和实际工作能力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致公党省委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举办海归论坛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经费预算112万元，海归人才洽谈、项目大赛前期筹备及活动费用30万元，创新创业成果展筹备及活动费用16万元，海归论坛公众号运营费10万元，海归论坛主体活动费用56万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元，</w:t>
      </w:r>
    </w:p>
    <w:p>
      <w:p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u w:val="none"/>
        </w:rPr>
        <w:t>（四）政府采购情况：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2022年本部门政府采购预算总额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604.09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万元，其中，货物类采购预算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52.1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 xml:space="preserve">万元；工程类采购预算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万元；服务类采购预算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551.99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（五）国有资产占用使用及新增资产配置情况：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截至2021年12月底，本部门共有公务用车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辆，其中，机要通信用车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辆，应急保障用车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辆，其他按照规定配备的公务用车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辆；单位价值50万元以上通用设备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台，单位价值100万元以上专用设备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台。2022年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新增公务用车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2台，为机要通信车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新增配备单位价值50万元以上通用设备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台，单位价值100万元以上专用设备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台。</w:t>
      </w:r>
    </w:p>
    <w:p>
      <w:pPr>
        <w:spacing w:line="600" w:lineRule="exact"/>
        <w:ind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（六）预算绩效目标说明：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本部门所有支出实行绩效目标管理。纳入2022年部门整体支出绩效目标的金额为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5780.14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万元，其中，基本支出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3791.02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万元，项目支出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1989.12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万元，具体绩效目标详见报表。</w:t>
      </w:r>
    </w:p>
    <w:p>
      <w:pPr>
        <w:spacing w:line="600" w:lineRule="exact"/>
        <w:ind w:firstLine="627" w:firstLineChars="196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七、名词解释</w:t>
      </w:r>
    </w:p>
    <w:p>
      <w:p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>
      <w:pPr>
        <w:spacing w:line="60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第二部分 202</w:t>
      </w:r>
      <w:r>
        <w:rPr>
          <w:rFonts w:hint="eastAsia" w:eastAsia="方正小标宋_GBK"/>
          <w:bCs/>
          <w:sz w:val="36"/>
          <w:szCs w:val="36"/>
        </w:rPr>
        <w:t>2</w:t>
      </w:r>
      <w:r>
        <w:rPr>
          <w:rFonts w:eastAsia="方正小标宋_GBK"/>
          <w:bCs/>
          <w:sz w:val="36"/>
          <w:szCs w:val="36"/>
        </w:rPr>
        <w:t>年部门预算表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3CDE"/>
    <w:rsid w:val="002E39A5"/>
    <w:rsid w:val="00323B43"/>
    <w:rsid w:val="003D37D8"/>
    <w:rsid w:val="00426133"/>
    <w:rsid w:val="004358AB"/>
    <w:rsid w:val="008A0F03"/>
    <w:rsid w:val="008B7726"/>
    <w:rsid w:val="00D31D50"/>
    <w:rsid w:val="00E601D5"/>
    <w:rsid w:val="01F1028F"/>
    <w:rsid w:val="033061D2"/>
    <w:rsid w:val="03C81815"/>
    <w:rsid w:val="04075482"/>
    <w:rsid w:val="049C1FB0"/>
    <w:rsid w:val="055755DB"/>
    <w:rsid w:val="059550C1"/>
    <w:rsid w:val="071B345A"/>
    <w:rsid w:val="08377420"/>
    <w:rsid w:val="09430112"/>
    <w:rsid w:val="0A1B4EFA"/>
    <w:rsid w:val="0AB177CA"/>
    <w:rsid w:val="0CEA1DD6"/>
    <w:rsid w:val="0DC8266F"/>
    <w:rsid w:val="0E3D0AF6"/>
    <w:rsid w:val="0F487F95"/>
    <w:rsid w:val="11D5419B"/>
    <w:rsid w:val="134F0B53"/>
    <w:rsid w:val="14A42E31"/>
    <w:rsid w:val="17AC103B"/>
    <w:rsid w:val="1AC24775"/>
    <w:rsid w:val="1AC62B2E"/>
    <w:rsid w:val="1B3943AD"/>
    <w:rsid w:val="1B877F77"/>
    <w:rsid w:val="1C033D83"/>
    <w:rsid w:val="1DBA0B8F"/>
    <w:rsid w:val="1DEE10F0"/>
    <w:rsid w:val="1E777923"/>
    <w:rsid w:val="20900CD6"/>
    <w:rsid w:val="20A66898"/>
    <w:rsid w:val="21A04B3D"/>
    <w:rsid w:val="233B0613"/>
    <w:rsid w:val="241F62CE"/>
    <w:rsid w:val="248B38D8"/>
    <w:rsid w:val="25504AD4"/>
    <w:rsid w:val="25F434B9"/>
    <w:rsid w:val="26127794"/>
    <w:rsid w:val="280A4AFD"/>
    <w:rsid w:val="28D61A1E"/>
    <w:rsid w:val="296D0831"/>
    <w:rsid w:val="2AD43923"/>
    <w:rsid w:val="30915AD1"/>
    <w:rsid w:val="314F2C4B"/>
    <w:rsid w:val="31BA2245"/>
    <w:rsid w:val="31C41128"/>
    <w:rsid w:val="330547BF"/>
    <w:rsid w:val="335E4D8B"/>
    <w:rsid w:val="34A15524"/>
    <w:rsid w:val="351F3A60"/>
    <w:rsid w:val="35A72C3E"/>
    <w:rsid w:val="36206716"/>
    <w:rsid w:val="36B90C7C"/>
    <w:rsid w:val="36D93C58"/>
    <w:rsid w:val="38E33336"/>
    <w:rsid w:val="39464F92"/>
    <w:rsid w:val="394B4900"/>
    <w:rsid w:val="3CCA0F2F"/>
    <w:rsid w:val="3F4A2A07"/>
    <w:rsid w:val="3F6F6F7A"/>
    <w:rsid w:val="3F8104A6"/>
    <w:rsid w:val="3FFA5EFA"/>
    <w:rsid w:val="401219E5"/>
    <w:rsid w:val="40D07763"/>
    <w:rsid w:val="42056ED9"/>
    <w:rsid w:val="441B6B52"/>
    <w:rsid w:val="45045D79"/>
    <w:rsid w:val="45A74E43"/>
    <w:rsid w:val="4693460A"/>
    <w:rsid w:val="47266451"/>
    <w:rsid w:val="47891DAB"/>
    <w:rsid w:val="47C635C2"/>
    <w:rsid w:val="48AE740F"/>
    <w:rsid w:val="49597263"/>
    <w:rsid w:val="4A5819C5"/>
    <w:rsid w:val="4E6A099B"/>
    <w:rsid w:val="50701CF2"/>
    <w:rsid w:val="532373C8"/>
    <w:rsid w:val="54144F08"/>
    <w:rsid w:val="553A653E"/>
    <w:rsid w:val="55443079"/>
    <w:rsid w:val="55B4156F"/>
    <w:rsid w:val="57AF5734"/>
    <w:rsid w:val="5885349C"/>
    <w:rsid w:val="58D06296"/>
    <w:rsid w:val="596E1FD1"/>
    <w:rsid w:val="59DB2D6B"/>
    <w:rsid w:val="59DC6598"/>
    <w:rsid w:val="5A7A4BF6"/>
    <w:rsid w:val="5B527370"/>
    <w:rsid w:val="5B7A109A"/>
    <w:rsid w:val="5BF7690A"/>
    <w:rsid w:val="5CBD6FE8"/>
    <w:rsid w:val="5DA92E22"/>
    <w:rsid w:val="5DDB0A66"/>
    <w:rsid w:val="61382CB6"/>
    <w:rsid w:val="628D51C9"/>
    <w:rsid w:val="63447704"/>
    <w:rsid w:val="639D022D"/>
    <w:rsid w:val="640B5F8E"/>
    <w:rsid w:val="64BB4955"/>
    <w:rsid w:val="67B00389"/>
    <w:rsid w:val="68C96DE0"/>
    <w:rsid w:val="695D0A90"/>
    <w:rsid w:val="6AC12036"/>
    <w:rsid w:val="6B072F95"/>
    <w:rsid w:val="6C2E0E9F"/>
    <w:rsid w:val="703F7825"/>
    <w:rsid w:val="70FD04C4"/>
    <w:rsid w:val="72696F77"/>
    <w:rsid w:val="74D15012"/>
    <w:rsid w:val="7580575F"/>
    <w:rsid w:val="75FE6F2F"/>
    <w:rsid w:val="76F76E78"/>
    <w:rsid w:val="784B7242"/>
    <w:rsid w:val="7885307F"/>
    <w:rsid w:val="792476D1"/>
    <w:rsid w:val="7B201CCE"/>
    <w:rsid w:val="7B6B5B93"/>
    <w:rsid w:val="7CB5094B"/>
    <w:rsid w:val="7D187BA4"/>
    <w:rsid w:val="7DBF7798"/>
    <w:rsid w:val="7EBE1A04"/>
    <w:rsid w:val="7F0E314D"/>
    <w:rsid w:val="7F9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493</Words>
  <Characters>2814</Characters>
  <Lines>23</Lines>
  <Paragraphs>6</Paragraphs>
  <TotalTime>3</TotalTime>
  <ScaleCrop>false</ScaleCrop>
  <LinksUpToDate>false</LinksUpToDate>
  <CharactersWithSpaces>3301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沈倩</cp:lastModifiedBy>
  <cp:lastPrinted>2022-02-14T09:12:00Z</cp:lastPrinted>
  <dcterms:modified xsi:type="dcterms:W3CDTF">2022-02-15T04:12:54Z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