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r>
        <w:rPr>
          <w:sz w:val="56"/>
        </w:rPr>
        <mc:AlternateContent>
          <mc:Choice Requires="wps">
            <w:drawing>
              <wp:anchor distT="0" distB="0" distL="114300" distR="114300" simplePos="0" relativeHeight="251658240"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1"/>
                <wp:cNvGraphicFramePr/>
                <a:graphic xmlns:a="http://schemas.openxmlformats.org/drawingml/2006/main">
                  <a:graphicData uri="http://schemas.microsoft.com/office/word/2010/wordprocessingShape">
                    <wps:wsp>
                      <wps:cNvSpPr txBox="true"/>
                      <wps:spPr>
                        <a:xfrm>
                          <a:off x="1799590" y="935990"/>
                          <a:ext cx="1523365" cy="5175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8.6pt;margin-top:-23.4pt;height:40.75pt;width:119.95pt;z-index:251658240;mso-width-relative:page;mso-height-relative:page;" fillcolor="#FFFFFF [3201]" filled="t" stroked="f" coordsize="21600,21600" o:gfxdata="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HLwJlDWAAAA&#10;CgEAAA8AAAAAAAAAAQAgAAAAOAAAAGRycy9kb3ducmV2LnhtbFBLAQIUABQAAAAIAIdO4kCq8Au8&#10;QgIAAF4EAAAOAAAAAAAAAAEAIAAAADsBAABkcnMvZTJvRG9jLnhtbFBLBQYAAAAABgAGAFkBAADv&#10;BQAAAAA=&#10;">
                <v:fill on="t" focussize="0,0"/>
                <v:stroke on="f" weight="0.5pt"/>
                <v:imagedata o:title=""/>
                <o:lock v:ext="edit" aspectratio="f"/>
                <v:textbox>
                  <w:txbxContent>
                    <w:p>
                      <w:pPr>
                        <w:rPr>
                          <w:rFonts w:hint="eastAsia" w:ascii="楷体" w:hAnsi="楷体" w:eastAsia="楷体" w:cs="楷体"/>
                          <w:sz w:val="30"/>
                          <w:szCs w:val="30"/>
                          <w:lang w:val="en-US" w:eastAsia="zh-CN"/>
                        </w:rPr>
                      </w:pPr>
                    </w:p>
                  </w:txbxContent>
                </v:textbox>
              </v:shape>
            </w:pict>
          </mc:Fallback>
        </mc:AlternateContent>
      </w:r>
    </w:p>
    <w:p>
      <w:pPr>
        <w:pStyle w:val="14"/>
        <w:jc w:val="both"/>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湖南省作家协会</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spacing w:line="540" w:lineRule="exact"/>
        <w:jc w:val="both"/>
        <w:rPr>
          <w:sz w:val="56"/>
          <w:szCs w:val="56"/>
        </w:rPr>
      </w:pPr>
    </w:p>
    <w:p>
      <w:pPr>
        <w:pStyle w:val="14"/>
        <w:spacing w:line="540" w:lineRule="exact"/>
        <w:jc w:val="both"/>
        <w:rPr>
          <w:sz w:val="56"/>
          <w:szCs w:val="56"/>
        </w:rPr>
      </w:pPr>
    </w:p>
    <w:p>
      <w:pPr>
        <w:pStyle w:val="14"/>
        <w:spacing w:line="540" w:lineRule="exact"/>
        <w:jc w:val="both"/>
        <w:rPr>
          <w:sz w:val="56"/>
          <w:szCs w:val="56"/>
        </w:rPr>
      </w:pPr>
    </w:p>
    <w:p>
      <w:pPr>
        <w:pStyle w:val="14"/>
        <w:spacing w:line="500" w:lineRule="exact"/>
        <w:jc w:val="both"/>
        <w:rPr>
          <w:b/>
          <w:sz w:val="36"/>
          <w:szCs w:val="28"/>
        </w:rPr>
      </w:pPr>
    </w:p>
    <w:p>
      <w:pPr>
        <w:pStyle w:val="14"/>
        <w:spacing w:line="500" w:lineRule="exact"/>
        <w:jc w:val="both"/>
        <w:rPr>
          <w:b/>
          <w:sz w:val="36"/>
          <w:szCs w:val="28"/>
        </w:rPr>
      </w:pPr>
    </w:p>
    <w:p>
      <w:pPr>
        <w:pStyle w:val="14"/>
        <w:spacing w:line="500" w:lineRule="exact"/>
        <w:jc w:val="both"/>
        <w:rPr>
          <w:b/>
          <w:sz w:val="36"/>
          <w:szCs w:val="28"/>
        </w:rPr>
      </w:pPr>
    </w:p>
    <w:p>
      <w:pPr>
        <w:pStyle w:val="14"/>
        <w:spacing w:line="500" w:lineRule="exact"/>
        <w:jc w:val="both"/>
        <w:rPr>
          <w:b/>
          <w:sz w:val="36"/>
          <w:szCs w:val="28"/>
        </w:rPr>
      </w:pPr>
      <w:bookmarkStart w:id="1" w:name="_GoBack"/>
      <w:bookmarkEnd w:id="1"/>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湖南省作家协会</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单位</w:t>
      </w:r>
      <w:r>
        <w:rPr>
          <w:rFonts w:hint="eastAsia" w:ascii="黑体" w:hAnsi="黑体" w:eastAsia="黑体" w:cs="黑体"/>
          <w:b w:val="0"/>
          <w:bCs/>
          <w:sz w:val="28"/>
          <w:szCs w:val="28"/>
          <w:lang w:eastAsia="zh-CN"/>
        </w:rPr>
        <w:t>）</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4"/>
        <w:spacing w:line="500" w:lineRule="exact"/>
        <w:rPr>
          <w:rFonts w:hint="eastAsia" w:ascii="黑体" w:hAnsi="黑体" w:eastAsia="黑体" w:cs="黑体"/>
          <w:b w:val="0"/>
          <w:bCs/>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
        <w:rPr>
          <w:sz w:val="72"/>
          <w:szCs w:val="72"/>
        </w:rPr>
      </w:pPr>
    </w:p>
    <w:p>
      <w:pPr>
        <w:pStyle w:val="3"/>
        <w:rPr>
          <w:sz w:val="72"/>
          <w:szCs w:val="72"/>
        </w:rPr>
      </w:pPr>
    </w:p>
    <w:p>
      <w:pPr>
        <w:rPr>
          <w:sz w:val="72"/>
          <w:szCs w:val="72"/>
        </w:rPr>
      </w:pPr>
    </w:p>
    <w:p>
      <w:pPr>
        <w:rPr>
          <w:rFonts w:hint="eastAsia" w:ascii="方正小标宋_GBK" w:hAnsi="方正小标宋_GBK" w:eastAsia="方正小标宋_GBK" w:cs="方正小标宋_GBK"/>
          <w:sz w:val="72"/>
          <w:szCs w:val="72"/>
        </w:rPr>
      </w:pPr>
    </w:p>
    <w:p>
      <w:pPr>
        <w:pStyle w:val="2"/>
        <w:rPr>
          <w:rFonts w:hint="eastAsia"/>
        </w:rPr>
      </w:pPr>
    </w:p>
    <w:p>
      <w:pPr>
        <w:pStyle w:val="14"/>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 xml:space="preserve">第一部分 </w:t>
      </w:r>
    </w:p>
    <w:p>
      <w:pPr>
        <w:pStyle w:val="14"/>
        <w:jc w:val="center"/>
      </w:pPr>
      <w:r>
        <w:rPr>
          <w:rFonts w:hint="eastAsia" w:ascii="方正小标宋_GBK" w:hAnsi="方正小标宋_GBK" w:eastAsia="方正小标宋_GBK" w:cs="方正小标宋_GBK"/>
          <w:sz w:val="32"/>
          <w:szCs w:val="32"/>
          <w:lang w:eastAsia="zh-CN"/>
        </w:rPr>
        <w:t>湖南省作家协会</w:t>
      </w:r>
      <w:r>
        <w:rPr>
          <w:rFonts w:hint="eastAsia" w:ascii="方正小标宋_GBK" w:hAnsi="方正小标宋_GBK" w:eastAsia="方正小标宋_GBK" w:cs="方正小标宋_GBK"/>
          <w:sz w:val="32"/>
          <w:szCs w:val="32"/>
        </w:rPr>
        <w:t>概况</w:t>
      </w:r>
    </w:p>
    <w:p>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640" w:firstLineChars="200"/>
        <w:jc w:val="both"/>
        <w:rPr>
          <w:rFonts w:hint="eastAsia" w:ascii="仿宋_GB2312" w:hAnsi="Times New Roman" w:eastAsia="仿宋_GB2312" w:cs="Times New Roman"/>
          <w:color w:val="000000"/>
          <w:kern w:val="0"/>
          <w:sz w:val="32"/>
          <w:szCs w:val="32"/>
          <w:lang w:val="en-US" w:eastAsia="zh-CN" w:bidi="ar-SA"/>
        </w:rPr>
      </w:pPr>
      <w:r>
        <w:rPr>
          <w:rFonts w:hint="eastAsia" w:ascii="仿宋_GB2312" w:hAnsi="Times New Roman" w:eastAsia="仿宋_GB2312" w:cs="Times New Roman"/>
          <w:color w:val="000000"/>
          <w:kern w:val="0"/>
          <w:sz w:val="32"/>
          <w:szCs w:val="32"/>
          <w:lang w:val="en-US" w:eastAsia="zh-CN" w:bidi="ar-SA"/>
        </w:rPr>
        <w:t>湖南省作家协会是湖南省作家在中国共产党领导下自愿结合的专业性人民团体，是党和政府联系广大作家、文学工作者的桥梁和纽带，是繁荣文学事业、加强社会主义精神文明建设的重要社会力量。</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640" w:firstLineChars="200"/>
        <w:jc w:val="both"/>
        <w:rPr>
          <w:rFonts w:hint="eastAsia" w:ascii="仿宋_GB2312" w:hAnsi="Times New Roman" w:eastAsia="仿宋_GB2312" w:cs="Times New Roman"/>
          <w:color w:val="000000"/>
          <w:kern w:val="0"/>
          <w:sz w:val="32"/>
          <w:szCs w:val="32"/>
          <w:lang w:val="en-US" w:eastAsia="zh-CN" w:bidi="ar-SA"/>
        </w:rPr>
      </w:pPr>
      <w:r>
        <w:rPr>
          <w:rFonts w:hint="eastAsia" w:ascii="仿宋_GB2312" w:hAnsi="Times New Roman" w:eastAsia="仿宋_GB2312" w:cs="Times New Roman"/>
          <w:color w:val="000000"/>
          <w:kern w:val="0"/>
          <w:sz w:val="32"/>
          <w:szCs w:val="32"/>
          <w:lang w:val="en-US" w:eastAsia="zh-CN" w:bidi="ar-SA"/>
        </w:rPr>
        <w:t>湖南省作家协会的主要工作任务是：团结、服务作家，扶持培养文学新人，推出优秀作品，增进文学交流；加强对会员的服务联络工作，更好的组织作家深入生活，投身实践，开阔视野，积累素材；注重导向性、权威性，充分发挥优秀作品的示范作用，促进文学创作的进一步繁荣和发展。</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640" w:firstLineChars="200"/>
        <w:jc w:val="both"/>
        <w:rPr>
          <w:rFonts w:hint="eastAsia" w:ascii="仿宋_GB2312" w:hAnsi="Times New Roman" w:eastAsia="仿宋_GB2312" w:cs="Times New Roman"/>
          <w:color w:val="000000"/>
          <w:kern w:val="0"/>
          <w:sz w:val="32"/>
          <w:szCs w:val="32"/>
          <w:lang w:val="en-US" w:eastAsia="zh-CN" w:bidi="ar-SA"/>
        </w:rPr>
      </w:pPr>
      <w:r>
        <w:rPr>
          <w:rFonts w:hint="eastAsia" w:ascii="Times New Roman" w:hAnsi="Times New Roman" w:eastAsia="仿宋_GB2312" w:cs="仿宋_GB2312"/>
          <w:bCs/>
          <w:kern w:val="0"/>
          <w:sz w:val="32"/>
          <w:szCs w:val="32"/>
        </w:rPr>
        <w:t>（一）内设机构设置。</w:t>
      </w:r>
      <w:r>
        <w:rPr>
          <w:rFonts w:hint="eastAsia" w:ascii="仿宋_GB2312" w:hAnsi="Times New Roman" w:eastAsia="仿宋_GB2312" w:cs="Times New Roman"/>
          <w:color w:val="000000"/>
          <w:kern w:val="0"/>
          <w:sz w:val="32"/>
          <w:szCs w:val="32"/>
          <w:lang w:val="en-US" w:eastAsia="zh-CN" w:bidi="ar-SA"/>
        </w:rPr>
        <w:t>湖南省作家协会机关内设职能处室三个：办公室（机关党委）、创作研究室、组织联络部。</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640" w:firstLineChars="200"/>
        <w:jc w:val="both"/>
        <w:rPr>
          <w:rFonts w:hint="eastAsia" w:ascii="仿宋_GB2312" w:hAnsi="Times New Roman" w:eastAsia="仿宋_GB2312" w:cs="Times New Roman"/>
          <w:color w:val="000000"/>
          <w:kern w:val="0"/>
          <w:sz w:val="32"/>
          <w:szCs w:val="32"/>
          <w:lang w:val="en-US" w:eastAsia="zh-CN" w:bidi="ar-SA"/>
        </w:rPr>
      </w:pPr>
      <w:r>
        <w:rPr>
          <w:rFonts w:hint="eastAsia" w:ascii="仿宋_GB2312" w:hAnsi="Times New Roman" w:eastAsia="仿宋_GB2312" w:cs="Times New Roman"/>
          <w:color w:val="000000"/>
          <w:kern w:val="0"/>
          <w:sz w:val="32"/>
          <w:szCs w:val="32"/>
          <w:lang w:val="en-US" w:eastAsia="zh-CN" w:bidi="ar-SA"/>
        </w:rPr>
        <w:t>湖南省作家协会二级机构两个：湖南毛泽东文学院管理处(湖南现当代文学馆)、《湖南文学》杂志社。</w:t>
      </w:r>
    </w:p>
    <w:p>
      <w:pPr>
        <w:widowControl/>
        <w:numPr>
          <w:ilvl w:val="0"/>
          <w:numId w:val="2"/>
        </w:numPr>
        <w:spacing w:line="600" w:lineRule="exact"/>
        <w:ind w:firstLine="640" w:firstLineChars="200"/>
        <w:rPr>
          <w:rFonts w:hint="eastAsia" w:ascii="仿宋_GB2312" w:hAnsi="Times New Roman" w:eastAsia="仿宋_GB2312" w:cs="Times New Roman"/>
          <w:color w:val="000000"/>
          <w:kern w:val="0"/>
          <w:sz w:val="32"/>
          <w:szCs w:val="32"/>
          <w:lang w:val="en-US" w:eastAsia="zh-CN" w:bidi="ar-SA"/>
        </w:rPr>
      </w:pPr>
      <w:r>
        <w:rPr>
          <w:rFonts w:hint="eastAsia" w:ascii="Times New Roman" w:hAnsi="Times New Roman" w:eastAsia="仿宋_GB2312" w:cs="仿宋_GB2312"/>
          <w:bCs/>
          <w:kern w:val="0"/>
          <w:sz w:val="32"/>
          <w:szCs w:val="32"/>
        </w:rPr>
        <w:t>决算单位构成。</w:t>
      </w:r>
      <w:r>
        <w:rPr>
          <w:rFonts w:hint="eastAsia" w:ascii="仿宋_GB2312" w:hAnsi="Times New Roman" w:eastAsia="仿宋_GB2312" w:cs="Times New Roman"/>
          <w:color w:val="000000"/>
          <w:kern w:val="0"/>
          <w:sz w:val="32"/>
          <w:szCs w:val="32"/>
          <w:lang w:val="en-US" w:eastAsia="zh-CN" w:bidi="ar-SA"/>
        </w:rPr>
        <w:t>湖南省作家协会2023年部门决算汇总公开单位构成包括：湖南省作家协会本级。</w:t>
      </w:r>
    </w:p>
    <w:p>
      <w:pPr>
        <w:pStyle w:val="2"/>
        <w:numPr>
          <w:ilvl w:val="0"/>
          <w:numId w:val="2"/>
        </w:numPr>
        <w:rPr>
          <w:rFonts w:hint="eastAsia"/>
        </w:rPr>
      </w:pPr>
    </w:p>
    <w:p>
      <w:pPr>
        <w:pStyle w:val="14"/>
        <w:jc w:val="center"/>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第二部分</w:t>
      </w:r>
    </w:p>
    <w:p>
      <w:pPr>
        <w:pStyle w:val="14"/>
        <w:jc w:val="center"/>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部门决算表</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Times New Roman" w:eastAsia="仿宋_GB2312" w:cs="Times New Roman"/>
          <w:color w:val="000000"/>
          <w:kern w:val="0"/>
          <w:sz w:val="32"/>
          <w:szCs w:val="32"/>
          <w:lang w:val="en-US" w:eastAsia="zh-CN"/>
        </w:rPr>
      </w:pPr>
      <w:r>
        <w:rPr>
          <w:rFonts w:hint="eastAsia" w:ascii="仿宋_GB2312" w:hAnsi="Times New Roman" w:eastAsia="仿宋_GB2312" w:cs="Times New Roman"/>
          <w:color w:val="000000"/>
          <w:kern w:val="0"/>
          <w:sz w:val="32"/>
          <w:szCs w:val="32"/>
          <w:lang w:val="en-US" w:eastAsia="zh-CN"/>
        </w:rPr>
        <w:t>附件：第二部分 部门决算表</w:t>
      </w:r>
    </w:p>
    <w:p>
      <w:pPr>
        <w:pStyle w:val="2"/>
        <w:rPr>
          <w:rFonts w:hint="eastAsia" w:ascii="仿宋_GB2312" w:hAnsi="Times New Roman" w:eastAsia="仿宋_GB2312" w:cs="Times New Roman"/>
          <w:color w:val="000000"/>
          <w:kern w:val="0"/>
          <w:sz w:val="32"/>
          <w:szCs w:val="32"/>
          <w:lang w:val="en-US" w:eastAsia="zh-CN"/>
        </w:rPr>
      </w:pPr>
    </w:p>
    <w:p>
      <w:pPr>
        <w:pStyle w:val="14"/>
        <w:jc w:val="center"/>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第三部分</w:t>
      </w:r>
    </w:p>
    <w:p>
      <w:pPr>
        <w:pStyle w:val="14"/>
        <w:jc w:val="center"/>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2023年度部门决算情况说明</w:t>
      </w:r>
    </w:p>
    <w:p>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年度收、支总计3112</w:t>
      </w:r>
      <w:r>
        <w:rPr>
          <w:rFonts w:hint="eastAsia" w:ascii="Times New Roman" w:hAnsi="Times New Roman" w:eastAsia="仿宋_GB2312"/>
          <w:sz w:val="32"/>
          <w:szCs w:val="32"/>
          <w:lang w:val="en-US" w:eastAsia="zh-CN"/>
        </w:rPr>
        <w:t>.57</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143.12</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4.82</w:t>
      </w:r>
      <w:r>
        <w:rPr>
          <w:rFonts w:hint="eastAsia" w:ascii="Times New Roman" w:hAnsi="Times New Roman" w:eastAsia="仿宋_GB2312"/>
          <w:sz w:val="32"/>
          <w:szCs w:val="32"/>
        </w:rPr>
        <w:t>%，主要是因为《毛泽东与文艺展》提质改造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2023年中央支持地方公共文化服务体系建设奖励资金（省直）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2023年度省级文化事业发展专项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文化和旅游专项资金</w:t>
      </w:r>
      <w:r>
        <w:rPr>
          <w:rFonts w:hint="eastAsia" w:ascii="Times New Roman" w:hAnsi="Times New Roman" w:eastAsia="仿宋_GB2312"/>
          <w:sz w:val="32"/>
          <w:szCs w:val="32"/>
          <w:lang w:eastAsia="zh-CN"/>
        </w:rPr>
        <w:t>及</w:t>
      </w:r>
      <w:r>
        <w:rPr>
          <w:rFonts w:hint="eastAsia" w:ascii="Times New Roman" w:hAnsi="Times New Roman" w:eastAsia="仿宋_GB2312"/>
          <w:sz w:val="32"/>
          <w:szCs w:val="32"/>
        </w:rPr>
        <w:t>省作协毛泽东文学院教师培训楼修缮改造</w:t>
      </w:r>
      <w:r>
        <w:rPr>
          <w:rFonts w:hint="eastAsia" w:ascii="Times New Roman" w:hAnsi="Times New Roman" w:eastAsia="仿宋_GB2312"/>
          <w:sz w:val="32"/>
          <w:szCs w:val="32"/>
          <w:lang w:eastAsia="zh-CN"/>
        </w:rPr>
        <w:t>等项目的增加。</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年度收入合计</w:t>
      </w:r>
      <w:r>
        <w:rPr>
          <w:rFonts w:hint="eastAsia" w:ascii="仿宋" w:hAnsi="仿宋" w:eastAsia="仿宋"/>
          <w:sz w:val="32"/>
          <w:szCs w:val="32"/>
        </w:rPr>
        <w:t>2911.43</w:t>
      </w:r>
      <w:r>
        <w:rPr>
          <w:rFonts w:hint="eastAsia" w:ascii="Times New Roman" w:hAnsi="Times New Roman" w:eastAsia="仿宋_GB2312"/>
          <w:sz w:val="32"/>
          <w:szCs w:val="32"/>
        </w:rPr>
        <w:t>万元，其中：财政拨款收入</w:t>
      </w:r>
      <w:r>
        <w:rPr>
          <w:rFonts w:hint="eastAsia" w:ascii="仿宋" w:hAnsi="仿宋" w:eastAsia="仿宋"/>
          <w:sz w:val="32"/>
          <w:szCs w:val="32"/>
        </w:rPr>
        <w:t>2870.31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98.59</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仿宋" w:hAnsi="仿宋" w:eastAsia="仿宋"/>
          <w:sz w:val="32"/>
          <w:szCs w:val="32"/>
        </w:rPr>
        <w:t>41.12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1.41</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2681.55</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1428.31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53.26</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1253.25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46.74</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年度财政拨款收、支总计</w:t>
      </w:r>
      <w:r>
        <w:rPr>
          <w:rFonts w:hint="eastAsia" w:ascii="仿宋" w:hAnsi="仿宋" w:eastAsia="仿宋"/>
          <w:sz w:val="32"/>
          <w:szCs w:val="32"/>
          <w:lang w:val="en-US" w:eastAsia="zh-CN"/>
        </w:rPr>
        <w:t>3041.03</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124.86</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4.28</w:t>
      </w:r>
      <w:r>
        <w:rPr>
          <w:rFonts w:hint="eastAsia" w:ascii="Times New Roman" w:hAnsi="Times New Roman" w:eastAsia="仿宋_GB2312"/>
          <w:sz w:val="32"/>
          <w:szCs w:val="32"/>
        </w:rPr>
        <w:t>%，主要是因为《毛泽东与文艺展》提质改造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2023年中央支持地方公共文化服务体系建设奖励资金（省直）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2023年度省级文化事业发展专项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文化和旅游专项资金</w:t>
      </w:r>
      <w:r>
        <w:rPr>
          <w:rFonts w:hint="eastAsia" w:ascii="Times New Roman" w:hAnsi="Times New Roman" w:eastAsia="仿宋_GB2312"/>
          <w:sz w:val="32"/>
          <w:szCs w:val="32"/>
          <w:lang w:eastAsia="zh-CN"/>
        </w:rPr>
        <w:t>及</w:t>
      </w:r>
      <w:r>
        <w:rPr>
          <w:rFonts w:hint="eastAsia" w:ascii="Times New Roman" w:hAnsi="Times New Roman" w:eastAsia="仿宋_GB2312"/>
          <w:sz w:val="32"/>
          <w:szCs w:val="32"/>
        </w:rPr>
        <w:t>省作协毛泽东文学院教师培训楼修缮改造</w:t>
      </w:r>
      <w:r>
        <w:rPr>
          <w:rFonts w:hint="eastAsia" w:ascii="Times New Roman" w:hAnsi="Times New Roman" w:eastAsia="仿宋_GB2312"/>
          <w:sz w:val="32"/>
          <w:szCs w:val="32"/>
          <w:lang w:eastAsia="zh-CN"/>
        </w:rPr>
        <w:t>等项目的增加。</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（一）一般公共预算财政拨款支出决算总体情况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2642.78</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98.55</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221.63</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9.15</w:t>
      </w:r>
      <w:r>
        <w:rPr>
          <w:rFonts w:hint="eastAsia" w:ascii="Times New Roman" w:hAnsi="Times New Roman" w:eastAsia="仿宋_GB2312"/>
          <w:sz w:val="32"/>
          <w:szCs w:val="32"/>
        </w:rPr>
        <w:t>%，主要是因为是因为《毛泽东与文艺展》提质改造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2023年中央支持地方公共文化服务体系建设奖励资金（省直）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2023年度省级文化事业发展专项</w:t>
      </w:r>
      <w:r>
        <w:rPr>
          <w:rFonts w:hint="eastAsia" w:ascii="Times New Roman" w:hAnsi="Times New Roman" w:eastAsia="仿宋_GB2312"/>
          <w:sz w:val="32"/>
          <w:szCs w:val="32"/>
          <w:lang w:eastAsia="zh-CN"/>
        </w:rPr>
        <w:t>等项目支出的增加</w:t>
      </w:r>
    </w:p>
    <w:p>
      <w:pPr>
        <w:pStyle w:val="14"/>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（二）一般公共预算财政拨款支出决算结构情况</w:t>
      </w:r>
    </w:p>
    <w:p>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2642.78</w:t>
      </w:r>
      <w:r>
        <w:rPr>
          <w:rFonts w:hint="eastAsia" w:ascii="Times New Roman" w:hAnsi="Times New Roman" w:eastAsia="仿宋_GB2312"/>
          <w:sz w:val="32"/>
          <w:szCs w:val="32"/>
        </w:rPr>
        <w:t>万元，主要用于以下方面：科学技术</w:t>
      </w:r>
      <w:r>
        <w:rPr>
          <w:rFonts w:hint="eastAsia" w:ascii="Times New Roman" w:hAnsi="Times New Roman" w:eastAsia="仿宋_GB2312"/>
          <w:sz w:val="32"/>
          <w:szCs w:val="32"/>
          <w:lang w:eastAsia="zh-CN"/>
        </w:rPr>
        <w:t>（类）</w:t>
      </w:r>
      <w:r>
        <w:rPr>
          <w:rFonts w:hint="eastAsia" w:ascii="Times New Roman" w:hAnsi="Times New Roman" w:eastAsia="仿宋_GB2312"/>
          <w:sz w:val="32"/>
          <w:szCs w:val="32"/>
        </w:rPr>
        <w:t>支出</w:t>
      </w:r>
      <w:r>
        <w:rPr>
          <w:rFonts w:hint="eastAsia" w:ascii="Times New Roman" w:hAnsi="Times New Roman" w:eastAsia="仿宋_GB2312"/>
          <w:sz w:val="32"/>
          <w:szCs w:val="32"/>
          <w:lang w:val="en-US" w:eastAsia="zh-CN"/>
        </w:rPr>
        <w:t>5.3万元</w:t>
      </w:r>
      <w:r>
        <w:rPr>
          <w:rFonts w:hint="eastAsia" w:ascii="Times New Roman" w:hAnsi="Times New Roman" w:eastAsia="仿宋_GB2312"/>
          <w:sz w:val="32"/>
          <w:szCs w:val="32"/>
          <w:lang w:eastAsia="zh-CN"/>
        </w:rPr>
        <w:t>，</w:t>
      </w:r>
      <w:r>
        <w:rPr>
          <w:rFonts w:hint="eastAsia" w:ascii="仿宋_GB2312" w:hAnsi="仿宋_GB2312" w:eastAsia="仿宋_GB2312" w:cs="仿宋_GB2312"/>
          <w:sz w:val="32"/>
          <w:szCs w:val="32"/>
          <w:lang w:val="en-US" w:eastAsia="zh-CN"/>
        </w:rPr>
        <w:t>占0.2%；文化旅游体育与传媒(类)支出2390.64万元，占90.46%；社会保障和就业(类)支出80.35万元，占3.04%；卫生健康（类）支出93.5万元，占3.54%；住房保障(类)支出73万元，占2.76%。</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（三）一般公共预算财政拨款支出决算具体情况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2211.63</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2642.78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119.49</w:t>
      </w:r>
      <w:r>
        <w:rPr>
          <w:rFonts w:hint="eastAsia" w:ascii="Times New Roman" w:hAnsi="Times New Roman" w:eastAsia="仿宋_GB2312"/>
          <w:sz w:val="32"/>
          <w:szCs w:val="32"/>
        </w:rPr>
        <w:t>%，其中：</w:t>
      </w:r>
    </w:p>
    <w:p>
      <w:pPr>
        <w:pStyle w:val="14"/>
        <w:numPr>
          <w:ilvl w:val="0"/>
          <w:numId w:val="3"/>
        </w:numPr>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科学技术支出(类)社会科学(款)其他社会科学支出(项)</w:t>
      </w:r>
    </w:p>
    <w:p>
      <w:pPr>
        <w:pStyle w:val="14"/>
        <w:ind w:firstLine="640" w:firstLineChars="200"/>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年初预算为5.4万元</w:t>
      </w:r>
      <w:r>
        <w:rPr>
          <w:rFonts w:hint="eastAsia" w:ascii="仿宋_GB2312" w:hAnsi="仿宋_GB2312" w:eastAsia="仿宋_GB2312" w:cs="仿宋_GB2312"/>
          <w:color w:val="auto"/>
          <w:kern w:val="0"/>
          <w:sz w:val="32"/>
          <w:szCs w:val="32"/>
          <w:lang w:val="en-US" w:eastAsia="zh-CN" w:bidi="ar-SA"/>
        </w:rPr>
        <w:t>，支出决算为5.3万元，完成年初预算的98.15%。决算小于预算的主要原因是课题已经完成，经费支出减少。</w:t>
      </w:r>
    </w:p>
    <w:p>
      <w:pPr>
        <w:pStyle w:val="14"/>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w:t>
      </w:r>
      <w:r>
        <w:rPr>
          <w:rFonts w:hint="eastAsia" w:ascii="仿宋_GB2312" w:hAnsi="仿宋_GB2312" w:eastAsia="仿宋_GB2312" w:cs="仿宋_GB2312"/>
          <w:color w:val="000000"/>
          <w:kern w:val="0"/>
          <w:sz w:val="32"/>
          <w:szCs w:val="32"/>
          <w:lang w:val="en-US" w:eastAsia="zh-CN" w:bidi="ar-SA"/>
        </w:rPr>
        <w:t>文化旅游体育与传媒(类)文化和旅游(款)行政运行(项)</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年初预算为1238.6万元</w:t>
      </w:r>
      <w:r>
        <w:rPr>
          <w:rFonts w:hint="eastAsia" w:ascii="仿宋_GB2312" w:hAnsi="仿宋_GB2312" w:eastAsia="仿宋_GB2312" w:cs="仿宋_GB2312"/>
          <w:color w:val="auto"/>
          <w:kern w:val="0"/>
          <w:sz w:val="32"/>
          <w:szCs w:val="32"/>
          <w:lang w:val="en-US" w:eastAsia="zh-CN" w:bidi="ar-SA"/>
        </w:rPr>
        <w:t>，支出决算为1134.16万元，完成年初预算的91.57%。决算小于预算的主要原因是事业人员绩效政策未出，在编制预算时测算了部分绩效、社保及公积金，支出减少。</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3.文化旅游体育与传媒(类)文化和旅游(款)文化创作与保护（项）</w:t>
      </w:r>
    </w:p>
    <w:p>
      <w:pPr>
        <w:pStyle w:val="14"/>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年初预算为0万元</w:t>
      </w:r>
      <w:r>
        <w:rPr>
          <w:rFonts w:hint="eastAsia" w:ascii="仿宋_GB2312" w:hAnsi="仿宋_GB2312" w:eastAsia="仿宋_GB2312" w:cs="仿宋_GB2312"/>
          <w:color w:val="auto"/>
          <w:kern w:val="0"/>
          <w:sz w:val="32"/>
          <w:szCs w:val="32"/>
          <w:lang w:val="en-US" w:eastAsia="zh-CN" w:bidi="ar-SA"/>
        </w:rPr>
        <w:t>，支出决算为71.17万元，由于预算数为0，无法计算百分比。决算大于预算的主要原因是年中追加《毛泽东与文艺展》提质改造项目，支出增加。</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4.文化旅游体育与传媒(类)文化和旅游(款)其他文化和旅游支出(项)</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年初预算为541.31万元，支出决算为550.64万元，完成年初预算的101.72%。决算数大于预算数的主要原因是年中追加2023年度省级文化事业发展专项，支出相应增加。</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5.文化旅游体育与传媒(类)其他文化旅游体育与传媒支出(款)其他文化旅游体育与传媒支出(项)</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164.97万元，支出决算为634.67万元，完成年初预算的384.72%。决算数大于预算数的主要原因是年中追加2023年中央支持地方公共文化服务体系建设奖励资金（省直）、2023年文化旅游体育和传媒支出及2023年文化事业发展专项资金，支出相应增加。</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6.社会保障和就业(类)人力资源和社会保障管理事务(款)其他人力资源和社会保障管理事务支出(项)</w:t>
      </w:r>
    </w:p>
    <w:p>
      <w:pPr>
        <w:pStyle w:val="14"/>
        <w:ind w:firstLine="640" w:firstLineChars="200"/>
        <w:rPr>
          <w:rFonts w:hint="eastAsia" w:ascii="仿宋_GB2312" w:hAnsi="仿宋_GB2312" w:eastAsia="仿宋_GB2312" w:cs="仿宋_GB2312"/>
          <w:color w:val="FF0000"/>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年初预算为0.35万元，支出决算为0.35万元，完成年初预算的100%。</w:t>
      </w:r>
      <w:r>
        <w:rPr>
          <w:rFonts w:hint="eastAsia" w:ascii="仿宋_GB2312" w:hAnsi="仿宋_GB2312" w:eastAsia="仿宋_GB2312" w:cs="仿宋_GB2312"/>
          <w:color w:val="FF0000"/>
          <w:kern w:val="0"/>
          <w:sz w:val="32"/>
          <w:szCs w:val="32"/>
          <w:lang w:val="en-US" w:eastAsia="zh-CN" w:bidi="ar-SA"/>
        </w:rPr>
        <w:t>　　　</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7. 社会保障和就业(类)行政事业单位养老支出(款)机关事业单位基本养老保险缴费支出(项)</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年初预算为80万元，支出决算为80万元，完成年初预算的100%。</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8.卫生健康支出(类)行政事业单位医疗(款)行政单位医疗(项)</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年初预算为52万元，支出决算为51.55万元，完成年初预算的99.13%。决算数小于预算数的主要原因是单位人员减少，医疗补助减少。</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9.卫生健康支出(类)行政事业单位医疗(款)公务员医疗补助(项)</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年初预算为45万元，支出决算为41.95万元，完成年初预算的93.22%。决算数小于预算数的主要原因是单位人员减少，医疗补助减少。</w:t>
      </w:r>
    </w:p>
    <w:p>
      <w:pPr>
        <w:pStyle w:val="14"/>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10.住房保障(类)住房改革支出(款)住房公积金(项)</w:t>
      </w:r>
    </w:p>
    <w:p>
      <w:pPr>
        <w:pStyle w:val="14"/>
        <w:ind w:firstLine="640" w:firstLineChars="200"/>
        <w:rPr>
          <w:rFonts w:hint="eastAsia" w:ascii="仿宋_GB2312" w:hAnsi="Times New Roman" w:eastAsia="仿宋_GB2312" w:cs="Times New Roman"/>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年初预算为84万元，支出决算为73万元，完成年初预算的86.9%。决算小于预算的主要原因是事业人员绩效政策未出，在编制预算时测算了事业人员公积金，支出减少。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1428.31</w:t>
      </w:r>
      <w:r>
        <w:rPr>
          <w:rFonts w:hint="eastAsia" w:ascii="Times New Roman" w:hAnsi="Times New Roman" w:eastAsia="仿宋_GB2312"/>
          <w:sz w:val="32"/>
          <w:szCs w:val="32"/>
        </w:rPr>
        <w:t>万元，其中：</w:t>
      </w:r>
    </w:p>
    <w:p>
      <w:pPr>
        <w:pStyle w:val="1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1164.86</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81.56</w:t>
      </w:r>
      <w:r>
        <w:rPr>
          <w:rFonts w:hint="eastAsia" w:ascii="Times New Roman" w:hAnsi="Times New Roman" w:eastAsia="仿宋_GB2312"/>
          <w:sz w:val="32"/>
          <w:szCs w:val="32"/>
        </w:rPr>
        <w:t>%,主要包括</w:t>
      </w:r>
      <w:r>
        <w:rPr>
          <w:rFonts w:hint="eastAsia" w:ascii="仿宋_GB2312" w:hAnsi="仿宋_GB2312" w:eastAsia="仿宋_GB2312" w:cs="仿宋_GB2312"/>
          <w:b w:val="0"/>
          <w:bCs w:val="0"/>
          <w:color w:val="auto"/>
          <w:sz w:val="32"/>
          <w:szCs w:val="32"/>
        </w:rPr>
        <w:t>主要包括</w:t>
      </w:r>
      <w:r>
        <w:rPr>
          <w:rFonts w:hint="eastAsia" w:ascii="仿宋_GB2312" w:hAnsi="仿宋_GB2312" w:eastAsia="仿宋_GB2312" w:cs="仿宋_GB2312"/>
          <w:b w:val="0"/>
          <w:bCs w:val="0"/>
          <w:color w:val="auto"/>
          <w:kern w:val="0"/>
          <w:sz w:val="32"/>
          <w:szCs w:val="32"/>
          <w:lang w:val="en-US" w:eastAsia="zh-CN" w:bidi="ar-SA"/>
        </w:rPr>
        <w:t>基本工资、津贴补贴、奖金、绩效工资、机关事业单位基本养老保险缴费、职业基本医疗保险缴费、公务员医疗补助缴费、其他社会保障缴费、住房公积金、其他工资福利支出、退休费、医疗费补助、奖励金及其他对个人和家庭的补助支出等；</w:t>
      </w:r>
    </w:p>
    <w:p>
      <w:pPr>
        <w:pStyle w:val="1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263.45</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18.44</w:t>
      </w:r>
      <w:r>
        <w:rPr>
          <w:rFonts w:hint="eastAsia" w:ascii="Times New Roman" w:hAnsi="Times New Roman" w:eastAsia="仿宋_GB2312"/>
          <w:sz w:val="32"/>
          <w:szCs w:val="32"/>
        </w:rPr>
        <w:t>%，主要包括</w:t>
      </w:r>
      <w:r>
        <w:rPr>
          <w:rFonts w:hint="eastAsia" w:ascii="仿宋_GB2312" w:hAnsi="仿宋_GB2312" w:eastAsia="仿宋_GB2312" w:cs="仿宋_GB2312"/>
          <w:b w:val="0"/>
          <w:bCs w:val="0"/>
          <w:color w:val="auto"/>
          <w:kern w:val="0"/>
          <w:sz w:val="32"/>
          <w:szCs w:val="32"/>
          <w:lang w:val="en-US" w:eastAsia="zh-CN" w:bidi="ar-SA"/>
        </w:rPr>
        <w:t>办公费、印刷费、水费、电费、邮电费、物业管理费、差旅费、维修(护)费、租赁费、会议费、培训费、公务接待费、劳务费、工会经费、公务用车运行维护费、其他交通费用、税金及附加费用、其他商品和服务支出等</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1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40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25.44</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63.6</w:t>
      </w:r>
      <w:r>
        <w:rPr>
          <w:rFonts w:hint="eastAsia" w:ascii="Times New Roman" w:hAnsi="Times New Roman" w:eastAsia="仿宋_GB2312"/>
          <w:sz w:val="32"/>
          <w:szCs w:val="32"/>
        </w:rPr>
        <w:t>%，决算数小于预算数的主要原因是</w:t>
      </w:r>
      <w:r>
        <w:rPr>
          <w:rFonts w:hint="eastAsia" w:ascii="仿宋_GB2312" w:hAnsi="仿宋_GB2312" w:eastAsia="仿宋_GB2312" w:cs="仿宋_GB2312"/>
          <w:color w:val="auto"/>
          <w:sz w:val="32"/>
          <w:szCs w:val="32"/>
        </w:rPr>
        <w:t>是</w:t>
      </w:r>
      <w:r>
        <w:rPr>
          <w:rFonts w:hint="eastAsia" w:ascii="仿宋_GB2312" w:hAnsi="仿宋_GB2312" w:eastAsia="仿宋_GB2312" w:cs="仿宋_GB2312"/>
          <w:color w:val="auto"/>
          <w:kern w:val="0"/>
          <w:sz w:val="32"/>
          <w:szCs w:val="32"/>
          <w:lang w:val="en-US" w:eastAsia="zh-CN" w:bidi="ar-SA"/>
        </w:rPr>
        <w:t>积极贯彻落实中央关于厉行节约的要求，从严控制“三公”经费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6.99</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37.89</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eastAsia="zh-CN"/>
        </w:rPr>
        <w:t>我会文学活动的增加，公务接待及公务用车增加</w:t>
      </w:r>
      <w:r>
        <w:rPr>
          <w:rFonts w:hint="eastAsia" w:ascii="Times New Roman" w:hAnsi="Times New Roman" w:eastAsia="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仿宋_GB2312" w:hAnsi="仿宋_GB2312" w:eastAsia="仿宋_GB2312" w:cs="仿宋_GB2312"/>
          <w:color w:val="auto"/>
          <w:kern w:val="0"/>
          <w:sz w:val="32"/>
          <w:szCs w:val="32"/>
          <w:lang w:val="en-US" w:eastAsia="zh-CN" w:bidi="ar-SA"/>
        </w:rPr>
        <w:t>与上年相比无变化</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4.41</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44.1</w:t>
      </w:r>
      <w:r>
        <w:rPr>
          <w:rFonts w:hint="eastAsia" w:ascii="Times New Roman" w:hAnsi="Times New Roman" w:eastAsia="仿宋_GB2312"/>
          <w:sz w:val="32"/>
          <w:szCs w:val="32"/>
        </w:rPr>
        <w:t>%，决算数小于预算数的主要原因是</w:t>
      </w:r>
      <w:r>
        <w:rPr>
          <w:rFonts w:hint="eastAsia" w:ascii="仿宋_GB2312" w:hAnsi="仿宋_GB2312" w:eastAsia="仿宋_GB2312" w:cs="仿宋_GB2312"/>
          <w:color w:val="auto"/>
          <w:kern w:val="0"/>
          <w:sz w:val="32"/>
          <w:szCs w:val="32"/>
          <w:lang w:val="en-US" w:eastAsia="zh-CN" w:bidi="ar-SA"/>
        </w:rPr>
        <w:t>积极贯彻落实中央关于厉行节约的要求，从严控制公务接待行为</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3.59</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4.38</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eastAsia="zh-CN"/>
        </w:rPr>
        <w:t>我会文学活动增加，</w:t>
      </w:r>
      <w:r>
        <w:rPr>
          <w:rFonts w:hint="eastAsia" w:ascii="仿宋_GB2312" w:hAnsi="仿宋_GB2312" w:eastAsia="仿宋_GB2312" w:cs="仿宋_GB2312"/>
          <w:color w:val="auto"/>
          <w:kern w:val="0"/>
          <w:sz w:val="32"/>
          <w:szCs w:val="32"/>
          <w:lang w:val="en-US" w:eastAsia="zh-CN" w:bidi="ar-SA"/>
        </w:rPr>
        <w:t>中国作协、外省外地作协来湘调研活动接待任务较上年人数增加</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仿宋_GB2312" w:hAnsi="仿宋_GB2312" w:eastAsia="仿宋_GB2312" w:cs="仿宋_GB2312"/>
          <w:color w:val="auto"/>
          <w:kern w:val="0"/>
          <w:sz w:val="32"/>
          <w:szCs w:val="32"/>
          <w:lang w:val="en-US" w:eastAsia="zh-CN" w:bidi="ar-SA"/>
        </w:rPr>
        <w:t>与上年相比无变化</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21.03</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70.1</w:t>
      </w:r>
      <w:r>
        <w:rPr>
          <w:rFonts w:hint="eastAsia" w:ascii="Times New Roman" w:hAnsi="Times New Roman" w:eastAsia="仿宋_GB2312"/>
          <w:sz w:val="32"/>
          <w:szCs w:val="32"/>
        </w:rPr>
        <w:t>%，决算数小于预算数的主要原因是</w:t>
      </w:r>
      <w:r>
        <w:rPr>
          <w:rFonts w:hint="eastAsia" w:ascii="仿宋_GB2312" w:hAnsi="仿宋_GB2312" w:eastAsia="仿宋_GB2312" w:cs="仿宋_GB2312"/>
          <w:color w:val="auto"/>
          <w:kern w:val="0"/>
          <w:sz w:val="32"/>
          <w:szCs w:val="32"/>
          <w:lang w:val="en-US" w:eastAsia="zh-CN" w:bidi="ar-SA"/>
        </w:rPr>
        <w:t>严格按照规定使用公务用车，加强公务用车管理</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3.4</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19.29</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eastAsia="zh-CN"/>
        </w:rPr>
        <w:t>我会文学活动增加，公务用车量增加</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2"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4.41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17.33</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21.03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82.67</w:t>
      </w:r>
      <w:r>
        <w:rPr>
          <w:rFonts w:hint="eastAsia" w:ascii="Times New Roman" w:hAnsi="Times New Roman" w:eastAsia="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4.41</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20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129</w:t>
      </w:r>
      <w:r>
        <w:rPr>
          <w:rFonts w:hint="eastAsia" w:ascii="Times New Roman" w:hAnsi="Times New Roman" w:eastAsia="仿宋_GB2312"/>
          <w:sz w:val="32"/>
          <w:szCs w:val="32"/>
        </w:rPr>
        <w:t>人次，主要是</w:t>
      </w:r>
      <w:r>
        <w:rPr>
          <w:rFonts w:hint="eastAsia" w:ascii="仿宋_GB2312" w:hAnsi="仿宋_GB2312" w:eastAsia="仿宋_GB2312" w:cs="仿宋_GB2312"/>
          <w:color w:val="auto"/>
          <w:kern w:val="0"/>
          <w:sz w:val="32"/>
          <w:szCs w:val="32"/>
          <w:lang w:val="en-US" w:eastAsia="zh-CN" w:bidi="ar-SA"/>
        </w:rPr>
        <w:t>中国作协、外省外地作协来长调研、办事等</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21.03</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21.03</w:t>
      </w:r>
      <w:r>
        <w:rPr>
          <w:rFonts w:hint="eastAsia" w:ascii="Times New Roman" w:hAnsi="Times New Roman" w:eastAsia="仿宋_GB2312"/>
          <w:sz w:val="32"/>
          <w:szCs w:val="32"/>
        </w:rPr>
        <w:t>万元，主要是</w:t>
      </w:r>
      <w:r>
        <w:rPr>
          <w:rFonts w:hint="eastAsia" w:ascii="仿宋_GB2312" w:hAnsi="仿宋_GB2312" w:eastAsia="仿宋_GB2312" w:cs="仿宋_GB2312"/>
          <w:color w:val="auto"/>
          <w:kern w:val="0"/>
          <w:sz w:val="32"/>
          <w:szCs w:val="32"/>
          <w:lang w:val="en-US" w:eastAsia="zh-CN" w:bidi="ar-SA"/>
        </w:rPr>
        <w:t>公务用车车辆所需车辆燃料费、维修费、过桥过路费、保险费等车辆运行</w:t>
      </w:r>
      <w:r>
        <w:rPr>
          <w:rFonts w:hint="eastAsia" w:ascii="Times New Roman" w:hAnsi="Times New Roman" w:eastAsia="仿宋_GB2312"/>
          <w:sz w:val="32"/>
          <w:szCs w:val="32"/>
        </w:rPr>
        <w:t>支出，截止202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Times New Roman" w:hAnsi="Times New Roman" w:eastAsia="仿宋_GB2312"/>
          <w:color w:val="auto"/>
          <w:sz w:val="32"/>
          <w:szCs w:val="32"/>
        </w:rPr>
        <w:t xml:space="preserve"> 202</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年度</w:t>
      </w:r>
      <w:r>
        <w:rPr>
          <w:rFonts w:hint="eastAsia" w:ascii="Times New Roman" w:hAnsi="Times New Roman" w:eastAsia="仿宋_GB2312"/>
          <w:color w:val="auto"/>
          <w:sz w:val="32"/>
          <w:szCs w:val="32"/>
          <w:lang w:eastAsia="zh-CN"/>
        </w:rPr>
        <w:t>本单位无</w:t>
      </w:r>
      <w:r>
        <w:rPr>
          <w:rFonts w:hint="eastAsia" w:ascii="Times New Roman" w:hAnsi="Times New Roman" w:eastAsia="仿宋_GB2312"/>
          <w:color w:val="auto"/>
          <w:sz w:val="32"/>
          <w:szCs w:val="32"/>
        </w:rPr>
        <w:t>政府性基金预算</w:t>
      </w:r>
      <w:r>
        <w:rPr>
          <w:rFonts w:hint="eastAsia" w:ascii="Times New Roman" w:hAnsi="Times New Roman" w:eastAsia="仿宋_GB2312"/>
          <w:color w:val="auto"/>
          <w:sz w:val="32"/>
          <w:szCs w:val="32"/>
          <w:lang w:eastAsia="zh-CN"/>
        </w:rPr>
        <w:t>收支</w:t>
      </w:r>
    </w:p>
    <w:p>
      <w:pPr>
        <w:pStyle w:val="14"/>
        <w:keepNext w:val="0"/>
        <w:keepLines w:val="0"/>
        <w:pageBreakBefore w:val="0"/>
        <w:widowControl w:val="0"/>
        <w:kinsoku/>
        <w:wordWrap/>
        <w:overflowPunct/>
        <w:topLinePunct w:val="0"/>
        <w:bidi w:val="0"/>
        <w:snapToGrid/>
        <w:spacing w:line="600" w:lineRule="exact"/>
        <w:ind w:firstLine="642"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九、关于机关运行经费支出说明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263.45</w:t>
      </w:r>
      <w:r>
        <w:rPr>
          <w:rFonts w:hint="eastAsia" w:ascii="Times New Roman" w:hAnsi="Times New Roman" w:eastAsia="仿宋_GB2312"/>
          <w:sz w:val="32"/>
          <w:szCs w:val="32"/>
        </w:rPr>
        <w:t>万元，比年初预算数减少</w:t>
      </w:r>
      <w:r>
        <w:rPr>
          <w:rFonts w:hint="eastAsia" w:ascii="Times New Roman" w:hAnsi="Times New Roman" w:eastAsia="仿宋_GB2312"/>
          <w:sz w:val="32"/>
          <w:szCs w:val="32"/>
          <w:lang w:val="en-US" w:eastAsia="zh-CN"/>
        </w:rPr>
        <w:t>6.55</w:t>
      </w:r>
      <w:r>
        <w:rPr>
          <w:rFonts w:hint="eastAsia" w:ascii="Times New Roman" w:hAnsi="Times New Roman" w:eastAsia="仿宋_GB2312"/>
          <w:sz w:val="32"/>
          <w:szCs w:val="32"/>
        </w:rPr>
        <w:t xml:space="preserve"> 万元，降低</w:t>
      </w:r>
      <w:r>
        <w:rPr>
          <w:rFonts w:hint="eastAsia" w:ascii="Times New Roman" w:hAnsi="Times New Roman" w:eastAsia="仿宋_GB2312"/>
          <w:sz w:val="32"/>
          <w:szCs w:val="32"/>
          <w:lang w:val="en-US" w:eastAsia="zh-CN"/>
        </w:rPr>
        <w:t>2.43</w:t>
      </w:r>
      <w:r>
        <w:rPr>
          <w:rFonts w:hint="eastAsia" w:ascii="Times New Roman" w:hAnsi="Times New Roman" w:eastAsia="仿宋_GB2312"/>
          <w:sz w:val="32"/>
          <w:szCs w:val="32"/>
        </w:rPr>
        <w:t>%。主要原因是</w:t>
      </w:r>
      <w:r>
        <w:rPr>
          <w:rFonts w:hint="eastAsia" w:ascii="仿宋_GB2312" w:hAnsi="仿宋_GB2312" w:eastAsia="仿宋_GB2312" w:cs="仿宋_GB2312"/>
          <w:b w:val="0"/>
          <w:bCs w:val="0"/>
          <w:color w:val="auto"/>
          <w:kern w:val="0"/>
          <w:sz w:val="32"/>
          <w:szCs w:val="32"/>
          <w:lang w:val="en-US" w:eastAsia="zh-CN" w:bidi="ar-SA"/>
        </w:rPr>
        <w:t>一般性支出预算压减以及贯彻落实中央关于厉行节约的要求，从严控制相关支出。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11.07</w:t>
      </w:r>
      <w:r>
        <w:rPr>
          <w:rFonts w:hint="eastAsia" w:ascii="Times New Roman" w:hAnsi="Times New Roman" w:eastAsia="仿宋_GB2312"/>
          <w:sz w:val="32"/>
          <w:szCs w:val="32"/>
        </w:rPr>
        <w:t>万元，用于召开</w:t>
      </w:r>
      <w:r>
        <w:rPr>
          <w:rFonts w:hint="eastAsia" w:ascii="仿宋_GB2312" w:hAnsi="仿宋_GB2312" w:eastAsia="仿宋_GB2312" w:cs="仿宋_GB2312"/>
          <w:b w:val="0"/>
          <w:bCs w:val="0"/>
          <w:color w:val="auto"/>
          <w:kern w:val="0"/>
          <w:sz w:val="32"/>
          <w:szCs w:val="32"/>
          <w:lang w:val="en-US" w:eastAsia="zh-CN" w:bidi="ar-SA"/>
        </w:rPr>
        <w:t>省作协工作会议、文学学会会议、文学评审</w:t>
      </w:r>
      <w:r>
        <w:rPr>
          <w:rFonts w:hint="eastAsia" w:ascii="仿宋_GB2312" w:hAnsi="仿宋_GB2312" w:eastAsia="仿宋_GB2312" w:cs="仿宋_GB2312"/>
          <w:color w:val="auto"/>
          <w:sz w:val="32"/>
          <w:szCs w:val="32"/>
          <w:lang w:eastAsia="zh-CN"/>
        </w:rPr>
        <w:t>等</w:t>
      </w:r>
      <w:r>
        <w:rPr>
          <w:rFonts w:hint="eastAsia" w:ascii="Times New Roman" w:hAnsi="Times New Roman" w:eastAsia="仿宋_GB2312"/>
          <w:sz w:val="32"/>
          <w:szCs w:val="32"/>
        </w:rPr>
        <w:t>会议，人数</w:t>
      </w:r>
      <w:r>
        <w:rPr>
          <w:rFonts w:hint="eastAsia" w:ascii="Times New Roman" w:hAnsi="Times New Roman" w:eastAsia="仿宋_GB2312"/>
          <w:sz w:val="32"/>
          <w:szCs w:val="32"/>
          <w:lang w:val="en-US" w:eastAsia="zh-CN"/>
        </w:rPr>
        <w:t>227</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省作协八届六次全委会、省作协八届十二次主席团会、诗歌</w:t>
      </w:r>
      <w:r>
        <w:rPr>
          <w:rFonts w:hint="eastAsia" w:ascii="仿宋_GB2312" w:hAnsi="仿宋_GB2312" w:eastAsia="仿宋_GB2312" w:cs="仿宋_GB2312"/>
          <w:color w:val="auto"/>
          <w:sz w:val="32"/>
          <w:szCs w:val="32"/>
          <w:lang w:eastAsia="zh-CN"/>
        </w:rPr>
        <w:t>学会</w:t>
      </w:r>
      <w:r>
        <w:rPr>
          <w:rFonts w:hint="eastAsia" w:ascii="仿宋_GB2312" w:hAnsi="仿宋_GB2312" w:eastAsia="仿宋_GB2312" w:cs="仿宋_GB2312"/>
          <w:color w:val="auto"/>
          <w:sz w:val="32"/>
          <w:szCs w:val="32"/>
          <w:lang w:val="en-US" w:eastAsia="zh-CN"/>
        </w:rPr>
        <w:t>2023年会长（扩大）</w:t>
      </w:r>
      <w:r>
        <w:rPr>
          <w:rFonts w:hint="eastAsia" w:ascii="仿宋_GB2312" w:hAnsi="仿宋_GB2312" w:eastAsia="仿宋_GB2312" w:cs="仿宋_GB2312"/>
          <w:color w:val="auto"/>
          <w:sz w:val="32"/>
          <w:szCs w:val="32"/>
          <w:lang w:eastAsia="zh-CN"/>
        </w:rPr>
        <w:t>会议、职称评审会</w:t>
      </w:r>
      <w:r>
        <w:rPr>
          <w:rFonts w:hint="eastAsia" w:ascii="Times New Roman" w:hAnsi="Times New Roman" w:eastAsia="仿宋_GB2312"/>
          <w:sz w:val="32"/>
          <w:szCs w:val="32"/>
        </w:rPr>
        <w:t>；开支培训费</w:t>
      </w:r>
      <w:r>
        <w:rPr>
          <w:rFonts w:hint="eastAsia" w:ascii="Times New Roman" w:hAnsi="Times New Roman" w:eastAsia="仿宋_GB2312"/>
          <w:sz w:val="32"/>
          <w:szCs w:val="32"/>
          <w:lang w:val="en-US" w:eastAsia="zh-CN"/>
        </w:rPr>
        <w:t>16.46</w:t>
      </w:r>
      <w:r>
        <w:rPr>
          <w:rFonts w:hint="eastAsia" w:ascii="Times New Roman" w:hAnsi="Times New Roman" w:eastAsia="仿宋_GB2312"/>
          <w:sz w:val="32"/>
          <w:szCs w:val="32"/>
        </w:rPr>
        <w:t>万元，用于开展</w:t>
      </w:r>
      <w:r>
        <w:rPr>
          <w:rFonts w:hint="eastAsia" w:ascii="仿宋_GB2312" w:hAnsi="仿宋_GB2312" w:eastAsia="仿宋_GB2312" w:cs="仿宋_GB2312"/>
          <w:color w:val="auto"/>
          <w:sz w:val="32"/>
          <w:szCs w:val="32"/>
          <w:lang w:val="en-US" w:eastAsia="zh-CN"/>
        </w:rPr>
        <w:t>文学</w:t>
      </w:r>
      <w:r>
        <w:rPr>
          <w:rFonts w:hint="eastAsia" w:ascii="仿宋_GB2312" w:hAnsi="仿宋_GB2312" w:eastAsia="仿宋_GB2312" w:cs="仿宋_GB2312"/>
          <w:color w:val="auto"/>
          <w:sz w:val="32"/>
          <w:szCs w:val="32"/>
          <w:lang w:eastAsia="zh-CN"/>
        </w:rPr>
        <w:t>培训</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53</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第二十二期中青年作家研讨班</w:t>
      </w:r>
      <w:r>
        <w:rPr>
          <w:rFonts w:hint="eastAsia" w:ascii="Times New Roman" w:hAnsi="Times New Roman" w:eastAsia="仿宋_GB2312"/>
          <w:sz w:val="32"/>
          <w:szCs w:val="32"/>
        </w:rPr>
        <w:t>；</w:t>
      </w:r>
      <w:r>
        <w:rPr>
          <w:rFonts w:hint="eastAsia" w:ascii="仿宋_GB2312" w:hAnsi="仿宋_GB2312" w:eastAsia="仿宋_GB2312" w:cs="仿宋_GB2312"/>
          <w:color w:val="auto"/>
          <w:sz w:val="32"/>
          <w:szCs w:val="32"/>
          <w:lang w:eastAsia="zh-CN"/>
        </w:rPr>
        <w:t>未举办节庆、晚会、论坛、赛事活动，开支</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23.87</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23.87</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23.87</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23.87</w:t>
      </w:r>
      <w:r>
        <w:rPr>
          <w:rFonts w:hint="eastAsia" w:ascii="Times New Roman" w:hAnsi="Times New Roman" w:eastAsia="仿宋_GB2312"/>
          <w:sz w:val="32"/>
          <w:szCs w:val="32"/>
        </w:rPr>
        <w:t>万元，</w:t>
      </w:r>
      <w:r>
        <w:rPr>
          <w:rFonts w:hint="eastAsia" w:ascii="Times New Roman" w:hAnsi="Times New Roman" w:eastAsia="仿宋_GB2312"/>
          <w:color w:val="auto"/>
          <w:sz w:val="32"/>
          <w:szCs w:val="32"/>
        </w:rPr>
        <w:t>占</w:t>
      </w:r>
      <w:r>
        <w:rPr>
          <w:rFonts w:hint="eastAsia" w:ascii="Times New Roman" w:hAnsi="Times New Roman" w:eastAsia="仿宋_GB2312"/>
          <w:color w:val="auto"/>
          <w:sz w:val="32"/>
          <w:szCs w:val="32"/>
          <w:lang w:eastAsia="zh-CN"/>
        </w:rPr>
        <w:t>授予中小企业合同金额</w:t>
      </w:r>
      <w:r>
        <w:rPr>
          <w:rFonts w:hint="eastAsia" w:ascii="Times New Roman" w:hAnsi="Times New Roman" w:eastAsia="仿宋_GB2312"/>
          <w:color w:val="auto"/>
          <w:sz w:val="32"/>
          <w:szCs w:val="32"/>
        </w:rPr>
        <w:t>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%，工程采购授予中小企业合同金额占工程支出金额的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%，服务采购授予中小企业合同金额占服务支出金额的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十二、关于国有资产占用情况说明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年12月31日，</w:t>
      </w:r>
      <w:r>
        <w:rPr>
          <w:rFonts w:hint="eastAsia" w:ascii="Times New Roman" w:hAnsi="Times New Roman" w:eastAsia="仿宋_GB2312"/>
          <w:color w:val="auto"/>
          <w:sz w:val="32"/>
          <w:szCs w:val="32"/>
          <w:lang w:eastAsia="zh-CN"/>
        </w:rPr>
        <w:t>部门（单位）</w:t>
      </w:r>
      <w:r>
        <w:rPr>
          <w:rFonts w:hint="eastAsia" w:ascii="Times New Roman" w:hAnsi="Times New Roman" w:eastAsia="仿宋_GB2312"/>
          <w:color w:val="auto"/>
          <w:sz w:val="32"/>
          <w:szCs w:val="32"/>
        </w:rPr>
        <w:t>共有车辆</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辆，其中</w:t>
      </w:r>
      <w:r>
        <w:rPr>
          <w:rFonts w:hint="eastAsia" w:ascii="Times New Roman" w:hAnsi="Times New Roman" w:eastAsia="仿宋_GB2312"/>
          <w:color w:val="auto"/>
          <w:sz w:val="32"/>
          <w:szCs w:val="32"/>
          <w:lang w:eastAsia="zh-CN"/>
        </w:rPr>
        <w:t>，副部（省）级及以上领导用车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主要</w:t>
      </w:r>
      <w:r>
        <w:rPr>
          <w:rFonts w:hint="eastAsia" w:ascii="Times New Roman" w:hAnsi="Times New Roman" w:eastAsia="仿宋_GB2312"/>
          <w:color w:val="auto"/>
          <w:sz w:val="32"/>
          <w:szCs w:val="32"/>
          <w:lang w:eastAsia="zh-CN"/>
        </w:rPr>
        <w:t>负责人</w:t>
      </w:r>
      <w:r>
        <w:rPr>
          <w:rFonts w:hint="eastAsia" w:ascii="Times New Roman" w:hAnsi="Times New Roman" w:eastAsia="仿宋_GB2312"/>
          <w:color w:val="auto"/>
          <w:sz w:val="32"/>
          <w:szCs w:val="32"/>
        </w:rPr>
        <w:t>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机要通信用车</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辆、应急保障用车</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辆、执法执勤用车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辆、特种专业技术用车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离退休干部服务用车</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辆、其他用车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辆；单位价值100万元以上设备</w:t>
      </w:r>
      <w:r>
        <w:rPr>
          <w:rFonts w:hint="eastAsia" w:ascii="Times New Roman" w:hAnsi="Times New Roman" w:eastAsia="仿宋_GB2312"/>
          <w:color w:val="auto"/>
          <w:sz w:val="32"/>
          <w:szCs w:val="32"/>
          <w:lang w:eastAsia="zh-CN"/>
        </w:rPr>
        <w:t>（不含车辆）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十三、关于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4"/>
        <w:ind w:firstLine="640" w:firstLineChars="200"/>
        <w:rPr>
          <w:rFonts w:hint="eastAsia" w:ascii="方正小标宋_GBK" w:hAnsi="方正小标宋_GBK" w:eastAsia="方正小标宋_GBK" w:cs="方正小标宋_GBK"/>
          <w:sz w:val="72"/>
          <w:szCs w:val="72"/>
        </w:rPr>
      </w:pPr>
      <w:r>
        <w:rPr>
          <w:rFonts w:hint="eastAsia" w:ascii="仿宋_GB2312" w:hAnsi="Times New Roman" w:eastAsia="仿宋_GB2312" w:cs="Times New Roman"/>
          <w:b w:val="0"/>
          <w:bCs w:val="0"/>
          <w:color w:val="auto"/>
          <w:kern w:val="0"/>
          <w:sz w:val="32"/>
          <w:szCs w:val="32"/>
          <w:lang w:val="en-US" w:eastAsia="zh-CN" w:bidi="ar-SA"/>
        </w:rPr>
        <w:t>根据《湖南省财政厅关于开展2023年度省级预算部门绩效自评和部门评价的通知》(湘财绩〔2024〕1号)文件精神，我会积极开展2023年部门绩效自评工作，并按照要求及时将部门整体支出绩效自评报告在本单位的门户网站公开。</w:t>
      </w:r>
    </w:p>
    <w:p>
      <w:pPr>
        <w:pStyle w:val="14"/>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第四部分</w:t>
      </w:r>
    </w:p>
    <w:p>
      <w:pPr>
        <w:pStyle w:val="14"/>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名词解释</w:t>
      </w:r>
    </w:p>
    <w:p>
      <w:pPr>
        <w:widowControl/>
        <w:ind w:firstLine="640" w:firstLineChars="200"/>
        <w:jc w:val="left"/>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一、财政拨款收入：指省级财政当年拨付的资金。</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二、其他收入：指除“财政拨款收入”、“事业收入”、“经营收入”等以外的收入，主要是从上级主管部门或其他政府部门等取得的用于完成项目的资金,以及存款利息收入等。</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三、年初结转和结余：指以前年度尚未完成、结转到本年按有关规定继续使用的资金。</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四、文化旅游体育与传媒(类)文化和旅游(款)行政运行(项)：指本部门用于保障机构正常运行、开展日常工作的基本支出。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五、文化旅游体育与传媒(类)文化和旅游(款)其他文化和旅游支出(项)：指除行政运行以外的其他文化和旅游支出，主要是用于开展文化活动方面的项目支出。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六、文化旅游体育与传媒(类)其他文化体育与传媒支出(款)其他文化体育与传媒支出(项)：指用于其他文化体育与传媒方面的支出，主要是文化事业发展专项资金安排的支出。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七、社会保障和就业(类)行政事业单位养老支出(款)行政单位离退休(项)：指用于离退休人员方面的支出。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八、社会保障和就业(类)行政事业单位养老支出(款)机关事业单位基本养老保险缴费支出(项)：指用于缴纳机关事业单位基本养老保险的社保支出。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九、住房保障支出(类)住房改革支出(款)住房公积金(项)：指按照《住房公积金管理条例》的规定，由单位及其在职职工缴存的住房公积金。</w:t>
      </w:r>
    </w:p>
    <w:p>
      <w:pPr>
        <w:pStyle w:val="14"/>
        <w:rPr>
          <w:rFonts w:hint="eastAsia" w:ascii="仿宋_GB2312" w:hAnsi="Times New Roman" w:eastAsia="仿宋_GB2312" w:cs="Times New Roman"/>
          <w:b w:val="0"/>
          <w:bCs w:val="0"/>
          <w:color w:val="000000"/>
          <w:kern w:val="0"/>
          <w:sz w:val="32"/>
          <w:szCs w:val="32"/>
          <w:lang w:val="en-US" w:eastAsia="zh-CN" w:bidi="ar-SA"/>
        </w:rPr>
      </w:pP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十、基本支出：指为保障机构正常运转、完成日常工作任务而发生的人员支出和公用支出。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十一、项目支出：指在基本支出之外为完成特定行政任务和事业发展目标所发生的支出。</w:t>
      </w:r>
    </w:p>
    <w:p>
      <w:pPr>
        <w:pStyle w:val="14"/>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 </w:t>
      </w:r>
    </w:p>
    <w:p>
      <w:pPr>
        <w:pStyle w:val="14"/>
        <w:numPr>
          <w:ilvl w:val="0"/>
          <w:numId w:val="4"/>
        </w:numPr>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三公”经费：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路过桥费、保险费等运行维护费；公务接待费反映单位按规定开支的各类公务接待支出。</w:t>
      </w:r>
    </w:p>
    <w:p>
      <w:pPr>
        <w:pStyle w:val="14"/>
        <w:numPr>
          <w:ilvl w:val="0"/>
          <w:numId w:val="0"/>
        </w:numPr>
        <w:rPr>
          <w:rFonts w:hint="eastAsia" w:ascii="仿宋_GB2312" w:hAnsi="Times New Roman" w:eastAsia="仿宋_GB2312" w:cs="Times New Roman"/>
          <w:b w:val="0"/>
          <w:bCs w:val="0"/>
          <w:color w:val="000000"/>
          <w:kern w:val="0"/>
          <w:sz w:val="32"/>
          <w:szCs w:val="32"/>
          <w:lang w:val="en-US" w:eastAsia="zh-CN" w:bidi="ar-SA"/>
        </w:rPr>
      </w:pPr>
    </w:p>
    <w:p>
      <w:pPr>
        <w:pStyle w:val="14"/>
        <w:ind w:firstLine="640" w:firstLineChars="200"/>
        <w:rPr>
          <w:rFonts w:hint="eastAsia" w:ascii="方正小标宋_GBK" w:hAnsi="方正小标宋_GBK" w:eastAsia="方正小标宋_GBK" w:cs="方正小标宋_GBK"/>
          <w:sz w:val="72"/>
          <w:szCs w:val="72"/>
        </w:rPr>
      </w:pPr>
      <w:r>
        <w:rPr>
          <w:rFonts w:hint="eastAsia" w:ascii="仿宋_GB2312" w:hAnsi="Times New Roman" w:eastAsia="仿宋_GB2312" w:cs="Times New Roman"/>
          <w:b w:val="0"/>
          <w:bCs w:val="0"/>
          <w:color w:val="000000"/>
          <w:kern w:val="0"/>
          <w:sz w:val="32"/>
          <w:szCs w:val="32"/>
          <w:lang w:val="en-US" w:eastAsia="zh-CN" w:bidi="ar-SA"/>
        </w:rPr>
        <w:t>十三、机关运行经费：为保障行政单位(含参照公务员法管理的事业单位)运行用于购买货物和服务的各项资金，包括办公及印刷费、邮电费、差旅费、会议费、劳务费、日常维修费、专用材料及一般设备购置费、办公用房水电费、取暖费、物业管理费以及其他费用。</w:t>
      </w:r>
    </w:p>
    <w:p>
      <w:pPr>
        <w:pStyle w:val="14"/>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第</w:t>
      </w:r>
      <w:r>
        <w:rPr>
          <w:rFonts w:hint="eastAsia" w:ascii="方正小标宋_GBK" w:hAnsi="方正小标宋_GBK" w:eastAsia="方正小标宋_GBK" w:cs="方正小标宋_GBK"/>
          <w:sz w:val="32"/>
          <w:szCs w:val="32"/>
          <w:lang w:eastAsia="zh-CN"/>
        </w:rPr>
        <w:t>五</w:t>
      </w:r>
      <w:r>
        <w:rPr>
          <w:rFonts w:hint="eastAsia" w:ascii="方正小标宋_GBK" w:hAnsi="方正小标宋_GBK" w:eastAsia="方正小标宋_GBK" w:cs="方正小标宋_GBK"/>
          <w:sz w:val="32"/>
          <w:szCs w:val="32"/>
        </w:rPr>
        <w:t>部分</w:t>
      </w:r>
    </w:p>
    <w:p>
      <w:pPr>
        <w:pStyle w:val="14"/>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eastAsia="zh-CN"/>
        </w:rPr>
        <w:t>附</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lang w:eastAsia="zh-CN"/>
        </w:rPr>
        <w:t>件</w:t>
      </w:r>
    </w:p>
    <w:p>
      <w:p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2023年度部门整体支出绩效自评报告。</w:t>
      </w:r>
    </w:p>
    <w:p>
      <w:pPr>
        <w:pStyle w:val="14"/>
        <w:jc w:val="center"/>
        <w:rPr>
          <w:rFonts w:hint="eastAsia" w:ascii="黑体" w:hAnsi="黑体" w:eastAsia="黑体" w:cs="Times New Roman"/>
          <w:kern w:val="2"/>
          <w:sz w:val="32"/>
          <w:szCs w:val="32"/>
          <w:lang w:val="en-US" w:eastAsia="zh-CN" w:bidi="ar-SA"/>
        </w:rPr>
        <w:sectPr>
          <w:pgSz w:w="11906" w:h="16838"/>
          <w:pgMar w:top="2551" w:right="1871" w:bottom="1928" w:left="1871" w:header="851" w:footer="992" w:gutter="0"/>
          <w:cols w:space="425" w:num="1"/>
          <w:docGrid w:type="lines" w:linePitch="312" w:charSpace="0"/>
        </w:sectPr>
      </w:pPr>
    </w:p>
    <w:p>
      <w:pPr>
        <w:widowControl/>
        <w:jc w:val="left"/>
        <w:rPr>
          <w:rFonts w:asciiTheme="minorEastAsia" w:hAnsiTheme="minorEastAsia" w:eastAsiaTheme="minorEastAsia"/>
          <w:sz w:val="32"/>
          <w:szCs w:val="32"/>
        </w:rPr>
      </w:pPr>
      <w:bookmarkStart w:id="0" w:name="RANGE!A1:I22"/>
      <w:bookmarkEnd w:id="0"/>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E9BFE2"/>
    <w:multiLevelType w:val="singleLevel"/>
    <w:tmpl w:val="DDE9BFE2"/>
    <w:lvl w:ilvl="0" w:tentative="0">
      <w:start w:val="2"/>
      <w:numFmt w:val="chineseCounting"/>
      <w:suff w:val="nothing"/>
      <w:lvlText w:val="（%1）"/>
      <w:lvlJc w:val="left"/>
      <w:rPr>
        <w:rFonts w:hint="eastAsia"/>
      </w:rPr>
    </w:lvl>
  </w:abstractNum>
  <w:abstractNum w:abstractNumId="1">
    <w:nsid w:val="F15F3CF7"/>
    <w:multiLevelType w:val="singleLevel"/>
    <w:tmpl w:val="F15F3CF7"/>
    <w:lvl w:ilvl="0" w:tentative="0">
      <w:start w:val="12"/>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7FE1149"/>
    <w:multiLevelType w:val="singleLevel"/>
    <w:tmpl w:val="37FE1149"/>
    <w:lvl w:ilvl="0" w:tentative="0">
      <w:start w:val="1"/>
      <w:numFmt w:val="decimal"/>
      <w:lvlText w:val="%1."/>
      <w:lvlJc w:val="left"/>
      <w:pPr>
        <w:tabs>
          <w:tab w:val="left" w:pos="312"/>
        </w:tabs>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1D97DEFF"/>
    <w:rsid w:val="1DFF72E5"/>
    <w:rsid w:val="1EFC6F07"/>
    <w:rsid w:val="2FDF85B8"/>
    <w:rsid w:val="2FFFEE04"/>
    <w:rsid w:val="31FF0807"/>
    <w:rsid w:val="34DF85B0"/>
    <w:rsid w:val="3B8F36BC"/>
    <w:rsid w:val="3EE4B667"/>
    <w:rsid w:val="3EF9E6BE"/>
    <w:rsid w:val="3FFB5DE9"/>
    <w:rsid w:val="491FF225"/>
    <w:rsid w:val="4FFD214C"/>
    <w:rsid w:val="5777D4F5"/>
    <w:rsid w:val="59DD8326"/>
    <w:rsid w:val="5DEF592A"/>
    <w:rsid w:val="5F7FD00F"/>
    <w:rsid w:val="5FC6BB1E"/>
    <w:rsid w:val="5FE6A30B"/>
    <w:rsid w:val="5FF720F1"/>
    <w:rsid w:val="66FC5FAA"/>
    <w:rsid w:val="67FF5C0B"/>
    <w:rsid w:val="69BFC5E7"/>
    <w:rsid w:val="6C1F2716"/>
    <w:rsid w:val="6EFC0924"/>
    <w:rsid w:val="6FB74722"/>
    <w:rsid w:val="6FEF8B7E"/>
    <w:rsid w:val="6FFD6A92"/>
    <w:rsid w:val="71A6591B"/>
    <w:rsid w:val="737D59BA"/>
    <w:rsid w:val="77C37683"/>
    <w:rsid w:val="77FDD9E8"/>
    <w:rsid w:val="79AEBF56"/>
    <w:rsid w:val="79FF515B"/>
    <w:rsid w:val="79FFD376"/>
    <w:rsid w:val="7E9E1962"/>
    <w:rsid w:val="7E9F11B4"/>
    <w:rsid w:val="7F37EC1E"/>
    <w:rsid w:val="7F5E1C83"/>
    <w:rsid w:val="7F7DCD9D"/>
    <w:rsid w:val="7F970A6F"/>
    <w:rsid w:val="7FC1FFF3"/>
    <w:rsid w:val="7FC69637"/>
    <w:rsid w:val="7FDF8620"/>
    <w:rsid w:val="7FFB242F"/>
    <w:rsid w:val="7FFDB408"/>
    <w:rsid w:val="7FFE4EEB"/>
    <w:rsid w:val="95FB2B98"/>
    <w:rsid w:val="9A639BC2"/>
    <w:rsid w:val="9FF7D786"/>
    <w:rsid w:val="ABBFB23D"/>
    <w:rsid w:val="BDF5A3B6"/>
    <w:rsid w:val="C3B4DA5A"/>
    <w:rsid w:val="CBFF70E0"/>
    <w:rsid w:val="CDFF76E7"/>
    <w:rsid w:val="CF77A745"/>
    <w:rsid w:val="CFF50B82"/>
    <w:rsid w:val="CFFFAD89"/>
    <w:rsid w:val="D5FFFBAD"/>
    <w:rsid w:val="DEABB676"/>
    <w:rsid w:val="DFFE359E"/>
    <w:rsid w:val="DFFE4FFD"/>
    <w:rsid w:val="E2FE1B96"/>
    <w:rsid w:val="ECEFA070"/>
    <w:rsid w:val="EEABED75"/>
    <w:rsid w:val="F56FDF51"/>
    <w:rsid w:val="F6B69F17"/>
    <w:rsid w:val="F7771592"/>
    <w:rsid w:val="F77F1D61"/>
    <w:rsid w:val="F7FED3A9"/>
    <w:rsid w:val="F8C9DB26"/>
    <w:rsid w:val="F97E8EAE"/>
    <w:rsid w:val="FB36E1A6"/>
    <w:rsid w:val="FB3BE134"/>
    <w:rsid w:val="FCFF4275"/>
    <w:rsid w:val="FD7FEEEA"/>
    <w:rsid w:val="FDFFB577"/>
    <w:rsid w:val="FEEA50FE"/>
    <w:rsid w:val="FF7D47A9"/>
    <w:rsid w:val="FFCF21CB"/>
    <w:rsid w:val="FFF79C4D"/>
    <w:rsid w:val="FFFD6433"/>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w:basedOn w:val="1"/>
    <w:qFormat/>
    <w:uiPriority w:val="0"/>
    <w:pPr>
      <w:spacing w:after="120" w:afterLines="0"/>
    </w:p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7</TotalTime>
  <ScaleCrop>false</ScaleCrop>
  <LinksUpToDate>false</LinksUpToDate>
  <CharactersWithSpaces>9008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2020-07-08T18:32:00Z</dcterms:created>
  <dc:creator>李航 null</dc:creator>
  <cp:lastModifiedBy>greatwall</cp:lastModifiedBy>
  <cp:lastPrinted>2024-09-04T16:32:37Z</cp:lastPrinted>
  <dcterms:modified xsi:type="dcterms:W3CDTF">2024-09-04T16:36:39Z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