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EDB" w:rsidRDefault="00A91EDB">
      <w:pPr>
        <w:pStyle w:val="Default"/>
        <w:jc w:val="center"/>
        <w:rPr>
          <w:sz w:val="56"/>
          <w:szCs w:val="56"/>
        </w:rPr>
      </w:pPr>
    </w:p>
    <w:p w:rsidR="00A91EDB" w:rsidRDefault="00A91EDB">
      <w:pPr>
        <w:pStyle w:val="Default"/>
        <w:jc w:val="center"/>
        <w:rPr>
          <w:sz w:val="56"/>
          <w:szCs w:val="56"/>
        </w:rPr>
      </w:pPr>
    </w:p>
    <w:p w:rsidR="00A91EDB" w:rsidRDefault="00A91EDB">
      <w:pPr>
        <w:pStyle w:val="Default"/>
        <w:jc w:val="center"/>
        <w:rPr>
          <w:sz w:val="84"/>
          <w:szCs w:val="84"/>
        </w:rPr>
      </w:pPr>
    </w:p>
    <w:p w:rsidR="00A91EDB" w:rsidRDefault="00E31F4D">
      <w:pPr>
        <w:pStyle w:val="Default"/>
        <w:jc w:val="center"/>
        <w:rPr>
          <w:sz w:val="84"/>
          <w:szCs w:val="84"/>
        </w:rPr>
      </w:pPr>
      <w:r>
        <w:rPr>
          <w:rFonts w:hint="eastAsia"/>
          <w:sz w:val="84"/>
          <w:szCs w:val="84"/>
        </w:rPr>
        <w:t>2021年度</w:t>
      </w:r>
    </w:p>
    <w:p w:rsidR="00A91EDB" w:rsidRDefault="00E31F4D">
      <w:pPr>
        <w:pStyle w:val="Default"/>
        <w:jc w:val="center"/>
        <w:rPr>
          <w:sz w:val="84"/>
          <w:szCs w:val="84"/>
        </w:rPr>
      </w:pPr>
      <w:r>
        <w:rPr>
          <w:rFonts w:hint="eastAsia"/>
          <w:sz w:val="84"/>
          <w:szCs w:val="84"/>
        </w:rPr>
        <w:t>中共湖南省委宣传部</w:t>
      </w:r>
    </w:p>
    <w:p w:rsidR="00A91EDB" w:rsidRDefault="00E31F4D">
      <w:pPr>
        <w:pStyle w:val="Default"/>
        <w:jc w:val="center"/>
        <w:rPr>
          <w:sz w:val="84"/>
          <w:szCs w:val="84"/>
        </w:rPr>
      </w:pPr>
      <w:r>
        <w:rPr>
          <w:rFonts w:hint="eastAsia"/>
          <w:sz w:val="84"/>
          <w:szCs w:val="84"/>
        </w:rPr>
        <w:t>部门决算</w:t>
      </w:r>
    </w:p>
    <w:p w:rsidR="00A91EDB" w:rsidRDefault="00A91EDB">
      <w:pPr>
        <w:pStyle w:val="Default"/>
        <w:jc w:val="center"/>
        <w:rPr>
          <w:sz w:val="56"/>
          <w:szCs w:val="56"/>
        </w:rPr>
      </w:pPr>
    </w:p>
    <w:p w:rsidR="00A91EDB" w:rsidRDefault="00E31F4D">
      <w:pPr>
        <w:pStyle w:val="Default"/>
        <w:jc w:val="center"/>
        <w:rPr>
          <w:sz w:val="56"/>
          <w:szCs w:val="56"/>
        </w:rPr>
      </w:pPr>
      <w:r>
        <w:rPr>
          <w:sz w:val="56"/>
          <w:szCs w:val="56"/>
        </w:rPr>
        <w:br w:type="page"/>
      </w:r>
    </w:p>
    <w:p w:rsidR="00A91EDB" w:rsidRDefault="00A91EDB">
      <w:pPr>
        <w:pStyle w:val="Default"/>
        <w:jc w:val="center"/>
        <w:rPr>
          <w:sz w:val="56"/>
          <w:szCs w:val="56"/>
        </w:rPr>
      </w:pPr>
    </w:p>
    <w:p w:rsidR="00A91EDB" w:rsidRDefault="00A91EDB">
      <w:pPr>
        <w:pStyle w:val="Default"/>
        <w:jc w:val="center"/>
        <w:rPr>
          <w:sz w:val="56"/>
          <w:szCs w:val="56"/>
        </w:rPr>
      </w:pPr>
    </w:p>
    <w:p w:rsidR="00A91EDB" w:rsidRDefault="00A91EDB">
      <w:pPr>
        <w:pStyle w:val="Default"/>
        <w:jc w:val="center"/>
        <w:rPr>
          <w:sz w:val="32"/>
          <w:szCs w:val="32"/>
        </w:rPr>
      </w:pPr>
    </w:p>
    <w:p w:rsidR="00A91EDB" w:rsidRDefault="00A91EDB">
      <w:pPr>
        <w:pStyle w:val="Default"/>
        <w:jc w:val="center"/>
        <w:rPr>
          <w:sz w:val="32"/>
          <w:szCs w:val="32"/>
        </w:rPr>
      </w:pPr>
    </w:p>
    <w:p w:rsidR="00A91EDB" w:rsidRDefault="00E31F4D">
      <w:pPr>
        <w:pStyle w:val="Default"/>
        <w:jc w:val="center"/>
        <w:rPr>
          <w:b/>
          <w:sz w:val="36"/>
          <w:szCs w:val="28"/>
        </w:rPr>
      </w:pPr>
      <w:r>
        <w:rPr>
          <w:sz w:val="32"/>
          <w:szCs w:val="32"/>
        </w:rPr>
        <w:br w:type="page"/>
      </w:r>
      <w:r>
        <w:rPr>
          <w:rFonts w:hint="eastAsia"/>
          <w:b/>
          <w:sz w:val="36"/>
          <w:szCs w:val="28"/>
        </w:rPr>
        <w:lastRenderedPageBreak/>
        <w:t>目  录</w:t>
      </w:r>
    </w:p>
    <w:p w:rsidR="00A91EDB" w:rsidRDefault="00E31F4D">
      <w:pPr>
        <w:pStyle w:val="Default"/>
        <w:spacing w:line="440" w:lineRule="exact"/>
        <w:rPr>
          <w:rFonts w:ascii="仿宋_GB2312" w:eastAsia="仿宋" w:hAnsi="仿宋_GB2312" w:cs="仿宋_GB2312"/>
          <w:b/>
          <w:sz w:val="28"/>
          <w:szCs w:val="28"/>
        </w:rPr>
      </w:pPr>
      <w:r>
        <w:rPr>
          <w:rFonts w:hint="eastAsia"/>
          <w:b/>
          <w:sz w:val="28"/>
          <w:szCs w:val="28"/>
        </w:rPr>
        <w:t>第一部分 中共湖南省委宣传部单位概况</w:t>
      </w:r>
      <w:r>
        <w:rPr>
          <w:rFonts w:ascii="仿宋" w:eastAsia="仿宋" w:hAnsi="仿宋" w:hint="eastAsia"/>
          <w:b/>
          <w:sz w:val="28"/>
          <w:szCs w:val="28"/>
        </w:rPr>
        <w:t>…………………………………1</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sz w:val="28"/>
          <w:szCs w:val="28"/>
        </w:rPr>
        <w:t>一、部门职责</w:t>
      </w:r>
      <w:r>
        <w:rPr>
          <w:rFonts w:ascii="仿宋" w:eastAsia="仿宋" w:hAnsi="仿宋" w:hint="eastAsia"/>
          <w:b/>
          <w:sz w:val="28"/>
          <w:szCs w:val="28"/>
        </w:rPr>
        <w:t>…………………………………………………………2</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sz w:val="28"/>
          <w:szCs w:val="28"/>
        </w:rPr>
        <w:t>二、机构设置</w:t>
      </w:r>
      <w:r>
        <w:rPr>
          <w:rFonts w:ascii="仿宋" w:eastAsia="仿宋" w:hAnsi="仿宋" w:hint="eastAsia"/>
          <w:b/>
          <w:sz w:val="28"/>
          <w:szCs w:val="28"/>
        </w:rPr>
        <w:t>…………………………………………………………2</w:t>
      </w:r>
    </w:p>
    <w:p w:rsidR="00A91EDB" w:rsidRDefault="00E31F4D">
      <w:pPr>
        <w:pStyle w:val="Default"/>
        <w:spacing w:line="440" w:lineRule="exact"/>
        <w:rPr>
          <w:rFonts w:ascii="仿宋_GB2312" w:eastAsia="仿宋" w:hAnsi="仿宋_GB2312" w:cs="仿宋_GB2312"/>
          <w:b/>
          <w:sz w:val="28"/>
          <w:szCs w:val="28"/>
        </w:rPr>
      </w:pPr>
      <w:r>
        <w:rPr>
          <w:rFonts w:hAnsi="仿宋_GB2312" w:hint="eastAsia"/>
          <w:b/>
          <w:sz w:val="28"/>
          <w:szCs w:val="28"/>
        </w:rPr>
        <w:t xml:space="preserve">第二部分 </w:t>
      </w:r>
      <w:r>
        <w:rPr>
          <w:rFonts w:hAnsi="仿宋_GB2312"/>
          <w:b/>
          <w:sz w:val="28"/>
          <w:szCs w:val="28"/>
        </w:rPr>
        <w:t>20</w:t>
      </w:r>
      <w:r>
        <w:rPr>
          <w:rFonts w:hAnsi="仿宋_GB2312" w:hint="eastAsia"/>
          <w:b/>
          <w:sz w:val="28"/>
          <w:szCs w:val="28"/>
        </w:rPr>
        <w:t>21年度部门决算表</w:t>
      </w:r>
      <w:r>
        <w:rPr>
          <w:rFonts w:ascii="仿宋" w:eastAsia="仿宋" w:hAnsi="仿宋" w:hint="eastAsia"/>
          <w:b/>
          <w:sz w:val="28"/>
          <w:szCs w:val="28"/>
        </w:rPr>
        <w:t>……………………………………………3</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sz w:val="28"/>
          <w:szCs w:val="28"/>
        </w:rPr>
        <w:t>一、收入支出决算总表</w:t>
      </w:r>
      <w:r>
        <w:rPr>
          <w:rFonts w:ascii="仿宋" w:eastAsia="仿宋" w:hAnsi="仿宋" w:hint="eastAsia"/>
          <w:b/>
          <w:sz w:val="28"/>
          <w:szCs w:val="28"/>
        </w:rPr>
        <w:t>………………………………………………4</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sz w:val="28"/>
          <w:szCs w:val="28"/>
        </w:rPr>
        <w:t>二、收入决算表</w:t>
      </w:r>
      <w:r>
        <w:rPr>
          <w:rFonts w:ascii="仿宋" w:eastAsia="仿宋" w:hAnsi="仿宋" w:hint="eastAsia"/>
          <w:b/>
          <w:sz w:val="28"/>
          <w:szCs w:val="28"/>
        </w:rPr>
        <w:t>………………………………………………………5</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sz w:val="28"/>
          <w:szCs w:val="28"/>
        </w:rPr>
        <w:t>三、支出决算表</w:t>
      </w:r>
      <w:r>
        <w:rPr>
          <w:rFonts w:ascii="仿宋" w:eastAsia="仿宋" w:hAnsi="仿宋" w:hint="eastAsia"/>
          <w:b/>
          <w:sz w:val="28"/>
          <w:szCs w:val="28"/>
        </w:rPr>
        <w:t>………………………………………………………7</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sz w:val="28"/>
          <w:szCs w:val="28"/>
        </w:rPr>
        <w:t>四、财政拨款收入支出决算总表</w:t>
      </w:r>
      <w:r>
        <w:rPr>
          <w:rFonts w:ascii="仿宋" w:eastAsia="仿宋" w:hAnsi="仿宋" w:hint="eastAsia"/>
          <w:b/>
          <w:sz w:val="28"/>
          <w:szCs w:val="28"/>
        </w:rPr>
        <w:t>……………………………………9</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sz w:val="28"/>
          <w:szCs w:val="28"/>
        </w:rPr>
        <w:t>五、一般公共预算财政拨款支出决算表</w:t>
      </w:r>
      <w:r>
        <w:rPr>
          <w:rFonts w:ascii="仿宋" w:eastAsia="仿宋" w:hAnsi="仿宋" w:hint="eastAsia"/>
          <w:b/>
          <w:sz w:val="28"/>
          <w:szCs w:val="28"/>
        </w:rPr>
        <w:t>……………………………11</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sz w:val="28"/>
          <w:szCs w:val="28"/>
        </w:rPr>
        <w:t>六、一般公共预算财政拨款基本支出决算</w:t>
      </w:r>
      <w:r>
        <w:rPr>
          <w:rFonts w:ascii="宋体" w:eastAsia="宋体" w:hAnsi="宋体" w:cs="仿宋_GB2312" w:hint="eastAsia"/>
          <w:sz w:val="28"/>
          <w:szCs w:val="28"/>
        </w:rPr>
        <w:t>明细</w:t>
      </w:r>
      <w:r>
        <w:rPr>
          <w:rFonts w:ascii="宋体" w:eastAsia="宋体" w:hAnsi="宋体" w:cs="仿宋_GB2312"/>
          <w:sz w:val="28"/>
          <w:szCs w:val="28"/>
        </w:rPr>
        <w:t>表</w:t>
      </w:r>
      <w:r>
        <w:rPr>
          <w:rFonts w:ascii="仿宋" w:eastAsia="仿宋" w:hAnsi="仿宋" w:hint="eastAsia"/>
          <w:b/>
          <w:sz w:val="28"/>
          <w:szCs w:val="28"/>
        </w:rPr>
        <w:t>…………………13</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sz w:val="28"/>
          <w:szCs w:val="28"/>
        </w:rPr>
        <w:t>七、一般公共预算财政拨款“三公”经费支出决算表</w:t>
      </w:r>
      <w:r>
        <w:rPr>
          <w:rFonts w:ascii="仿宋" w:eastAsia="仿宋" w:hAnsi="仿宋" w:hint="eastAsia"/>
          <w:b/>
          <w:sz w:val="28"/>
          <w:szCs w:val="28"/>
        </w:rPr>
        <w:t>……………15</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sz w:val="28"/>
          <w:szCs w:val="28"/>
        </w:rPr>
        <w:t>八、政府性基金预算财政拨款收入支出决算表</w:t>
      </w:r>
      <w:r>
        <w:rPr>
          <w:rFonts w:ascii="仿宋" w:eastAsia="仿宋" w:hAnsi="仿宋" w:hint="eastAsia"/>
          <w:b/>
          <w:sz w:val="28"/>
          <w:szCs w:val="28"/>
        </w:rPr>
        <w:t>……………………16</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hint="eastAsia"/>
          <w:sz w:val="28"/>
          <w:szCs w:val="28"/>
        </w:rPr>
        <w:t>九、国有资本经营预算财政拨款支出决算表</w:t>
      </w:r>
      <w:r>
        <w:rPr>
          <w:rFonts w:ascii="仿宋" w:eastAsia="仿宋" w:hAnsi="仿宋" w:hint="eastAsia"/>
          <w:b/>
          <w:sz w:val="28"/>
          <w:szCs w:val="28"/>
        </w:rPr>
        <w:t>………………………17</w:t>
      </w:r>
    </w:p>
    <w:p w:rsidR="00A91EDB" w:rsidRDefault="00E31F4D">
      <w:pPr>
        <w:pStyle w:val="Default"/>
        <w:spacing w:line="440" w:lineRule="exact"/>
        <w:rPr>
          <w:rFonts w:ascii="仿宋_GB2312" w:eastAsia="仿宋" w:hAnsi="仿宋_GB2312" w:cs="仿宋_GB2312"/>
          <w:b/>
          <w:sz w:val="28"/>
          <w:szCs w:val="28"/>
        </w:rPr>
      </w:pPr>
      <w:r>
        <w:rPr>
          <w:rFonts w:hAnsi="仿宋_GB2312" w:hint="eastAsia"/>
          <w:b/>
          <w:sz w:val="28"/>
          <w:szCs w:val="28"/>
        </w:rPr>
        <w:t xml:space="preserve">第三部分 </w:t>
      </w:r>
      <w:r>
        <w:rPr>
          <w:rFonts w:hAnsi="仿宋_GB2312"/>
          <w:b/>
          <w:sz w:val="28"/>
          <w:szCs w:val="28"/>
        </w:rPr>
        <w:t>20</w:t>
      </w:r>
      <w:r>
        <w:rPr>
          <w:rFonts w:hAnsi="仿宋_GB2312" w:hint="eastAsia"/>
          <w:b/>
          <w:sz w:val="28"/>
          <w:szCs w:val="28"/>
        </w:rPr>
        <w:t>21年度部门决算情况说明</w:t>
      </w:r>
      <w:r>
        <w:rPr>
          <w:rFonts w:ascii="仿宋" w:eastAsia="仿宋" w:hAnsi="仿宋" w:hint="eastAsia"/>
          <w:b/>
          <w:sz w:val="28"/>
          <w:szCs w:val="28"/>
        </w:rPr>
        <w:t>………………………</w:t>
      </w:r>
      <w:r>
        <w:rPr>
          <w:rFonts w:ascii="仿宋" w:eastAsia="仿宋" w:hAnsi="仿宋" w:hint="eastAsia"/>
          <w:b/>
          <w:spacing w:val="20"/>
          <w:sz w:val="28"/>
          <w:szCs w:val="28"/>
        </w:rPr>
        <w:t>……</w:t>
      </w:r>
      <w:r>
        <w:rPr>
          <w:rFonts w:ascii="仿宋" w:eastAsia="仿宋" w:hAnsi="仿宋" w:hint="eastAsia"/>
          <w:b/>
          <w:sz w:val="28"/>
          <w:szCs w:val="28"/>
        </w:rPr>
        <w:t>……18</w:t>
      </w:r>
    </w:p>
    <w:p w:rsidR="00A91EDB" w:rsidRDefault="00E31F4D">
      <w:pPr>
        <w:pStyle w:val="Default"/>
        <w:spacing w:line="440" w:lineRule="exact"/>
        <w:ind w:firstLineChars="250" w:firstLine="700"/>
        <w:rPr>
          <w:rFonts w:ascii="宋体" w:eastAsia="仿宋" w:hAnsi="宋体" w:cs="仿宋_GB2312"/>
          <w:sz w:val="28"/>
          <w:szCs w:val="28"/>
        </w:rPr>
      </w:pPr>
      <w:r>
        <w:rPr>
          <w:rFonts w:ascii="宋体" w:eastAsia="宋体" w:hAnsi="宋体" w:cs="仿宋_GB2312"/>
          <w:sz w:val="28"/>
          <w:szCs w:val="28"/>
        </w:rPr>
        <w:t>一、收入支出决算总体情况说明</w:t>
      </w:r>
      <w:r>
        <w:rPr>
          <w:rFonts w:ascii="仿宋" w:eastAsia="仿宋" w:hAnsi="仿宋" w:hint="eastAsia"/>
          <w:b/>
          <w:sz w:val="28"/>
          <w:szCs w:val="28"/>
        </w:rPr>
        <w:t>……………………………………19</w:t>
      </w:r>
    </w:p>
    <w:p w:rsidR="00A91EDB" w:rsidRDefault="00E31F4D">
      <w:pPr>
        <w:spacing w:line="440" w:lineRule="exact"/>
        <w:ind w:firstLineChars="250" w:firstLine="700"/>
        <w:jc w:val="left"/>
        <w:rPr>
          <w:rFonts w:ascii="仿宋_GB2312" w:eastAsia="仿宋" w:hAnsi="仿宋_GB2312" w:cs="仿宋_GB2312"/>
          <w:color w:val="000000"/>
          <w:sz w:val="28"/>
          <w:szCs w:val="28"/>
        </w:rPr>
      </w:pPr>
      <w:r>
        <w:rPr>
          <w:rFonts w:ascii="仿宋_GB2312" w:hAnsi="仿宋_GB2312" w:cs="仿宋_GB2312"/>
          <w:color w:val="000000"/>
          <w:sz w:val="28"/>
          <w:szCs w:val="28"/>
        </w:rPr>
        <w:t>二、收入决算情况说明</w:t>
      </w:r>
      <w:r>
        <w:rPr>
          <w:rFonts w:ascii="仿宋" w:eastAsia="仿宋" w:hAnsi="仿宋" w:hint="eastAsia"/>
          <w:b/>
          <w:color w:val="000000"/>
          <w:sz w:val="28"/>
          <w:szCs w:val="28"/>
        </w:rPr>
        <w:t>………………………………………………19</w:t>
      </w:r>
    </w:p>
    <w:p w:rsidR="00A91EDB" w:rsidRDefault="00E31F4D">
      <w:pPr>
        <w:autoSpaceDE w:val="0"/>
        <w:autoSpaceDN w:val="0"/>
        <w:adjustRightInd w:val="0"/>
        <w:spacing w:line="440" w:lineRule="exact"/>
        <w:ind w:firstLineChars="250" w:firstLine="700"/>
        <w:jc w:val="left"/>
        <w:rPr>
          <w:rFonts w:ascii="仿宋_GB2312" w:eastAsia="仿宋" w:hAnsi="仿宋_GB2312" w:cs="仿宋_GB2312"/>
          <w:color w:val="000000"/>
          <w:kern w:val="0"/>
          <w:sz w:val="28"/>
          <w:szCs w:val="28"/>
        </w:rPr>
      </w:pPr>
      <w:r>
        <w:rPr>
          <w:rFonts w:ascii="仿宋_GB2312" w:hAnsi="仿宋_GB2312" w:cs="仿宋_GB2312"/>
          <w:color w:val="000000"/>
          <w:kern w:val="0"/>
          <w:sz w:val="28"/>
          <w:szCs w:val="28"/>
        </w:rPr>
        <w:t>三、支出决算情况说明</w:t>
      </w:r>
      <w:r>
        <w:rPr>
          <w:rFonts w:ascii="仿宋" w:eastAsia="仿宋" w:hAnsi="仿宋" w:hint="eastAsia"/>
          <w:b/>
          <w:color w:val="000000"/>
          <w:sz w:val="28"/>
          <w:szCs w:val="28"/>
        </w:rPr>
        <w:t>………………………………………………19</w:t>
      </w:r>
    </w:p>
    <w:p w:rsidR="00A91EDB" w:rsidRDefault="00E31F4D">
      <w:pPr>
        <w:autoSpaceDE w:val="0"/>
        <w:autoSpaceDN w:val="0"/>
        <w:adjustRightInd w:val="0"/>
        <w:spacing w:line="440" w:lineRule="exact"/>
        <w:ind w:firstLineChars="250" w:firstLine="700"/>
        <w:jc w:val="left"/>
        <w:rPr>
          <w:rFonts w:ascii="仿宋_GB2312" w:eastAsia="仿宋"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r>
        <w:rPr>
          <w:rFonts w:ascii="仿宋" w:eastAsia="仿宋" w:hAnsi="仿宋" w:hint="eastAsia"/>
          <w:b/>
          <w:color w:val="000000"/>
          <w:sz w:val="28"/>
          <w:szCs w:val="28"/>
        </w:rPr>
        <w:t>…………………………19</w:t>
      </w:r>
    </w:p>
    <w:p w:rsidR="00A91EDB" w:rsidRDefault="00E31F4D">
      <w:pPr>
        <w:autoSpaceDE w:val="0"/>
        <w:autoSpaceDN w:val="0"/>
        <w:adjustRightInd w:val="0"/>
        <w:spacing w:line="440" w:lineRule="exact"/>
        <w:ind w:firstLineChars="250" w:firstLine="700"/>
        <w:jc w:val="left"/>
        <w:rPr>
          <w:rFonts w:ascii="仿宋_GB2312" w:eastAsia="仿宋"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r>
        <w:rPr>
          <w:rFonts w:ascii="仿宋" w:eastAsia="仿宋" w:hAnsi="仿宋" w:hint="eastAsia"/>
          <w:b/>
          <w:color w:val="000000"/>
          <w:sz w:val="28"/>
          <w:szCs w:val="28"/>
        </w:rPr>
        <w:t>……………………20</w:t>
      </w:r>
    </w:p>
    <w:p w:rsidR="00A91EDB" w:rsidRDefault="00E31F4D">
      <w:pPr>
        <w:autoSpaceDE w:val="0"/>
        <w:autoSpaceDN w:val="0"/>
        <w:adjustRightInd w:val="0"/>
        <w:spacing w:line="440" w:lineRule="exact"/>
        <w:ind w:firstLineChars="250" w:firstLine="700"/>
        <w:jc w:val="left"/>
        <w:rPr>
          <w:rFonts w:ascii="仿宋_GB2312" w:eastAsia="仿宋"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r>
        <w:rPr>
          <w:rFonts w:ascii="仿宋" w:eastAsia="仿宋" w:hAnsi="仿宋" w:hint="eastAsia"/>
          <w:b/>
          <w:color w:val="000000"/>
          <w:sz w:val="28"/>
          <w:szCs w:val="28"/>
        </w:rPr>
        <w:t>………………25</w:t>
      </w:r>
    </w:p>
    <w:p w:rsidR="00A91EDB" w:rsidRDefault="00E31F4D">
      <w:pPr>
        <w:autoSpaceDE w:val="0"/>
        <w:autoSpaceDN w:val="0"/>
        <w:adjustRightInd w:val="0"/>
        <w:spacing w:line="440" w:lineRule="exact"/>
        <w:ind w:firstLineChars="250" w:firstLine="700"/>
        <w:jc w:val="left"/>
        <w:rPr>
          <w:rFonts w:ascii="仿宋_GB2312" w:eastAsia="仿宋"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r>
        <w:rPr>
          <w:rFonts w:ascii="仿宋" w:eastAsia="仿宋" w:hAnsi="仿宋" w:hint="eastAsia"/>
          <w:b/>
          <w:color w:val="000000"/>
          <w:sz w:val="28"/>
          <w:szCs w:val="28"/>
        </w:rPr>
        <w:t>……25</w:t>
      </w:r>
    </w:p>
    <w:p w:rsidR="00A91EDB" w:rsidRDefault="00E31F4D">
      <w:pPr>
        <w:autoSpaceDE w:val="0"/>
        <w:autoSpaceDN w:val="0"/>
        <w:adjustRightInd w:val="0"/>
        <w:spacing w:line="440" w:lineRule="exact"/>
        <w:ind w:firstLineChars="250" w:firstLine="700"/>
        <w:jc w:val="left"/>
        <w:rPr>
          <w:rFonts w:ascii="仿宋_GB2312" w:eastAsia="仿宋"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r>
        <w:rPr>
          <w:rFonts w:ascii="仿宋" w:eastAsia="仿宋" w:hAnsi="仿宋" w:hint="eastAsia"/>
          <w:b/>
          <w:color w:val="000000"/>
          <w:sz w:val="28"/>
          <w:szCs w:val="28"/>
        </w:rPr>
        <w:t>……………………………27</w:t>
      </w:r>
    </w:p>
    <w:p w:rsidR="00A91EDB" w:rsidRDefault="00E31F4D">
      <w:pPr>
        <w:autoSpaceDE w:val="0"/>
        <w:autoSpaceDN w:val="0"/>
        <w:adjustRightInd w:val="0"/>
        <w:spacing w:line="440" w:lineRule="exact"/>
        <w:ind w:firstLineChars="250" w:firstLine="700"/>
        <w:jc w:val="left"/>
        <w:rPr>
          <w:rFonts w:ascii="仿宋_GB2312" w:eastAsia="仿宋"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r>
        <w:rPr>
          <w:rFonts w:ascii="仿宋" w:eastAsia="仿宋" w:hAnsi="仿宋" w:hint="eastAsia"/>
          <w:b/>
          <w:color w:val="000000"/>
          <w:sz w:val="28"/>
          <w:szCs w:val="28"/>
        </w:rPr>
        <w:t>…………………………………………27</w:t>
      </w:r>
    </w:p>
    <w:p w:rsidR="00A91EDB" w:rsidRDefault="00E31F4D">
      <w:pPr>
        <w:autoSpaceDE w:val="0"/>
        <w:autoSpaceDN w:val="0"/>
        <w:adjustRightInd w:val="0"/>
        <w:spacing w:line="440" w:lineRule="exact"/>
        <w:ind w:firstLineChars="250" w:firstLine="700"/>
        <w:jc w:val="left"/>
        <w:rPr>
          <w:rFonts w:ascii="仿宋_GB2312" w:eastAsia="仿宋" w:hAnsi="仿宋_GB2312" w:cs="仿宋_GB2312"/>
          <w:color w:val="000000"/>
          <w:kern w:val="0"/>
          <w:sz w:val="28"/>
          <w:szCs w:val="28"/>
        </w:rPr>
      </w:pPr>
      <w:r>
        <w:rPr>
          <w:rFonts w:ascii="仿宋_GB2312" w:hAnsi="仿宋_GB2312" w:cs="仿宋_GB2312" w:hint="eastAsia"/>
          <w:color w:val="000000"/>
          <w:kern w:val="0"/>
          <w:sz w:val="28"/>
          <w:szCs w:val="28"/>
        </w:rPr>
        <w:t>十、一般性支出情况说明</w:t>
      </w:r>
      <w:r>
        <w:rPr>
          <w:rFonts w:ascii="仿宋" w:eastAsia="仿宋" w:hAnsi="仿宋" w:hint="eastAsia"/>
          <w:b/>
          <w:color w:val="000000"/>
          <w:sz w:val="28"/>
          <w:szCs w:val="28"/>
        </w:rPr>
        <w:t>……………………………………………27</w:t>
      </w:r>
    </w:p>
    <w:p w:rsidR="00A91EDB" w:rsidRDefault="00E31F4D">
      <w:pPr>
        <w:autoSpaceDE w:val="0"/>
        <w:autoSpaceDN w:val="0"/>
        <w:adjustRightInd w:val="0"/>
        <w:spacing w:line="440" w:lineRule="exact"/>
        <w:ind w:firstLineChars="250" w:firstLine="700"/>
        <w:jc w:val="left"/>
        <w:rPr>
          <w:rFonts w:ascii="仿宋_GB2312" w:eastAsia="仿宋" w:hAnsi="仿宋_GB2312" w:cs="仿宋_GB2312"/>
          <w:color w:val="000000"/>
          <w:kern w:val="0"/>
          <w:sz w:val="28"/>
          <w:szCs w:val="28"/>
        </w:rPr>
      </w:pPr>
      <w:r>
        <w:rPr>
          <w:rFonts w:ascii="仿宋_GB2312" w:hAnsi="仿宋_GB2312" w:cs="仿宋_GB2312" w:hint="eastAsia"/>
          <w:color w:val="000000"/>
          <w:kern w:val="0"/>
          <w:sz w:val="28"/>
          <w:szCs w:val="28"/>
        </w:rPr>
        <w:t>十一、政府采购支出说明</w:t>
      </w:r>
      <w:r>
        <w:rPr>
          <w:rFonts w:ascii="仿宋" w:eastAsia="仿宋" w:hAnsi="仿宋" w:hint="eastAsia"/>
          <w:b/>
          <w:color w:val="000000"/>
          <w:sz w:val="28"/>
          <w:szCs w:val="28"/>
        </w:rPr>
        <w:t>……………………………………………27</w:t>
      </w:r>
    </w:p>
    <w:p w:rsidR="00A91EDB" w:rsidRDefault="00E31F4D">
      <w:pPr>
        <w:pStyle w:val="Default"/>
        <w:spacing w:line="440" w:lineRule="exact"/>
        <w:ind w:firstLineChars="250" w:firstLine="700"/>
        <w:rPr>
          <w:rFonts w:ascii="仿宋_GB2312" w:eastAsia="仿宋" w:hAnsi="仿宋_GB2312" w:cs="仿宋_GB2312"/>
          <w:sz w:val="28"/>
          <w:szCs w:val="28"/>
        </w:rPr>
      </w:pPr>
      <w:r>
        <w:rPr>
          <w:rFonts w:ascii="仿宋_GB2312" w:eastAsia="宋体" w:hAnsi="仿宋_GB2312" w:cs="仿宋_GB2312" w:hint="eastAsia"/>
          <w:sz w:val="28"/>
          <w:szCs w:val="28"/>
        </w:rPr>
        <w:t>十二、国有资产占用情况说明</w:t>
      </w:r>
      <w:r>
        <w:rPr>
          <w:rFonts w:ascii="仿宋" w:eastAsia="仿宋" w:hAnsi="仿宋" w:hint="eastAsia"/>
          <w:b/>
          <w:sz w:val="28"/>
          <w:szCs w:val="28"/>
        </w:rPr>
        <w:t>………………………………………28</w:t>
      </w:r>
    </w:p>
    <w:p w:rsidR="00A91EDB" w:rsidRDefault="00E31F4D">
      <w:pPr>
        <w:pStyle w:val="Default"/>
        <w:spacing w:line="440" w:lineRule="exact"/>
        <w:ind w:firstLineChars="250" w:firstLine="700"/>
        <w:rPr>
          <w:rFonts w:ascii="仿宋_GB2312" w:eastAsia="仿宋" w:hAnsi="仿宋_GB2312" w:cs="仿宋_GB2312"/>
          <w:sz w:val="28"/>
          <w:szCs w:val="28"/>
        </w:rPr>
      </w:pPr>
      <w:r>
        <w:rPr>
          <w:rFonts w:ascii="仿宋_GB2312" w:eastAsia="宋体" w:hAnsi="仿宋_GB2312" w:cs="仿宋_GB2312" w:hint="eastAsia"/>
          <w:sz w:val="28"/>
          <w:szCs w:val="28"/>
        </w:rPr>
        <w:t>十三、</w:t>
      </w:r>
      <w:r>
        <w:rPr>
          <w:rFonts w:ascii="宋体" w:eastAsia="宋体" w:hAnsi="宋体" w:cs="仿宋_GB2312" w:hint="eastAsia"/>
          <w:sz w:val="28"/>
          <w:szCs w:val="28"/>
        </w:rPr>
        <w:t>2021年</w:t>
      </w:r>
      <w:r>
        <w:rPr>
          <w:rFonts w:ascii="仿宋_GB2312" w:eastAsia="宋体" w:hAnsi="仿宋_GB2312" w:cs="仿宋_GB2312" w:hint="eastAsia"/>
          <w:sz w:val="28"/>
          <w:szCs w:val="28"/>
        </w:rPr>
        <w:t>度预算绩效情况说明</w:t>
      </w:r>
      <w:r>
        <w:rPr>
          <w:rFonts w:ascii="仿宋" w:eastAsia="仿宋" w:hAnsi="仿宋" w:hint="eastAsia"/>
          <w:b/>
          <w:sz w:val="28"/>
          <w:szCs w:val="28"/>
        </w:rPr>
        <w:t>…………………………………28</w:t>
      </w:r>
    </w:p>
    <w:p w:rsidR="00A91EDB" w:rsidRDefault="00E31F4D">
      <w:pPr>
        <w:autoSpaceDE w:val="0"/>
        <w:autoSpaceDN w:val="0"/>
        <w:adjustRightInd w:val="0"/>
        <w:spacing w:line="440" w:lineRule="exact"/>
        <w:jc w:val="left"/>
        <w:rPr>
          <w:rFonts w:ascii="黑体" w:eastAsia="仿宋" w:hAnsi="黑体" w:cs="黑体"/>
          <w:b/>
          <w:color w:val="000000"/>
          <w:kern w:val="0"/>
          <w:sz w:val="28"/>
          <w:szCs w:val="28"/>
        </w:rPr>
      </w:pPr>
      <w:r>
        <w:rPr>
          <w:rFonts w:ascii="黑体" w:eastAsia="黑体" w:hAnsi="黑体" w:cs="黑体"/>
          <w:b/>
          <w:color w:val="000000"/>
          <w:kern w:val="0"/>
          <w:sz w:val="28"/>
          <w:szCs w:val="28"/>
        </w:rPr>
        <w:t>第四部分</w:t>
      </w:r>
      <w:r>
        <w:rPr>
          <w:rFonts w:ascii="黑体" w:eastAsia="黑体" w:hAnsi="黑体" w:cs="黑体" w:hint="eastAsia"/>
          <w:b/>
          <w:color w:val="000000"/>
          <w:kern w:val="0"/>
          <w:sz w:val="28"/>
          <w:szCs w:val="28"/>
        </w:rPr>
        <w:t xml:space="preserve"> </w:t>
      </w:r>
      <w:r>
        <w:rPr>
          <w:rFonts w:ascii="黑体" w:eastAsia="黑体" w:hAnsi="黑体" w:cs="黑体"/>
          <w:b/>
          <w:color w:val="000000"/>
          <w:kern w:val="0"/>
          <w:sz w:val="28"/>
          <w:szCs w:val="28"/>
        </w:rPr>
        <w:t>名词解释</w:t>
      </w:r>
      <w:r>
        <w:rPr>
          <w:rFonts w:ascii="仿宋" w:eastAsia="仿宋" w:hAnsi="仿宋" w:hint="eastAsia"/>
          <w:b/>
          <w:color w:val="000000"/>
          <w:sz w:val="28"/>
          <w:szCs w:val="28"/>
        </w:rPr>
        <w:t>………………………………………………</w:t>
      </w:r>
      <w:r>
        <w:rPr>
          <w:rFonts w:ascii="仿宋" w:eastAsia="仿宋" w:hAnsi="仿宋" w:hint="eastAsia"/>
          <w:b/>
          <w:color w:val="000000"/>
          <w:spacing w:val="20"/>
          <w:sz w:val="28"/>
          <w:szCs w:val="28"/>
        </w:rPr>
        <w:t>……</w:t>
      </w:r>
      <w:r>
        <w:rPr>
          <w:rFonts w:ascii="仿宋" w:eastAsia="仿宋" w:hAnsi="仿宋" w:hint="eastAsia"/>
          <w:b/>
          <w:color w:val="000000"/>
          <w:sz w:val="28"/>
          <w:szCs w:val="28"/>
        </w:rPr>
        <w:t>…30</w:t>
      </w:r>
    </w:p>
    <w:p w:rsidR="00A91EDB" w:rsidRDefault="00E31F4D">
      <w:pPr>
        <w:autoSpaceDE w:val="0"/>
        <w:autoSpaceDN w:val="0"/>
        <w:adjustRightInd w:val="0"/>
        <w:spacing w:line="440" w:lineRule="exact"/>
        <w:jc w:val="left"/>
        <w:rPr>
          <w:rFonts w:eastAsia="仿宋"/>
          <w:color w:val="000000"/>
          <w:sz w:val="72"/>
          <w:szCs w:val="72"/>
        </w:rPr>
        <w:sectPr w:rsidR="00A91EDB">
          <w:footerReference w:type="default" r:id="rId7"/>
          <w:pgSz w:w="11906" w:h="16838"/>
          <w:pgMar w:top="1418" w:right="1588" w:bottom="1134" w:left="1588" w:header="851" w:footer="992" w:gutter="0"/>
          <w:cols w:space="720"/>
          <w:docGrid w:type="lines" w:linePitch="312"/>
        </w:sectPr>
      </w:pPr>
      <w:r>
        <w:rPr>
          <w:rFonts w:ascii="黑体" w:eastAsia="黑体" w:hAnsi="黑体" w:cs="黑体" w:hint="eastAsia"/>
          <w:b/>
          <w:color w:val="000000"/>
          <w:kern w:val="0"/>
          <w:sz w:val="28"/>
          <w:szCs w:val="28"/>
        </w:rPr>
        <w:t>第五部分 附件</w:t>
      </w:r>
      <w:r>
        <w:rPr>
          <w:rFonts w:ascii="仿宋" w:eastAsia="仿宋" w:hAnsi="仿宋" w:hint="eastAsia"/>
          <w:b/>
          <w:color w:val="000000"/>
          <w:sz w:val="28"/>
          <w:szCs w:val="28"/>
        </w:rPr>
        <w:t>……………………………………………………</w:t>
      </w:r>
      <w:r>
        <w:rPr>
          <w:rFonts w:ascii="仿宋" w:eastAsia="仿宋" w:hAnsi="仿宋" w:hint="eastAsia"/>
          <w:b/>
          <w:color w:val="000000"/>
          <w:spacing w:val="20"/>
          <w:sz w:val="28"/>
          <w:szCs w:val="28"/>
        </w:rPr>
        <w:t>……</w:t>
      </w:r>
      <w:r>
        <w:rPr>
          <w:rFonts w:ascii="仿宋" w:eastAsia="仿宋" w:hAnsi="仿宋" w:hint="eastAsia"/>
          <w:b/>
          <w:color w:val="000000"/>
          <w:sz w:val="28"/>
          <w:szCs w:val="28"/>
        </w:rPr>
        <w:t>…33</w:t>
      </w:r>
    </w:p>
    <w:p w:rsidR="00A91EDB" w:rsidRDefault="00A91EDB">
      <w:pPr>
        <w:jc w:val="center"/>
        <w:rPr>
          <w:color w:val="000000"/>
          <w:sz w:val="72"/>
          <w:szCs w:val="72"/>
        </w:rPr>
      </w:pPr>
    </w:p>
    <w:p w:rsidR="00A91EDB" w:rsidRDefault="00A91EDB">
      <w:pPr>
        <w:jc w:val="center"/>
        <w:rPr>
          <w:color w:val="000000"/>
          <w:sz w:val="72"/>
          <w:szCs w:val="72"/>
        </w:rPr>
      </w:pPr>
    </w:p>
    <w:p w:rsidR="00A91EDB" w:rsidRDefault="00A91EDB">
      <w:pPr>
        <w:rPr>
          <w:color w:val="000000"/>
          <w:sz w:val="72"/>
          <w:szCs w:val="72"/>
        </w:rPr>
      </w:pPr>
    </w:p>
    <w:p w:rsidR="00A91EDB" w:rsidRDefault="00E31F4D">
      <w:pPr>
        <w:pStyle w:val="Default"/>
        <w:jc w:val="center"/>
        <w:rPr>
          <w:sz w:val="84"/>
          <w:szCs w:val="84"/>
        </w:rPr>
      </w:pPr>
      <w:r>
        <w:rPr>
          <w:rFonts w:hint="eastAsia"/>
          <w:sz w:val="84"/>
          <w:szCs w:val="84"/>
        </w:rPr>
        <w:t>第一部分</w:t>
      </w:r>
      <w:r>
        <w:rPr>
          <w:sz w:val="84"/>
          <w:szCs w:val="84"/>
        </w:rPr>
        <w:t xml:space="preserve"> </w:t>
      </w:r>
    </w:p>
    <w:p w:rsidR="00A91EDB" w:rsidRDefault="00A91EDB">
      <w:pPr>
        <w:pStyle w:val="Default"/>
        <w:jc w:val="center"/>
        <w:rPr>
          <w:sz w:val="84"/>
          <w:szCs w:val="84"/>
        </w:rPr>
      </w:pPr>
    </w:p>
    <w:p w:rsidR="00A91EDB" w:rsidRDefault="00E31F4D">
      <w:pPr>
        <w:pStyle w:val="Default"/>
        <w:jc w:val="center"/>
        <w:rPr>
          <w:sz w:val="84"/>
          <w:szCs w:val="84"/>
        </w:rPr>
      </w:pPr>
      <w:r>
        <w:rPr>
          <w:rFonts w:hint="eastAsia"/>
          <w:sz w:val="84"/>
          <w:szCs w:val="84"/>
        </w:rPr>
        <w:t>中共湖南省委宣传部</w:t>
      </w:r>
    </w:p>
    <w:p w:rsidR="00A91EDB" w:rsidRDefault="00E31F4D">
      <w:pPr>
        <w:pStyle w:val="Default"/>
        <w:jc w:val="center"/>
        <w:rPr>
          <w:sz w:val="84"/>
          <w:szCs w:val="84"/>
        </w:rPr>
      </w:pPr>
      <w:r>
        <w:rPr>
          <w:rFonts w:hint="eastAsia"/>
          <w:sz w:val="84"/>
          <w:szCs w:val="84"/>
        </w:rPr>
        <w:t>单位概况</w:t>
      </w:r>
    </w:p>
    <w:p w:rsidR="00A91EDB" w:rsidRDefault="00A91EDB">
      <w:pPr>
        <w:jc w:val="center"/>
        <w:rPr>
          <w:color w:val="000000"/>
          <w:sz w:val="72"/>
          <w:szCs w:val="72"/>
        </w:rPr>
      </w:pPr>
    </w:p>
    <w:p w:rsidR="00A91EDB" w:rsidRDefault="00A91EDB">
      <w:pPr>
        <w:jc w:val="center"/>
        <w:rPr>
          <w:color w:val="000000"/>
          <w:sz w:val="72"/>
          <w:szCs w:val="72"/>
        </w:rPr>
      </w:pPr>
    </w:p>
    <w:p w:rsidR="00A91EDB" w:rsidRDefault="00A91EDB">
      <w:pPr>
        <w:jc w:val="center"/>
        <w:rPr>
          <w:color w:val="000000"/>
          <w:sz w:val="72"/>
          <w:szCs w:val="72"/>
        </w:rPr>
      </w:pPr>
    </w:p>
    <w:p w:rsidR="00A91EDB" w:rsidRDefault="00A91EDB">
      <w:pPr>
        <w:jc w:val="center"/>
        <w:rPr>
          <w:color w:val="000000"/>
          <w:sz w:val="72"/>
          <w:szCs w:val="72"/>
        </w:rPr>
      </w:pPr>
    </w:p>
    <w:p w:rsidR="00A91EDB" w:rsidRDefault="00A91EDB">
      <w:pPr>
        <w:jc w:val="center"/>
        <w:rPr>
          <w:color w:val="000000"/>
          <w:sz w:val="72"/>
          <w:szCs w:val="72"/>
        </w:rPr>
      </w:pPr>
    </w:p>
    <w:p w:rsidR="00A91EDB" w:rsidRDefault="00E31F4D">
      <w:pPr>
        <w:pStyle w:val="ab"/>
        <w:snapToGrid w:val="0"/>
        <w:spacing w:line="600" w:lineRule="exact"/>
        <w:ind w:firstLineChars="0" w:firstLine="0"/>
        <w:jc w:val="left"/>
        <w:rPr>
          <w:rFonts w:ascii="黑体" w:eastAsia="黑体" w:hAnsi="黑体"/>
          <w:color w:val="000000"/>
          <w:sz w:val="32"/>
          <w:szCs w:val="32"/>
        </w:rPr>
      </w:pPr>
      <w:r>
        <w:rPr>
          <w:rFonts w:ascii="黑体" w:eastAsia="黑体" w:hAnsi="黑体"/>
          <w:color w:val="000000"/>
          <w:sz w:val="32"/>
          <w:szCs w:val="32"/>
        </w:rPr>
        <w:br w:type="page"/>
      </w:r>
      <w:r>
        <w:rPr>
          <w:rFonts w:ascii="黑体" w:eastAsia="黑体" w:hAnsi="黑体" w:hint="eastAsia"/>
          <w:color w:val="000000"/>
          <w:sz w:val="32"/>
          <w:szCs w:val="32"/>
        </w:rPr>
        <w:lastRenderedPageBreak/>
        <w:t xml:space="preserve">    一、</w:t>
      </w:r>
      <w:r>
        <w:rPr>
          <w:rFonts w:ascii="黑体" w:eastAsia="黑体" w:hAnsi="黑体"/>
          <w:color w:val="000000"/>
          <w:sz w:val="32"/>
          <w:szCs w:val="32"/>
        </w:rPr>
        <w:t>部门职责</w:t>
      </w:r>
    </w:p>
    <w:p w:rsidR="00A91EDB" w:rsidRDefault="00E31F4D">
      <w:pPr>
        <w:snapToGrid w:val="0"/>
        <w:spacing w:line="600" w:lineRule="exact"/>
        <w:ind w:firstLineChars="200" w:firstLine="640"/>
        <w:jc w:val="left"/>
        <w:rPr>
          <w:rFonts w:ascii="仿宋" w:eastAsia="仿宋" w:hAnsi="仿宋"/>
          <w:color w:val="000000"/>
          <w:sz w:val="32"/>
          <w:szCs w:val="32"/>
        </w:rPr>
      </w:pPr>
      <w:r>
        <w:rPr>
          <w:rFonts w:ascii="仿宋" w:eastAsia="仿宋" w:hAnsi="仿宋" w:hint="eastAsia"/>
          <w:color w:val="000000"/>
          <w:sz w:val="32"/>
          <w:szCs w:val="32"/>
        </w:rPr>
        <w:t>上述内容涉密，依法不予公开。</w:t>
      </w:r>
    </w:p>
    <w:p w:rsidR="00A91EDB" w:rsidRDefault="00E31F4D">
      <w:pPr>
        <w:widowControl/>
        <w:snapToGrid w:val="0"/>
        <w:spacing w:line="600" w:lineRule="exact"/>
        <w:ind w:firstLineChars="200" w:firstLine="640"/>
        <w:rPr>
          <w:rFonts w:ascii="黑体" w:eastAsia="黑体" w:hAnsi="黑体"/>
          <w:bCs/>
          <w:color w:val="000000"/>
          <w:kern w:val="0"/>
          <w:sz w:val="32"/>
          <w:szCs w:val="32"/>
        </w:rPr>
      </w:pPr>
      <w:r>
        <w:rPr>
          <w:rFonts w:ascii="黑体" w:eastAsia="黑体" w:hAnsi="黑体" w:hint="eastAsia"/>
          <w:bCs/>
          <w:color w:val="000000"/>
          <w:kern w:val="0"/>
          <w:sz w:val="32"/>
          <w:szCs w:val="32"/>
        </w:rPr>
        <w:t>二、机构设置及决算单位构成</w:t>
      </w:r>
    </w:p>
    <w:p w:rsidR="00A91EDB" w:rsidRDefault="00E31F4D">
      <w:pPr>
        <w:widowControl/>
        <w:snapToGrid w:val="0"/>
        <w:spacing w:line="600" w:lineRule="exact"/>
        <w:ind w:firstLineChars="200" w:firstLine="640"/>
        <w:rPr>
          <w:rFonts w:ascii="黑体" w:eastAsia="黑体" w:hAnsi="黑体"/>
          <w:bCs/>
          <w:color w:val="000000"/>
          <w:kern w:val="0"/>
          <w:sz w:val="32"/>
          <w:szCs w:val="32"/>
        </w:rPr>
      </w:pPr>
      <w:r>
        <w:rPr>
          <w:rFonts w:ascii="仿宋" w:eastAsia="仿宋" w:hAnsi="仿宋" w:hint="eastAsia"/>
          <w:color w:val="000000"/>
          <w:sz w:val="32"/>
          <w:szCs w:val="32"/>
        </w:rPr>
        <w:t>（一）内设机构设置内容涉密，依法不予公开。</w:t>
      </w:r>
    </w:p>
    <w:p w:rsidR="00A91EDB" w:rsidRDefault="00E31F4D">
      <w:pPr>
        <w:snapToGrid w:val="0"/>
        <w:spacing w:line="600" w:lineRule="exact"/>
        <w:ind w:firstLineChars="200" w:firstLine="640"/>
        <w:jc w:val="left"/>
        <w:rPr>
          <w:rFonts w:ascii="仿宋" w:eastAsia="仿宋" w:hAnsi="仿宋"/>
          <w:color w:val="000000"/>
          <w:sz w:val="32"/>
          <w:szCs w:val="32"/>
        </w:rPr>
      </w:pPr>
      <w:r>
        <w:rPr>
          <w:rFonts w:ascii="仿宋" w:eastAsia="仿宋" w:hAnsi="仿宋" w:hint="eastAsia"/>
          <w:color w:val="000000"/>
          <w:sz w:val="32"/>
          <w:szCs w:val="32"/>
        </w:rPr>
        <w:t>（二）决算单位构成。</w:t>
      </w:r>
      <w:bookmarkStart w:id="0" w:name="_GoBack"/>
      <w:r>
        <w:rPr>
          <w:rFonts w:ascii="仿宋" w:eastAsia="仿宋" w:hAnsi="仿宋" w:hint="eastAsia"/>
          <w:color w:val="000000"/>
          <w:sz w:val="32"/>
          <w:szCs w:val="32"/>
        </w:rPr>
        <w:t>中共湖南省委宣传部</w:t>
      </w:r>
      <w:r>
        <w:rPr>
          <w:rFonts w:ascii="仿宋" w:eastAsia="仿宋" w:hAnsi="仿宋"/>
          <w:color w:val="000000"/>
          <w:sz w:val="32"/>
          <w:szCs w:val="32"/>
        </w:rPr>
        <w:t>20</w:t>
      </w:r>
      <w:r>
        <w:rPr>
          <w:rFonts w:ascii="仿宋" w:eastAsia="仿宋" w:hAnsi="仿宋" w:hint="eastAsia"/>
          <w:color w:val="000000"/>
          <w:sz w:val="32"/>
          <w:szCs w:val="32"/>
        </w:rPr>
        <w:t>21年部门决算汇总公开</w:t>
      </w:r>
      <w:bookmarkEnd w:id="0"/>
      <w:r>
        <w:rPr>
          <w:rFonts w:ascii="仿宋" w:eastAsia="仿宋" w:hAnsi="仿宋" w:hint="eastAsia"/>
          <w:color w:val="000000"/>
          <w:sz w:val="32"/>
          <w:szCs w:val="32"/>
        </w:rPr>
        <w:t>单位构成包括：中共湖南省委宣传部本级以及中共湖南省委宣传部出版产品质量监督检测中心。</w:t>
      </w:r>
    </w:p>
    <w:p w:rsidR="00A91EDB" w:rsidRDefault="00A91EDB">
      <w:pPr>
        <w:jc w:val="left"/>
        <w:rPr>
          <w:rFonts w:ascii="仿宋_GB2312" w:eastAsia="仿宋_GB2312" w:hAnsi="宋体"/>
          <w:color w:val="000000"/>
          <w:sz w:val="28"/>
          <w:szCs w:val="32"/>
        </w:rPr>
      </w:pPr>
    </w:p>
    <w:p w:rsidR="00A91EDB" w:rsidRDefault="00A91EDB">
      <w:pPr>
        <w:jc w:val="center"/>
        <w:rPr>
          <w:rFonts w:ascii="黑体" w:eastAsia="黑体" w:hAnsi="黑体"/>
          <w:color w:val="000000"/>
          <w:sz w:val="28"/>
          <w:szCs w:val="28"/>
        </w:rPr>
      </w:pPr>
    </w:p>
    <w:p w:rsidR="00A91EDB" w:rsidRDefault="00A91EDB">
      <w:pPr>
        <w:jc w:val="center"/>
        <w:rPr>
          <w:rFonts w:ascii="黑体" w:eastAsia="黑体" w:hAnsi="黑体"/>
          <w:color w:val="000000"/>
          <w:sz w:val="28"/>
          <w:szCs w:val="28"/>
        </w:rPr>
      </w:pPr>
    </w:p>
    <w:p w:rsidR="00A91EDB" w:rsidRDefault="00A91EDB">
      <w:pPr>
        <w:jc w:val="center"/>
        <w:rPr>
          <w:rFonts w:ascii="黑体" w:eastAsia="黑体" w:hAnsi="黑体"/>
          <w:color w:val="000000"/>
          <w:sz w:val="28"/>
          <w:szCs w:val="28"/>
        </w:rPr>
      </w:pPr>
    </w:p>
    <w:p w:rsidR="00A91EDB" w:rsidRDefault="00A91EDB">
      <w:pPr>
        <w:jc w:val="center"/>
        <w:rPr>
          <w:rFonts w:ascii="黑体" w:eastAsia="黑体" w:hAnsi="黑体"/>
          <w:color w:val="000000"/>
          <w:sz w:val="28"/>
          <w:szCs w:val="28"/>
        </w:rPr>
      </w:pPr>
    </w:p>
    <w:p w:rsidR="00A91EDB" w:rsidRDefault="00A91EDB">
      <w:pPr>
        <w:jc w:val="center"/>
        <w:rPr>
          <w:rFonts w:ascii="黑体" w:eastAsia="黑体" w:hAnsi="黑体"/>
          <w:color w:val="000000"/>
          <w:sz w:val="28"/>
          <w:szCs w:val="28"/>
        </w:rPr>
      </w:pPr>
    </w:p>
    <w:p w:rsidR="00A91EDB" w:rsidRDefault="00A91EDB">
      <w:pPr>
        <w:jc w:val="center"/>
        <w:rPr>
          <w:rFonts w:ascii="黑体" w:eastAsia="黑体" w:hAnsi="黑体"/>
          <w:color w:val="000000"/>
          <w:sz w:val="28"/>
          <w:szCs w:val="28"/>
        </w:rPr>
      </w:pPr>
    </w:p>
    <w:p w:rsidR="00A91EDB" w:rsidRDefault="00A91EDB">
      <w:pPr>
        <w:jc w:val="center"/>
        <w:rPr>
          <w:rFonts w:ascii="黑体" w:eastAsia="黑体" w:hAnsi="黑体"/>
          <w:color w:val="000000"/>
          <w:sz w:val="28"/>
          <w:szCs w:val="28"/>
        </w:rPr>
      </w:pPr>
    </w:p>
    <w:p w:rsidR="00A91EDB" w:rsidRDefault="00A91EDB">
      <w:pPr>
        <w:jc w:val="center"/>
        <w:rPr>
          <w:rFonts w:ascii="黑体" w:eastAsia="黑体" w:hAnsi="黑体"/>
          <w:color w:val="000000"/>
          <w:sz w:val="28"/>
          <w:szCs w:val="28"/>
        </w:rPr>
      </w:pPr>
    </w:p>
    <w:p w:rsidR="00A91EDB" w:rsidRDefault="00A91EDB">
      <w:pPr>
        <w:jc w:val="center"/>
        <w:rPr>
          <w:rFonts w:ascii="黑体" w:eastAsia="黑体" w:hAnsi="黑体"/>
          <w:color w:val="000000"/>
          <w:sz w:val="28"/>
          <w:szCs w:val="28"/>
        </w:rPr>
      </w:pPr>
    </w:p>
    <w:p w:rsidR="00A91EDB" w:rsidRDefault="00A91EDB">
      <w:pPr>
        <w:jc w:val="center"/>
        <w:rPr>
          <w:rFonts w:ascii="黑体" w:eastAsia="黑体" w:hAnsi="黑体"/>
          <w:color w:val="000000"/>
          <w:sz w:val="28"/>
          <w:szCs w:val="28"/>
        </w:rPr>
      </w:pPr>
    </w:p>
    <w:p w:rsidR="00A91EDB" w:rsidRDefault="00A91EDB">
      <w:pPr>
        <w:jc w:val="center"/>
        <w:rPr>
          <w:rFonts w:ascii="黑体" w:eastAsia="黑体" w:hAnsi="黑体"/>
          <w:color w:val="000000"/>
          <w:sz w:val="28"/>
          <w:szCs w:val="28"/>
        </w:rPr>
      </w:pPr>
    </w:p>
    <w:p w:rsidR="00A91EDB" w:rsidRDefault="00A91EDB">
      <w:pPr>
        <w:jc w:val="center"/>
        <w:rPr>
          <w:rFonts w:ascii="黑体" w:eastAsia="黑体" w:hAnsi="黑体"/>
          <w:color w:val="000000"/>
          <w:sz w:val="28"/>
          <w:szCs w:val="28"/>
        </w:rPr>
      </w:pPr>
    </w:p>
    <w:p w:rsidR="00A91EDB" w:rsidRDefault="00A91EDB">
      <w:pPr>
        <w:jc w:val="center"/>
        <w:rPr>
          <w:color w:val="000000"/>
          <w:sz w:val="72"/>
          <w:szCs w:val="72"/>
        </w:rPr>
      </w:pPr>
    </w:p>
    <w:p w:rsidR="00A91EDB" w:rsidRDefault="00A91EDB">
      <w:pPr>
        <w:jc w:val="center"/>
        <w:rPr>
          <w:color w:val="000000"/>
          <w:sz w:val="72"/>
          <w:szCs w:val="72"/>
        </w:rPr>
      </w:pPr>
    </w:p>
    <w:p w:rsidR="00A91EDB" w:rsidRDefault="00A91EDB">
      <w:pPr>
        <w:jc w:val="center"/>
        <w:rPr>
          <w:color w:val="000000"/>
          <w:sz w:val="72"/>
          <w:szCs w:val="72"/>
        </w:rPr>
      </w:pPr>
    </w:p>
    <w:p w:rsidR="00A91EDB" w:rsidRDefault="00A91EDB">
      <w:pPr>
        <w:jc w:val="center"/>
        <w:rPr>
          <w:color w:val="000000"/>
          <w:sz w:val="72"/>
          <w:szCs w:val="72"/>
        </w:rPr>
      </w:pPr>
    </w:p>
    <w:p w:rsidR="00A91EDB" w:rsidRDefault="00A91EDB">
      <w:pPr>
        <w:jc w:val="center"/>
        <w:rPr>
          <w:color w:val="000000"/>
          <w:sz w:val="72"/>
          <w:szCs w:val="72"/>
        </w:rPr>
      </w:pPr>
    </w:p>
    <w:p w:rsidR="00A91EDB" w:rsidRDefault="00E31F4D">
      <w:pPr>
        <w:pStyle w:val="Default"/>
        <w:jc w:val="center"/>
        <w:rPr>
          <w:sz w:val="84"/>
          <w:szCs w:val="84"/>
        </w:rPr>
      </w:pPr>
      <w:r>
        <w:rPr>
          <w:rFonts w:hint="eastAsia"/>
          <w:sz w:val="84"/>
          <w:szCs w:val="84"/>
        </w:rPr>
        <w:t>第二部分</w:t>
      </w:r>
    </w:p>
    <w:p w:rsidR="00A91EDB" w:rsidRDefault="00A91EDB">
      <w:pPr>
        <w:pStyle w:val="Default"/>
        <w:jc w:val="center"/>
        <w:rPr>
          <w:sz w:val="84"/>
          <w:szCs w:val="84"/>
        </w:rPr>
      </w:pPr>
    </w:p>
    <w:p w:rsidR="00A91EDB" w:rsidRDefault="00E31F4D">
      <w:pPr>
        <w:pStyle w:val="Default"/>
        <w:jc w:val="center"/>
        <w:rPr>
          <w:sz w:val="84"/>
          <w:szCs w:val="84"/>
        </w:rPr>
      </w:pPr>
      <w:r>
        <w:rPr>
          <w:rFonts w:hint="eastAsia"/>
          <w:sz w:val="84"/>
          <w:szCs w:val="84"/>
        </w:rPr>
        <w:t>部门决算表</w:t>
      </w:r>
    </w:p>
    <w:p w:rsidR="00A91EDB" w:rsidRDefault="00A91EDB">
      <w:pPr>
        <w:jc w:val="center"/>
        <w:rPr>
          <w:color w:val="000000"/>
          <w:sz w:val="72"/>
          <w:szCs w:val="72"/>
        </w:rPr>
      </w:pPr>
    </w:p>
    <w:p w:rsidR="00A91EDB" w:rsidRDefault="00A91EDB">
      <w:pPr>
        <w:jc w:val="center"/>
        <w:rPr>
          <w:color w:val="000000"/>
          <w:sz w:val="72"/>
          <w:szCs w:val="72"/>
        </w:rPr>
      </w:pPr>
    </w:p>
    <w:p w:rsidR="00A91EDB" w:rsidRDefault="00A91EDB">
      <w:pPr>
        <w:jc w:val="center"/>
        <w:rPr>
          <w:color w:val="000000"/>
          <w:sz w:val="72"/>
          <w:szCs w:val="72"/>
        </w:rPr>
      </w:pPr>
    </w:p>
    <w:p w:rsidR="00A91EDB" w:rsidRDefault="00A91EDB">
      <w:pPr>
        <w:jc w:val="center"/>
        <w:rPr>
          <w:color w:val="000000"/>
          <w:sz w:val="72"/>
          <w:szCs w:val="72"/>
        </w:rPr>
      </w:pPr>
    </w:p>
    <w:p w:rsidR="00A91EDB" w:rsidRDefault="00A91EDB">
      <w:pPr>
        <w:jc w:val="center"/>
        <w:rPr>
          <w:color w:val="000000"/>
          <w:sz w:val="72"/>
          <w:szCs w:val="72"/>
        </w:rPr>
      </w:pPr>
    </w:p>
    <w:p w:rsidR="00A91EDB" w:rsidRDefault="00E31F4D">
      <w:pPr>
        <w:widowControl/>
        <w:jc w:val="center"/>
        <w:rPr>
          <w:rFonts w:ascii="黑体" w:eastAsia="黑体" w:hAnsi="黑体" w:cs="Arial"/>
          <w:color w:val="000000"/>
          <w:kern w:val="0"/>
          <w:sz w:val="30"/>
          <w:szCs w:val="30"/>
        </w:rPr>
      </w:pPr>
      <w:r>
        <w:rPr>
          <w:color w:val="000000"/>
        </w:rPr>
        <w:br w:type="page"/>
      </w:r>
      <w:r>
        <w:rPr>
          <w:rFonts w:ascii="黑体" w:eastAsia="黑体" w:hAnsi="黑体" w:cs="Arial" w:hint="eastAsia"/>
          <w:color w:val="000000"/>
          <w:kern w:val="0"/>
          <w:sz w:val="30"/>
          <w:szCs w:val="30"/>
        </w:rPr>
        <w:lastRenderedPageBreak/>
        <w:t>收入支出决算总表</w:t>
      </w:r>
    </w:p>
    <w:p w:rsidR="00A91EDB" w:rsidRDefault="00E31F4D">
      <w:pPr>
        <w:pStyle w:val="a0"/>
        <w:ind w:firstLineChars="3750" w:firstLine="8250"/>
        <w:rPr>
          <w:color w:val="000000"/>
        </w:rPr>
      </w:pPr>
      <w:r>
        <w:rPr>
          <w:rFonts w:ascii="宋体" w:hAnsi="宋体" w:cs="Arial" w:hint="eastAsia"/>
          <w:color w:val="000000"/>
          <w:kern w:val="0"/>
          <w:sz w:val="22"/>
          <w:szCs w:val="22"/>
        </w:rPr>
        <w:t>公开01表</w:t>
      </w:r>
    </w:p>
    <w:p w:rsidR="00A91EDB" w:rsidRDefault="00E31F4D">
      <w:pPr>
        <w:pStyle w:val="a0"/>
        <w:rPr>
          <w:color w:val="000000"/>
        </w:rPr>
      </w:pPr>
      <w:r>
        <w:rPr>
          <w:rFonts w:ascii="宋体" w:hAnsi="宋体" w:cs="Arial" w:hint="eastAsia"/>
          <w:color w:val="000000"/>
          <w:kern w:val="0"/>
          <w:sz w:val="22"/>
          <w:szCs w:val="22"/>
        </w:rPr>
        <w:t xml:space="preserve">部门：中共湖南省委宣传部决算                </w:t>
      </w:r>
      <w:r>
        <w:rPr>
          <w:rFonts w:ascii="宋体" w:hAnsi="宋体" w:cs="Arial" w:hint="eastAsia"/>
          <w:color w:val="000000"/>
          <w:kern w:val="0"/>
          <w:sz w:val="24"/>
        </w:rPr>
        <w:t xml:space="preserve">2021年度                 </w:t>
      </w:r>
      <w:r>
        <w:rPr>
          <w:rFonts w:ascii="宋体" w:hAnsi="宋体" w:cs="Arial" w:hint="eastAsia"/>
          <w:color w:val="000000"/>
          <w:kern w:val="0"/>
          <w:sz w:val="22"/>
          <w:szCs w:val="22"/>
        </w:rPr>
        <w:t>金额单位：万元</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7"/>
        <w:gridCol w:w="600"/>
        <w:gridCol w:w="1183"/>
        <w:gridCol w:w="2993"/>
        <w:gridCol w:w="600"/>
        <w:gridCol w:w="1191"/>
      </w:tblGrid>
      <w:tr w:rsidR="00A91EDB">
        <w:trPr>
          <w:cantSplit/>
          <w:trHeight w:val="300"/>
          <w:tblHeader/>
        </w:trPr>
        <w:tc>
          <w:tcPr>
            <w:tcW w:w="5070" w:type="dxa"/>
            <w:gridSpan w:val="3"/>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收入</w:t>
            </w:r>
          </w:p>
        </w:tc>
        <w:tc>
          <w:tcPr>
            <w:tcW w:w="4784" w:type="dxa"/>
            <w:gridSpan w:val="3"/>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支出</w:t>
            </w:r>
          </w:p>
        </w:tc>
      </w:tr>
      <w:tr w:rsidR="00A91EDB">
        <w:trPr>
          <w:cantSplit/>
          <w:trHeight w:val="463"/>
          <w:tblHeader/>
        </w:trPr>
        <w:tc>
          <w:tcPr>
            <w:tcW w:w="3287"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行次</w:t>
            </w:r>
          </w:p>
        </w:tc>
        <w:tc>
          <w:tcPr>
            <w:tcW w:w="1183"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金额</w:t>
            </w:r>
          </w:p>
        </w:tc>
        <w:tc>
          <w:tcPr>
            <w:tcW w:w="2993"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行次</w:t>
            </w:r>
          </w:p>
        </w:tc>
        <w:tc>
          <w:tcPr>
            <w:tcW w:w="1191"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金额</w:t>
            </w:r>
          </w:p>
        </w:tc>
      </w:tr>
      <w:tr w:rsidR="00A91EDB">
        <w:trPr>
          <w:cantSplit/>
          <w:trHeight w:val="300"/>
          <w:tblHeader/>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栏次</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183"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栏次</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191"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一、一般公共预算财政拨款收入</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16,251.23</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一、一般公共服务支出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32</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7,748.18</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二、政府性基金预算财政拨款收入</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二、外交支出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33</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三、国有资本经营预算财政拨款收入</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三、国防支出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34</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四、上级补助收入</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四、公共安全支出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35</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五、事业收入</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五、教育支出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36</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六、经营收入</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6</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400.51</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六、科学技术支出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37</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七、附属单位上缴收入</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7</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七、文化旅游体育与传媒支出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38</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5,344.67</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八、其他收入</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8</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2.20</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八、社会保障和就业支出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39</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313.61</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9</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九、卫生健康支出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40</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253.63</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10</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十、节能环保支出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41</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11</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十一、城乡社区支出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42</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12</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十二、农林水支出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43</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13</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十三、交通运输支出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44</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14</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十四、资源勘探工业信息等支出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45</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15</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十五、商业服务业等支出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46</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1,079.80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16</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十六、金融支出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47</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17</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十七、援助其他地区支出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48</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18</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十八、自然资源海洋气象等支出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49</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19</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十九、住房保障支出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50</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392.69</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20</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二十、粮油物资储备支出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51</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21</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二十一、国有资本经营预算支出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52</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22</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二十二、灾害防治及应急管理支出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53</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23</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二十三、其他支出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54</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center"/>
              <w:rPr>
                <w:rFonts w:ascii="宋体" w:hAnsi="宋体" w:cs="Arial"/>
                <w:b/>
                <w:bCs/>
                <w:color w:val="000000"/>
                <w:kern w:val="0"/>
                <w:sz w:val="20"/>
                <w:szCs w:val="20"/>
              </w:rPr>
            </w:pPr>
            <w:r>
              <w:rPr>
                <w:rFonts w:ascii="宋体" w:hAnsi="宋体" w:cs="Arial" w:hint="eastAsia"/>
                <w:b/>
                <w:bCs/>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24</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二十四、债务还本支出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55</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25</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二十五、债务付息支出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56</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26</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二十六、抗疫特别国债安排的支出</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57</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87" w:type="dxa"/>
            <w:noWrap/>
            <w:vAlign w:val="center"/>
          </w:tcPr>
          <w:p w:rsidR="00A91EDB" w:rsidRDefault="00E31F4D">
            <w:pPr>
              <w:widowControl/>
              <w:snapToGrid w:val="0"/>
              <w:ind w:leftChars="-40" w:left="-84" w:rightChars="-40" w:right="-84"/>
              <w:jc w:val="center"/>
              <w:rPr>
                <w:rFonts w:ascii="宋体" w:hAnsi="宋体" w:cs="Arial"/>
                <w:b/>
                <w:bCs/>
                <w:color w:val="000000"/>
                <w:kern w:val="0"/>
                <w:sz w:val="20"/>
                <w:szCs w:val="20"/>
              </w:rPr>
            </w:pPr>
            <w:r>
              <w:rPr>
                <w:rFonts w:ascii="宋体" w:hAnsi="宋体" w:cs="Arial" w:hint="eastAsia"/>
                <w:b/>
                <w:bCs/>
                <w:color w:val="000000"/>
                <w:kern w:val="0"/>
                <w:sz w:val="20"/>
                <w:szCs w:val="20"/>
              </w:rPr>
              <w:t>本年收入合计</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27</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16,653.95</w:t>
            </w:r>
          </w:p>
        </w:tc>
        <w:tc>
          <w:tcPr>
            <w:tcW w:w="2993" w:type="dxa"/>
            <w:noWrap/>
            <w:vAlign w:val="center"/>
          </w:tcPr>
          <w:p w:rsidR="00A91EDB" w:rsidRDefault="00E31F4D">
            <w:pPr>
              <w:widowControl/>
              <w:snapToGrid w:val="0"/>
              <w:ind w:leftChars="-40" w:left="-84" w:rightChars="-40" w:right="-84"/>
              <w:jc w:val="center"/>
              <w:rPr>
                <w:rFonts w:ascii="宋体" w:hAnsi="宋体" w:cs="Arial"/>
                <w:b/>
                <w:bCs/>
                <w:color w:val="000000"/>
                <w:kern w:val="0"/>
                <w:sz w:val="20"/>
                <w:szCs w:val="20"/>
              </w:rPr>
            </w:pPr>
            <w:r>
              <w:rPr>
                <w:rFonts w:ascii="宋体" w:hAnsi="宋体" w:cs="Arial" w:hint="eastAsia"/>
                <w:b/>
                <w:bCs/>
                <w:color w:val="000000"/>
                <w:kern w:val="0"/>
                <w:sz w:val="20"/>
                <w:szCs w:val="20"/>
              </w:rPr>
              <w:t>本年支出合计</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58</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15,132.57</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使用非财政拨款结余</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28</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结余分配</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59</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75.50</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年初结转和结余</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29</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1,309.66</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年末结转和结余</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60</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2,755.53</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30</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993"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61</w:t>
            </w:r>
          </w:p>
        </w:tc>
        <w:tc>
          <w:tcPr>
            <w:tcW w:w="1191" w:type="dxa"/>
            <w:noWrap/>
            <w:vAlign w:val="center"/>
          </w:tcPr>
          <w:p w:rsidR="00A91EDB" w:rsidRDefault="00E31F4D">
            <w:pPr>
              <w:widowControl/>
              <w:snapToGrid w:val="0"/>
              <w:ind w:leftChars="-40" w:left="-84" w:rightChars="-40" w:right="-84"/>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A91EDB">
        <w:trPr>
          <w:cantSplit/>
          <w:trHeight w:val="300"/>
        </w:trPr>
        <w:tc>
          <w:tcPr>
            <w:tcW w:w="3287" w:type="dxa"/>
            <w:noWrap/>
            <w:vAlign w:val="center"/>
          </w:tcPr>
          <w:p w:rsidR="00A91EDB" w:rsidRDefault="00E31F4D">
            <w:pPr>
              <w:widowControl/>
              <w:snapToGrid w:val="0"/>
              <w:ind w:leftChars="-40" w:left="-84" w:rightChars="-40" w:right="-84"/>
              <w:jc w:val="left"/>
              <w:rPr>
                <w:rFonts w:ascii="宋体" w:hAnsi="宋体" w:cs="Arial"/>
                <w:b/>
                <w:bCs/>
                <w:color w:val="000000"/>
                <w:kern w:val="0"/>
                <w:sz w:val="20"/>
                <w:szCs w:val="20"/>
              </w:rPr>
            </w:pPr>
            <w:r>
              <w:rPr>
                <w:rFonts w:ascii="宋体" w:hAnsi="宋体" w:cs="Arial" w:hint="eastAsia"/>
                <w:b/>
                <w:bCs/>
                <w:color w:val="000000"/>
                <w:kern w:val="0"/>
                <w:sz w:val="20"/>
                <w:szCs w:val="20"/>
              </w:rPr>
              <w:t>总计</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31</w:t>
            </w:r>
          </w:p>
        </w:tc>
        <w:tc>
          <w:tcPr>
            <w:tcW w:w="1183"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17,963.61</w:t>
            </w:r>
          </w:p>
        </w:tc>
        <w:tc>
          <w:tcPr>
            <w:tcW w:w="2993" w:type="dxa"/>
            <w:noWrap/>
            <w:vAlign w:val="center"/>
          </w:tcPr>
          <w:p w:rsidR="00A91EDB" w:rsidRDefault="00E31F4D">
            <w:pPr>
              <w:widowControl/>
              <w:snapToGrid w:val="0"/>
              <w:ind w:leftChars="-40" w:left="-84" w:rightChars="-40" w:right="-84"/>
              <w:jc w:val="left"/>
              <w:rPr>
                <w:rFonts w:ascii="宋体" w:hAnsi="宋体" w:cs="Arial"/>
                <w:b/>
                <w:bCs/>
                <w:color w:val="000000"/>
                <w:kern w:val="0"/>
                <w:sz w:val="20"/>
                <w:szCs w:val="20"/>
              </w:rPr>
            </w:pPr>
            <w:r>
              <w:rPr>
                <w:rFonts w:ascii="宋体" w:hAnsi="宋体" w:cs="Arial" w:hint="eastAsia"/>
                <w:b/>
                <w:bCs/>
                <w:color w:val="000000"/>
                <w:kern w:val="0"/>
                <w:sz w:val="20"/>
                <w:szCs w:val="20"/>
              </w:rPr>
              <w:t>总计</w:t>
            </w:r>
          </w:p>
        </w:tc>
        <w:tc>
          <w:tcPr>
            <w:tcW w:w="600" w:type="dxa"/>
            <w:noWrap/>
            <w:vAlign w:val="center"/>
          </w:tcPr>
          <w:p w:rsidR="00A91EDB" w:rsidRDefault="00E31F4D">
            <w:pPr>
              <w:widowControl/>
              <w:snapToGrid w:val="0"/>
              <w:ind w:leftChars="-40" w:left="-84" w:rightChars="-40" w:right="-84"/>
              <w:jc w:val="center"/>
              <w:rPr>
                <w:rFonts w:ascii="宋体" w:hAnsi="宋体" w:cs="Arial"/>
                <w:color w:val="000000"/>
                <w:kern w:val="0"/>
                <w:sz w:val="20"/>
                <w:szCs w:val="20"/>
              </w:rPr>
            </w:pPr>
            <w:r>
              <w:rPr>
                <w:rFonts w:ascii="宋体" w:hAnsi="宋体" w:cs="Arial" w:hint="eastAsia"/>
                <w:color w:val="000000"/>
                <w:kern w:val="0"/>
                <w:sz w:val="20"/>
                <w:szCs w:val="20"/>
              </w:rPr>
              <w:t>62</w:t>
            </w:r>
          </w:p>
        </w:tc>
        <w:tc>
          <w:tcPr>
            <w:tcW w:w="1191" w:type="dxa"/>
            <w:noWrap/>
            <w:vAlign w:val="center"/>
          </w:tcPr>
          <w:p w:rsidR="00A91EDB" w:rsidRDefault="00E31F4D">
            <w:pPr>
              <w:widowControl/>
              <w:snapToGrid w:val="0"/>
              <w:ind w:leftChars="-40" w:left="-84" w:rightChars="-40" w:right="-84"/>
              <w:jc w:val="right"/>
              <w:rPr>
                <w:rFonts w:ascii="宋体" w:hAnsi="宋体" w:cs="Arial"/>
                <w:color w:val="000000"/>
                <w:kern w:val="0"/>
                <w:sz w:val="20"/>
                <w:szCs w:val="20"/>
              </w:rPr>
            </w:pPr>
            <w:r>
              <w:rPr>
                <w:rFonts w:ascii="宋体" w:hAnsi="宋体" w:cs="Arial" w:hint="eastAsia"/>
                <w:color w:val="000000"/>
                <w:kern w:val="0"/>
                <w:sz w:val="20"/>
                <w:szCs w:val="20"/>
              </w:rPr>
              <w:t>17,963.61</w:t>
            </w:r>
          </w:p>
        </w:tc>
      </w:tr>
    </w:tbl>
    <w:p w:rsidR="00A91EDB" w:rsidRDefault="00E31F4D">
      <w:pPr>
        <w:rPr>
          <w:color w:val="000000"/>
        </w:rPr>
      </w:pPr>
      <w:r>
        <w:rPr>
          <w:rFonts w:ascii="宋体" w:hAnsi="宋体" w:cs="Arial" w:hint="eastAsia"/>
          <w:color w:val="000000"/>
          <w:kern w:val="0"/>
          <w:sz w:val="20"/>
          <w:szCs w:val="20"/>
        </w:rPr>
        <w:t>注：1.本表反映部门本年度的总收支和年末结转结余情况。</w:t>
      </w:r>
    </w:p>
    <w:p w:rsidR="00A91EDB" w:rsidRDefault="00E31F4D">
      <w:pPr>
        <w:pStyle w:val="5"/>
        <w:ind w:leftChars="0" w:left="0" w:firstLineChars="200" w:firstLine="400"/>
        <w:rPr>
          <w:rFonts w:ascii="宋体" w:hAnsi="宋体" w:cs="Arial"/>
          <w:color w:val="000000"/>
          <w:kern w:val="0"/>
          <w:sz w:val="20"/>
          <w:szCs w:val="20"/>
        </w:rPr>
      </w:pPr>
      <w:r>
        <w:rPr>
          <w:rFonts w:ascii="宋体" w:hAnsi="宋体" w:cs="Arial" w:hint="eastAsia"/>
          <w:color w:val="000000"/>
          <w:kern w:val="0"/>
          <w:sz w:val="20"/>
          <w:szCs w:val="20"/>
        </w:rPr>
        <w:t>2.本套报表金额单位转换时可能存在尾数误差。</w:t>
      </w:r>
    </w:p>
    <w:p w:rsidR="00A91EDB" w:rsidRDefault="00A91EDB">
      <w:pPr>
        <w:rPr>
          <w:color w:val="000000"/>
        </w:rPr>
      </w:pPr>
    </w:p>
    <w:p w:rsidR="00A91EDB" w:rsidRDefault="00A91EDB">
      <w:pPr>
        <w:pStyle w:val="a0"/>
        <w:rPr>
          <w:color w:val="000000"/>
        </w:rPr>
        <w:sectPr w:rsidR="00A91EDB">
          <w:footerReference w:type="default" r:id="rId8"/>
          <w:pgSz w:w="11906" w:h="16838"/>
          <w:pgMar w:top="1418" w:right="1134" w:bottom="1134" w:left="1134" w:header="851" w:footer="851" w:gutter="0"/>
          <w:pgNumType w:start="1"/>
          <w:cols w:space="720"/>
          <w:docGrid w:type="lines" w:linePitch="312"/>
        </w:sectPr>
      </w:pPr>
    </w:p>
    <w:p w:rsidR="00A91EDB" w:rsidRDefault="00E31F4D">
      <w:pPr>
        <w:jc w:val="center"/>
        <w:rPr>
          <w:rFonts w:ascii="黑体" w:eastAsia="黑体" w:hAnsi="黑体"/>
          <w:color w:val="000000"/>
          <w:sz w:val="28"/>
          <w:szCs w:val="28"/>
        </w:rPr>
      </w:pPr>
      <w:r>
        <w:rPr>
          <w:rFonts w:ascii="黑体" w:eastAsia="黑体" w:hAnsi="黑体" w:cs="Arial" w:hint="eastAsia"/>
          <w:color w:val="000000"/>
          <w:kern w:val="0"/>
          <w:sz w:val="30"/>
          <w:szCs w:val="30"/>
        </w:rPr>
        <w:lastRenderedPageBreak/>
        <w:t>收入决算表</w:t>
      </w:r>
    </w:p>
    <w:p w:rsidR="00A91EDB" w:rsidRDefault="00E31F4D">
      <w:pPr>
        <w:pStyle w:val="a0"/>
        <w:ind w:firstLineChars="6000" w:firstLine="13200"/>
        <w:rPr>
          <w:rFonts w:ascii="宋体" w:hAnsi="宋体" w:cs="Arial"/>
          <w:color w:val="000000"/>
          <w:kern w:val="0"/>
          <w:sz w:val="22"/>
          <w:szCs w:val="22"/>
        </w:rPr>
      </w:pPr>
      <w:r>
        <w:rPr>
          <w:rFonts w:ascii="宋体" w:hAnsi="宋体" w:cs="Arial" w:hint="eastAsia"/>
          <w:color w:val="000000"/>
          <w:kern w:val="0"/>
          <w:sz w:val="22"/>
          <w:szCs w:val="22"/>
        </w:rPr>
        <w:t>公开02表</w:t>
      </w:r>
    </w:p>
    <w:p w:rsidR="00A91EDB" w:rsidRDefault="00E31F4D">
      <w:pPr>
        <w:pStyle w:val="a0"/>
        <w:rPr>
          <w:rFonts w:ascii="宋体" w:hAnsi="宋体" w:cs="Arial"/>
          <w:color w:val="000000"/>
          <w:kern w:val="0"/>
          <w:sz w:val="22"/>
          <w:szCs w:val="22"/>
        </w:rPr>
      </w:pPr>
      <w:r>
        <w:rPr>
          <w:rFonts w:ascii="宋体" w:hAnsi="宋体" w:cs="Arial" w:hint="eastAsia"/>
          <w:color w:val="000000"/>
          <w:kern w:val="0"/>
          <w:sz w:val="22"/>
          <w:szCs w:val="22"/>
        </w:rPr>
        <w:t>部门：中共湖南省委宣传部决算                                      2021年度                                          金额单位：万元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6"/>
        <w:gridCol w:w="3774"/>
        <w:gridCol w:w="1437"/>
        <w:gridCol w:w="1437"/>
        <w:gridCol w:w="1437"/>
        <w:gridCol w:w="1437"/>
        <w:gridCol w:w="1437"/>
        <w:gridCol w:w="1437"/>
        <w:gridCol w:w="1434"/>
      </w:tblGrid>
      <w:tr w:rsidR="00A91EDB">
        <w:trPr>
          <w:cantSplit/>
          <w:trHeight w:val="300"/>
          <w:tblHeader/>
        </w:trPr>
        <w:tc>
          <w:tcPr>
            <w:tcW w:w="1599" w:type="pct"/>
            <w:gridSpan w:val="2"/>
            <w:noWrap/>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486" w:type="pct"/>
            <w:vMerge w:val="restar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本年收入合计</w:t>
            </w:r>
          </w:p>
        </w:tc>
        <w:tc>
          <w:tcPr>
            <w:tcW w:w="486" w:type="pct"/>
            <w:vMerge w:val="restar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财政拨款收入</w:t>
            </w:r>
          </w:p>
        </w:tc>
        <w:tc>
          <w:tcPr>
            <w:tcW w:w="486" w:type="pct"/>
            <w:vMerge w:val="restar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上级补助收入</w:t>
            </w:r>
          </w:p>
        </w:tc>
        <w:tc>
          <w:tcPr>
            <w:tcW w:w="486" w:type="pct"/>
            <w:vMerge w:val="restar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事业收入</w:t>
            </w:r>
          </w:p>
        </w:tc>
        <w:tc>
          <w:tcPr>
            <w:tcW w:w="486" w:type="pct"/>
            <w:vMerge w:val="restar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经营收入</w:t>
            </w:r>
          </w:p>
        </w:tc>
        <w:tc>
          <w:tcPr>
            <w:tcW w:w="486" w:type="pct"/>
            <w:vMerge w:val="restar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附属单位</w:t>
            </w:r>
          </w:p>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上缴收入</w:t>
            </w:r>
          </w:p>
        </w:tc>
        <w:tc>
          <w:tcPr>
            <w:tcW w:w="485" w:type="pct"/>
            <w:vMerge w:val="restar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其他收入</w:t>
            </w:r>
          </w:p>
        </w:tc>
      </w:tr>
      <w:tr w:rsidR="00A91EDB">
        <w:trPr>
          <w:cantSplit/>
          <w:trHeight w:val="312"/>
          <w:tblHeader/>
        </w:trPr>
        <w:tc>
          <w:tcPr>
            <w:tcW w:w="323" w:type="pct"/>
            <w:vMerge w:val="restar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功能分类科目编码</w:t>
            </w:r>
          </w:p>
        </w:tc>
        <w:tc>
          <w:tcPr>
            <w:tcW w:w="1276" w:type="pct"/>
            <w:vMerge w:val="restart"/>
            <w:noWrap/>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5" w:type="pct"/>
            <w:vMerge/>
            <w:vAlign w:val="center"/>
          </w:tcPr>
          <w:p w:rsidR="00A91EDB" w:rsidRDefault="00A91EDB">
            <w:pPr>
              <w:widowControl/>
              <w:adjustRightInd w:val="0"/>
              <w:snapToGrid w:val="0"/>
              <w:jc w:val="left"/>
              <w:rPr>
                <w:rFonts w:ascii="宋体" w:hAnsi="宋体" w:cs="Arial"/>
                <w:color w:val="000000"/>
                <w:kern w:val="0"/>
                <w:sz w:val="20"/>
                <w:szCs w:val="20"/>
              </w:rPr>
            </w:pPr>
          </w:p>
        </w:tc>
      </w:tr>
      <w:tr w:rsidR="00A91EDB">
        <w:trPr>
          <w:cantSplit/>
          <w:trHeight w:val="312"/>
          <w:tblHeader/>
        </w:trPr>
        <w:tc>
          <w:tcPr>
            <w:tcW w:w="323"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127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5" w:type="pct"/>
            <w:vMerge/>
            <w:vAlign w:val="center"/>
          </w:tcPr>
          <w:p w:rsidR="00A91EDB" w:rsidRDefault="00A91EDB">
            <w:pPr>
              <w:widowControl/>
              <w:adjustRightInd w:val="0"/>
              <w:snapToGrid w:val="0"/>
              <w:jc w:val="left"/>
              <w:rPr>
                <w:rFonts w:ascii="宋体" w:hAnsi="宋体" w:cs="Arial"/>
                <w:color w:val="000000"/>
                <w:kern w:val="0"/>
                <w:sz w:val="20"/>
                <w:szCs w:val="20"/>
              </w:rPr>
            </w:pPr>
          </w:p>
        </w:tc>
      </w:tr>
      <w:tr w:rsidR="00A91EDB">
        <w:trPr>
          <w:cantSplit/>
          <w:trHeight w:val="312"/>
          <w:tblHeader/>
        </w:trPr>
        <w:tc>
          <w:tcPr>
            <w:tcW w:w="323"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127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6" w:type="pct"/>
            <w:vMerge/>
            <w:vAlign w:val="center"/>
          </w:tcPr>
          <w:p w:rsidR="00A91EDB" w:rsidRDefault="00A91EDB">
            <w:pPr>
              <w:widowControl/>
              <w:adjustRightInd w:val="0"/>
              <w:snapToGrid w:val="0"/>
              <w:jc w:val="left"/>
              <w:rPr>
                <w:rFonts w:ascii="宋体" w:hAnsi="宋体" w:cs="Arial"/>
                <w:color w:val="000000"/>
                <w:kern w:val="0"/>
                <w:sz w:val="20"/>
                <w:szCs w:val="20"/>
              </w:rPr>
            </w:pPr>
          </w:p>
        </w:tc>
        <w:tc>
          <w:tcPr>
            <w:tcW w:w="485" w:type="pct"/>
            <w:vMerge/>
            <w:vAlign w:val="center"/>
          </w:tcPr>
          <w:p w:rsidR="00A91EDB" w:rsidRDefault="00A91EDB">
            <w:pPr>
              <w:widowControl/>
              <w:adjustRightInd w:val="0"/>
              <w:snapToGrid w:val="0"/>
              <w:jc w:val="left"/>
              <w:rPr>
                <w:rFonts w:ascii="宋体" w:hAnsi="宋体" w:cs="Arial"/>
                <w:color w:val="000000"/>
                <w:kern w:val="0"/>
                <w:sz w:val="20"/>
                <w:szCs w:val="20"/>
              </w:rPr>
            </w:pPr>
          </w:p>
        </w:tc>
      </w:tr>
      <w:tr w:rsidR="00A91EDB">
        <w:trPr>
          <w:cantSplit/>
          <w:trHeight w:val="300"/>
          <w:tblHeader/>
        </w:trPr>
        <w:tc>
          <w:tcPr>
            <w:tcW w:w="1599" w:type="pct"/>
            <w:gridSpan w:val="2"/>
            <w:noWrap/>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486" w:type="pc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486" w:type="pc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486" w:type="pc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486" w:type="pc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486" w:type="pc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486" w:type="pc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6</w:t>
            </w:r>
          </w:p>
        </w:tc>
        <w:tc>
          <w:tcPr>
            <w:tcW w:w="485" w:type="pct"/>
            <w:vAlign w:val="center"/>
          </w:tcPr>
          <w:p w:rsidR="00A91EDB" w:rsidRDefault="00E31F4D">
            <w:pPr>
              <w:widowControl/>
              <w:adjustRightInd w:val="0"/>
              <w:snapToGrid w:val="0"/>
              <w:jc w:val="center"/>
              <w:rPr>
                <w:rFonts w:ascii="宋体" w:hAnsi="宋体" w:cs="Arial"/>
                <w:color w:val="000000"/>
                <w:kern w:val="0"/>
                <w:sz w:val="20"/>
                <w:szCs w:val="20"/>
              </w:rPr>
            </w:pPr>
            <w:r>
              <w:rPr>
                <w:rFonts w:ascii="宋体" w:hAnsi="宋体" w:cs="Arial" w:hint="eastAsia"/>
                <w:color w:val="000000"/>
                <w:kern w:val="0"/>
                <w:sz w:val="20"/>
                <w:szCs w:val="20"/>
              </w:rPr>
              <w:t>7</w:t>
            </w:r>
          </w:p>
        </w:tc>
      </w:tr>
      <w:tr w:rsidR="00A91EDB">
        <w:trPr>
          <w:cantSplit/>
          <w:trHeight w:val="300"/>
        </w:trPr>
        <w:tc>
          <w:tcPr>
            <w:tcW w:w="1599" w:type="pct"/>
            <w:gridSpan w:val="2"/>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16,653.95</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16,251.23</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400.51</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2.20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一般公共服务支出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8,797.87</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8,796.12</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1.75</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20104</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发展与改革事务</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160.00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160.00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2010499</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其他发展与改革事务支出</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160.00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160.00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20133</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宣传事务</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7,801.65</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7,799.90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1.75</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2013301</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行政运行</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5,008.98</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5,008.98</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2013302</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一般行政管理事务</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2,552.67</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2,550.92</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1.75</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2013399</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其他宣传事务支出</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240.00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240.00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20136</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其他共产党事务支出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2013602</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一般行政管理事务</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20199</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其他一般公共服务支出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834.22</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834.22</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2019999</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其他一般公共服务支出</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834.22</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834.22</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207</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文化旅游体育与传媒支出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6,065.87</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5,664.91</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400.51</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0.45</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20706</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新闻出版电影</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839.31</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438.35</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400.51</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0.45</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2070606</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版权管理</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45.00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45.00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2070699</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其他新闻出版电影支出</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794.31</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393.35</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400.51</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0.45</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20799</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其他文化旅游体育与传媒支出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5,226.56</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5,226.56</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2079999</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其他文化旅游体育与传媒支出</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5,226.56</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5,226.56</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208</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社会保障和就业支出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329.80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329.80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lastRenderedPageBreak/>
              <w:t>20805</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行政事业单位养老支出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329.00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329.00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2080505</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机关事业单位基本养老保险缴费支出</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329.00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329.00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20899</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其他社会保障和就业支出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0.80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0.80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2089999</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其他社会保障和就业支出</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0.80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0.80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210</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卫生健康支出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260.40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260.40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21011</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行政事业单位医疗</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260.00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260.00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2101101</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行政单位医疗</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260.00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260.00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21099</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其他卫生健康支出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0.40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0.40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2109999</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其他卫生健康支出</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0.40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0.40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216</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商业服务业等支出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800.00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800.00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21602</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商业流通事务</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340.00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340.00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2160299</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其他商业流通事务支出</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340.00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340.00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21606</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涉外发展服务支出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240.00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240.00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2160699</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其他涉外发展服务支出</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240.00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240.00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21699</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其他商业服务业等支出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220.00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220.00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2169999</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其他商业服务业等支出</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220.00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220.00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221</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住房保障支出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400.00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400.00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22102</w:t>
            </w:r>
          </w:p>
        </w:tc>
        <w:tc>
          <w:tcPr>
            <w:tcW w:w="1276" w:type="pct"/>
            <w:noWrap/>
            <w:vAlign w:val="center"/>
          </w:tcPr>
          <w:p w:rsidR="00A91EDB" w:rsidRDefault="00E31F4D">
            <w:pPr>
              <w:widowControl/>
              <w:adjustRightInd w:val="0"/>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住房改革支出</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400.00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400.00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3"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2210201</w:t>
            </w:r>
          </w:p>
        </w:tc>
        <w:tc>
          <w:tcPr>
            <w:tcW w:w="1276" w:type="pct"/>
            <w:noWrap/>
            <w:vAlign w:val="center"/>
          </w:tcPr>
          <w:p w:rsidR="00A91EDB" w:rsidRDefault="00E31F4D">
            <w:pPr>
              <w:widowControl/>
              <w:adjustRightInd w:val="0"/>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住房公积金</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400.00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400.00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6"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85" w:type="pct"/>
            <w:noWrap/>
            <w:vAlign w:val="center"/>
          </w:tcPr>
          <w:p w:rsidR="00A91EDB" w:rsidRDefault="00E31F4D">
            <w:pPr>
              <w:widowControl/>
              <w:adjustRightInd w:val="0"/>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bl>
    <w:p w:rsidR="00A91EDB" w:rsidRDefault="00E31F4D">
      <w:pPr>
        <w:pStyle w:val="5"/>
        <w:ind w:leftChars="0" w:left="0"/>
        <w:rPr>
          <w:color w:val="000000"/>
        </w:rPr>
      </w:pPr>
      <w:r>
        <w:rPr>
          <w:rFonts w:ascii="宋体" w:hAnsi="宋体" w:cs="Arial" w:hint="eastAsia"/>
          <w:color w:val="000000"/>
          <w:kern w:val="0"/>
          <w:sz w:val="20"/>
          <w:szCs w:val="20"/>
        </w:rPr>
        <w:t>注：1.本表反映部门本年度取得的各项收入情况。</w:t>
      </w:r>
    </w:p>
    <w:p w:rsidR="00A91EDB" w:rsidRDefault="00E31F4D">
      <w:pPr>
        <w:pStyle w:val="5"/>
        <w:ind w:leftChars="0" w:left="0" w:firstLineChars="200" w:firstLine="400"/>
        <w:rPr>
          <w:rFonts w:ascii="宋体" w:hAnsi="宋体" w:cs="Arial"/>
          <w:color w:val="000000"/>
          <w:kern w:val="0"/>
          <w:sz w:val="20"/>
          <w:szCs w:val="20"/>
        </w:rPr>
      </w:pPr>
      <w:r>
        <w:rPr>
          <w:rFonts w:ascii="宋体" w:hAnsi="宋体" w:cs="Arial" w:hint="eastAsia"/>
          <w:color w:val="000000"/>
          <w:kern w:val="0"/>
          <w:sz w:val="20"/>
          <w:szCs w:val="20"/>
        </w:rPr>
        <w:t>2.本套报表金额单位转换时可能存在尾数误差。</w:t>
      </w:r>
    </w:p>
    <w:p w:rsidR="00A91EDB" w:rsidRDefault="00A91EDB">
      <w:pPr>
        <w:rPr>
          <w:color w:val="000000"/>
        </w:rPr>
      </w:pPr>
    </w:p>
    <w:p w:rsidR="00A91EDB" w:rsidRDefault="00A91EDB">
      <w:pPr>
        <w:pStyle w:val="5"/>
        <w:rPr>
          <w:color w:val="000000"/>
        </w:rPr>
      </w:pPr>
    </w:p>
    <w:p w:rsidR="00A91EDB" w:rsidRDefault="00E31F4D">
      <w:pPr>
        <w:widowControl/>
        <w:jc w:val="center"/>
        <w:rPr>
          <w:rFonts w:eastAsia="黑体"/>
          <w:bCs/>
          <w:color w:val="000000"/>
          <w:kern w:val="0"/>
          <w:sz w:val="32"/>
          <w:szCs w:val="32"/>
        </w:rPr>
      </w:pPr>
      <w:r>
        <w:rPr>
          <w:rFonts w:eastAsia="黑体" w:hint="eastAsia"/>
          <w:bCs/>
          <w:color w:val="000000"/>
          <w:kern w:val="0"/>
          <w:sz w:val="32"/>
          <w:szCs w:val="32"/>
        </w:rPr>
        <w:lastRenderedPageBreak/>
        <w:t>支出决算表</w:t>
      </w:r>
    </w:p>
    <w:p w:rsidR="00A91EDB" w:rsidRDefault="00E31F4D">
      <w:pPr>
        <w:widowControl/>
        <w:ind w:firstLineChars="6000" w:firstLine="13200"/>
        <w:jc w:val="left"/>
        <w:rPr>
          <w:rFonts w:ascii="宋体" w:hAnsi="宋体"/>
          <w:bCs/>
          <w:color w:val="000000"/>
          <w:kern w:val="0"/>
          <w:sz w:val="22"/>
        </w:rPr>
      </w:pPr>
      <w:r>
        <w:rPr>
          <w:rFonts w:ascii="宋体" w:hAnsi="宋体" w:hint="eastAsia"/>
          <w:bCs/>
          <w:color w:val="000000"/>
          <w:kern w:val="0"/>
          <w:sz w:val="22"/>
        </w:rPr>
        <w:t>公开03表</w:t>
      </w:r>
    </w:p>
    <w:p w:rsidR="00A91EDB" w:rsidRDefault="00E31F4D">
      <w:pPr>
        <w:pStyle w:val="a0"/>
        <w:rPr>
          <w:rFonts w:ascii="宋体" w:hAnsi="宋体" w:cs="Arial"/>
          <w:color w:val="000000"/>
          <w:kern w:val="0"/>
          <w:sz w:val="22"/>
          <w:szCs w:val="22"/>
        </w:rPr>
      </w:pPr>
      <w:r>
        <w:rPr>
          <w:rFonts w:ascii="宋体" w:hAnsi="宋体" w:cs="Arial" w:hint="eastAsia"/>
          <w:color w:val="000000"/>
          <w:kern w:val="0"/>
          <w:sz w:val="22"/>
          <w:szCs w:val="22"/>
        </w:rPr>
        <w:t>部门：中共湖南省委宣传部决算                                      2021年度                                          金额单位：万元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
        <w:gridCol w:w="3681"/>
        <w:gridCol w:w="1691"/>
        <w:gridCol w:w="1692"/>
        <w:gridCol w:w="1692"/>
        <w:gridCol w:w="1692"/>
        <w:gridCol w:w="1692"/>
        <w:gridCol w:w="1689"/>
      </w:tblGrid>
      <w:tr w:rsidR="00A91EDB">
        <w:trPr>
          <w:cantSplit/>
          <w:trHeight w:val="300"/>
          <w:tblHeader/>
        </w:trPr>
        <w:tc>
          <w:tcPr>
            <w:tcW w:w="1568" w:type="pct"/>
            <w:gridSpan w:val="2"/>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572"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本年支出合计</w:t>
            </w:r>
          </w:p>
        </w:tc>
        <w:tc>
          <w:tcPr>
            <w:tcW w:w="572"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基本支出</w:t>
            </w:r>
          </w:p>
        </w:tc>
        <w:tc>
          <w:tcPr>
            <w:tcW w:w="572"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项目支出</w:t>
            </w:r>
          </w:p>
        </w:tc>
        <w:tc>
          <w:tcPr>
            <w:tcW w:w="572"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上缴上级支出</w:t>
            </w:r>
          </w:p>
        </w:tc>
        <w:tc>
          <w:tcPr>
            <w:tcW w:w="572"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经营支出</w:t>
            </w:r>
          </w:p>
        </w:tc>
        <w:tc>
          <w:tcPr>
            <w:tcW w:w="571"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对附属单位</w:t>
            </w:r>
          </w:p>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补助支出</w:t>
            </w:r>
          </w:p>
        </w:tc>
      </w:tr>
      <w:tr w:rsidR="00A91EDB">
        <w:trPr>
          <w:cantSplit/>
          <w:trHeight w:val="312"/>
          <w:tblHeader/>
        </w:trPr>
        <w:tc>
          <w:tcPr>
            <w:tcW w:w="324"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功能分类科目编码</w:t>
            </w:r>
          </w:p>
        </w:tc>
        <w:tc>
          <w:tcPr>
            <w:tcW w:w="1245" w:type="pct"/>
            <w:vMerge w:val="restar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1" w:type="pct"/>
            <w:vMerge/>
            <w:vAlign w:val="center"/>
          </w:tcPr>
          <w:p w:rsidR="00A91EDB" w:rsidRDefault="00A91EDB">
            <w:pPr>
              <w:widowControl/>
              <w:snapToGrid w:val="0"/>
              <w:jc w:val="left"/>
              <w:rPr>
                <w:rFonts w:ascii="宋体" w:hAnsi="宋体" w:cs="Arial"/>
                <w:color w:val="000000"/>
                <w:kern w:val="0"/>
                <w:sz w:val="20"/>
                <w:szCs w:val="20"/>
              </w:rPr>
            </w:pPr>
          </w:p>
        </w:tc>
      </w:tr>
      <w:tr w:rsidR="00A91EDB">
        <w:trPr>
          <w:cantSplit/>
          <w:trHeight w:val="312"/>
          <w:tblHeader/>
        </w:trPr>
        <w:tc>
          <w:tcPr>
            <w:tcW w:w="324" w:type="pct"/>
            <w:vMerge/>
            <w:vAlign w:val="center"/>
          </w:tcPr>
          <w:p w:rsidR="00A91EDB" w:rsidRDefault="00A91EDB">
            <w:pPr>
              <w:widowControl/>
              <w:snapToGrid w:val="0"/>
              <w:jc w:val="left"/>
              <w:rPr>
                <w:rFonts w:ascii="宋体" w:hAnsi="宋体" w:cs="Arial"/>
                <w:color w:val="000000"/>
                <w:kern w:val="0"/>
                <w:sz w:val="20"/>
                <w:szCs w:val="20"/>
              </w:rPr>
            </w:pPr>
          </w:p>
        </w:tc>
        <w:tc>
          <w:tcPr>
            <w:tcW w:w="1245"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1" w:type="pct"/>
            <w:vMerge/>
            <w:vAlign w:val="center"/>
          </w:tcPr>
          <w:p w:rsidR="00A91EDB" w:rsidRDefault="00A91EDB">
            <w:pPr>
              <w:widowControl/>
              <w:snapToGrid w:val="0"/>
              <w:jc w:val="left"/>
              <w:rPr>
                <w:rFonts w:ascii="宋体" w:hAnsi="宋体" w:cs="Arial"/>
                <w:color w:val="000000"/>
                <w:kern w:val="0"/>
                <w:sz w:val="20"/>
                <w:szCs w:val="20"/>
              </w:rPr>
            </w:pPr>
          </w:p>
        </w:tc>
      </w:tr>
      <w:tr w:rsidR="00A91EDB">
        <w:trPr>
          <w:cantSplit/>
          <w:trHeight w:val="312"/>
          <w:tblHeader/>
        </w:trPr>
        <w:tc>
          <w:tcPr>
            <w:tcW w:w="324" w:type="pct"/>
            <w:vMerge/>
            <w:vAlign w:val="center"/>
          </w:tcPr>
          <w:p w:rsidR="00A91EDB" w:rsidRDefault="00A91EDB">
            <w:pPr>
              <w:widowControl/>
              <w:snapToGrid w:val="0"/>
              <w:jc w:val="left"/>
              <w:rPr>
                <w:rFonts w:ascii="宋体" w:hAnsi="宋体" w:cs="Arial"/>
                <w:color w:val="000000"/>
                <w:kern w:val="0"/>
                <w:sz w:val="20"/>
                <w:szCs w:val="20"/>
              </w:rPr>
            </w:pPr>
          </w:p>
        </w:tc>
        <w:tc>
          <w:tcPr>
            <w:tcW w:w="1245"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2" w:type="pct"/>
            <w:vMerge/>
            <w:vAlign w:val="center"/>
          </w:tcPr>
          <w:p w:rsidR="00A91EDB" w:rsidRDefault="00A91EDB">
            <w:pPr>
              <w:widowControl/>
              <w:snapToGrid w:val="0"/>
              <w:jc w:val="left"/>
              <w:rPr>
                <w:rFonts w:ascii="宋体" w:hAnsi="宋体" w:cs="Arial"/>
                <w:color w:val="000000"/>
                <w:kern w:val="0"/>
                <w:sz w:val="20"/>
                <w:szCs w:val="20"/>
              </w:rPr>
            </w:pPr>
          </w:p>
        </w:tc>
        <w:tc>
          <w:tcPr>
            <w:tcW w:w="571" w:type="pct"/>
            <w:vMerge/>
            <w:vAlign w:val="center"/>
          </w:tcPr>
          <w:p w:rsidR="00A91EDB" w:rsidRDefault="00A91EDB">
            <w:pPr>
              <w:widowControl/>
              <w:snapToGrid w:val="0"/>
              <w:jc w:val="left"/>
              <w:rPr>
                <w:rFonts w:ascii="宋体" w:hAnsi="宋体" w:cs="Arial"/>
                <w:color w:val="000000"/>
                <w:kern w:val="0"/>
                <w:sz w:val="20"/>
                <w:szCs w:val="20"/>
              </w:rPr>
            </w:pPr>
          </w:p>
        </w:tc>
      </w:tr>
      <w:tr w:rsidR="00A91EDB">
        <w:trPr>
          <w:cantSplit/>
          <w:trHeight w:val="300"/>
          <w:tblHeader/>
        </w:trPr>
        <w:tc>
          <w:tcPr>
            <w:tcW w:w="1568" w:type="pct"/>
            <w:gridSpan w:val="2"/>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572"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572"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572"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572"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572"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571"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6</w:t>
            </w:r>
          </w:p>
        </w:tc>
      </w:tr>
      <w:tr w:rsidR="00A91EDB">
        <w:trPr>
          <w:cantSplit/>
          <w:trHeight w:val="300"/>
        </w:trPr>
        <w:tc>
          <w:tcPr>
            <w:tcW w:w="1568" w:type="pct"/>
            <w:gridSpan w:val="2"/>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15,132.57</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4,934.90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10,042.42</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155.25</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一般公共服务支出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7,748.18</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3,751.43</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3,996.76</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20103</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政府办公厅（室）及相关机构事务</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16.41</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16.41</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2010301</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行政运行</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16.41</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16.41</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20104</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发展与改革事务</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159.96</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159.96</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2010499</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其他发展与改革事务支出</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159.96</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159.96</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20133</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宣传事务</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6,811.74</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3,751.43</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3,060.31</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2013301</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行政运行</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4,151.25</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3,751.43</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399.82</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2013302</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一般行政管理事务</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2,459.13</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2,459.13</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2013399</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其他宣传事务支出</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201.36</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201.36</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20199</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其他一般公共服务支出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760.07</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760.07</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2019999</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其他一般公共服务支出</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760.07</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760.07</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207</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文化旅游体育与传媒支出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5,344.67</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223.56</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4,965.86</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155.25</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20706</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新闻出版电影</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768.98</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223.56</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390.17</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155.25</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2070606</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版权管理</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52.54</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52.54</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2070699</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其他新闻出版电影支出</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716.44</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223.56</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337.63</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155.25</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20799</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其他文化旅游体育与传媒支出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4,575.69</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4,575.69</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2079999</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其他文化旅游体育与传媒支出</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4,575.69</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4,575.69</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208</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社会保障和就业支出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313.61</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313.61</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lastRenderedPageBreak/>
              <w:t>20805</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行政事业单位养老支出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313.61</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313.61</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2080505</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机关事业单位基本养老保险缴费支出</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313.61</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313.61</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210</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卫生健康支出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253.63</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253.63</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21011</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行政事业单位医疗</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253.63</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253.63</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2101101</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行政单位医疗</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253.63</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253.63</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216</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商业服务业等支出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1,079.80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1,079.80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21602</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商业流通事务</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340.00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340.00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2160299</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其他商业流通事务支出</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340.00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340.00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21606</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涉外发展服务支出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519.80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519.80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2160699</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其他涉外发展服务支出</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519.80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519.80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21699</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其他商业服务业等支出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220.00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220.00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2169999</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其他商业服务业等支出</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220.00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220.00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221</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住房保障支出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392.69</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392.69</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22102</w:t>
            </w:r>
          </w:p>
        </w:tc>
        <w:tc>
          <w:tcPr>
            <w:tcW w:w="124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住房改革支出</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392.69</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392.69</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trPr>
        <w:tc>
          <w:tcPr>
            <w:tcW w:w="324"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2210201</w:t>
            </w:r>
          </w:p>
        </w:tc>
        <w:tc>
          <w:tcPr>
            <w:tcW w:w="124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住房公积金</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392.69</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392.69</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71"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5000" w:type="pct"/>
            <w:gridSpan w:val="8"/>
            <w:noWrap/>
            <w:vAlign w:val="center"/>
          </w:tcPr>
          <w:p w:rsidR="00A91EDB" w:rsidRDefault="00A91EDB">
            <w:pPr>
              <w:widowControl/>
              <w:snapToGrid w:val="0"/>
              <w:jc w:val="left"/>
              <w:rPr>
                <w:rFonts w:ascii="宋体" w:hAnsi="宋体" w:cs="Arial"/>
                <w:color w:val="000000"/>
                <w:kern w:val="0"/>
                <w:sz w:val="20"/>
                <w:szCs w:val="20"/>
              </w:rPr>
            </w:pPr>
          </w:p>
        </w:tc>
      </w:tr>
    </w:tbl>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注：1.本表反映部门本年度各项支出情况。</w:t>
      </w:r>
    </w:p>
    <w:p w:rsidR="00A91EDB" w:rsidRDefault="00E31F4D">
      <w:pPr>
        <w:pStyle w:val="5"/>
        <w:ind w:leftChars="0" w:left="0" w:firstLineChars="200" w:firstLine="400"/>
        <w:rPr>
          <w:rFonts w:ascii="宋体" w:hAnsi="宋体" w:cs="Arial"/>
          <w:color w:val="000000"/>
          <w:kern w:val="0"/>
          <w:sz w:val="20"/>
          <w:szCs w:val="20"/>
        </w:rPr>
      </w:pPr>
      <w:r>
        <w:rPr>
          <w:rFonts w:ascii="宋体" w:hAnsi="宋体" w:cs="Arial" w:hint="eastAsia"/>
          <w:color w:val="000000"/>
          <w:kern w:val="0"/>
          <w:sz w:val="20"/>
          <w:szCs w:val="20"/>
        </w:rPr>
        <w:t>2.本套报表金额单位转换时可能存在尾数误差。</w:t>
      </w:r>
    </w:p>
    <w:p w:rsidR="00A91EDB" w:rsidRDefault="00A91EDB">
      <w:pPr>
        <w:pStyle w:val="a0"/>
        <w:rPr>
          <w:color w:val="000000"/>
        </w:rPr>
      </w:pPr>
    </w:p>
    <w:p w:rsidR="00A91EDB" w:rsidRDefault="00E31F4D">
      <w:pPr>
        <w:widowControl/>
        <w:jc w:val="center"/>
        <w:rPr>
          <w:rFonts w:ascii="黑体" w:eastAsia="黑体" w:hAnsi="黑体"/>
          <w:color w:val="000000"/>
          <w:sz w:val="32"/>
          <w:szCs w:val="32"/>
        </w:rPr>
      </w:pPr>
      <w:r>
        <w:rPr>
          <w:rFonts w:eastAsia="黑体"/>
          <w:bCs/>
          <w:color w:val="000000"/>
          <w:kern w:val="0"/>
          <w:sz w:val="32"/>
          <w:szCs w:val="32"/>
        </w:rPr>
        <w:br w:type="page"/>
      </w:r>
      <w:r>
        <w:rPr>
          <w:rFonts w:ascii="黑体" w:eastAsia="黑体" w:hAnsi="黑体" w:hint="eastAsia"/>
          <w:color w:val="000000"/>
          <w:sz w:val="32"/>
          <w:szCs w:val="32"/>
        </w:rPr>
        <w:lastRenderedPageBreak/>
        <w:t>财政拨款收入支出决算总表</w:t>
      </w:r>
    </w:p>
    <w:p w:rsidR="00A91EDB" w:rsidRDefault="00E31F4D">
      <w:pPr>
        <w:widowControl/>
        <w:ind w:firstLineChars="6000" w:firstLine="13200"/>
        <w:jc w:val="left"/>
        <w:rPr>
          <w:rFonts w:ascii="宋体" w:hAnsi="宋体"/>
          <w:bCs/>
          <w:color w:val="000000"/>
          <w:kern w:val="0"/>
          <w:sz w:val="22"/>
        </w:rPr>
      </w:pPr>
      <w:r>
        <w:rPr>
          <w:rFonts w:ascii="宋体" w:hAnsi="宋体" w:hint="eastAsia"/>
          <w:bCs/>
          <w:color w:val="000000"/>
          <w:kern w:val="0"/>
          <w:sz w:val="22"/>
        </w:rPr>
        <w:t>公开04表</w:t>
      </w:r>
    </w:p>
    <w:p w:rsidR="00A91EDB" w:rsidRDefault="00E31F4D">
      <w:pPr>
        <w:pStyle w:val="a0"/>
        <w:rPr>
          <w:rFonts w:ascii="宋体" w:hAnsi="宋体" w:cs="Arial"/>
          <w:color w:val="000000"/>
          <w:kern w:val="0"/>
          <w:sz w:val="22"/>
          <w:szCs w:val="22"/>
        </w:rPr>
      </w:pPr>
      <w:r>
        <w:rPr>
          <w:rFonts w:ascii="宋体" w:hAnsi="宋体" w:cs="Arial" w:hint="eastAsia"/>
          <w:color w:val="000000"/>
          <w:kern w:val="0"/>
          <w:sz w:val="22"/>
          <w:szCs w:val="22"/>
        </w:rPr>
        <w:t>部门：中共湖南省委宣传部决算                                      2021年度                                          金额单位：万元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9"/>
        <w:gridCol w:w="515"/>
        <w:gridCol w:w="1496"/>
        <w:gridCol w:w="4042"/>
        <w:gridCol w:w="488"/>
        <w:gridCol w:w="1124"/>
        <w:gridCol w:w="1576"/>
        <w:gridCol w:w="1278"/>
        <w:gridCol w:w="1348"/>
      </w:tblGrid>
      <w:tr w:rsidR="00A91EDB">
        <w:trPr>
          <w:cantSplit/>
          <w:trHeight w:val="300"/>
          <w:tblHeader/>
        </w:trPr>
        <w:tc>
          <w:tcPr>
            <w:tcW w:w="1667" w:type="pct"/>
            <w:gridSpan w:val="3"/>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收     入</w:t>
            </w:r>
          </w:p>
        </w:tc>
        <w:tc>
          <w:tcPr>
            <w:tcW w:w="3333" w:type="pct"/>
            <w:gridSpan w:val="6"/>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支     出</w:t>
            </w:r>
          </w:p>
        </w:tc>
      </w:tr>
      <w:tr w:rsidR="00A91EDB">
        <w:trPr>
          <w:cantSplit/>
          <w:trHeight w:val="312"/>
          <w:tblHeader/>
        </w:trPr>
        <w:tc>
          <w:tcPr>
            <w:tcW w:w="987"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174"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行次</w:t>
            </w:r>
          </w:p>
        </w:tc>
        <w:tc>
          <w:tcPr>
            <w:tcW w:w="506"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金额</w:t>
            </w:r>
          </w:p>
        </w:tc>
        <w:tc>
          <w:tcPr>
            <w:tcW w:w="1367"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165"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行次</w:t>
            </w:r>
          </w:p>
        </w:tc>
        <w:tc>
          <w:tcPr>
            <w:tcW w:w="380" w:type="pct"/>
            <w:vMerge w:val="restar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合计</w:t>
            </w:r>
          </w:p>
        </w:tc>
        <w:tc>
          <w:tcPr>
            <w:tcW w:w="533"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一般公共预算财政拨款</w:t>
            </w:r>
          </w:p>
        </w:tc>
        <w:tc>
          <w:tcPr>
            <w:tcW w:w="432"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政府性基金预算财政拨款</w:t>
            </w:r>
          </w:p>
        </w:tc>
        <w:tc>
          <w:tcPr>
            <w:tcW w:w="456"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国有资本经营预算财政拨款</w:t>
            </w:r>
          </w:p>
        </w:tc>
      </w:tr>
      <w:tr w:rsidR="00A91EDB">
        <w:trPr>
          <w:cantSplit/>
          <w:trHeight w:val="600"/>
          <w:tblHeader/>
        </w:trPr>
        <w:tc>
          <w:tcPr>
            <w:tcW w:w="987" w:type="pct"/>
            <w:vMerge/>
            <w:vAlign w:val="center"/>
          </w:tcPr>
          <w:p w:rsidR="00A91EDB" w:rsidRDefault="00A91EDB">
            <w:pPr>
              <w:widowControl/>
              <w:snapToGrid w:val="0"/>
              <w:jc w:val="center"/>
              <w:rPr>
                <w:rFonts w:ascii="宋体" w:hAnsi="宋体" w:cs="Arial"/>
                <w:color w:val="000000"/>
                <w:kern w:val="0"/>
                <w:sz w:val="20"/>
                <w:szCs w:val="20"/>
              </w:rPr>
            </w:pPr>
          </w:p>
        </w:tc>
        <w:tc>
          <w:tcPr>
            <w:tcW w:w="174" w:type="pct"/>
            <w:vMerge/>
            <w:vAlign w:val="center"/>
          </w:tcPr>
          <w:p w:rsidR="00A91EDB" w:rsidRDefault="00A91EDB">
            <w:pPr>
              <w:widowControl/>
              <w:snapToGrid w:val="0"/>
              <w:jc w:val="center"/>
              <w:rPr>
                <w:rFonts w:ascii="宋体" w:hAnsi="宋体" w:cs="Arial"/>
                <w:color w:val="000000"/>
                <w:kern w:val="0"/>
                <w:sz w:val="20"/>
                <w:szCs w:val="20"/>
              </w:rPr>
            </w:pPr>
          </w:p>
        </w:tc>
        <w:tc>
          <w:tcPr>
            <w:tcW w:w="506" w:type="pct"/>
            <w:vMerge/>
            <w:vAlign w:val="center"/>
          </w:tcPr>
          <w:p w:rsidR="00A91EDB" w:rsidRDefault="00A91EDB">
            <w:pPr>
              <w:widowControl/>
              <w:snapToGrid w:val="0"/>
              <w:jc w:val="center"/>
              <w:rPr>
                <w:rFonts w:ascii="宋体" w:hAnsi="宋体" w:cs="Arial"/>
                <w:color w:val="000000"/>
                <w:kern w:val="0"/>
                <w:sz w:val="20"/>
                <w:szCs w:val="20"/>
              </w:rPr>
            </w:pPr>
          </w:p>
        </w:tc>
        <w:tc>
          <w:tcPr>
            <w:tcW w:w="1367" w:type="pct"/>
            <w:vMerge/>
            <w:vAlign w:val="center"/>
          </w:tcPr>
          <w:p w:rsidR="00A91EDB" w:rsidRDefault="00A91EDB">
            <w:pPr>
              <w:widowControl/>
              <w:snapToGrid w:val="0"/>
              <w:jc w:val="center"/>
              <w:rPr>
                <w:rFonts w:ascii="宋体" w:hAnsi="宋体" w:cs="Arial"/>
                <w:color w:val="000000"/>
                <w:kern w:val="0"/>
                <w:sz w:val="20"/>
                <w:szCs w:val="20"/>
              </w:rPr>
            </w:pPr>
          </w:p>
        </w:tc>
        <w:tc>
          <w:tcPr>
            <w:tcW w:w="165" w:type="pct"/>
            <w:vMerge/>
            <w:vAlign w:val="center"/>
          </w:tcPr>
          <w:p w:rsidR="00A91EDB" w:rsidRDefault="00A91EDB">
            <w:pPr>
              <w:widowControl/>
              <w:snapToGrid w:val="0"/>
              <w:jc w:val="center"/>
              <w:rPr>
                <w:rFonts w:ascii="宋体" w:hAnsi="宋体" w:cs="Arial"/>
                <w:color w:val="000000"/>
                <w:kern w:val="0"/>
                <w:sz w:val="20"/>
                <w:szCs w:val="20"/>
              </w:rPr>
            </w:pPr>
          </w:p>
        </w:tc>
        <w:tc>
          <w:tcPr>
            <w:tcW w:w="380" w:type="pct"/>
            <w:vMerge/>
            <w:vAlign w:val="center"/>
          </w:tcPr>
          <w:p w:rsidR="00A91EDB" w:rsidRDefault="00A91EDB">
            <w:pPr>
              <w:widowControl/>
              <w:snapToGrid w:val="0"/>
              <w:jc w:val="center"/>
              <w:rPr>
                <w:rFonts w:ascii="宋体" w:hAnsi="宋体" w:cs="Arial"/>
                <w:color w:val="000000"/>
                <w:kern w:val="0"/>
                <w:sz w:val="20"/>
                <w:szCs w:val="20"/>
              </w:rPr>
            </w:pPr>
          </w:p>
        </w:tc>
        <w:tc>
          <w:tcPr>
            <w:tcW w:w="533" w:type="pct"/>
            <w:vMerge/>
            <w:vAlign w:val="center"/>
          </w:tcPr>
          <w:p w:rsidR="00A91EDB" w:rsidRDefault="00A91EDB">
            <w:pPr>
              <w:widowControl/>
              <w:snapToGrid w:val="0"/>
              <w:jc w:val="center"/>
              <w:rPr>
                <w:rFonts w:ascii="宋体" w:hAnsi="宋体" w:cs="Arial"/>
                <w:color w:val="000000"/>
                <w:kern w:val="0"/>
                <w:sz w:val="20"/>
                <w:szCs w:val="20"/>
              </w:rPr>
            </w:pPr>
          </w:p>
        </w:tc>
        <w:tc>
          <w:tcPr>
            <w:tcW w:w="432" w:type="pct"/>
            <w:vMerge/>
            <w:vAlign w:val="center"/>
          </w:tcPr>
          <w:p w:rsidR="00A91EDB" w:rsidRDefault="00A91EDB">
            <w:pPr>
              <w:widowControl/>
              <w:snapToGrid w:val="0"/>
              <w:jc w:val="center"/>
              <w:rPr>
                <w:rFonts w:ascii="宋体" w:hAnsi="宋体" w:cs="Arial"/>
                <w:color w:val="000000"/>
                <w:kern w:val="0"/>
                <w:sz w:val="20"/>
                <w:szCs w:val="20"/>
              </w:rPr>
            </w:pPr>
          </w:p>
        </w:tc>
        <w:tc>
          <w:tcPr>
            <w:tcW w:w="456" w:type="pct"/>
            <w:vMerge/>
            <w:vAlign w:val="center"/>
          </w:tcPr>
          <w:p w:rsidR="00A91EDB" w:rsidRDefault="00A91EDB">
            <w:pPr>
              <w:widowControl/>
              <w:snapToGrid w:val="0"/>
              <w:jc w:val="center"/>
              <w:rPr>
                <w:rFonts w:ascii="宋体" w:hAnsi="宋体" w:cs="Arial"/>
                <w:color w:val="000000"/>
                <w:kern w:val="0"/>
                <w:sz w:val="20"/>
                <w:szCs w:val="20"/>
              </w:rPr>
            </w:pPr>
          </w:p>
        </w:tc>
      </w:tr>
      <w:tr w:rsidR="00A91EDB">
        <w:trPr>
          <w:cantSplit/>
          <w:trHeight w:val="300"/>
          <w:tblHeader/>
        </w:trPr>
        <w:tc>
          <w:tcPr>
            <w:tcW w:w="987"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174" w:type="pct"/>
            <w:noWrap/>
            <w:vAlign w:val="center"/>
          </w:tcPr>
          <w:p w:rsidR="00A91EDB" w:rsidRDefault="00A91EDB">
            <w:pPr>
              <w:widowControl/>
              <w:snapToGrid w:val="0"/>
              <w:jc w:val="center"/>
              <w:rPr>
                <w:rFonts w:ascii="宋体" w:hAnsi="宋体" w:cs="Arial"/>
                <w:color w:val="000000"/>
                <w:kern w:val="0"/>
                <w:sz w:val="20"/>
                <w:szCs w:val="20"/>
              </w:rPr>
            </w:pPr>
          </w:p>
        </w:tc>
        <w:tc>
          <w:tcPr>
            <w:tcW w:w="506"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1367" w:type="pct"/>
            <w:noWrap/>
            <w:vAlign w:val="bottom"/>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165" w:type="pct"/>
            <w:noWrap/>
            <w:vAlign w:val="center"/>
          </w:tcPr>
          <w:p w:rsidR="00A91EDB" w:rsidRDefault="00A91EDB">
            <w:pPr>
              <w:widowControl/>
              <w:snapToGrid w:val="0"/>
              <w:jc w:val="center"/>
              <w:rPr>
                <w:rFonts w:ascii="宋体" w:hAnsi="宋体" w:cs="Arial"/>
                <w:color w:val="000000"/>
                <w:kern w:val="0"/>
                <w:sz w:val="20"/>
                <w:szCs w:val="20"/>
              </w:rPr>
            </w:pPr>
          </w:p>
        </w:tc>
        <w:tc>
          <w:tcPr>
            <w:tcW w:w="380"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533"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432"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456"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一、一般公共预算财政拨款</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16,251.23</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一、一般公共服务支出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33</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7,746.77</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7,746.77</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二、政府性基金预算财政拨款</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二、外交支出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34</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三、国有资本经营财政拨款</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三、国防支出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35</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四、公共安全支出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36</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五、教育支出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37</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6</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六、科学技术支出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38</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7</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七、文化旅游体育与传媒支出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39</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5,019.21</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5,019.21</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8</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八、社会保障和就业支出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40</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313.61</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313.61</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9</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九、卫生健康支出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41</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253.63</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253.63</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10</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十、节能环保支出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42</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11</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十一、城乡社区支出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43</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12</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十二、农林水支出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44</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13</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十三、交通运输支出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45</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14</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十四、资源勘探工业信息等支出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46</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15</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十五、商业服务业等支出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47</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1,079.80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1,079.80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16</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十六、金融支出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48</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17</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十七、援助其他地区支出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49</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18</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十八、自然资源海洋气象等支出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50</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19</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十九、住房保障支出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51</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392.69</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392.69</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lastRenderedPageBreak/>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20</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二十、粮油物资储备支出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52</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21</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二十一、国有资本经营预算支出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53</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22</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二十二、灾害防治及应急管理支出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54</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23</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二十三、其他支出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55</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center"/>
              <w:rPr>
                <w:rFonts w:ascii="宋体" w:hAnsi="宋体" w:cs="Arial"/>
                <w:b/>
                <w:bCs/>
                <w:color w:val="000000"/>
                <w:kern w:val="0"/>
                <w:sz w:val="20"/>
                <w:szCs w:val="20"/>
              </w:rPr>
            </w:pPr>
            <w:r>
              <w:rPr>
                <w:rFonts w:ascii="宋体" w:hAnsi="宋体" w:cs="Arial" w:hint="eastAsia"/>
                <w:b/>
                <w:bCs/>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24</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二十四、债务还本支出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56</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25</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二十五、债务付息支出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57</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26</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二十六、抗疫特别国债安排的支出</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58</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center"/>
              <w:rPr>
                <w:rFonts w:ascii="宋体" w:hAnsi="宋体" w:cs="Arial"/>
                <w:b/>
                <w:bCs/>
                <w:color w:val="000000"/>
                <w:kern w:val="0"/>
                <w:sz w:val="20"/>
                <w:szCs w:val="20"/>
              </w:rPr>
            </w:pPr>
            <w:r>
              <w:rPr>
                <w:rFonts w:ascii="宋体" w:hAnsi="宋体" w:cs="Arial" w:hint="eastAsia"/>
                <w:b/>
                <w:bCs/>
                <w:color w:val="000000"/>
                <w:kern w:val="0"/>
                <w:sz w:val="20"/>
                <w:szCs w:val="20"/>
              </w:rPr>
              <w:t>本年收入合计</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27</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16,251.23</w:t>
            </w:r>
          </w:p>
        </w:tc>
        <w:tc>
          <w:tcPr>
            <w:tcW w:w="1367" w:type="pct"/>
            <w:noWrap/>
            <w:vAlign w:val="center"/>
          </w:tcPr>
          <w:p w:rsidR="00A91EDB" w:rsidRDefault="00E31F4D">
            <w:pPr>
              <w:widowControl/>
              <w:snapToGrid w:val="0"/>
              <w:jc w:val="center"/>
              <w:rPr>
                <w:rFonts w:ascii="宋体" w:hAnsi="宋体" w:cs="Arial"/>
                <w:b/>
                <w:bCs/>
                <w:color w:val="000000"/>
                <w:kern w:val="0"/>
                <w:sz w:val="20"/>
                <w:szCs w:val="20"/>
              </w:rPr>
            </w:pPr>
            <w:r>
              <w:rPr>
                <w:rFonts w:ascii="宋体" w:hAnsi="宋体" w:cs="Arial" w:hint="eastAsia"/>
                <w:b/>
                <w:bCs/>
                <w:color w:val="000000"/>
                <w:kern w:val="0"/>
                <w:sz w:val="20"/>
                <w:szCs w:val="20"/>
              </w:rPr>
              <w:t>本年支出合计</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59</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14,805.70</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14,805.70</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年初财政拨款结转和结余</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28</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1,177.34</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年末财政拨款结转和结余</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60</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2,622.87</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2,622.87</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一般公共预算财政拨款</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29</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1,177.34</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61</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政府性基金预算财政拨款</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30</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62</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A91EDB">
        <w:trPr>
          <w:cantSplit/>
          <w:trHeight w:val="300"/>
        </w:trPr>
        <w:tc>
          <w:tcPr>
            <w:tcW w:w="98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国有资本经营预算财政拨款</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31</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1367"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63</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A91EDB">
        <w:trPr>
          <w:cantSplit/>
          <w:trHeight w:val="300"/>
        </w:trPr>
        <w:tc>
          <w:tcPr>
            <w:tcW w:w="987"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总计</w:t>
            </w:r>
          </w:p>
        </w:tc>
        <w:tc>
          <w:tcPr>
            <w:tcW w:w="174"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32</w:t>
            </w:r>
          </w:p>
        </w:tc>
        <w:tc>
          <w:tcPr>
            <w:tcW w:w="50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17,428.57</w:t>
            </w:r>
          </w:p>
        </w:tc>
        <w:tc>
          <w:tcPr>
            <w:tcW w:w="1367"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总计</w:t>
            </w:r>
          </w:p>
        </w:tc>
        <w:tc>
          <w:tcPr>
            <w:tcW w:w="165"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64</w:t>
            </w:r>
          </w:p>
        </w:tc>
        <w:tc>
          <w:tcPr>
            <w:tcW w:w="38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17,428.57</w:t>
            </w:r>
          </w:p>
        </w:tc>
        <w:tc>
          <w:tcPr>
            <w:tcW w:w="53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17,428.57</w:t>
            </w:r>
          </w:p>
        </w:tc>
        <w:tc>
          <w:tcPr>
            <w:tcW w:w="432"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56"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bl>
    <w:p w:rsidR="00A91EDB" w:rsidRDefault="00E31F4D">
      <w:pPr>
        <w:widowControl/>
        <w:rPr>
          <w:rFonts w:eastAsia="方正小标宋_GBK"/>
          <w:color w:val="000000"/>
          <w:kern w:val="0"/>
          <w:sz w:val="36"/>
          <w:szCs w:val="21"/>
        </w:rPr>
      </w:pPr>
      <w:r>
        <w:rPr>
          <w:rFonts w:ascii="宋体" w:hAnsi="宋体" w:cs="Arial" w:hint="eastAsia"/>
          <w:color w:val="000000"/>
          <w:kern w:val="0"/>
          <w:sz w:val="20"/>
          <w:szCs w:val="20"/>
        </w:rPr>
        <w:t>注：1.本表反映部门本年度一般公共预算财政拨款、政府性基金预算财政拨款和国有资本经营预算财政拨款的总收支和年末结转结余情况。</w:t>
      </w:r>
    </w:p>
    <w:p w:rsidR="00A91EDB" w:rsidRDefault="00E31F4D">
      <w:pPr>
        <w:pStyle w:val="5"/>
        <w:ind w:leftChars="0" w:left="0" w:firstLineChars="200" w:firstLine="400"/>
        <w:rPr>
          <w:rFonts w:ascii="宋体" w:hAnsi="宋体" w:cs="Arial"/>
          <w:color w:val="000000"/>
          <w:kern w:val="0"/>
          <w:sz w:val="20"/>
          <w:szCs w:val="20"/>
        </w:rPr>
      </w:pPr>
      <w:r>
        <w:rPr>
          <w:rFonts w:ascii="宋体" w:hAnsi="宋体" w:cs="Arial" w:hint="eastAsia"/>
          <w:color w:val="000000"/>
          <w:kern w:val="0"/>
          <w:sz w:val="20"/>
          <w:szCs w:val="20"/>
        </w:rPr>
        <w:t>2.本套报表金额单位转换时可能存在尾数误差。</w:t>
      </w:r>
    </w:p>
    <w:p w:rsidR="00A91EDB" w:rsidRDefault="00A91EDB">
      <w:pPr>
        <w:widowControl/>
        <w:ind w:left="93"/>
        <w:jc w:val="center"/>
        <w:rPr>
          <w:rFonts w:eastAsia="方正小标宋_GBK"/>
          <w:color w:val="000000"/>
          <w:kern w:val="0"/>
          <w:sz w:val="36"/>
          <w:szCs w:val="21"/>
        </w:rPr>
      </w:pPr>
    </w:p>
    <w:p w:rsidR="00A91EDB" w:rsidRDefault="00A91EDB">
      <w:pPr>
        <w:pStyle w:val="a0"/>
        <w:rPr>
          <w:color w:val="000000"/>
        </w:rPr>
      </w:pPr>
    </w:p>
    <w:p w:rsidR="00A91EDB" w:rsidRDefault="00A91EDB">
      <w:pPr>
        <w:pStyle w:val="5"/>
        <w:rPr>
          <w:color w:val="000000"/>
        </w:rPr>
      </w:pPr>
    </w:p>
    <w:p w:rsidR="00A91EDB" w:rsidRDefault="00A91EDB">
      <w:pPr>
        <w:rPr>
          <w:color w:val="000000"/>
        </w:rPr>
        <w:sectPr w:rsidR="00A91EDB">
          <w:pgSz w:w="16838" w:h="11906" w:orient="landscape"/>
          <w:pgMar w:top="1418" w:right="1134" w:bottom="1418" w:left="1134" w:header="851" w:footer="992" w:gutter="0"/>
          <w:cols w:space="720"/>
          <w:docGrid w:type="lines" w:linePitch="312"/>
        </w:sectPr>
      </w:pPr>
    </w:p>
    <w:p w:rsidR="00A91EDB" w:rsidRDefault="00E31F4D">
      <w:pPr>
        <w:jc w:val="center"/>
        <w:rPr>
          <w:rFonts w:ascii="黑体" w:eastAsia="黑体" w:hAnsi="黑体"/>
          <w:color w:val="000000"/>
          <w:sz w:val="32"/>
          <w:szCs w:val="32"/>
        </w:rPr>
      </w:pPr>
      <w:r>
        <w:rPr>
          <w:rFonts w:ascii="黑体" w:eastAsia="黑体" w:hAnsi="黑体" w:hint="eastAsia"/>
          <w:color w:val="000000"/>
          <w:sz w:val="32"/>
          <w:szCs w:val="32"/>
        </w:rPr>
        <w:lastRenderedPageBreak/>
        <w:t>一般公共预算财政拨款支出决算表</w:t>
      </w:r>
    </w:p>
    <w:p w:rsidR="00A91EDB" w:rsidRDefault="00E31F4D">
      <w:pPr>
        <w:widowControl/>
        <w:ind w:leftChars="3864" w:left="8114" w:firstLineChars="2300" w:firstLine="5060"/>
        <w:jc w:val="left"/>
        <w:rPr>
          <w:rFonts w:ascii="宋体" w:hAnsi="宋体"/>
          <w:bCs/>
          <w:color w:val="000000"/>
          <w:kern w:val="0"/>
          <w:sz w:val="22"/>
        </w:rPr>
      </w:pPr>
      <w:r>
        <w:rPr>
          <w:rFonts w:ascii="宋体" w:hAnsi="宋体" w:hint="eastAsia"/>
          <w:bCs/>
          <w:color w:val="000000"/>
          <w:kern w:val="0"/>
          <w:sz w:val="22"/>
        </w:rPr>
        <w:t>公公开05表</w:t>
      </w:r>
    </w:p>
    <w:p w:rsidR="00A91EDB" w:rsidRDefault="00E31F4D">
      <w:pPr>
        <w:pStyle w:val="a0"/>
        <w:rPr>
          <w:rFonts w:ascii="宋体" w:hAnsi="宋体" w:cs="Arial"/>
          <w:color w:val="000000"/>
          <w:kern w:val="0"/>
          <w:sz w:val="22"/>
          <w:szCs w:val="22"/>
        </w:rPr>
      </w:pPr>
      <w:r>
        <w:rPr>
          <w:rFonts w:ascii="宋体" w:hAnsi="宋体" w:cs="Arial" w:hint="eastAsia"/>
          <w:color w:val="000000"/>
          <w:kern w:val="0"/>
          <w:sz w:val="22"/>
          <w:szCs w:val="22"/>
        </w:rPr>
        <w:t>部门：中共湖南省委宣传部决算                   2021年度                金额单位：万元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6"/>
        <w:gridCol w:w="3616"/>
        <w:gridCol w:w="1774"/>
        <w:gridCol w:w="1774"/>
        <w:gridCol w:w="1774"/>
      </w:tblGrid>
      <w:tr w:rsidR="00A91EDB">
        <w:trPr>
          <w:cantSplit/>
          <w:trHeight w:val="300"/>
          <w:tblHeader/>
          <w:jc w:val="center"/>
        </w:trPr>
        <w:tc>
          <w:tcPr>
            <w:tcW w:w="2300" w:type="pct"/>
            <w:gridSpan w:val="2"/>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2700" w:type="pct"/>
            <w:gridSpan w:val="3"/>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本年支出</w:t>
            </w:r>
          </w:p>
        </w:tc>
      </w:tr>
      <w:tr w:rsidR="00A91EDB">
        <w:trPr>
          <w:cantSplit/>
          <w:trHeight w:val="312"/>
          <w:tblHeader/>
          <w:jc w:val="center"/>
        </w:trPr>
        <w:tc>
          <w:tcPr>
            <w:tcW w:w="465"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功能分类科目编码</w:t>
            </w:r>
          </w:p>
        </w:tc>
        <w:tc>
          <w:tcPr>
            <w:tcW w:w="1835" w:type="pct"/>
            <w:vMerge w:val="restar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900"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小计</w:t>
            </w:r>
          </w:p>
        </w:tc>
        <w:tc>
          <w:tcPr>
            <w:tcW w:w="900"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基本支出</w:t>
            </w:r>
          </w:p>
        </w:tc>
        <w:tc>
          <w:tcPr>
            <w:tcW w:w="900"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项目支出</w:t>
            </w:r>
          </w:p>
        </w:tc>
      </w:tr>
      <w:tr w:rsidR="00A91EDB">
        <w:trPr>
          <w:cantSplit/>
          <w:trHeight w:val="312"/>
          <w:tblHeader/>
          <w:jc w:val="center"/>
        </w:trPr>
        <w:tc>
          <w:tcPr>
            <w:tcW w:w="465" w:type="pct"/>
            <w:vMerge/>
            <w:vAlign w:val="center"/>
          </w:tcPr>
          <w:p w:rsidR="00A91EDB" w:rsidRDefault="00A91EDB">
            <w:pPr>
              <w:widowControl/>
              <w:snapToGrid w:val="0"/>
              <w:jc w:val="left"/>
              <w:rPr>
                <w:rFonts w:ascii="宋体" w:hAnsi="宋体" w:cs="Arial"/>
                <w:color w:val="000000"/>
                <w:kern w:val="0"/>
                <w:sz w:val="20"/>
                <w:szCs w:val="20"/>
              </w:rPr>
            </w:pPr>
          </w:p>
        </w:tc>
        <w:tc>
          <w:tcPr>
            <w:tcW w:w="1835" w:type="pct"/>
            <w:vMerge/>
            <w:vAlign w:val="center"/>
          </w:tcPr>
          <w:p w:rsidR="00A91EDB" w:rsidRDefault="00A91EDB">
            <w:pPr>
              <w:widowControl/>
              <w:snapToGrid w:val="0"/>
              <w:jc w:val="left"/>
              <w:rPr>
                <w:rFonts w:ascii="宋体" w:hAnsi="宋体" w:cs="Arial"/>
                <w:color w:val="000000"/>
                <w:kern w:val="0"/>
                <w:sz w:val="20"/>
                <w:szCs w:val="20"/>
              </w:rPr>
            </w:pPr>
          </w:p>
        </w:tc>
        <w:tc>
          <w:tcPr>
            <w:tcW w:w="900" w:type="pct"/>
            <w:vMerge/>
            <w:vAlign w:val="center"/>
          </w:tcPr>
          <w:p w:rsidR="00A91EDB" w:rsidRDefault="00A91EDB">
            <w:pPr>
              <w:widowControl/>
              <w:snapToGrid w:val="0"/>
              <w:jc w:val="left"/>
              <w:rPr>
                <w:rFonts w:ascii="宋体" w:hAnsi="宋体" w:cs="Arial"/>
                <w:color w:val="000000"/>
                <w:kern w:val="0"/>
                <w:sz w:val="20"/>
                <w:szCs w:val="20"/>
              </w:rPr>
            </w:pPr>
          </w:p>
        </w:tc>
        <w:tc>
          <w:tcPr>
            <w:tcW w:w="900" w:type="pct"/>
            <w:vMerge/>
            <w:vAlign w:val="center"/>
          </w:tcPr>
          <w:p w:rsidR="00A91EDB" w:rsidRDefault="00A91EDB">
            <w:pPr>
              <w:widowControl/>
              <w:snapToGrid w:val="0"/>
              <w:jc w:val="left"/>
              <w:rPr>
                <w:rFonts w:ascii="宋体" w:hAnsi="宋体" w:cs="Arial"/>
                <w:color w:val="000000"/>
                <w:kern w:val="0"/>
                <w:sz w:val="20"/>
                <w:szCs w:val="20"/>
              </w:rPr>
            </w:pPr>
          </w:p>
        </w:tc>
        <w:tc>
          <w:tcPr>
            <w:tcW w:w="900" w:type="pct"/>
            <w:vMerge/>
            <w:vAlign w:val="center"/>
          </w:tcPr>
          <w:p w:rsidR="00A91EDB" w:rsidRDefault="00A91EDB">
            <w:pPr>
              <w:widowControl/>
              <w:snapToGrid w:val="0"/>
              <w:jc w:val="left"/>
              <w:rPr>
                <w:rFonts w:ascii="宋体" w:hAnsi="宋体" w:cs="Arial"/>
                <w:color w:val="000000"/>
                <w:kern w:val="0"/>
                <w:sz w:val="20"/>
                <w:szCs w:val="20"/>
              </w:rPr>
            </w:pPr>
          </w:p>
        </w:tc>
      </w:tr>
      <w:tr w:rsidR="00A91EDB">
        <w:trPr>
          <w:cantSplit/>
          <w:trHeight w:val="312"/>
          <w:tblHeader/>
          <w:jc w:val="center"/>
        </w:trPr>
        <w:tc>
          <w:tcPr>
            <w:tcW w:w="465" w:type="pct"/>
            <w:vMerge/>
            <w:vAlign w:val="center"/>
          </w:tcPr>
          <w:p w:rsidR="00A91EDB" w:rsidRDefault="00A91EDB">
            <w:pPr>
              <w:widowControl/>
              <w:snapToGrid w:val="0"/>
              <w:jc w:val="left"/>
              <w:rPr>
                <w:rFonts w:ascii="宋体" w:hAnsi="宋体" w:cs="Arial"/>
                <w:color w:val="000000"/>
                <w:kern w:val="0"/>
                <w:sz w:val="20"/>
                <w:szCs w:val="20"/>
              </w:rPr>
            </w:pPr>
          </w:p>
        </w:tc>
        <w:tc>
          <w:tcPr>
            <w:tcW w:w="1835" w:type="pct"/>
            <w:vMerge/>
            <w:vAlign w:val="center"/>
          </w:tcPr>
          <w:p w:rsidR="00A91EDB" w:rsidRDefault="00A91EDB">
            <w:pPr>
              <w:widowControl/>
              <w:snapToGrid w:val="0"/>
              <w:jc w:val="left"/>
              <w:rPr>
                <w:rFonts w:ascii="宋体" w:hAnsi="宋体" w:cs="Arial"/>
                <w:color w:val="000000"/>
                <w:kern w:val="0"/>
                <w:sz w:val="20"/>
                <w:szCs w:val="20"/>
              </w:rPr>
            </w:pPr>
          </w:p>
        </w:tc>
        <w:tc>
          <w:tcPr>
            <w:tcW w:w="900" w:type="pct"/>
            <w:vMerge/>
            <w:vAlign w:val="center"/>
          </w:tcPr>
          <w:p w:rsidR="00A91EDB" w:rsidRDefault="00A91EDB">
            <w:pPr>
              <w:widowControl/>
              <w:snapToGrid w:val="0"/>
              <w:jc w:val="left"/>
              <w:rPr>
                <w:rFonts w:ascii="宋体" w:hAnsi="宋体" w:cs="Arial"/>
                <w:color w:val="000000"/>
                <w:kern w:val="0"/>
                <w:sz w:val="20"/>
                <w:szCs w:val="20"/>
              </w:rPr>
            </w:pPr>
          </w:p>
        </w:tc>
        <w:tc>
          <w:tcPr>
            <w:tcW w:w="900" w:type="pct"/>
            <w:vMerge/>
            <w:vAlign w:val="center"/>
          </w:tcPr>
          <w:p w:rsidR="00A91EDB" w:rsidRDefault="00A91EDB">
            <w:pPr>
              <w:widowControl/>
              <w:snapToGrid w:val="0"/>
              <w:jc w:val="left"/>
              <w:rPr>
                <w:rFonts w:ascii="宋体" w:hAnsi="宋体" w:cs="Arial"/>
                <w:color w:val="000000"/>
                <w:kern w:val="0"/>
                <w:sz w:val="20"/>
                <w:szCs w:val="20"/>
              </w:rPr>
            </w:pPr>
          </w:p>
        </w:tc>
        <w:tc>
          <w:tcPr>
            <w:tcW w:w="900" w:type="pct"/>
            <w:vMerge/>
            <w:vAlign w:val="center"/>
          </w:tcPr>
          <w:p w:rsidR="00A91EDB" w:rsidRDefault="00A91EDB">
            <w:pPr>
              <w:widowControl/>
              <w:snapToGrid w:val="0"/>
              <w:jc w:val="left"/>
              <w:rPr>
                <w:rFonts w:ascii="宋体" w:hAnsi="宋体" w:cs="Arial"/>
                <w:color w:val="000000"/>
                <w:kern w:val="0"/>
                <w:sz w:val="20"/>
                <w:szCs w:val="20"/>
              </w:rPr>
            </w:pPr>
          </w:p>
        </w:tc>
      </w:tr>
      <w:tr w:rsidR="00A91EDB">
        <w:trPr>
          <w:cantSplit/>
          <w:trHeight w:val="300"/>
          <w:tblHeader/>
          <w:jc w:val="center"/>
        </w:trPr>
        <w:tc>
          <w:tcPr>
            <w:tcW w:w="2300" w:type="pct"/>
            <w:gridSpan w:val="2"/>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900"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900"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900"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w:t>
            </w:r>
          </w:p>
        </w:tc>
      </w:tr>
      <w:tr w:rsidR="00A91EDB">
        <w:trPr>
          <w:cantSplit/>
          <w:trHeight w:val="300"/>
          <w:jc w:val="center"/>
        </w:trPr>
        <w:tc>
          <w:tcPr>
            <w:tcW w:w="2300" w:type="pct"/>
            <w:gridSpan w:val="2"/>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14,805.70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4,763.29</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10,042.42</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一般公共服务支出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7,746.77</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3,750.02</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3,996.76</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20103</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政府办公厅（室）及相关机构事务</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16.41</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16.41</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2010301</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行政运行</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16.41</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16.41</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20104</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发展与改革事务</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159.96</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159.96</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2010499</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其他发展与改革事务支出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159.96</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159.96</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20133</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宣传事务</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6,810.33</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3,750.02</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3,060.31</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2013301</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行政运行</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4,149.84</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3,750.02</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399.82</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2013302</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一般行政管理事务</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2,459.13</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2,459.13</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2013399</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其他宣传事务支出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201.36</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201.36</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20136</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其他共产党事务支出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2013601</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行政运行</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2013602</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一般行政管理事务</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20199</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其他一般公共服务支出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760.07</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760.07</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2019999</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其他一般公共服务支出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760.07</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760.07</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205</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教育支出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20508</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进修及培训</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2050803</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培训支出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207</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文化旅游体育与传媒支出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5,019.21</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53.35</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4,965.86</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20706</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新闻出版电影</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443.52</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53.35</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390.17</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2070606</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版权管理</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52.54</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52.54</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2070699</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其他新闻出版电影支出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390.98</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53.35</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337.63</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20799</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其他文化旅游体育与传媒支出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4,575.69</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4,575.69</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2079999</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其他文化旅游体育与传媒支出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4,575.69</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4,575.69</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208</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社会保障和就业支出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313.61</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313.61</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20805</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行政事业单位养老支出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313.61</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313.61</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2080505</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313.61</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313.61</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20899</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其他社会保障和就业支出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2089999</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其他社会保障和就业支出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210</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卫生健康支出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253.63</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253.63</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21011</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行政事业单位医疗</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253.63</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253.63</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2101101</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行政单位医疗</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253.63</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253.63</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21099</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其他卫生健康支出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2109999</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其他卫生健康支出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lastRenderedPageBreak/>
              <w:t>216</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商业服务业等支出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1,079.80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1,079.80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21602</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商业流通事务</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340.00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340.00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2160299</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其他商业流通事务支出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340.00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340.00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21606</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涉外发展服务支出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519.80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519.80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2160699</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其他涉外发展服务支出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519.80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519.80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21699</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其他商业服务业等支出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220.00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220.00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2169999</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其他商业服务业等支出</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220.00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220.00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221</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住房保障支出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392.69</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392.69</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22102</w:t>
            </w:r>
          </w:p>
        </w:tc>
        <w:tc>
          <w:tcPr>
            <w:tcW w:w="1835" w:type="pct"/>
            <w:noWrap/>
            <w:vAlign w:val="center"/>
          </w:tcPr>
          <w:p w:rsidR="00A91EDB" w:rsidRDefault="00E31F4D">
            <w:pPr>
              <w:widowControl/>
              <w:snapToGrid w:val="0"/>
              <w:jc w:val="left"/>
              <w:rPr>
                <w:rFonts w:ascii="宋体" w:hAnsi="宋体" w:cs="Arial"/>
                <w:b/>
                <w:bCs/>
                <w:color w:val="000000"/>
                <w:kern w:val="0"/>
                <w:sz w:val="20"/>
                <w:szCs w:val="20"/>
              </w:rPr>
            </w:pPr>
            <w:r>
              <w:rPr>
                <w:rFonts w:ascii="宋体" w:hAnsi="宋体" w:cs="Arial" w:hint="eastAsia"/>
                <w:b/>
                <w:bCs/>
                <w:color w:val="000000"/>
                <w:kern w:val="0"/>
                <w:sz w:val="20"/>
                <w:szCs w:val="20"/>
              </w:rPr>
              <w:t>住房改革支出</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392.69</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392.69</w:t>
            </w:r>
          </w:p>
        </w:tc>
        <w:tc>
          <w:tcPr>
            <w:tcW w:w="900"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0.00</w:t>
            </w:r>
          </w:p>
        </w:tc>
      </w:tr>
      <w:tr w:rsidR="00A91EDB">
        <w:trPr>
          <w:cantSplit/>
          <w:trHeight w:val="300"/>
          <w:jc w:val="center"/>
        </w:trPr>
        <w:tc>
          <w:tcPr>
            <w:tcW w:w="46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2210201</w:t>
            </w:r>
          </w:p>
        </w:tc>
        <w:tc>
          <w:tcPr>
            <w:tcW w:w="1835" w:type="pct"/>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 xml:space="preserve">  住房公积金</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392.69</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392.69</w:t>
            </w:r>
          </w:p>
        </w:tc>
        <w:tc>
          <w:tcPr>
            <w:tcW w:w="900"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r>
    </w:tbl>
    <w:p w:rsidR="00A91EDB" w:rsidRDefault="00E31F4D">
      <w:pPr>
        <w:pStyle w:val="a0"/>
        <w:snapToGrid w:val="0"/>
        <w:spacing w:after="0"/>
        <w:rPr>
          <w:color w:val="000000"/>
        </w:rPr>
      </w:pPr>
      <w:r>
        <w:rPr>
          <w:rFonts w:ascii="宋体" w:hAnsi="宋体" w:cs="Arial" w:hint="eastAsia"/>
          <w:color w:val="000000"/>
          <w:kern w:val="0"/>
          <w:sz w:val="20"/>
          <w:szCs w:val="20"/>
        </w:rPr>
        <w:t>注：1.本表反映部门本年度一般公共预算财政拨款支出情况。</w:t>
      </w:r>
    </w:p>
    <w:p w:rsidR="00A91EDB" w:rsidRDefault="00E31F4D">
      <w:pPr>
        <w:pStyle w:val="5"/>
        <w:snapToGrid w:val="0"/>
        <w:ind w:leftChars="0" w:left="0" w:firstLineChars="200" w:firstLine="400"/>
        <w:rPr>
          <w:rFonts w:ascii="宋体" w:hAnsi="宋体" w:cs="Arial"/>
          <w:color w:val="000000"/>
          <w:kern w:val="0"/>
          <w:sz w:val="20"/>
          <w:szCs w:val="20"/>
        </w:rPr>
      </w:pPr>
      <w:r>
        <w:rPr>
          <w:rFonts w:ascii="宋体" w:hAnsi="宋体" w:cs="Arial" w:hint="eastAsia"/>
          <w:color w:val="000000"/>
          <w:kern w:val="0"/>
          <w:sz w:val="20"/>
          <w:szCs w:val="20"/>
        </w:rPr>
        <w:t>2.本套报表金额单位转换时可能存在尾数误差。</w:t>
      </w:r>
    </w:p>
    <w:p w:rsidR="00A91EDB" w:rsidRDefault="00A91EDB">
      <w:pPr>
        <w:pStyle w:val="5"/>
        <w:ind w:leftChars="0" w:left="0"/>
        <w:rPr>
          <w:color w:val="000000"/>
        </w:rPr>
      </w:pPr>
    </w:p>
    <w:p w:rsidR="00A91EDB" w:rsidRDefault="00A91EDB">
      <w:pPr>
        <w:rPr>
          <w:color w:val="000000"/>
        </w:rPr>
      </w:pPr>
    </w:p>
    <w:p w:rsidR="00A91EDB" w:rsidRDefault="00A91EDB">
      <w:pPr>
        <w:pStyle w:val="a0"/>
        <w:rPr>
          <w:color w:val="000000"/>
        </w:rPr>
      </w:pPr>
    </w:p>
    <w:p w:rsidR="00A91EDB" w:rsidRDefault="00A91EDB">
      <w:pPr>
        <w:pStyle w:val="5"/>
        <w:rPr>
          <w:color w:val="000000"/>
        </w:rPr>
      </w:pPr>
    </w:p>
    <w:p w:rsidR="00A91EDB" w:rsidRDefault="00A91EDB">
      <w:pPr>
        <w:rPr>
          <w:color w:val="000000"/>
        </w:rPr>
      </w:pPr>
    </w:p>
    <w:p w:rsidR="00A91EDB" w:rsidRDefault="00A91EDB">
      <w:pPr>
        <w:pStyle w:val="a0"/>
        <w:rPr>
          <w:color w:val="000000"/>
        </w:rPr>
      </w:pPr>
    </w:p>
    <w:p w:rsidR="00A91EDB" w:rsidRDefault="00A91EDB">
      <w:pPr>
        <w:pStyle w:val="5"/>
        <w:rPr>
          <w:color w:val="000000"/>
        </w:rPr>
      </w:pPr>
    </w:p>
    <w:p w:rsidR="00A91EDB" w:rsidRDefault="00A91EDB">
      <w:pPr>
        <w:rPr>
          <w:color w:val="000000"/>
        </w:rPr>
        <w:sectPr w:rsidR="00A91EDB">
          <w:pgSz w:w="11906" w:h="16838"/>
          <w:pgMar w:top="1418" w:right="1134" w:bottom="1418" w:left="1134" w:header="851" w:footer="992" w:gutter="0"/>
          <w:cols w:space="720"/>
          <w:docGrid w:type="lines" w:linePitch="312"/>
        </w:sectPr>
      </w:pPr>
    </w:p>
    <w:p w:rsidR="00A91EDB" w:rsidRDefault="00E31F4D">
      <w:pPr>
        <w:jc w:val="center"/>
        <w:rPr>
          <w:rFonts w:ascii="黑体" w:eastAsia="黑体" w:hAnsi="黑体"/>
          <w:color w:val="000000"/>
          <w:sz w:val="32"/>
          <w:szCs w:val="32"/>
        </w:rPr>
      </w:pPr>
      <w:r>
        <w:rPr>
          <w:rFonts w:ascii="黑体" w:eastAsia="黑体" w:hAnsi="黑体" w:hint="eastAsia"/>
          <w:color w:val="000000"/>
          <w:sz w:val="32"/>
          <w:szCs w:val="32"/>
        </w:rPr>
        <w:lastRenderedPageBreak/>
        <w:t>一般公共预算财政拨款基本支出决算明细表</w:t>
      </w:r>
    </w:p>
    <w:p w:rsidR="00A91EDB" w:rsidRDefault="00E31F4D">
      <w:pPr>
        <w:widowControl/>
        <w:ind w:leftChars="3864" w:left="8114" w:firstLineChars="2300" w:firstLine="5060"/>
        <w:jc w:val="left"/>
        <w:rPr>
          <w:rFonts w:ascii="宋体" w:hAnsi="宋体"/>
          <w:bCs/>
          <w:color w:val="000000"/>
          <w:kern w:val="0"/>
          <w:sz w:val="22"/>
        </w:rPr>
      </w:pPr>
      <w:r>
        <w:rPr>
          <w:rFonts w:ascii="宋体" w:hAnsi="宋体" w:hint="eastAsia"/>
          <w:bCs/>
          <w:color w:val="000000"/>
          <w:kern w:val="0"/>
          <w:sz w:val="22"/>
        </w:rPr>
        <w:t>公开06表</w:t>
      </w:r>
    </w:p>
    <w:p w:rsidR="00A91EDB" w:rsidRDefault="00E31F4D">
      <w:pPr>
        <w:pStyle w:val="a0"/>
        <w:rPr>
          <w:rFonts w:ascii="宋体" w:hAnsi="宋体" w:cs="Arial"/>
          <w:color w:val="000000"/>
          <w:kern w:val="0"/>
          <w:sz w:val="22"/>
          <w:szCs w:val="22"/>
        </w:rPr>
      </w:pPr>
      <w:r>
        <w:rPr>
          <w:rFonts w:ascii="宋体" w:hAnsi="宋体" w:cs="Arial" w:hint="eastAsia"/>
          <w:color w:val="000000"/>
          <w:kern w:val="0"/>
          <w:sz w:val="22"/>
          <w:szCs w:val="22"/>
        </w:rPr>
        <w:t xml:space="preserve">部门：中共湖南省委宣传部决算                                 </w:t>
      </w:r>
      <w:r w:rsidR="006B56CD">
        <w:rPr>
          <w:rFonts w:ascii="宋体" w:hAnsi="宋体" w:cs="Arial" w:hint="eastAsia"/>
          <w:color w:val="000000"/>
          <w:kern w:val="0"/>
          <w:sz w:val="22"/>
          <w:szCs w:val="22"/>
        </w:rPr>
        <w:t xml:space="preserve">2021年度 </w:t>
      </w:r>
      <w:r>
        <w:rPr>
          <w:rFonts w:ascii="宋体" w:hAnsi="宋体" w:cs="Arial" w:hint="eastAsia"/>
          <w:color w:val="000000"/>
          <w:kern w:val="0"/>
          <w:sz w:val="22"/>
          <w:szCs w:val="22"/>
        </w:rPr>
        <w:t xml:space="preserve">                                            金额单位：万元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3216"/>
        <w:gridCol w:w="1156"/>
        <w:gridCol w:w="716"/>
        <w:gridCol w:w="2216"/>
        <w:gridCol w:w="881"/>
        <w:gridCol w:w="716"/>
        <w:gridCol w:w="4022"/>
        <w:gridCol w:w="1147"/>
      </w:tblGrid>
      <w:tr w:rsidR="00A91EDB">
        <w:trPr>
          <w:cantSplit/>
          <w:trHeight w:val="300"/>
          <w:tblHeader/>
        </w:trPr>
        <w:tc>
          <w:tcPr>
            <w:tcW w:w="1721" w:type="pct"/>
            <w:gridSpan w:val="3"/>
            <w:noWrap/>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人员经费</w:t>
            </w:r>
          </w:p>
        </w:tc>
        <w:tc>
          <w:tcPr>
            <w:tcW w:w="3279" w:type="pct"/>
            <w:gridSpan w:val="6"/>
            <w:noWrap/>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公用经费</w:t>
            </w:r>
          </w:p>
        </w:tc>
      </w:tr>
      <w:tr w:rsidR="00A91EDB">
        <w:trPr>
          <w:cantSplit/>
          <w:trHeight w:val="312"/>
          <w:tblHeader/>
        </w:trPr>
        <w:tc>
          <w:tcPr>
            <w:tcW w:w="242"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科目编码</w:t>
            </w:r>
          </w:p>
        </w:tc>
        <w:tc>
          <w:tcPr>
            <w:tcW w:w="1088"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391"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决算数</w:t>
            </w:r>
          </w:p>
        </w:tc>
        <w:tc>
          <w:tcPr>
            <w:tcW w:w="242"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科目编码</w:t>
            </w:r>
          </w:p>
        </w:tc>
        <w:tc>
          <w:tcPr>
            <w:tcW w:w="749"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298"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决算数</w:t>
            </w:r>
          </w:p>
        </w:tc>
        <w:tc>
          <w:tcPr>
            <w:tcW w:w="242"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科目编码</w:t>
            </w:r>
          </w:p>
        </w:tc>
        <w:tc>
          <w:tcPr>
            <w:tcW w:w="1359"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389"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决算数</w:t>
            </w:r>
          </w:p>
        </w:tc>
      </w:tr>
      <w:tr w:rsidR="00A91EDB">
        <w:trPr>
          <w:cantSplit/>
          <w:trHeight w:val="312"/>
        </w:trPr>
        <w:tc>
          <w:tcPr>
            <w:tcW w:w="242" w:type="pct"/>
            <w:vMerge/>
            <w:vAlign w:val="center"/>
          </w:tcPr>
          <w:p w:rsidR="00A91EDB" w:rsidRDefault="00A91EDB">
            <w:pPr>
              <w:widowControl/>
              <w:jc w:val="left"/>
              <w:rPr>
                <w:rFonts w:ascii="宋体" w:hAnsi="宋体" w:cs="Arial"/>
                <w:color w:val="000000"/>
                <w:kern w:val="0"/>
                <w:sz w:val="20"/>
                <w:szCs w:val="20"/>
              </w:rPr>
            </w:pPr>
          </w:p>
        </w:tc>
        <w:tc>
          <w:tcPr>
            <w:tcW w:w="1088" w:type="pct"/>
            <w:vMerge/>
            <w:vAlign w:val="center"/>
          </w:tcPr>
          <w:p w:rsidR="00A91EDB" w:rsidRDefault="00A91EDB">
            <w:pPr>
              <w:widowControl/>
              <w:jc w:val="left"/>
              <w:rPr>
                <w:rFonts w:ascii="宋体" w:hAnsi="宋体" w:cs="Arial"/>
                <w:color w:val="000000"/>
                <w:kern w:val="0"/>
                <w:sz w:val="20"/>
                <w:szCs w:val="20"/>
              </w:rPr>
            </w:pPr>
          </w:p>
        </w:tc>
        <w:tc>
          <w:tcPr>
            <w:tcW w:w="391" w:type="pct"/>
            <w:vMerge/>
            <w:vAlign w:val="center"/>
          </w:tcPr>
          <w:p w:rsidR="00A91EDB" w:rsidRDefault="00A91EDB">
            <w:pPr>
              <w:widowControl/>
              <w:jc w:val="left"/>
              <w:rPr>
                <w:rFonts w:ascii="宋体" w:hAnsi="宋体" w:cs="Arial"/>
                <w:color w:val="000000"/>
                <w:kern w:val="0"/>
                <w:sz w:val="20"/>
                <w:szCs w:val="20"/>
              </w:rPr>
            </w:pPr>
          </w:p>
        </w:tc>
        <w:tc>
          <w:tcPr>
            <w:tcW w:w="242" w:type="pct"/>
            <w:vMerge/>
            <w:vAlign w:val="center"/>
          </w:tcPr>
          <w:p w:rsidR="00A91EDB" w:rsidRDefault="00A91EDB">
            <w:pPr>
              <w:widowControl/>
              <w:jc w:val="left"/>
              <w:rPr>
                <w:rFonts w:ascii="宋体" w:hAnsi="宋体" w:cs="Arial"/>
                <w:color w:val="000000"/>
                <w:kern w:val="0"/>
                <w:sz w:val="20"/>
                <w:szCs w:val="20"/>
              </w:rPr>
            </w:pPr>
          </w:p>
        </w:tc>
        <w:tc>
          <w:tcPr>
            <w:tcW w:w="749" w:type="pct"/>
            <w:vMerge/>
            <w:vAlign w:val="center"/>
          </w:tcPr>
          <w:p w:rsidR="00A91EDB" w:rsidRDefault="00A91EDB">
            <w:pPr>
              <w:widowControl/>
              <w:jc w:val="left"/>
              <w:rPr>
                <w:rFonts w:ascii="宋体" w:hAnsi="宋体" w:cs="Arial"/>
                <w:color w:val="000000"/>
                <w:kern w:val="0"/>
                <w:sz w:val="20"/>
                <w:szCs w:val="20"/>
              </w:rPr>
            </w:pPr>
          </w:p>
        </w:tc>
        <w:tc>
          <w:tcPr>
            <w:tcW w:w="298" w:type="pct"/>
            <w:vMerge/>
            <w:vAlign w:val="center"/>
          </w:tcPr>
          <w:p w:rsidR="00A91EDB" w:rsidRDefault="00A91EDB">
            <w:pPr>
              <w:widowControl/>
              <w:jc w:val="left"/>
              <w:rPr>
                <w:rFonts w:ascii="宋体" w:hAnsi="宋体" w:cs="Arial"/>
                <w:color w:val="000000"/>
                <w:kern w:val="0"/>
                <w:sz w:val="20"/>
                <w:szCs w:val="20"/>
              </w:rPr>
            </w:pPr>
          </w:p>
        </w:tc>
        <w:tc>
          <w:tcPr>
            <w:tcW w:w="242" w:type="pct"/>
            <w:vMerge/>
            <w:vAlign w:val="center"/>
          </w:tcPr>
          <w:p w:rsidR="00A91EDB" w:rsidRDefault="00A91EDB">
            <w:pPr>
              <w:widowControl/>
              <w:jc w:val="left"/>
              <w:rPr>
                <w:rFonts w:ascii="宋体" w:hAnsi="宋体" w:cs="Arial"/>
                <w:color w:val="000000"/>
                <w:kern w:val="0"/>
                <w:sz w:val="20"/>
                <w:szCs w:val="20"/>
              </w:rPr>
            </w:pPr>
          </w:p>
        </w:tc>
        <w:tc>
          <w:tcPr>
            <w:tcW w:w="1359" w:type="pct"/>
            <w:vMerge/>
            <w:vAlign w:val="center"/>
          </w:tcPr>
          <w:p w:rsidR="00A91EDB" w:rsidRDefault="00A91EDB">
            <w:pPr>
              <w:widowControl/>
              <w:jc w:val="left"/>
              <w:rPr>
                <w:rFonts w:ascii="宋体" w:hAnsi="宋体" w:cs="Arial"/>
                <w:color w:val="000000"/>
                <w:kern w:val="0"/>
                <w:sz w:val="20"/>
                <w:szCs w:val="20"/>
              </w:rPr>
            </w:pPr>
          </w:p>
        </w:tc>
        <w:tc>
          <w:tcPr>
            <w:tcW w:w="389" w:type="pct"/>
            <w:vMerge/>
            <w:vAlign w:val="center"/>
          </w:tcPr>
          <w:p w:rsidR="00A91EDB" w:rsidRDefault="00A91EDB">
            <w:pPr>
              <w:widowControl/>
              <w:jc w:val="left"/>
              <w:rPr>
                <w:rFonts w:ascii="宋体" w:hAnsi="宋体" w:cs="Arial"/>
                <w:color w:val="000000"/>
                <w:kern w:val="0"/>
                <w:sz w:val="20"/>
                <w:szCs w:val="20"/>
              </w:rPr>
            </w:pP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工资福利支出</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3,959.78</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商品和服务支出</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740.62</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307</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债务利息及费用支出</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30101</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基本工资</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1,014.03</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30201</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办公费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50.00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30701</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国内债务付息</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30102</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津贴补贴</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1,131.73</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30202</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印刷费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20.00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30702</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国外债务付息</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30103</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奖金</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433.04</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30203</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咨询费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资本性支出</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30106</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伙食补助费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30204</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手续费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31001</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房屋建筑物购建</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30107</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绩效工资</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26.00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30205</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水费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5.00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31002</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办公设备购置</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30108</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机关事业单位基本养老保险缴费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313.61</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30206</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电费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14.89</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31003</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专用设备购置</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30109</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职业年金缴费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30207</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邮电费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28.33</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31005</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基础设施建设</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30110</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职工基本医疗保险缴费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253.63</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30208</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取暖费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31006</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大型修缮</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30111</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公务员医疗补助缴费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206.01</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30209</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物业管理费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31007</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信息网络及软件购置更新</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30112</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其他社会保障缴费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27.00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30211</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差旅费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80.00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31008</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物资储备</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30113</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住房公积金</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392.69</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30212</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因公出国（境）费用</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31009</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土地补偿</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30114</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医疗费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30213</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维修（护）费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31010</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安置补助</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30199</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其他工资福利支出</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162.06</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30214</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租赁费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31011</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地上附着物和青苗补偿</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对个人和家庭的补助</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62.88</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30215</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会议费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30.00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31012</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拆迁补偿</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30301</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离休费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20.94</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30216</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培训费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32.75</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31013</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公务用车购置</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30302</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退休费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14.19</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30217</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公务接待费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8.11</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31019</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其他交通工具购置</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30303</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退职（役）费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30218</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专用材料费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31021</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文物和陈列品购置</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30304</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抚恤金</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30224</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被装购置费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31022</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无形资产购置</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30305</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生活补助</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2.41</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30225</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专用燃料费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31099</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其他资本性支出</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lastRenderedPageBreak/>
              <w:t>30306</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救济费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30226</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劳务费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40.00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399</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其他支出</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30307</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医疗费补助</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11.22</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30227</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委托业务费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39906</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赠与</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30308</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助学金</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30228</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工会经费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63.00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39907</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国家赔偿费用支出</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30309</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奖励金</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30229</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福利费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7.32</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39908</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对民间非营利组织和群众性自治组织补贴</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30310</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个人农业生产补贴</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30231</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公务用车运行维护费</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40.00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39999</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其他支出</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30311</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代缴社会保险费</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30239</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其他交通费用</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241.13</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30399</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其他对个人和家庭的补助</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14.12</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30240</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税金及附加费用</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A91EDB">
        <w:trPr>
          <w:cantSplit/>
          <w:trHeight w:val="300"/>
        </w:trPr>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088"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30299</w:t>
            </w:r>
          </w:p>
        </w:tc>
        <w:tc>
          <w:tcPr>
            <w:tcW w:w="74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其他商品和服务支出</w:t>
            </w:r>
          </w:p>
        </w:tc>
        <w:tc>
          <w:tcPr>
            <w:tcW w:w="298"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80.08</w:t>
            </w:r>
          </w:p>
        </w:tc>
        <w:tc>
          <w:tcPr>
            <w:tcW w:w="242"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1359" w:type="pct"/>
            <w:noWrap/>
            <w:vAlign w:val="center"/>
          </w:tcPr>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 xml:space="preserve">　</w:t>
            </w:r>
          </w:p>
        </w:tc>
      </w:tr>
      <w:tr w:rsidR="00A91EDB">
        <w:trPr>
          <w:cantSplit/>
          <w:trHeight w:val="300"/>
        </w:trPr>
        <w:tc>
          <w:tcPr>
            <w:tcW w:w="1330" w:type="pct"/>
            <w:gridSpan w:val="2"/>
            <w:noWrap/>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人员经费合计</w:t>
            </w:r>
          </w:p>
        </w:tc>
        <w:tc>
          <w:tcPr>
            <w:tcW w:w="391"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4,022.67</w:t>
            </w:r>
          </w:p>
        </w:tc>
        <w:tc>
          <w:tcPr>
            <w:tcW w:w="2891" w:type="pct"/>
            <w:gridSpan w:val="5"/>
            <w:noWrap/>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公用经费合计</w:t>
            </w:r>
          </w:p>
        </w:tc>
        <w:tc>
          <w:tcPr>
            <w:tcW w:w="389" w:type="pct"/>
            <w:noWrap/>
            <w:vAlign w:val="center"/>
          </w:tcPr>
          <w:p w:rsidR="00A91EDB" w:rsidRDefault="00E31F4D">
            <w:pPr>
              <w:widowControl/>
              <w:jc w:val="right"/>
              <w:rPr>
                <w:rFonts w:ascii="宋体" w:hAnsi="宋体" w:cs="Arial"/>
                <w:color w:val="000000"/>
                <w:kern w:val="0"/>
                <w:sz w:val="20"/>
                <w:szCs w:val="20"/>
              </w:rPr>
            </w:pPr>
            <w:r>
              <w:rPr>
                <w:rFonts w:ascii="宋体" w:hAnsi="宋体" w:cs="Arial" w:hint="eastAsia"/>
                <w:color w:val="000000"/>
                <w:kern w:val="0"/>
                <w:sz w:val="20"/>
                <w:szCs w:val="20"/>
              </w:rPr>
              <w:t>740.62</w:t>
            </w:r>
          </w:p>
        </w:tc>
      </w:tr>
    </w:tbl>
    <w:p w:rsidR="00A91EDB" w:rsidRDefault="00E31F4D">
      <w:pPr>
        <w:rPr>
          <w:color w:val="000000"/>
        </w:rPr>
      </w:pPr>
      <w:r>
        <w:rPr>
          <w:rFonts w:ascii="宋体" w:hAnsi="宋体" w:cs="Arial" w:hint="eastAsia"/>
          <w:color w:val="000000"/>
          <w:kern w:val="0"/>
          <w:sz w:val="20"/>
          <w:szCs w:val="20"/>
        </w:rPr>
        <w:t>注：1.本表反映部门本年度一般公共预算财政拨款基本支出明细情况。</w:t>
      </w:r>
    </w:p>
    <w:p w:rsidR="00A91EDB" w:rsidRDefault="00E31F4D">
      <w:pPr>
        <w:pStyle w:val="5"/>
        <w:snapToGrid w:val="0"/>
        <w:ind w:leftChars="0" w:left="0" w:firstLineChars="200" w:firstLine="400"/>
        <w:rPr>
          <w:rFonts w:ascii="宋体" w:hAnsi="宋体" w:cs="Arial"/>
          <w:color w:val="000000"/>
          <w:kern w:val="0"/>
          <w:sz w:val="20"/>
          <w:szCs w:val="20"/>
        </w:rPr>
      </w:pPr>
      <w:r>
        <w:rPr>
          <w:rFonts w:ascii="宋体" w:hAnsi="宋体" w:cs="Arial" w:hint="eastAsia"/>
          <w:color w:val="000000"/>
          <w:kern w:val="0"/>
          <w:sz w:val="20"/>
          <w:szCs w:val="20"/>
        </w:rPr>
        <w:t>2.本套报表金额单位转换时可能存在尾数误差。</w:t>
      </w:r>
    </w:p>
    <w:p w:rsidR="00A91EDB" w:rsidRDefault="00A91EDB">
      <w:pPr>
        <w:rPr>
          <w:color w:val="000000"/>
        </w:rPr>
      </w:pPr>
    </w:p>
    <w:p w:rsidR="00A91EDB" w:rsidRDefault="00A91EDB">
      <w:pPr>
        <w:rPr>
          <w:color w:val="000000"/>
        </w:rPr>
      </w:pPr>
    </w:p>
    <w:p w:rsidR="00A91EDB" w:rsidRDefault="00A91EDB">
      <w:pPr>
        <w:rPr>
          <w:color w:val="000000"/>
        </w:rPr>
      </w:pPr>
    </w:p>
    <w:p w:rsidR="00A91EDB" w:rsidRDefault="00A91EDB">
      <w:pPr>
        <w:rPr>
          <w:color w:val="000000"/>
        </w:rPr>
      </w:pPr>
    </w:p>
    <w:p w:rsidR="00A91EDB" w:rsidRDefault="00A91EDB">
      <w:pPr>
        <w:widowControl/>
        <w:ind w:left="93"/>
        <w:jc w:val="center"/>
        <w:rPr>
          <w:rFonts w:eastAsia="方正小标宋_GBK"/>
          <w:color w:val="000000"/>
          <w:kern w:val="0"/>
          <w:sz w:val="36"/>
          <w:szCs w:val="21"/>
        </w:rPr>
      </w:pPr>
    </w:p>
    <w:p w:rsidR="00A91EDB" w:rsidRDefault="00A91EDB">
      <w:pPr>
        <w:widowControl/>
        <w:ind w:left="93"/>
        <w:jc w:val="center"/>
        <w:rPr>
          <w:rFonts w:eastAsia="方正小标宋_GBK"/>
          <w:color w:val="000000"/>
          <w:kern w:val="0"/>
          <w:sz w:val="36"/>
          <w:szCs w:val="21"/>
        </w:rPr>
      </w:pPr>
    </w:p>
    <w:p w:rsidR="00A91EDB" w:rsidRDefault="00A91EDB">
      <w:pPr>
        <w:widowControl/>
        <w:ind w:left="93"/>
        <w:jc w:val="center"/>
        <w:rPr>
          <w:rFonts w:eastAsia="方正小标宋_GBK"/>
          <w:color w:val="000000"/>
          <w:kern w:val="0"/>
          <w:sz w:val="36"/>
          <w:szCs w:val="21"/>
        </w:rPr>
      </w:pPr>
    </w:p>
    <w:p w:rsidR="00A91EDB" w:rsidRDefault="00A91EDB">
      <w:pPr>
        <w:widowControl/>
        <w:ind w:left="93"/>
        <w:jc w:val="center"/>
        <w:rPr>
          <w:rFonts w:eastAsia="方正小标宋_GBK"/>
          <w:color w:val="000000"/>
          <w:kern w:val="0"/>
          <w:sz w:val="36"/>
          <w:szCs w:val="21"/>
        </w:rPr>
      </w:pPr>
    </w:p>
    <w:p w:rsidR="00A91EDB" w:rsidRDefault="00E31F4D">
      <w:pPr>
        <w:widowControl/>
        <w:jc w:val="center"/>
        <w:rPr>
          <w:rFonts w:ascii="黑体" w:eastAsia="黑体" w:hAnsi="黑体"/>
          <w:color w:val="000000"/>
          <w:kern w:val="0"/>
          <w:sz w:val="32"/>
          <w:szCs w:val="32"/>
        </w:rPr>
      </w:pPr>
      <w:bookmarkStart w:id="1" w:name="RANGE!A1:I22"/>
      <w:bookmarkEnd w:id="1"/>
      <w:r>
        <w:rPr>
          <w:rFonts w:eastAsia="仿宋_GB2312"/>
          <w:bCs/>
          <w:color w:val="000000"/>
          <w:kern w:val="0"/>
          <w:szCs w:val="21"/>
        </w:rPr>
        <w:br w:type="page"/>
      </w:r>
      <w:r>
        <w:rPr>
          <w:rFonts w:ascii="黑体" w:eastAsia="黑体" w:hAnsi="黑体" w:hint="eastAsia"/>
          <w:color w:val="000000"/>
          <w:kern w:val="0"/>
          <w:sz w:val="32"/>
          <w:szCs w:val="32"/>
        </w:rPr>
        <w:lastRenderedPageBreak/>
        <w:t>一般公共预算财政拨款“三公”经费支出决算表</w:t>
      </w:r>
    </w:p>
    <w:p w:rsidR="00A91EDB" w:rsidRDefault="00E31F4D">
      <w:pPr>
        <w:widowControl/>
        <w:ind w:firstLineChars="6000" w:firstLine="13200"/>
        <w:jc w:val="left"/>
        <w:rPr>
          <w:rFonts w:ascii="宋体" w:hAnsi="宋体"/>
          <w:color w:val="000000"/>
          <w:kern w:val="0"/>
          <w:sz w:val="22"/>
        </w:rPr>
      </w:pPr>
      <w:r>
        <w:rPr>
          <w:rFonts w:ascii="宋体" w:hAnsi="宋体" w:hint="eastAsia"/>
          <w:color w:val="000000"/>
          <w:kern w:val="0"/>
          <w:sz w:val="22"/>
        </w:rPr>
        <w:t>公开07表</w:t>
      </w:r>
    </w:p>
    <w:p w:rsidR="00A91EDB" w:rsidRDefault="00E31F4D">
      <w:pPr>
        <w:widowControl/>
        <w:jc w:val="left"/>
        <w:rPr>
          <w:rFonts w:ascii="宋体" w:hAnsi="宋体"/>
          <w:color w:val="000000"/>
          <w:kern w:val="0"/>
          <w:sz w:val="22"/>
        </w:rPr>
      </w:pPr>
      <w:r>
        <w:rPr>
          <w:rFonts w:ascii="宋体" w:hAnsi="宋体" w:hint="eastAsia"/>
          <w:color w:val="000000"/>
          <w:kern w:val="0"/>
          <w:sz w:val="22"/>
        </w:rPr>
        <w:t>部门：中共湖南省委宣传部决算                                    制表日期：</w:t>
      </w:r>
      <w:r w:rsidR="004C22C5">
        <w:rPr>
          <w:rFonts w:ascii="宋体" w:hAnsi="宋体" w:hint="eastAsia"/>
          <w:color w:val="000000"/>
          <w:kern w:val="0"/>
          <w:sz w:val="22"/>
        </w:rPr>
        <w:t>2021</w:t>
      </w:r>
      <w:r>
        <w:rPr>
          <w:rFonts w:ascii="宋体" w:hAnsi="宋体" w:hint="eastAsia"/>
          <w:color w:val="000000"/>
          <w:kern w:val="0"/>
          <w:sz w:val="22"/>
        </w:rPr>
        <w:t>年</w:t>
      </w:r>
      <w:r w:rsidR="004C22C5">
        <w:rPr>
          <w:rFonts w:ascii="宋体" w:hAnsi="宋体" w:hint="eastAsia"/>
          <w:color w:val="000000"/>
          <w:kern w:val="0"/>
          <w:sz w:val="22"/>
        </w:rPr>
        <w:t>度</w:t>
      </w:r>
      <w:r>
        <w:rPr>
          <w:rFonts w:ascii="宋体" w:hAnsi="宋体" w:hint="eastAsia"/>
          <w:color w:val="000000"/>
          <w:kern w:val="0"/>
          <w:sz w:val="22"/>
        </w:rPr>
        <w:t xml:space="preserve">                                    单位：万元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4"/>
        <w:gridCol w:w="1234"/>
        <w:gridCol w:w="1233"/>
        <w:gridCol w:w="1233"/>
        <w:gridCol w:w="1233"/>
        <w:gridCol w:w="1233"/>
        <w:gridCol w:w="1233"/>
        <w:gridCol w:w="1233"/>
        <w:gridCol w:w="1233"/>
        <w:gridCol w:w="1233"/>
        <w:gridCol w:w="1233"/>
        <w:gridCol w:w="1221"/>
      </w:tblGrid>
      <w:tr w:rsidR="00A91EDB">
        <w:trPr>
          <w:trHeight w:val="300"/>
        </w:trPr>
        <w:tc>
          <w:tcPr>
            <w:tcW w:w="2502" w:type="pct"/>
            <w:gridSpan w:val="6"/>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预算数</w:t>
            </w:r>
          </w:p>
        </w:tc>
        <w:tc>
          <w:tcPr>
            <w:tcW w:w="2498" w:type="pct"/>
            <w:gridSpan w:val="6"/>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决算数</w:t>
            </w:r>
          </w:p>
        </w:tc>
      </w:tr>
      <w:tr w:rsidR="00A91EDB">
        <w:trPr>
          <w:trHeight w:val="300"/>
        </w:trPr>
        <w:tc>
          <w:tcPr>
            <w:tcW w:w="417"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合计</w:t>
            </w:r>
          </w:p>
        </w:tc>
        <w:tc>
          <w:tcPr>
            <w:tcW w:w="417"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因公出国（境）费</w:t>
            </w:r>
          </w:p>
        </w:tc>
        <w:tc>
          <w:tcPr>
            <w:tcW w:w="1251" w:type="pct"/>
            <w:gridSpan w:val="3"/>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公务用车购置及运行费</w:t>
            </w:r>
          </w:p>
        </w:tc>
        <w:tc>
          <w:tcPr>
            <w:tcW w:w="417"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公务接待费</w:t>
            </w:r>
          </w:p>
        </w:tc>
        <w:tc>
          <w:tcPr>
            <w:tcW w:w="417"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合计</w:t>
            </w:r>
          </w:p>
        </w:tc>
        <w:tc>
          <w:tcPr>
            <w:tcW w:w="417"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因公出国（境）费</w:t>
            </w:r>
          </w:p>
        </w:tc>
        <w:tc>
          <w:tcPr>
            <w:tcW w:w="1251" w:type="pct"/>
            <w:gridSpan w:val="3"/>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公务用车购置及运行费</w:t>
            </w:r>
          </w:p>
        </w:tc>
        <w:tc>
          <w:tcPr>
            <w:tcW w:w="413"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公务接待费</w:t>
            </w:r>
          </w:p>
        </w:tc>
      </w:tr>
      <w:tr w:rsidR="00A91EDB">
        <w:trPr>
          <w:trHeight w:val="600"/>
        </w:trPr>
        <w:tc>
          <w:tcPr>
            <w:tcW w:w="417" w:type="pct"/>
            <w:vMerge/>
            <w:vAlign w:val="center"/>
          </w:tcPr>
          <w:p w:rsidR="00A91EDB" w:rsidRDefault="00A91EDB">
            <w:pPr>
              <w:widowControl/>
              <w:snapToGrid w:val="0"/>
              <w:jc w:val="left"/>
              <w:rPr>
                <w:rFonts w:ascii="宋体" w:hAnsi="宋体" w:cs="Arial"/>
                <w:color w:val="000000"/>
                <w:kern w:val="0"/>
                <w:sz w:val="20"/>
                <w:szCs w:val="20"/>
              </w:rPr>
            </w:pPr>
          </w:p>
        </w:tc>
        <w:tc>
          <w:tcPr>
            <w:tcW w:w="417" w:type="pct"/>
            <w:vMerge/>
            <w:vAlign w:val="center"/>
          </w:tcPr>
          <w:p w:rsidR="00A91EDB" w:rsidRDefault="00A91EDB">
            <w:pPr>
              <w:widowControl/>
              <w:snapToGrid w:val="0"/>
              <w:jc w:val="left"/>
              <w:rPr>
                <w:rFonts w:ascii="宋体" w:hAnsi="宋体" w:cs="Arial"/>
                <w:color w:val="000000"/>
                <w:kern w:val="0"/>
                <w:sz w:val="20"/>
                <w:szCs w:val="20"/>
              </w:rPr>
            </w:pP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小计</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公务用车购置费</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公务用车运行费</w:t>
            </w:r>
          </w:p>
        </w:tc>
        <w:tc>
          <w:tcPr>
            <w:tcW w:w="417" w:type="pct"/>
            <w:vMerge/>
            <w:vAlign w:val="center"/>
          </w:tcPr>
          <w:p w:rsidR="00A91EDB" w:rsidRDefault="00A91EDB">
            <w:pPr>
              <w:widowControl/>
              <w:snapToGrid w:val="0"/>
              <w:jc w:val="left"/>
              <w:rPr>
                <w:rFonts w:ascii="宋体" w:hAnsi="宋体" w:cs="Arial"/>
                <w:color w:val="000000"/>
                <w:kern w:val="0"/>
                <w:sz w:val="20"/>
                <w:szCs w:val="20"/>
              </w:rPr>
            </w:pPr>
          </w:p>
        </w:tc>
        <w:tc>
          <w:tcPr>
            <w:tcW w:w="417" w:type="pct"/>
            <w:vMerge/>
            <w:vAlign w:val="center"/>
          </w:tcPr>
          <w:p w:rsidR="00A91EDB" w:rsidRDefault="00A91EDB">
            <w:pPr>
              <w:widowControl/>
              <w:snapToGrid w:val="0"/>
              <w:jc w:val="left"/>
              <w:rPr>
                <w:rFonts w:ascii="宋体" w:hAnsi="宋体" w:cs="Arial"/>
                <w:color w:val="000000"/>
                <w:kern w:val="0"/>
                <w:sz w:val="20"/>
                <w:szCs w:val="20"/>
              </w:rPr>
            </w:pPr>
          </w:p>
        </w:tc>
        <w:tc>
          <w:tcPr>
            <w:tcW w:w="417" w:type="pct"/>
            <w:vMerge/>
            <w:vAlign w:val="center"/>
          </w:tcPr>
          <w:p w:rsidR="00A91EDB" w:rsidRDefault="00A91EDB">
            <w:pPr>
              <w:widowControl/>
              <w:snapToGrid w:val="0"/>
              <w:jc w:val="left"/>
              <w:rPr>
                <w:rFonts w:ascii="宋体" w:hAnsi="宋体" w:cs="Arial"/>
                <w:color w:val="000000"/>
                <w:kern w:val="0"/>
                <w:sz w:val="20"/>
                <w:szCs w:val="20"/>
              </w:rPr>
            </w:pP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小计</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公务用车购置费</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公务用车运行费</w:t>
            </w:r>
          </w:p>
        </w:tc>
        <w:tc>
          <w:tcPr>
            <w:tcW w:w="413" w:type="pct"/>
            <w:vMerge/>
            <w:vAlign w:val="center"/>
          </w:tcPr>
          <w:p w:rsidR="00A91EDB" w:rsidRDefault="00A91EDB">
            <w:pPr>
              <w:widowControl/>
              <w:snapToGrid w:val="0"/>
              <w:jc w:val="left"/>
              <w:rPr>
                <w:rFonts w:ascii="宋体" w:hAnsi="宋体" w:cs="Arial"/>
                <w:color w:val="000000"/>
                <w:kern w:val="0"/>
                <w:sz w:val="20"/>
                <w:szCs w:val="20"/>
              </w:rPr>
            </w:pPr>
          </w:p>
        </w:tc>
      </w:tr>
      <w:tr w:rsidR="00A91EDB">
        <w:trPr>
          <w:trHeight w:val="300"/>
        </w:trPr>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6</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7</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8</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9</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10</w:t>
            </w:r>
          </w:p>
        </w:tc>
        <w:tc>
          <w:tcPr>
            <w:tcW w:w="417"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11</w:t>
            </w:r>
          </w:p>
        </w:tc>
        <w:tc>
          <w:tcPr>
            <w:tcW w:w="413" w:type="pc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12</w:t>
            </w:r>
          </w:p>
        </w:tc>
      </w:tr>
      <w:tr w:rsidR="00A91EDB">
        <w:trPr>
          <w:trHeight w:val="300"/>
        </w:trPr>
        <w:tc>
          <w:tcPr>
            <w:tcW w:w="417"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203.00</w:t>
            </w:r>
          </w:p>
        </w:tc>
        <w:tc>
          <w:tcPr>
            <w:tcW w:w="417"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35.00</w:t>
            </w:r>
          </w:p>
        </w:tc>
        <w:tc>
          <w:tcPr>
            <w:tcW w:w="417"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123.00</w:t>
            </w:r>
          </w:p>
        </w:tc>
        <w:tc>
          <w:tcPr>
            <w:tcW w:w="417"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33.00</w:t>
            </w:r>
          </w:p>
        </w:tc>
        <w:tc>
          <w:tcPr>
            <w:tcW w:w="417"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90.00</w:t>
            </w:r>
          </w:p>
        </w:tc>
        <w:tc>
          <w:tcPr>
            <w:tcW w:w="417"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45.00</w:t>
            </w:r>
          </w:p>
        </w:tc>
        <w:tc>
          <w:tcPr>
            <w:tcW w:w="417"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120.60</w:t>
            </w:r>
          </w:p>
        </w:tc>
        <w:tc>
          <w:tcPr>
            <w:tcW w:w="417"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0.00</w:t>
            </w:r>
          </w:p>
        </w:tc>
        <w:tc>
          <w:tcPr>
            <w:tcW w:w="417"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112.49</w:t>
            </w:r>
          </w:p>
        </w:tc>
        <w:tc>
          <w:tcPr>
            <w:tcW w:w="417"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33.00</w:t>
            </w:r>
          </w:p>
        </w:tc>
        <w:tc>
          <w:tcPr>
            <w:tcW w:w="417"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79.49</w:t>
            </w:r>
          </w:p>
        </w:tc>
        <w:tc>
          <w:tcPr>
            <w:tcW w:w="413" w:type="pct"/>
            <w:noWrap/>
            <w:vAlign w:val="center"/>
          </w:tcPr>
          <w:p w:rsidR="00A91EDB" w:rsidRDefault="00E31F4D">
            <w:pPr>
              <w:widowControl/>
              <w:snapToGrid w:val="0"/>
              <w:jc w:val="right"/>
              <w:rPr>
                <w:rFonts w:ascii="宋体" w:hAnsi="宋体" w:cs="Arial"/>
                <w:color w:val="000000"/>
                <w:kern w:val="0"/>
                <w:sz w:val="20"/>
                <w:szCs w:val="20"/>
              </w:rPr>
            </w:pPr>
            <w:r>
              <w:rPr>
                <w:rFonts w:ascii="宋体" w:hAnsi="宋体" w:cs="Arial" w:hint="eastAsia"/>
                <w:color w:val="000000"/>
                <w:kern w:val="0"/>
                <w:sz w:val="20"/>
                <w:szCs w:val="20"/>
              </w:rPr>
              <w:t>8.11</w:t>
            </w:r>
          </w:p>
        </w:tc>
      </w:tr>
    </w:tbl>
    <w:p w:rsidR="00A91EDB" w:rsidRDefault="00E31F4D">
      <w:pPr>
        <w:widowControl/>
        <w:ind w:left="600" w:hangingChars="300" w:hanging="600"/>
        <w:jc w:val="left"/>
        <w:rPr>
          <w:rFonts w:ascii="宋体" w:hAnsi="宋体" w:cs="宋体"/>
          <w:color w:val="000000"/>
          <w:kern w:val="0"/>
          <w:sz w:val="20"/>
          <w:szCs w:val="20"/>
        </w:rPr>
      </w:pPr>
      <w:r>
        <w:rPr>
          <w:rFonts w:ascii="宋体" w:hAnsi="宋体" w:cs="Arial" w:hint="eastAsia"/>
          <w:color w:val="000000"/>
          <w:kern w:val="0"/>
          <w:sz w:val="20"/>
          <w:szCs w:val="20"/>
        </w:rPr>
        <w:t>注：1.本表反映部门本年度“三公”经费支出预决算情况。其中，预算数为“三公”经费全年预算数，反映按规定程序调整后的预算数；决算数是包括当年一般公共预算财政拨款和以前年度结转资金安排的实际支出。</w:t>
      </w:r>
    </w:p>
    <w:p w:rsidR="00A91EDB" w:rsidRDefault="00E31F4D">
      <w:pPr>
        <w:pStyle w:val="5"/>
        <w:snapToGrid w:val="0"/>
        <w:ind w:leftChars="0" w:left="0" w:firstLineChars="200" w:firstLine="400"/>
        <w:rPr>
          <w:rFonts w:ascii="宋体" w:hAnsi="宋体" w:cs="Arial"/>
          <w:color w:val="000000"/>
          <w:kern w:val="0"/>
          <w:sz w:val="20"/>
          <w:szCs w:val="20"/>
        </w:rPr>
      </w:pPr>
      <w:r>
        <w:rPr>
          <w:rFonts w:ascii="宋体" w:hAnsi="宋体" w:cs="Arial" w:hint="eastAsia"/>
          <w:color w:val="000000"/>
          <w:kern w:val="0"/>
          <w:sz w:val="20"/>
          <w:szCs w:val="20"/>
        </w:rPr>
        <w:t>2.本套报表金额单位转换时可能存在尾数误差。</w:t>
      </w:r>
    </w:p>
    <w:p w:rsidR="00A91EDB" w:rsidRDefault="00A91EDB">
      <w:pPr>
        <w:widowControl/>
        <w:jc w:val="left"/>
        <w:rPr>
          <w:rFonts w:ascii="宋体" w:hAnsi="宋体" w:cs="宋体"/>
          <w:color w:val="000000"/>
          <w:kern w:val="0"/>
          <w:sz w:val="20"/>
          <w:szCs w:val="20"/>
        </w:rPr>
      </w:pPr>
    </w:p>
    <w:p w:rsidR="00A91EDB" w:rsidRDefault="00A91EDB">
      <w:pPr>
        <w:widowControl/>
        <w:ind w:left="93"/>
        <w:jc w:val="left"/>
        <w:rPr>
          <w:rFonts w:ascii="宋体" w:hAnsi="宋体" w:cs="宋体"/>
          <w:color w:val="000000"/>
          <w:kern w:val="0"/>
          <w:sz w:val="20"/>
          <w:szCs w:val="20"/>
        </w:rPr>
      </w:pPr>
    </w:p>
    <w:p w:rsidR="00A91EDB" w:rsidRDefault="00A91EDB">
      <w:pPr>
        <w:widowControl/>
        <w:ind w:left="93"/>
        <w:jc w:val="left"/>
        <w:rPr>
          <w:rFonts w:ascii="宋体" w:hAnsi="宋体" w:cs="宋体"/>
          <w:color w:val="000000"/>
          <w:kern w:val="0"/>
          <w:sz w:val="20"/>
          <w:szCs w:val="20"/>
        </w:rPr>
      </w:pPr>
    </w:p>
    <w:p w:rsidR="00A91EDB" w:rsidRDefault="00A91EDB">
      <w:pPr>
        <w:widowControl/>
        <w:ind w:left="93"/>
        <w:jc w:val="left"/>
        <w:rPr>
          <w:rFonts w:ascii="宋体" w:hAnsi="宋体" w:cs="宋体"/>
          <w:color w:val="000000"/>
          <w:kern w:val="0"/>
          <w:sz w:val="20"/>
          <w:szCs w:val="20"/>
        </w:rPr>
      </w:pPr>
    </w:p>
    <w:p w:rsidR="00A91EDB" w:rsidRDefault="00E31F4D">
      <w:pPr>
        <w:widowControl/>
        <w:jc w:val="center"/>
        <w:rPr>
          <w:rFonts w:ascii="黑体" w:eastAsia="黑体" w:hAnsi="黑体" w:cs="宋体"/>
          <w:color w:val="000000"/>
          <w:kern w:val="0"/>
          <w:sz w:val="32"/>
          <w:szCs w:val="32"/>
        </w:rPr>
      </w:pPr>
      <w:r>
        <w:rPr>
          <w:rFonts w:ascii="宋体" w:cs="宋体"/>
          <w:color w:val="000000"/>
          <w:kern w:val="0"/>
          <w:sz w:val="24"/>
          <w:szCs w:val="24"/>
        </w:rPr>
        <w:br w:type="page"/>
      </w:r>
      <w:r>
        <w:rPr>
          <w:rFonts w:ascii="黑体" w:eastAsia="黑体" w:hAnsi="黑体" w:cs="宋体" w:hint="eastAsia"/>
          <w:color w:val="000000"/>
          <w:kern w:val="0"/>
          <w:sz w:val="32"/>
          <w:szCs w:val="32"/>
        </w:rPr>
        <w:lastRenderedPageBreak/>
        <w:t>政府性基金预算财政拨款收入支出决算表</w:t>
      </w:r>
    </w:p>
    <w:p w:rsidR="00A91EDB" w:rsidRDefault="00E31F4D">
      <w:pPr>
        <w:widowControl/>
        <w:ind w:leftChars="3864" w:left="8114" w:firstLineChars="2300" w:firstLine="5060"/>
        <w:jc w:val="left"/>
        <w:rPr>
          <w:rFonts w:ascii="宋体" w:hAnsi="宋体"/>
          <w:bCs/>
          <w:color w:val="000000"/>
          <w:kern w:val="0"/>
          <w:sz w:val="22"/>
        </w:rPr>
      </w:pPr>
      <w:r>
        <w:rPr>
          <w:rFonts w:ascii="宋体" w:hAnsi="宋体" w:hint="eastAsia"/>
          <w:bCs/>
          <w:color w:val="000000"/>
          <w:kern w:val="0"/>
          <w:sz w:val="22"/>
        </w:rPr>
        <w:t>公开08表</w:t>
      </w:r>
    </w:p>
    <w:p w:rsidR="00A91EDB" w:rsidRDefault="00E31F4D">
      <w:pPr>
        <w:pStyle w:val="a0"/>
        <w:rPr>
          <w:rFonts w:ascii="宋体" w:hAnsi="宋体" w:cs="Arial"/>
          <w:color w:val="000000"/>
          <w:kern w:val="0"/>
          <w:sz w:val="22"/>
          <w:szCs w:val="22"/>
        </w:rPr>
      </w:pPr>
      <w:r>
        <w:rPr>
          <w:rFonts w:ascii="宋体" w:hAnsi="宋体" w:cs="Arial" w:hint="eastAsia"/>
          <w:color w:val="000000"/>
          <w:kern w:val="0"/>
          <w:sz w:val="22"/>
          <w:szCs w:val="22"/>
        </w:rPr>
        <w:t xml:space="preserve">部门：中共湖南省委宣传部决算                                 </w:t>
      </w:r>
      <w:r w:rsidR="006B56CD">
        <w:rPr>
          <w:rFonts w:ascii="宋体" w:hAnsi="宋体" w:cs="Arial" w:hint="eastAsia"/>
          <w:color w:val="000000"/>
          <w:kern w:val="0"/>
          <w:sz w:val="22"/>
          <w:szCs w:val="22"/>
        </w:rPr>
        <w:t>2021年度</w:t>
      </w:r>
      <w:r>
        <w:rPr>
          <w:rFonts w:ascii="宋体" w:hAnsi="宋体" w:cs="Arial" w:hint="eastAsia"/>
          <w:color w:val="000000"/>
          <w:kern w:val="0"/>
          <w:sz w:val="22"/>
          <w:szCs w:val="22"/>
        </w:rPr>
        <w:t xml:space="preserve">                                             金额单位：万元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3"/>
        <w:gridCol w:w="3859"/>
        <w:gridCol w:w="1650"/>
        <w:gridCol w:w="1650"/>
        <w:gridCol w:w="1650"/>
        <w:gridCol w:w="1650"/>
        <w:gridCol w:w="1659"/>
        <w:gridCol w:w="1665"/>
      </w:tblGrid>
      <w:tr w:rsidR="00A91EDB">
        <w:trPr>
          <w:trHeight w:val="300"/>
        </w:trPr>
        <w:tc>
          <w:tcPr>
            <w:tcW w:w="1644" w:type="pct"/>
            <w:gridSpan w:val="2"/>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558"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年初结转和结余</w:t>
            </w:r>
          </w:p>
        </w:tc>
        <w:tc>
          <w:tcPr>
            <w:tcW w:w="558"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本年收入</w:t>
            </w:r>
          </w:p>
        </w:tc>
        <w:tc>
          <w:tcPr>
            <w:tcW w:w="1677" w:type="pct"/>
            <w:gridSpan w:val="3"/>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本年支出</w:t>
            </w:r>
          </w:p>
        </w:tc>
        <w:tc>
          <w:tcPr>
            <w:tcW w:w="559"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年末结转和结余</w:t>
            </w:r>
          </w:p>
        </w:tc>
      </w:tr>
      <w:tr w:rsidR="00A91EDB">
        <w:trPr>
          <w:trHeight w:val="312"/>
        </w:trPr>
        <w:tc>
          <w:tcPr>
            <w:tcW w:w="339"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功能分类科目编码</w:t>
            </w:r>
          </w:p>
        </w:tc>
        <w:tc>
          <w:tcPr>
            <w:tcW w:w="1304" w:type="pct"/>
            <w:vMerge w:val="restar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558" w:type="pct"/>
            <w:vMerge/>
            <w:vAlign w:val="center"/>
          </w:tcPr>
          <w:p w:rsidR="00A91EDB" w:rsidRDefault="00A91EDB">
            <w:pPr>
              <w:widowControl/>
              <w:snapToGrid w:val="0"/>
              <w:jc w:val="left"/>
              <w:rPr>
                <w:rFonts w:ascii="宋体" w:hAnsi="宋体" w:cs="Arial"/>
                <w:color w:val="000000"/>
                <w:kern w:val="0"/>
                <w:sz w:val="20"/>
                <w:szCs w:val="20"/>
              </w:rPr>
            </w:pPr>
          </w:p>
        </w:tc>
        <w:tc>
          <w:tcPr>
            <w:tcW w:w="558" w:type="pct"/>
            <w:vMerge/>
            <w:vAlign w:val="center"/>
          </w:tcPr>
          <w:p w:rsidR="00A91EDB" w:rsidRDefault="00A91EDB">
            <w:pPr>
              <w:widowControl/>
              <w:snapToGrid w:val="0"/>
              <w:jc w:val="left"/>
              <w:rPr>
                <w:rFonts w:ascii="宋体" w:hAnsi="宋体" w:cs="Arial"/>
                <w:color w:val="000000"/>
                <w:kern w:val="0"/>
                <w:sz w:val="20"/>
                <w:szCs w:val="20"/>
              </w:rPr>
            </w:pPr>
          </w:p>
        </w:tc>
        <w:tc>
          <w:tcPr>
            <w:tcW w:w="558"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小计</w:t>
            </w:r>
          </w:p>
        </w:tc>
        <w:tc>
          <w:tcPr>
            <w:tcW w:w="558"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基本支出</w:t>
            </w:r>
          </w:p>
        </w:tc>
        <w:tc>
          <w:tcPr>
            <w:tcW w:w="559" w:type="pct"/>
            <w:vMerge w:val="restart"/>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项目支出</w:t>
            </w:r>
          </w:p>
        </w:tc>
        <w:tc>
          <w:tcPr>
            <w:tcW w:w="559" w:type="pct"/>
            <w:vMerge/>
            <w:vAlign w:val="center"/>
          </w:tcPr>
          <w:p w:rsidR="00A91EDB" w:rsidRDefault="00A91EDB">
            <w:pPr>
              <w:widowControl/>
              <w:snapToGrid w:val="0"/>
              <w:jc w:val="left"/>
              <w:rPr>
                <w:rFonts w:ascii="宋体" w:hAnsi="宋体" w:cs="Arial"/>
                <w:color w:val="000000"/>
                <w:kern w:val="0"/>
                <w:sz w:val="20"/>
                <w:szCs w:val="20"/>
              </w:rPr>
            </w:pPr>
          </w:p>
        </w:tc>
      </w:tr>
      <w:tr w:rsidR="00A91EDB">
        <w:trPr>
          <w:trHeight w:val="312"/>
        </w:trPr>
        <w:tc>
          <w:tcPr>
            <w:tcW w:w="339" w:type="pct"/>
            <w:vMerge/>
            <w:vAlign w:val="center"/>
          </w:tcPr>
          <w:p w:rsidR="00A91EDB" w:rsidRDefault="00A91EDB">
            <w:pPr>
              <w:widowControl/>
              <w:snapToGrid w:val="0"/>
              <w:jc w:val="left"/>
              <w:rPr>
                <w:rFonts w:ascii="宋体" w:hAnsi="宋体" w:cs="Arial"/>
                <w:color w:val="000000"/>
                <w:kern w:val="0"/>
                <w:sz w:val="20"/>
                <w:szCs w:val="20"/>
              </w:rPr>
            </w:pPr>
          </w:p>
        </w:tc>
        <w:tc>
          <w:tcPr>
            <w:tcW w:w="1304" w:type="pct"/>
            <w:vMerge/>
            <w:vAlign w:val="center"/>
          </w:tcPr>
          <w:p w:rsidR="00A91EDB" w:rsidRDefault="00A91EDB">
            <w:pPr>
              <w:widowControl/>
              <w:snapToGrid w:val="0"/>
              <w:jc w:val="left"/>
              <w:rPr>
                <w:rFonts w:ascii="宋体" w:hAnsi="宋体" w:cs="Arial"/>
                <w:color w:val="000000"/>
                <w:kern w:val="0"/>
                <w:sz w:val="20"/>
                <w:szCs w:val="20"/>
              </w:rPr>
            </w:pPr>
          </w:p>
        </w:tc>
        <w:tc>
          <w:tcPr>
            <w:tcW w:w="558" w:type="pct"/>
            <w:vMerge/>
            <w:vAlign w:val="center"/>
          </w:tcPr>
          <w:p w:rsidR="00A91EDB" w:rsidRDefault="00A91EDB">
            <w:pPr>
              <w:widowControl/>
              <w:snapToGrid w:val="0"/>
              <w:jc w:val="left"/>
              <w:rPr>
                <w:rFonts w:ascii="宋体" w:hAnsi="宋体" w:cs="Arial"/>
                <w:color w:val="000000"/>
                <w:kern w:val="0"/>
                <w:sz w:val="20"/>
                <w:szCs w:val="20"/>
              </w:rPr>
            </w:pPr>
          </w:p>
        </w:tc>
        <w:tc>
          <w:tcPr>
            <w:tcW w:w="558" w:type="pct"/>
            <w:vMerge/>
            <w:vAlign w:val="center"/>
          </w:tcPr>
          <w:p w:rsidR="00A91EDB" w:rsidRDefault="00A91EDB">
            <w:pPr>
              <w:widowControl/>
              <w:snapToGrid w:val="0"/>
              <w:jc w:val="left"/>
              <w:rPr>
                <w:rFonts w:ascii="宋体" w:hAnsi="宋体" w:cs="Arial"/>
                <w:color w:val="000000"/>
                <w:kern w:val="0"/>
                <w:sz w:val="20"/>
                <w:szCs w:val="20"/>
              </w:rPr>
            </w:pPr>
          </w:p>
        </w:tc>
        <w:tc>
          <w:tcPr>
            <w:tcW w:w="558" w:type="pct"/>
            <w:vMerge/>
            <w:vAlign w:val="center"/>
          </w:tcPr>
          <w:p w:rsidR="00A91EDB" w:rsidRDefault="00A91EDB">
            <w:pPr>
              <w:widowControl/>
              <w:snapToGrid w:val="0"/>
              <w:jc w:val="left"/>
              <w:rPr>
                <w:rFonts w:ascii="宋体" w:hAnsi="宋体" w:cs="Arial"/>
                <w:color w:val="000000"/>
                <w:kern w:val="0"/>
                <w:sz w:val="20"/>
                <w:szCs w:val="20"/>
              </w:rPr>
            </w:pPr>
          </w:p>
        </w:tc>
        <w:tc>
          <w:tcPr>
            <w:tcW w:w="558" w:type="pct"/>
            <w:vMerge/>
            <w:vAlign w:val="center"/>
          </w:tcPr>
          <w:p w:rsidR="00A91EDB" w:rsidRDefault="00A91EDB">
            <w:pPr>
              <w:widowControl/>
              <w:snapToGrid w:val="0"/>
              <w:jc w:val="left"/>
              <w:rPr>
                <w:rFonts w:ascii="宋体" w:hAnsi="宋体" w:cs="Arial"/>
                <w:color w:val="000000"/>
                <w:kern w:val="0"/>
                <w:sz w:val="20"/>
                <w:szCs w:val="20"/>
              </w:rPr>
            </w:pPr>
          </w:p>
        </w:tc>
        <w:tc>
          <w:tcPr>
            <w:tcW w:w="559" w:type="pct"/>
            <w:vMerge/>
            <w:vAlign w:val="center"/>
          </w:tcPr>
          <w:p w:rsidR="00A91EDB" w:rsidRDefault="00A91EDB">
            <w:pPr>
              <w:widowControl/>
              <w:snapToGrid w:val="0"/>
              <w:jc w:val="left"/>
              <w:rPr>
                <w:rFonts w:ascii="宋体" w:hAnsi="宋体" w:cs="Arial"/>
                <w:color w:val="000000"/>
                <w:kern w:val="0"/>
                <w:sz w:val="20"/>
                <w:szCs w:val="20"/>
              </w:rPr>
            </w:pPr>
          </w:p>
        </w:tc>
        <w:tc>
          <w:tcPr>
            <w:tcW w:w="559" w:type="pct"/>
            <w:vMerge/>
            <w:vAlign w:val="center"/>
          </w:tcPr>
          <w:p w:rsidR="00A91EDB" w:rsidRDefault="00A91EDB">
            <w:pPr>
              <w:widowControl/>
              <w:snapToGrid w:val="0"/>
              <w:jc w:val="left"/>
              <w:rPr>
                <w:rFonts w:ascii="宋体" w:hAnsi="宋体" w:cs="Arial"/>
                <w:color w:val="000000"/>
                <w:kern w:val="0"/>
                <w:sz w:val="20"/>
                <w:szCs w:val="20"/>
              </w:rPr>
            </w:pPr>
          </w:p>
        </w:tc>
      </w:tr>
      <w:tr w:rsidR="00A91EDB">
        <w:trPr>
          <w:trHeight w:val="312"/>
        </w:trPr>
        <w:tc>
          <w:tcPr>
            <w:tcW w:w="339" w:type="pct"/>
            <w:vMerge/>
            <w:vAlign w:val="center"/>
          </w:tcPr>
          <w:p w:rsidR="00A91EDB" w:rsidRDefault="00A91EDB">
            <w:pPr>
              <w:widowControl/>
              <w:snapToGrid w:val="0"/>
              <w:jc w:val="left"/>
              <w:rPr>
                <w:rFonts w:ascii="宋体" w:hAnsi="宋体" w:cs="Arial"/>
                <w:color w:val="000000"/>
                <w:kern w:val="0"/>
                <w:sz w:val="20"/>
                <w:szCs w:val="20"/>
              </w:rPr>
            </w:pPr>
          </w:p>
        </w:tc>
        <w:tc>
          <w:tcPr>
            <w:tcW w:w="1304" w:type="pct"/>
            <w:vMerge/>
            <w:vAlign w:val="center"/>
          </w:tcPr>
          <w:p w:rsidR="00A91EDB" w:rsidRDefault="00A91EDB">
            <w:pPr>
              <w:widowControl/>
              <w:snapToGrid w:val="0"/>
              <w:jc w:val="left"/>
              <w:rPr>
                <w:rFonts w:ascii="宋体" w:hAnsi="宋体" w:cs="Arial"/>
                <w:color w:val="000000"/>
                <w:kern w:val="0"/>
                <w:sz w:val="20"/>
                <w:szCs w:val="20"/>
              </w:rPr>
            </w:pPr>
          </w:p>
        </w:tc>
        <w:tc>
          <w:tcPr>
            <w:tcW w:w="558" w:type="pct"/>
            <w:vMerge/>
            <w:vAlign w:val="center"/>
          </w:tcPr>
          <w:p w:rsidR="00A91EDB" w:rsidRDefault="00A91EDB">
            <w:pPr>
              <w:widowControl/>
              <w:snapToGrid w:val="0"/>
              <w:jc w:val="left"/>
              <w:rPr>
                <w:rFonts w:ascii="宋体" w:hAnsi="宋体" w:cs="Arial"/>
                <w:color w:val="000000"/>
                <w:kern w:val="0"/>
                <w:sz w:val="20"/>
                <w:szCs w:val="20"/>
              </w:rPr>
            </w:pPr>
          </w:p>
        </w:tc>
        <w:tc>
          <w:tcPr>
            <w:tcW w:w="558" w:type="pct"/>
            <w:vMerge/>
            <w:vAlign w:val="center"/>
          </w:tcPr>
          <w:p w:rsidR="00A91EDB" w:rsidRDefault="00A91EDB">
            <w:pPr>
              <w:widowControl/>
              <w:snapToGrid w:val="0"/>
              <w:jc w:val="left"/>
              <w:rPr>
                <w:rFonts w:ascii="宋体" w:hAnsi="宋体" w:cs="Arial"/>
                <w:color w:val="000000"/>
                <w:kern w:val="0"/>
                <w:sz w:val="20"/>
                <w:szCs w:val="20"/>
              </w:rPr>
            </w:pPr>
          </w:p>
        </w:tc>
        <w:tc>
          <w:tcPr>
            <w:tcW w:w="558" w:type="pct"/>
            <w:vMerge/>
            <w:vAlign w:val="center"/>
          </w:tcPr>
          <w:p w:rsidR="00A91EDB" w:rsidRDefault="00A91EDB">
            <w:pPr>
              <w:widowControl/>
              <w:snapToGrid w:val="0"/>
              <w:jc w:val="left"/>
              <w:rPr>
                <w:rFonts w:ascii="宋体" w:hAnsi="宋体" w:cs="Arial"/>
                <w:color w:val="000000"/>
                <w:kern w:val="0"/>
                <w:sz w:val="20"/>
                <w:szCs w:val="20"/>
              </w:rPr>
            </w:pPr>
          </w:p>
        </w:tc>
        <w:tc>
          <w:tcPr>
            <w:tcW w:w="558" w:type="pct"/>
            <w:vMerge/>
            <w:vAlign w:val="center"/>
          </w:tcPr>
          <w:p w:rsidR="00A91EDB" w:rsidRDefault="00A91EDB">
            <w:pPr>
              <w:widowControl/>
              <w:snapToGrid w:val="0"/>
              <w:jc w:val="left"/>
              <w:rPr>
                <w:rFonts w:ascii="宋体" w:hAnsi="宋体" w:cs="Arial"/>
                <w:color w:val="000000"/>
                <w:kern w:val="0"/>
                <w:sz w:val="20"/>
                <w:szCs w:val="20"/>
              </w:rPr>
            </w:pPr>
          </w:p>
        </w:tc>
        <w:tc>
          <w:tcPr>
            <w:tcW w:w="559" w:type="pct"/>
            <w:vMerge/>
            <w:vAlign w:val="center"/>
          </w:tcPr>
          <w:p w:rsidR="00A91EDB" w:rsidRDefault="00A91EDB">
            <w:pPr>
              <w:widowControl/>
              <w:snapToGrid w:val="0"/>
              <w:jc w:val="left"/>
              <w:rPr>
                <w:rFonts w:ascii="宋体" w:hAnsi="宋体" w:cs="Arial"/>
                <w:color w:val="000000"/>
                <w:kern w:val="0"/>
                <w:sz w:val="20"/>
                <w:szCs w:val="20"/>
              </w:rPr>
            </w:pPr>
          </w:p>
        </w:tc>
        <w:tc>
          <w:tcPr>
            <w:tcW w:w="559" w:type="pct"/>
            <w:vMerge/>
            <w:vAlign w:val="center"/>
          </w:tcPr>
          <w:p w:rsidR="00A91EDB" w:rsidRDefault="00A91EDB">
            <w:pPr>
              <w:widowControl/>
              <w:snapToGrid w:val="0"/>
              <w:jc w:val="left"/>
              <w:rPr>
                <w:rFonts w:ascii="宋体" w:hAnsi="宋体" w:cs="Arial"/>
                <w:color w:val="000000"/>
                <w:kern w:val="0"/>
                <w:sz w:val="20"/>
                <w:szCs w:val="20"/>
              </w:rPr>
            </w:pPr>
          </w:p>
        </w:tc>
      </w:tr>
      <w:tr w:rsidR="00A91EDB">
        <w:trPr>
          <w:trHeight w:val="300"/>
        </w:trPr>
        <w:tc>
          <w:tcPr>
            <w:tcW w:w="1644" w:type="pct"/>
            <w:gridSpan w:val="2"/>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558"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558"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558"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558"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4</w:t>
            </w:r>
          </w:p>
        </w:tc>
        <w:tc>
          <w:tcPr>
            <w:tcW w:w="559"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5</w:t>
            </w:r>
          </w:p>
        </w:tc>
        <w:tc>
          <w:tcPr>
            <w:tcW w:w="559" w:type="pct"/>
            <w:noWrap/>
            <w:vAlign w:val="center"/>
          </w:tcPr>
          <w:p w:rsidR="00A91EDB" w:rsidRDefault="00E31F4D">
            <w:pPr>
              <w:widowControl/>
              <w:snapToGrid w:val="0"/>
              <w:jc w:val="center"/>
              <w:rPr>
                <w:rFonts w:ascii="宋体" w:hAnsi="宋体" w:cs="Arial"/>
                <w:color w:val="000000"/>
                <w:kern w:val="0"/>
                <w:sz w:val="20"/>
                <w:szCs w:val="20"/>
              </w:rPr>
            </w:pPr>
            <w:r>
              <w:rPr>
                <w:rFonts w:ascii="宋体" w:hAnsi="宋体" w:cs="Arial" w:hint="eastAsia"/>
                <w:color w:val="000000"/>
                <w:kern w:val="0"/>
                <w:sz w:val="20"/>
                <w:szCs w:val="20"/>
              </w:rPr>
              <w:t>6</w:t>
            </w:r>
          </w:p>
        </w:tc>
      </w:tr>
      <w:tr w:rsidR="00A91EDB">
        <w:trPr>
          <w:trHeight w:val="300"/>
        </w:trPr>
        <w:tc>
          <w:tcPr>
            <w:tcW w:w="1644" w:type="pct"/>
            <w:gridSpan w:val="2"/>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558"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 xml:space="preserve">　</w:t>
            </w:r>
          </w:p>
        </w:tc>
        <w:tc>
          <w:tcPr>
            <w:tcW w:w="558"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 xml:space="preserve">　</w:t>
            </w:r>
          </w:p>
        </w:tc>
        <w:tc>
          <w:tcPr>
            <w:tcW w:w="558"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 xml:space="preserve">　</w:t>
            </w:r>
          </w:p>
        </w:tc>
        <w:tc>
          <w:tcPr>
            <w:tcW w:w="558"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 xml:space="preserve">　</w:t>
            </w:r>
          </w:p>
        </w:tc>
        <w:tc>
          <w:tcPr>
            <w:tcW w:w="559"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 xml:space="preserve">　</w:t>
            </w:r>
          </w:p>
        </w:tc>
        <w:tc>
          <w:tcPr>
            <w:tcW w:w="559" w:type="pct"/>
            <w:noWrap/>
            <w:vAlign w:val="center"/>
          </w:tcPr>
          <w:p w:rsidR="00A91EDB" w:rsidRDefault="00E31F4D">
            <w:pPr>
              <w:widowControl/>
              <w:snapToGrid w:val="0"/>
              <w:jc w:val="right"/>
              <w:rPr>
                <w:rFonts w:ascii="宋体" w:hAnsi="宋体" w:cs="Arial"/>
                <w:b/>
                <w:bCs/>
                <w:color w:val="000000"/>
                <w:kern w:val="0"/>
                <w:sz w:val="20"/>
                <w:szCs w:val="20"/>
              </w:rPr>
            </w:pPr>
            <w:r>
              <w:rPr>
                <w:rFonts w:ascii="宋体" w:hAnsi="宋体" w:cs="Arial" w:hint="eastAsia"/>
                <w:b/>
                <w:bCs/>
                <w:color w:val="000000"/>
                <w:kern w:val="0"/>
                <w:sz w:val="20"/>
                <w:szCs w:val="20"/>
              </w:rPr>
              <w:t xml:space="preserve">　</w:t>
            </w:r>
          </w:p>
        </w:tc>
      </w:tr>
      <w:tr w:rsidR="00A91EDB">
        <w:trPr>
          <w:trHeight w:val="863"/>
        </w:trPr>
        <w:tc>
          <w:tcPr>
            <w:tcW w:w="5000" w:type="pct"/>
            <w:gridSpan w:val="8"/>
            <w:noWrap/>
            <w:vAlign w:val="center"/>
          </w:tcPr>
          <w:p w:rsidR="00A91EDB" w:rsidRDefault="00E31F4D">
            <w:pPr>
              <w:widowControl/>
              <w:snapToGrid w:val="0"/>
              <w:jc w:val="left"/>
              <w:rPr>
                <w:rFonts w:ascii="宋体" w:hAnsi="宋体" w:cs="Arial"/>
                <w:color w:val="000000"/>
                <w:kern w:val="0"/>
                <w:sz w:val="20"/>
                <w:szCs w:val="20"/>
              </w:rPr>
            </w:pPr>
            <w:r>
              <w:rPr>
                <w:rFonts w:ascii="宋体" w:hAnsi="宋体" w:cs="宋体" w:hint="eastAsia"/>
                <w:color w:val="000000"/>
                <w:kern w:val="0"/>
                <w:sz w:val="20"/>
                <w:szCs w:val="20"/>
              </w:rPr>
              <w:t>中共湖南省委宣传部没有政府性基金收入，也没有政府性基金安排的支出，故本表无数据</w:t>
            </w:r>
          </w:p>
        </w:tc>
      </w:tr>
    </w:tbl>
    <w:p w:rsidR="00A91EDB" w:rsidRDefault="00E31F4D">
      <w:pPr>
        <w:widowControl/>
        <w:jc w:val="left"/>
        <w:rPr>
          <w:rFonts w:ascii="宋体" w:cs="宋体"/>
          <w:color w:val="000000"/>
          <w:kern w:val="0"/>
          <w:sz w:val="24"/>
          <w:szCs w:val="24"/>
        </w:rPr>
      </w:pPr>
      <w:r>
        <w:rPr>
          <w:rFonts w:ascii="宋体" w:hAnsi="宋体" w:cs="Arial" w:hint="eastAsia"/>
          <w:color w:val="000000"/>
          <w:kern w:val="0"/>
          <w:sz w:val="20"/>
          <w:szCs w:val="20"/>
        </w:rPr>
        <w:t>注：本表反映部门本年度政府性基金预算财政拨款收入、支出及结转和结余情况。</w:t>
      </w:r>
    </w:p>
    <w:p w:rsidR="00A91EDB" w:rsidRDefault="00A91EDB">
      <w:pPr>
        <w:pStyle w:val="5"/>
        <w:snapToGrid w:val="0"/>
        <w:ind w:leftChars="0" w:left="0" w:firstLineChars="200" w:firstLine="400"/>
        <w:rPr>
          <w:rFonts w:ascii="宋体" w:hAnsi="宋体" w:cs="Arial"/>
          <w:color w:val="000000"/>
          <w:kern w:val="0"/>
          <w:sz w:val="20"/>
          <w:szCs w:val="20"/>
        </w:rPr>
      </w:pPr>
    </w:p>
    <w:p w:rsidR="00A91EDB" w:rsidRDefault="00A91EDB">
      <w:pPr>
        <w:widowControl/>
        <w:jc w:val="left"/>
        <w:rPr>
          <w:rFonts w:ascii="宋体" w:cs="宋体"/>
          <w:color w:val="000000"/>
          <w:kern w:val="0"/>
          <w:sz w:val="24"/>
          <w:szCs w:val="24"/>
        </w:rPr>
      </w:pPr>
    </w:p>
    <w:p w:rsidR="00A91EDB" w:rsidRDefault="00A91EDB">
      <w:pPr>
        <w:widowControl/>
        <w:jc w:val="left"/>
        <w:rPr>
          <w:rFonts w:ascii="宋体" w:cs="宋体"/>
          <w:color w:val="000000"/>
          <w:kern w:val="0"/>
          <w:sz w:val="24"/>
          <w:szCs w:val="24"/>
        </w:rPr>
      </w:pPr>
    </w:p>
    <w:p w:rsidR="00A91EDB" w:rsidRDefault="00A91EDB">
      <w:pPr>
        <w:widowControl/>
        <w:jc w:val="left"/>
        <w:rPr>
          <w:rFonts w:ascii="宋体" w:cs="宋体"/>
          <w:color w:val="000000"/>
          <w:kern w:val="0"/>
          <w:sz w:val="24"/>
          <w:szCs w:val="24"/>
        </w:rPr>
      </w:pPr>
    </w:p>
    <w:p w:rsidR="00A91EDB" w:rsidRDefault="00A91EDB">
      <w:pPr>
        <w:widowControl/>
        <w:jc w:val="left"/>
        <w:rPr>
          <w:rFonts w:ascii="宋体" w:cs="宋体"/>
          <w:color w:val="000000"/>
          <w:kern w:val="0"/>
          <w:sz w:val="24"/>
          <w:szCs w:val="24"/>
        </w:rPr>
      </w:pPr>
    </w:p>
    <w:p w:rsidR="00A91EDB" w:rsidRDefault="00A91EDB">
      <w:pPr>
        <w:widowControl/>
        <w:jc w:val="left"/>
        <w:rPr>
          <w:rFonts w:ascii="黑体" w:eastAsia="黑体" w:hAnsi="黑体"/>
          <w:color w:val="000000"/>
          <w:szCs w:val="21"/>
        </w:rPr>
      </w:pPr>
    </w:p>
    <w:p w:rsidR="00A91EDB" w:rsidRDefault="00A91EDB">
      <w:pPr>
        <w:pStyle w:val="Default"/>
        <w:rPr>
          <w:sz w:val="72"/>
          <w:szCs w:val="72"/>
        </w:rPr>
        <w:sectPr w:rsidR="00A91EDB">
          <w:pgSz w:w="16838" w:h="11906" w:orient="landscape"/>
          <w:pgMar w:top="1418" w:right="1134" w:bottom="1418" w:left="1134" w:header="851" w:footer="992" w:gutter="0"/>
          <w:cols w:space="720"/>
          <w:docGrid w:type="lines" w:linePitch="312"/>
        </w:sectPr>
      </w:pPr>
    </w:p>
    <w:p w:rsidR="00A91EDB" w:rsidRDefault="00A91EDB">
      <w:pPr>
        <w:pStyle w:val="Default"/>
        <w:jc w:val="center"/>
        <w:rPr>
          <w:rFonts w:hAnsi="黑体"/>
          <w:sz w:val="32"/>
          <w:szCs w:val="32"/>
        </w:rPr>
      </w:pPr>
    </w:p>
    <w:p w:rsidR="00A91EDB" w:rsidRDefault="00E31F4D">
      <w:pPr>
        <w:pStyle w:val="Default"/>
        <w:jc w:val="center"/>
        <w:rPr>
          <w:rFonts w:hAnsi="黑体"/>
          <w:sz w:val="32"/>
          <w:szCs w:val="32"/>
        </w:rPr>
      </w:pPr>
      <w:r>
        <w:rPr>
          <w:rFonts w:hAnsi="黑体" w:hint="eastAsia"/>
          <w:sz w:val="32"/>
          <w:szCs w:val="32"/>
        </w:rPr>
        <w:t>国有资本经营预算财政拨款支出决算表</w:t>
      </w:r>
    </w:p>
    <w:p w:rsidR="00A91EDB" w:rsidRDefault="00E31F4D">
      <w:pPr>
        <w:widowControl/>
        <w:ind w:leftChars="3864" w:left="8114" w:firstLineChars="2300" w:firstLine="5060"/>
        <w:rPr>
          <w:rFonts w:ascii="宋体" w:hAnsi="宋体"/>
          <w:bCs/>
          <w:color w:val="000000"/>
          <w:kern w:val="0"/>
          <w:sz w:val="22"/>
        </w:rPr>
      </w:pPr>
      <w:r>
        <w:rPr>
          <w:rFonts w:ascii="宋体" w:hAnsi="宋体" w:hint="eastAsia"/>
          <w:bCs/>
          <w:color w:val="000000"/>
          <w:kern w:val="0"/>
          <w:sz w:val="22"/>
        </w:rPr>
        <w:t>公公开09表</w:t>
      </w:r>
    </w:p>
    <w:p w:rsidR="00A91EDB" w:rsidRDefault="00E31F4D">
      <w:pPr>
        <w:pStyle w:val="a0"/>
        <w:rPr>
          <w:rFonts w:ascii="宋体" w:hAnsi="宋体" w:cs="Arial"/>
          <w:color w:val="000000"/>
          <w:kern w:val="0"/>
          <w:sz w:val="22"/>
          <w:szCs w:val="22"/>
        </w:rPr>
      </w:pPr>
      <w:r>
        <w:rPr>
          <w:rFonts w:ascii="宋体" w:hAnsi="宋体" w:cs="Arial" w:hint="eastAsia"/>
          <w:color w:val="000000"/>
          <w:kern w:val="0"/>
          <w:sz w:val="22"/>
          <w:szCs w:val="22"/>
        </w:rPr>
        <w:t>部门：中共湖南省委宣传部决算             2021年度                  金额单位：万元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5"/>
        <w:gridCol w:w="3649"/>
        <w:gridCol w:w="1564"/>
        <w:gridCol w:w="1564"/>
        <w:gridCol w:w="1564"/>
      </w:tblGrid>
      <w:tr w:rsidR="00A91EDB">
        <w:trPr>
          <w:trHeight w:val="300"/>
        </w:trPr>
        <w:tc>
          <w:tcPr>
            <w:tcW w:w="2474" w:type="pct"/>
            <w:gridSpan w:val="2"/>
            <w:noWrap/>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项目</w:t>
            </w:r>
          </w:p>
        </w:tc>
        <w:tc>
          <w:tcPr>
            <w:tcW w:w="2525" w:type="pct"/>
            <w:gridSpan w:val="3"/>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本年支出</w:t>
            </w:r>
          </w:p>
        </w:tc>
      </w:tr>
      <w:tr w:rsidR="00A91EDB">
        <w:trPr>
          <w:trHeight w:val="312"/>
        </w:trPr>
        <w:tc>
          <w:tcPr>
            <w:tcW w:w="509"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功能分类科目编码</w:t>
            </w:r>
          </w:p>
        </w:tc>
        <w:tc>
          <w:tcPr>
            <w:tcW w:w="1964" w:type="pct"/>
            <w:vMerge w:val="restart"/>
            <w:noWrap/>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科目名称</w:t>
            </w:r>
          </w:p>
        </w:tc>
        <w:tc>
          <w:tcPr>
            <w:tcW w:w="842"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合计</w:t>
            </w:r>
          </w:p>
        </w:tc>
        <w:tc>
          <w:tcPr>
            <w:tcW w:w="842"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基本支出</w:t>
            </w:r>
          </w:p>
        </w:tc>
        <w:tc>
          <w:tcPr>
            <w:tcW w:w="841" w:type="pct"/>
            <w:vMerge w:val="restart"/>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项目支出</w:t>
            </w:r>
          </w:p>
        </w:tc>
      </w:tr>
      <w:tr w:rsidR="00A91EDB">
        <w:trPr>
          <w:trHeight w:val="312"/>
        </w:trPr>
        <w:tc>
          <w:tcPr>
            <w:tcW w:w="509" w:type="pct"/>
            <w:vMerge/>
            <w:vAlign w:val="center"/>
          </w:tcPr>
          <w:p w:rsidR="00A91EDB" w:rsidRDefault="00A91EDB">
            <w:pPr>
              <w:widowControl/>
              <w:jc w:val="center"/>
              <w:rPr>
                <w:rFonts w:ascii="宋体" w:hAnsi="宋体" w:cs="Arial"/>
                <w:color w:val="000000"/>
                <w:kern w:val="0"/>
                <w:sz w:val="20"/>
                <w:szCs w:val="20"/>
              </w:rPr>
            </w:pPr>
          </w:p>
        </w:tc>
        <w:tc>
          <w:tcPr>
            <w:tcW w:w="1964" w:type="pct"/>
            <w:vMerge/>
            <w:vAlign w:val="center"/>
          </w:tcPr>
          <w:p w:rsidR="00A91EDB" w:rsidRDefault="00A91EDB">
            <w:pPr>
              <w:widowControl/>
              <w:jc w:val="center"/>
              <w:rPr>
                <w:rFonts w:ascii="宋体" w:hAnsi="宋体" w:cs="Arial"/>
                <w:color w:val="000000"/>
                <w:kern w:val="0"/>
                <w:sz w:val="20"/>
                <w:szCs w:val="20"/>
              </w:rPr>
            </w:pPr>
          </w:p>
        </w:tc>
        <w:tc>
          <w:tcPr>
            <w:tcW w:w="842" w:type="pct"/>
            <w:vMerge/>
            <w:vAlign w:val="center"/>
          </w:tcPr>
          <w:p w:rsidR="00A91EDB" w:rsidRDefault="00A91EDB">
            <w:pPr>
              <w:widowControl/>
              <w:jc w:val="center"/>
              <w:rPr>
                <w:rFonts w:ascii="宋体" w:hAnsi="宋体" w:cs="Arial"/>
                <w:color w:val="000000"/>
                <w:kern w:val="0"/>
                <w:sz w:val="20"/>
                <w:szCs w:val="20"/>
              </w:rPr>
            </w:pPr>
          </w:p>
        </w:tc>
        <w:tc>
          <w:tcPr>
            <w:tcW w:w="842" w:type="pct"/>
            <w:vMerge/>
            <w:vAlign w:val="center"/>
          </w:tcPr>
          <w:p w:rsidR="00A91EDB" w:rsidRDefault="00A91EDB">
            <w:pPr>
              <w:widowControl/>
              <w:jc w:val="center"/>
              <w:rPr>
                <w:rFonts w:ascii="宋体" w:hAnsi="宋体" w:cs="Arial"/>
                <w:color w:val="000000"/>
                <w:kern w:val="0"/>
                <w:sz w:val="20"/>
                <w:szCs w:val="20"/>
              </w:rPr>
            </w:pPr>
          </w:p>
        </w:tc>
        <w:tc>
          <w:tcPr>
            <w:tcW w:w="841" w:type="pct"/>
            <w:vMerge/>
            <w:vAlign w:val="center"/>
          </w:tcPr>
          <w:p w:rsidR="00A91EDB" w:rsidRDefault="00A91EDB">
            <w:pPr>
              <w:widowControl/>
              <w:jc w:val="center"/>
              <w:rPr>
                <w:rFonts w:ascii="宋体" w:hAnsi="宋体" w:cs="Arial"/>
                <w:color w:val="000000"/>
                <w:kern w:val="0"/>
                <w:sz w:val="20"/>
                <w:szCs w:val="20"/>
              </w:rPr>
            </w:pPr>
          </w:p>
        </w:tc>
      </w:tr>
      <w:tr w:rsidR="00A91EDB">
        <w:trPr>
          <w:trHeight w:val="312"/>
        </w:trPr>
        <w:tc>
          <w:tcPr>
            <w:tcW w:w="509" w:type="pct"/>
            <w:vMerge/>
            <w:vAlign w:val="center"/>
          </w:tcPr>
          <w:p w:rsidR="00A91EDB" w:rsidRDefault="00A91EDB">
            <w:pPr>
              <w:widowControl/>
              <w:jc w:val="center"/>
              <w:rPr>
                <w:rFonts w:ascii="宋体" w:hAnsi="宋体" w:cs="Arial"/>
                <w:color w:val="000000"/>
                <w:kern w:val="0"/>
                <w:sz w:val="20"/>
                <w:szCs w:val="20"/>
              </w:rPr>
            </w:pPr>
          </w:p>
        </w:tc>
        <w:tc>
          <w:tcPr>
            <w:tcW w:w="1964" w:type="pct"/>
            <w:vMerge/>
            <w:vAlign w:val="center"/>
          </w:tcPr>
          <w:p w:rsidR="00A91EDB" w:rsidRDefault="00A91EDB">
            <w:pPr>
              <w:widowControl/>
              <w:jc w:val="center"/>
              <w:rPr>
                <w:rFonts w:ascii="宋体" w:hAnsi="宋体" w:cs="Arial"/>
                <w:color w:val="000000"/>
                <w:kern w:val="0"/>
                <w:sz w:val="20"/>
                <w:szCs w:val="20"/>
              </w:rPr>
            </w:pPr>
          </w:p>
        </w:tc>
        <w:tc>
          <w:tcPr>
            <w:tcW w:w="842" w:type="pct"/>
            <w:vMerge/>
            <w:vAlign w:val="center"/>
          </w:tcPr>
          <w:p w:rsidR="00A91EDB" w:rsidRDefault="00A91EDB">
            <w:pPr>
              <w:widowControl/>
              <w:jc w:val="center"/>
              <w:rPr>
                <w:rFonts w:ascii="宋体" w:hAnsi="宋体" w:cs="Arial"/>
                <w:color w:val="000000"/>
                <w:kern w:val="0"/>
                <w:sz w:val="20"/>
                <w:szCs w:val="20"/>
              </w:rPr>
            </w:pPr>
          </w:p>
        </w:tc>
        <w:tc>
          <w:tcPr>
            <w:tcW w:w="842" w:type="pct"/>
            <w:vMerge/>
            <w:vAlign w:val="center"/>
          </w:tcPr>
          <w:p w:rsidR="00A91EDB" w:rsidRDefault="00A91EDB">
            <w:pPr>
              <w:widowControl/>
              <w:jc w:val="center"/>
              <w:rPr>
                <w:rFonts w:ascii="宋体" w:hAnsi="宋体" w:cs="Arial"/>
                <w:color w:val="000000"/>
                <w:kern w:val="0"/>
                <w:sz w:val="20"/>
                <w:szCs w:val="20"/>
              </w:rPr>
            </w:pPr>
          </w:p>
        </w:tc>
        <w:tc>
          <w:tcPr>
            <w:tcW w:w="841" w:type="pct"/>
            <w:vMerge/>
            <w:vAlign w:val="center"/>
          </w:tcPr>
          <w:p w:rsidR="00A91EDB" w:rsidRDefault="00A91EDB">
            <w:pPr>
              <w:widowControl/>
              <w:jc w:val="center"/>
              <w:rPr>
                <w:rFonts w:ascii="宋体" w:hAnsi="宋体" w:cs="Arial"/>
                <w:color w:val="000000"/>
                <w:kern w:val="0"/>
                <w:sz w:val="20"/>
                <w:szCs w:val="20"/>
              </w:rPr>
            </w:pPr>
          </w:p>
        </w:tc>
      </w:tr>
      <w:tr w:rsidR="00A91EDB">
        <w:trPr>
          <w:trHeight w:val="300"/>
        </w:trPr>
        <w:tc>
          <w:tcPr>
            <w:tcW w:w="2474" w:type="pct"/>
            <w:gridSpan w:val="2"/>
            <w:noWrap/>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栏次</w:t>
            </w:r>
          </w:p>
        </w:tc>
        <w:tc>
          <w:tcPr>
            <w:tcW w:w="842" w:type="pct"/>
            <w:noWrap/>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842" w:type="pct"/>
            <w:noWrap/>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841" w:type="pct"/>
            <w:noWrap/>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r>
      <w:tr w:rsidR="00A91EDB">
        <w:trPr>
          <w:trHeight w:val="300"/>
        </w:trPr>
        <w:tc>
          <w:tcPr>
            <w:tcW w:w="2474" w:type="pct"/>
            <w:gridSpan w:val="2"/>
            <w:noWrap/>
            <w:vAlign w:val="center"/>
          </w:tcPr>
          <w:p w:rsidR="00A91EDB" w:rsidRDefault="00E31F4D">
            <w:pPr>
              <w:widowControl/>
              <w:jc w:val="center"/>
              <w:rPr>
                <w:rFonts w:ascii="宋体" w:hAnsi="宋体" w:cs="Arial"/>
                <w:color w:val="000000"/>
                <w:kern w:val="0"/>
                <w:sz w:val="20"/>
                <w:szCs w:val="20"/>
              </w:rPr>
            </w:pPr>
            <w:r>
              <w:rPr>
                <w:rFonts w:ascii="宋体" w:hAnsi="宋体" w:cs="Arial" w:hint="eastAsia"/>
                <w:color w:val="000000"/>
                <w:kern w:val="0"/>
                <w:sz w:val="20"/>
                <w:szCs w:val="20"/>
              </w:rPr>
              <w:t>合计</w:t>
            </w:r>
          </w:p>
        </w:tc>
        <w:tc>
          <w:tcPr>
            <w:tcW w:w="842" w:type="pct"/>
            <w:noWrap/>
            <w:vAlign w:val="center"/>
          </w:tcPr>
          <w:p w:rsidR="00A91EDB" w:rsidRDefault="00A91EDB">
            <w:pPr>
              <w:widowControl/>
              <w:jc w:val="center"/>
              <w:rPr>
                <w:rFonts w:ascii="宋体" w:hAnsi="宋体" w:cs="Arial"/>
                <w:b/>
                <w:bCs/>
                <w:color w:val="000000"/>
                <w:kern w:val="0"/>
                <w:sz w:val="20"/>
                <w:szCs w:val="20"/>
              </w:rPr>
            </w:pPr>
          </w:p>
        </w:tc>
        <w:tc>
          <w:tcPr>
            <w:tcW w:w="842" w:type="pct"/>
            <w:noWrap/>
            <w:vAlign w:val="center"/>
          </w:tcPr>
          <w:p w:rsidR="00A91EDB" w:rsidRDefault="00A91EDB">
            <w:pPr>
              <w:widowControl/>
              <w:jc w:val="center"/>
              <w:rPr>
                <w:rFonts w:ascii="宋体" w:hAnsi="宋体" w:cs="Arial"/>
                <w:b/>
                <w:bCs/>
                <w:color w:val="000000"/>
                <w:kern w:val="0"/>
                <w:sz w:val="20"/>
                <w:szCs w:val="20"/>
              </w:rPr>
            </w:pPr>
          </w:p>
        </w:tc>
        <w:tc>
          <w:tcPr>
            <w:tcW w:w="841" w:type="pct"/>
            <w:noWrap/>
            <w:vAlign w:val="center"/>
          </w:tcPr>
          <w:p w:rsidR="00A91EDB" w:rsidRDefault="00A91EDB">
            <w:pPr>
              <w:widowControl/>
              <w:jc w:val="center"/>
              <w:rPr>
                <w:rFonts w:ascii="宋体" w:hAnsi="宋体" w:cs="Arial"/>
                <w:b/>
                <w:bCs/>
                <w:color w:val="000000"/>
                <w:kern w:val="0"/>
                <w:sz w:val="20"/>
                <w:szCs w:val="20"/>
              </w:rPr>
            </w:pPr>
          </w:p>
        </w:tc>
      </w:tr>
      <w:tr w:rsidR="00A91EDB">
        <w:trPr>
          <w:trHeight w:val="687"/>
        </w:trPr>
        <w:tc>
          <w:tcPr>
            <w:tcW w:w="5000" w:type="pct"/>
            <w:gridSpan w:val="5"/>
            <w:noWrap/>
            <w:vAlign w:val="center"/>
          </w:tcPr>
          <w:p w:rsidR="00A91EDB" w:rsidRDefault="00E31F4D">
            <w:pPr>
              <w:widowControl/>
              <w:jc w:val="center"/>
              <w:rPr>
                <w:rFonts w:ascii="宋体" w:hAnsi="宋体" w:cs="Arial"/>
                <w:color w:val="000000"/>
                <w:kern w:val="0"/>
                <w:sz w:val="20"/>
                <w:szCs w:val="20"/>
              </w:rPr>
            </w:pPr>
            <w:r>
              <w:rPr>
                <w:rFonts w:ascii="宋体" w:hAnsi="宋体" w:cs="宋体" w:hint="eastAsia"/>
                <w:color w:val="000000"/>
                <w:kern w:val="0"/>
                <w:sz w:val="20"/>
                <w:szCs w:val="20"/>
              </w:rPr>
              <w:t>中共湖南省委宣传部没有国有资本经营收入，也没有国有资本经营安排的支出，故本表无数据</w:t>
            </w:r>
          </w:p>
        </w:tc>
      </w:tr>
    </w:tbl>
    <w:p w:rsidR="00A91EDB" w:rsidRDefault="00E31F4D">
      <w:pPr>
        <w:widowControl/>
        <w:jc w:val="left"/>
        <w:rPr>
          <w:rFonts w:ascii="宋体" w:hAnsi="宋体" w:cs="Arial"/>
          <w:color w:val="000000"/>
          <w:kern w:val="0"/>
          <w:sz w:val="20"/>
          <w:szCs w:val="20"/>
        </w:rPr>
      </w:pPr>
      <w:r>
        <w:rPr>
          <w:rFonts w:ascii="宋体" w:hAnsi="宋体" w:cs="Arial" w:hint="eastAsia"/>
          <w:color w:val="000000"/>
          <w:kern w:val="0"/>
          <w:sz w:val="20"/>
          <w:szCs w:val="20"/>
        </w:rPr>
        <w:t>注：本表反映部门本年度国有资本经营预算财政拨款支出情况。</w:t>
      </w:r>
    </w:p>
    <w:p w:rsidR="00A91EDB" w:rsidRDefault="00A91EDB">
      <w:pPr>
        <w:pStyle w:val="Default"/>
        <w:rPr>
          <w:sz w:val="72"/>
          <w:szCs w:val="72"/>
        </w:rPr>
      </w:pPr>
    </w:p>
    <w:p w:rsidR="00A91EDB" w:rsidRDefault="00A91EDB">
      <w:pPr>
        <w:pStyle w:val="Default"/>
        <w:rPr>
          <w:sz w:val="72"/>
          <w:szCs w:val="72"/>
        </w:rPr>
      </w:pPr>
    </w:p>
    <w:p w:rsidR="00A91EDB" w:rsidRDefault="00A91EDB">
      <w:pPr>
        <w:pStyle w:val="Default"/>
        <w:rPr>
          <w:sz w:val="72"/>
          <w:szCs w:val="72"/>
        </w:rPr>
      </w:pPr>
    </w:p>
    <w:p w:rsidR="00A91EDB" w:rsidRDefault="00A91EDB">
      <w:pPr>
        <w:pStyle w:val="Default"/>
        <w:rPr>
          <w:sz w:val="72"/>
          <w:szCs w:val="72"/>
        </w:rPr>
        <w:sectPr w:rsidR="00A91EDB">
          <w:pgSz w:w="11906" w:h="16838"/>
          <w:pgMar w:top="1134" w:right="1418" w:bottom="1134" w:left="1418" w:header="851" w:footer="992" w:gutter="0"/>
          <w:cols w:space="720"/>
          <w:docGrid w:type="lines" w:linePitch="312"/>
        </w:sect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E31F4D">
      <w:pPr>
        <w:pStyle w:val="Default"/>
        <w:jc w:val="center"/>
        <w:rPr>
          <w:sz w:val="72"/>
          <w:szCs w:val="72"/>
        </w:rPr>
      </w:pPr>
      <w:r>
        <w:rPr>
          <w:rFonts w:hint="eastAsia"/>
          <w:sz w:val="72"/>
          <w:szCs w:val="72"/>
        </w:rPr>
        <w:t>第三部分</w:t>
      </w:r>
    </w:p>
    <w:p w:rsidR="00A91EDB" w:rsidRDefault="00A91EDB">
      <w:pPr>
        <w:pStyle w:val="Default"/>
        <w:jc w:val="center"/>
        <w:rPr>
          <w:sz w:val="70"/>
          <w:szCs w:val="70"/>
        </w:rPr>
      </w:pPr>
    </w:p>
    <w:p w:rsidR="00A91EDB" w:rsidRDefault="00E31F4D">
      <w:pPr>
        <w:pStyle w:val="Default"/>
        <w:jc w:val="center"/>
        <w:rPr>
          <w:sz w:val="70"/>
          <w:szCs w:val="70"/>
        </w:rPr>
      </w:pPr>
      <w:r>
        <w:rPr>
          <w:spacing w:val="-10"/>
          <w:sz w:val="70"/>
          <w:szCs w:val="70"/>
        </w:rPr>
        <w:t>20</w:t>
      </w:r>
      <w:r>
        <w:rPr>
          <w:rFonts w:hint="eastAsia"/>
          <w:spacing w:val="-10"/>
          <w:sz w:val="70"/>
          <w:szCs w:val="70"/>
        </w:rPr>
        <w:t>21年度部门决算情况说</w:t>
      </w:r>
      <w:r>
        <w:rPr>
          <w:rFonts w:hint="eastAsia"/>
          <w:sz w:val="70"/>
          <w:szCs w:val="70"/>
        </w:rPr>
        <w:t>明</w:t>
      </w:r>
    </w:p>
    <w:p w:rsidR="00A91EDB" w:rsidRDefault="00A91EDB">
      <w:pPr>
        <w:widowControl/>
        <w:jc w:val="left"/>
        <w:rPr>
          <w:rFonts w:ascii="宋体" w:hAnsi="宋体"/>
          <w:color w:val="000000"/>
          <w:sz w:val="32"/>
          <w:szCs w:val="32"/>
        </w:rPr>
      </w:pPr>
    </w:p>
    <w:p w:rsidR="00A91EDB" w:rsidRDefault="00E31F4D">
      <w:pPr>
        <w:widowControl/>
        <w:spacing w:line="580" w:lineRule="exact"/>
        <w:ind w:firstLineChars="200" w:firstLine="640"/>
        <w:jc w:val="left"/>
        <w:rPr>
          <w:rFonts w:ascii="黑体" w:eastAsia="黑体" w:hAnsi="黑体"/>
          <w:b/>
          <w:color w:val="000000"/>
          <w:sz w:val="32"/>
          <w:szCs w:val="32"/>
        </w:rPr>
      </w:pPr>
      <w:r>
        <w:rPr>
          <w:rFonts w:ascii="宋体" w:hAnsi="宋体"/>
          <w:color w:val="000000"/>
          <w:sz w:val="32"/>
          <w:szCs w:val="32"/>
        </w:rPr>
        <w:br w:type="page"/>
      </w:r>
      <w:r>
        <w:rPr>
          <w:rFonts w:ascii="黑体" w:eastAsia="黑体" w:hAnsi="黑体" w:hint="eastAsia"/>
          <w:b/>
          <w:color w:val="000000"/>
          <w:sz w:val="32"/>
          <w:szCs w:val="32"/>
        </w:rPr>
        <w:lastRenderedPageBreak/>
        <w:t>一、收入支出决算总体情况说明</w:t>
      </w:r>
    </w:p>
    <w:p w:rsidR="00A91EDB" w:rsidRDefault="00E31F4D">
      <w:pPr>
        <w:shd w:val="clear" w:color="auto" w:fill="FFFFFF"/>
        <w:spacing w:line="580" w:lineRule="exact"/>
        <w:ind w:firstLine="641"/>
        <w:rPr>
          <w:rFonts w:ascii="仿宋" w:eastAsia="仿宋" w:hAnsi="仿宋"/>
          <w:color w:val="000000"/>
          <w:sz w:val="32"/>
          <w:szCs w:val="32"/>
        </w:rPr>
      </w:pPr>
      <w:r>
        <w:rPr>
          <w:rFonts w:ascii="仿宋" w:eastAsia="仿宋" w:hAnsi="仿宋" w:hint="eastAsia"/>
          <w:color w:val="000000"/>
          <w:sz w:val="32"/>
          <w:szCs w:val="32"/>
        </w:rPr>
        <w:t>2021年度收、支总计17963.61万元,2020年度收、支总计16519.99万元。与上年相比，增加1443.62万元，增长8.74%，主要是因为一是机构改革，原省新闻出版广电局检测中心（出版物质量监督检测中心）划入我部,其相应人员、业务经费随之划转；二是年中新增党史教育等重点工作任务,从文化事业发展专项资金中安排专项至部门预算（</w:t>
      </w:r>
      <w:r>
        <w:rPr>
          <w:rFonts w:ascii="仿宋" w:eastAsia="仿宋" w:hAnsi="仿宋"/>
          <w:color w:val="000000"/>
          <w:sz w:val="32"/>
          <w:szCs w:val="32"/>
        </w:rPr>
        <w:t>本</w:t>
      </w:r>
      <w:r>
        <w:rPr>
          <w:rFonts w:ascii="仿宋" w:eastAsia="仿宋" w:hAnsi="仿宋" w:hint="eastAsia"/>
          <w:color w:val="000000"/>
          <w:sz w:val="32"/>
          <w:szCs w:val="32"/>
        </w:rPr>
        <w:t>次公开所涉数据金额单位转</w:t>
      </w:r>
      <w:r>
        <w:rPr>
          <w:rFonts w:ascii="仿宋" w:eastAsia="仿宋" w:hAnsi="仿宋"/>
          <w:color w:val="000000"/>
          <w:sz w:val="32"/>
          <w:szCs w:val="32"/>
        </w:rPr>
        <w:t>换时可能存在尾数误差</w:t>
      </w:r>
      <w:r>
        <w:rPr>
          <w:rFonts w:ascii="仿宋" w:eastAsia="仿宋" w:hAnsi="仿宋" w:hint="eastAsia"/>
          <w:color w:val="000000"/>
          <w:sz w:val="32"/>
          <w:szCs w:val="32"/>
        </w:rPr>
        <w:t>，下同）。</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二、收入决算情况说明</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2021年度收入合计16653.95万元，其中：财政拨款收入16251.23万元，占97.58%；上级补助收入0万元，占0%；事业收入0万元，占0%；经营收入400.51万元，占2.41%；附属单位上缴收入0万元，占0%；其他收入2.2万元，占0.01%。</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三、支出决算情况说明</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2021年度支出合计15132.57万元，其中：基本支出4934.9万元，占32.61%；项目支出10042.42万元，占66.36%；上缴上级支出0万元，占0%；经营支出155.25万元，占1.03%；对附属单位补助支出0万元，占0%。</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四、财政拨款收入支出决算总体情况说明</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2021年度财政拨款收、支总计17428.57万元，2020年度财政拨款收、支总计16387.61万元。与上年相比，2021年增加1040.96万元,增长6.35%，主要是因为一是机构改革，原省新闻出版广电局检测中心（出版物质量监督检测中心）划入我部,其相应人员、业务经费随之划转；二是年中新增党</w:t>
      </w:r>
      <w:r>
        <w:rPr>
          <w:rFonts w:ascii="仿宋" w:eastAsia="仿宋" w:hAnsi="仿宋" w:hint="eastAsia"/>
          <w:sz w:val="32"/>
          <w:szCs w:val="32"/>
        </w:rPr>
        <w:lastRenderedPageBreak/>
        <w:t>史教育等重点工作任务,从文化事业发展专项资金中安排专项至部门预算。</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五、一般公共预算财政拨款支出决算情况说明</w:t>
      </w:r>
    </w:p>
    <w:p w:rsidR="00A91EDB" w:rsidRDefault="00E31F4D" w:rsidP="004C22C5">
      <w:pPr>
        <w:pStyle w:val="Default"/>
        <w:spacing w:line="580" w:lineRule="exact"/>
        <w:ind w:firstLineChars="196" w:firstLine="627"/>
        <w:jc w:val="both"/>
        <w:rPr>
          <w:rFonts w:ascii="楷体_GB2312" w:eastAsia="楷体_GB2312" w:hAnsi="宋体"/>
          <w:b/>
          <w:sz w:val="32"/>
          <w:szCs w:val="32"/>
        </w:rPr>
      </w:pPr>
      <w:r>
        <w:rPr>
          <w:rFonts w:ascii="楷体_GB2312" w:eastAsia="楷体_GB2312" w:hAnsi="宋体" w:hint="eastAsia"/>
          <w:b/>
          <w:sz w:val="32"/>
          <w:szCs w:val="32"/>
        </w:rPr>
        <w:t>（一）财政拨款支出决算总体情况</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2021年度财政拨款支出14805.7万元，占本年支出合计的97.84%。2020年度财政拨款支出14915.86万元，与上年相比，2021年财政拨款支出减少110.16万元，减少0.74%，主要一是因为全省统一调整奖金发放方式,2021年度奖金调整至2022年发放；二是因为党史教育专项部分于2022年初完成结算。</w:t>
      </w:r>
    </w:p>
    <w:p w:rsidR="00A91EDB" w:rsidRDefault="00E31F4D" w:rsidP="004C22C5">
      <w:pPr>
        <w:pStyle w:val="Default"/>
        <w:spacing w:line="580" w:lineRule="exact"/>
        <w:ind w:firstLineChars="200" w:firstLine="640"/>
        <w:jc w:val="both"/>
        <w:rPr>
          <w:rFonts w:ascii="楷体_GB2312" w:eastAsia="楷体_GB2312" w:hAnsi="宋体"/>
          <w:b/>
          <w:sz w:val="32"/>
          <w:szCs w:val="32"/>
        </w:rPr>
      </w:pPr>
      <w:r>
        <w:rPr>
          <w:rFonts w:ascii="楷体_GB2312" w:eastAsia="楷体_GB2312" w:hAnsi="宋体" w:hint="eastAsia"/>
          <w:b/>
          <w:sz w:val="32"/>
          <w:szCs w:val="32"/>
        </w:rPr>
        <w:t>（二）财政拨款支出决算结构情况</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 xml:space="preserve">2021年度财政拨款支出14805.7万元，主要用于以下方面：一般公共服务（类）支出7746.77万元，占52.32%；文化旅游体育与传媒（类）支出5019.21万元，占33.9%；社会保障和就业（类）支出313.61万元，占2.12%；卫生健康（类）支出253.63万元，占1.72%；商业服务业等（类）支出1079.8万元，占7.29%；住房保障（类）支出392.69万元，占2.65%。 </w:t>
      </w:r>
    </w:p>
    <w:p w:rsidR="00A91EDB" w:rsidRDefault="00E31F4D" w:rsidP="004C22C5">
      <w:pPr>
        <w:pStyle w:val="Default"/>
        <w:spacing w:line="580" w:lineRule="exact"/>
        <w:ind w:firstLineChars="200" w:firstLine="640"/>
        <w:jc w:val="both"/>
        <w:rPr>
          <w:rFonts w:ascii="楷体_GB2312" w:eastAsia="楷体_GB2312" w:hAnsi="宋体"/>
          <w:b/>
          <w:sz w:val="32"/>
          <w:szCs w:val="32"/>
        </w:rPr>
      </w:pPr>
      <w:r>
        <w:rPr>
          <w:rFonts w:ascii="楷体_GB2312" w:eastAsia="楷体_GB2312" w:hAnsi="宋体" w:hint="eastAsia"/>
          <w:b/>
          <w:sz w:val="32"/>
          <w:szCs w:val="32"/>
        </w:rPr>
        <w:t>（三）财政拨款支出决算具体情况</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2021年度财政拨款支出年初预算数为16251.23万元，支出决算数为14805.7万元，完成年初预算的91.11%。年初结转结余1177.34万元，考虑年初结余后，本年支出完成年初预算的84.95%。其中：</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1.一般公共服务支出（类）政府办公厅（室）及相关机构事务（款）行政运行（项）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lastRenderedPageBreak/>
        <w:t>年初预算为0万元，支出决算为16.41元，决算数大于年初预算数的主要原因是年中调整部门预算用于退休干部去世医疗费及抚恤金补助。</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2.一般公共服务支出（类）发展与改革事务（款）其他发展与改革事务支出（项）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年初预算为160万元，支出决算为159.96万元，完成年初预算的99.98%，决算数与年初预算数基本持平。</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3.一般公共服务支出（类）宣传事务（款）行政运行（项）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年初预算为5008.98万元，支出决算为4151.25万元，完成年初预算的82.88%，决算数小于年初预算数的主要原因是全省统一调整奖金发放方式,2021年度奖金调整至2022年发放。</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4.一般公共服务支出（类）宣传事务（款）一般行政管理事务（项）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年初预算为2550.92万元，支出决算为2459.13万元，完成年初预算的96.4%，决算数小于年初预算数的主要原因是受疫情影响，调整部分工作计划，压减了部分会议培训规模，部分活动取消。</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5.一般公共服务支出（类）宣传事务（款）其他宣传事务支出（项）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年初预算为240万元，支出决算为201.36万元，完成年初预算的83.9%，决算数小于年初预算数的主要原因是该项目为全年展开按月结算，12月份项目结算结转至下年度。</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6.一般公共服务支出（类）其他共产党事务支出（款）</w:t>
      </w:r>
      <w:r>
        <w:rPr>
          <w:rFonts w:ascii="仿宋" w:eastAsia="仿宋" w:hAnsi="仿宋" w:hint="eastAsia"/>
          <w:sz w:val="32"/>
          <w:szCs w:val="32"/>
        </w:rPr>
        <w:lastRenderedPageBreak/>
        <w:t>一般行政管理事务（项）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年初预算为2万元，支出决算为0万元，完成年初预算的0%，未支付的主要原因是该项目为年中追加，根据工作实际进行了调整。</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7.一般公共服务支出（类）其他一般公共服务支出（款）其他一般公共服务支出（项）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年初预算为834.22万元，支出决算为760.07万元，完成年初预算的91.11%，决算数小于年初预算数的主要原因是按照合同要求，需验收完成后结算项目尾款。</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8.文化旅游体育与传媒支出（类）新闻出版电影（款）版权管理（项）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年初预算为45万元，支出决算为52.54万元，完成年初预算的116.76%，决算数大于年初预算数的主要原因是盘活存量资金，从上年结转结余资金中安排版权管理相关工作7.54万元。</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9.文化旅游体育与传媒支出（类）新闻出版电影（款）其他新闻出版电影支出（项）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年初预算393.35万元，支出决算为561.19万元，完成年初预算的156.03%，决算数大于年初预算数的主要原因是盘活存量资金，从上年结转结余资金及单位资金中开展出版物质检工作。</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10.文化旅游体育与传媒支出（类）其他文化体育与传媒支出（款）其他文化体育与传媒支出（项）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年初预算为5226.56万元，支出决算为4575.69万元，完</w:t>
      </w:r>
      <w:r>
        <w:rPr>
          <w:rFonts w:ascii="仿宋" w:eastAsia="仿宋" w:hAnsi="仿宋" w:hint="eastAsia"/>
          <w:sz w:val="32"/>
          <w:szCs w:val="32"/>
        </w:rPr>
        <w:lastRenderedPageBreak/>
        <w:t>成年初预算的87.55%，决算数小于年初预算数的主要原因一是文化事业发展专项资金列支的十八洞村精准扶贫专题展498.3万元项目于年底启动，拟于2022年度结算；二是12月份产生的党史教育专班费用于2022年度结算。</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11.社会保障和就业支出（类）行政事业单位养老支出（款）机关事业单位基本养老保险缴费支出（项）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年初预算为329万元，支出决算为313.61万元，完成年初预算的95.32%，决算数略小于年初预算数，决算数与年初预算数基本持平。</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12.社会保障和就业支出（类）其他社会保障和就业支出（款）其他社会保障和就业支出（项）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年初预算为0.8万元，支出决算为0万元，完成年初预算的0%，未支付的原因是该项目为年中追加省本级建国初期参加革命工作部分退休干部生活和医疗补贴提标资金，该经费已于年初从离退休费中支付。</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13.卫生健康支出（类）行政事业单位医疗（款）行政单位医疗（项）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年初预算为260万元，支出决算为253.63，完成年初预算的97.55%，决算数略小于年初预算数，属正常。</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14.卫生健康支出（类）其他卫生健康支出（款）其他卫生健康支出（项）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年初预算为0.4万元，支出决算为0，完成全年预算的0%，未支付的原因是该项目为结转建国初期参加革命工作的部分退休干部生活和医疗补贴提标资金（2019-2020年度），</w:t>
      </w:r>
      <w:r>
        <w:rPr>
          <w:rFonts w:ascii="仿宋" w:eastAsia="仿宋" w:hAnsi="仿宋" w:hint="eastAsia"/>
          <w:sz w:val="32"/>
          <w:szCs w:val="32"/>
        </w:rPr>
        <w:lastRenderedPageBreak/>
        <w:t>该费用已于当年从离退休费中发放。</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15.商业服务业等支出（类）商业流通事务（款）其他商业流通事务支出（项）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年初预算为340万元，支出决算为340万元，完成年初预算的100%，决算数与年初预算数持平。</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16.商业服务业等支出（类）涉外发展服务支出（款）其他涉外发展服务支出（项）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年初预算为240万元，支出决算为519.8万元，完成年初预算的216.58%，决算数大于年初预算数的主要原因是支付上年度结转2020年自贸试验区工作经费309.8万元。</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17.商业服务业等支出（类）其他商业服务业等支出（款）其他商业服务业等支出（项）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年初预算为220万元，支出决算为220万元，完成年初预算的100%，决算数与年初预算数持平。</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18.住房保障支出（类）住房改革支出（款）住房公积金（项）</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年初预算为400万元，支出决算为392.69万元，完成年初预算的98.17%，决算数略小于年初预算数，属正常。</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六、一般公共预算财政拨款基本支出决算情况说明</w:t>
      </w:r>
    </w:p>
    <w:p w:rsidR="00A91EDB" w:rsidRDefault="00E31F4D">
      <w:pPr>
        <w:pStyle w:val="Default"/>
        <w:spacing w:line="580" w:lineRule="exact"/>
        <w:ind w:firstLineChars="196" w:firstLine="627"/>
        <w:jc w:val="both"/>
        <w:rPr>
          <w:rFonts w:ascii="仿宋" w:eastAsia="仿宋" w:hAnsi="仿宋"/>
          <w:sz w:val="32"/>
          <w:szCs w:val="32"/>
        </w:rPr>
      </w:pPr>
      <w:r>
        <w:rPr>
          <w:rFonts w:ascii="仿宋" w:eastAsia="仿宋" w:hAnsi="仿宋" w:hint="eastAsia"/>
          <w:sz w:val="32"/>
          <w:szCs w:val="32"/>
        </w:rPr>
        <w:t>2021年度财政拨款基本支出4763.29万元，其中：人员经费4022.67万元，占基本支出的84.45%,主要包括基本工资、津贴补贴、奖金、绩效工资、机关事业单位基本养老保险缴费、职工基本医疗保险缴费、公务员医疗补助缴费、其他社会保障缴费、住房公积金、其他工资福利支出、离休费、退</w:t>
      </w:r>
      <w:r>
        <w:rPr>
          <w:rFonts w:ascii="仿宋" w:eastAsia="仿宋" w:hAnsi="仿宋" w:hint="eastAsia"/>
          <w:sz w:val="32"/>
          <w:szCs w:val="32"/>
        </w:rPr>
        <w:lastRenderedPageBreak/>
        <w:t>休费、生活补助、医疗费补助、其他对个人和家庭的补助等；公用经费740.62万元，占基本支出的15.55%，主要包括办公费、印刷费、水费、电费、邮电费、差旅费、会议费、培训费、公务接待费、劳务费、工会经费、福利费、公务用车运行维护费、其他交通费用、其他商品和服务支出等。</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七、一般公共预算财政拨款“三公”经费支出决算情况说明</w:t>
      </w:r>
    </w:p>
    <w:p w:rsidR="00A91EDB" w:rsidRDefault="00E31F4D">
      <w:pPr>
        <w:pStyle w:val="Default"/>
        <w:spacing w:line="580" w:lineRule="exact"/>
        <w:ind w:firstLineChars="196" w:firstLine="630"/>
        <w:jc w:val="both"/>
        <w:rPr>
          <w:rFonts w:ascii="楷体" w:eastAsia="楷体" w:hAnsi="楷体" w:cs="楷体"/>
          <w:b/>
          <w:sz w:val="32"/>
          <w:szCs w:val="32"/>
        </w:rPr>
      </w:pPr>
      <w:r>
        <w:rPr>
          <w:rFonts w:ascii="楷体" w:eastAsia="楷体" w:hAnsi="楷体" w:cs="楷体" w:hint="eastAsia"/>
          <w:b/>
          <w:sz w:val="32"/>
          <w:szCs w:val="32"/>
        </w:rPr>
        <w:t>（一）“三公”经费财政拨款支出决算总体情况说明</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2021年度“三公”经费财政拨款支出预算为203万元，支出决算为120.6万元，完成预算的59.41%，其中：</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因公出国（境）费支出预算为35万元，支出决算为0万元，完成预算的0%，决算数小于预算数的主要原因是受疫情影响，出国任务全部取消。与上年相比支出持平,主要原因是近两年来受疫情影响，年度出国任务全部取消，无该项支出。</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公务接待费支出预算为45万元，支出决算为8.11万元，完成预算的18.02%，决算数小于预算数的主要原因是落实过“紧日子”要求，厉行节约、从严从紧控制接待费支出。与上年相比减少3.67万元，减少31.15%,减少的主要原因是受疫情反复的影响，接待任务减少，接待费用相应减少。</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公务用车购置费及运行维护费支出预算为123万元，支出决算为112.49万元，完成预算的91.46%，决算数小于预算数的主要原因是严格落实公车改革相关规定，加强公车管理。与上年相比增加42.15万元，增长59.92%,增长的主要原因是</w:t>
      </w:r>
      <w:r>
        <w:rPr>
          <w:rFonts w:ascii="仿宋" w:eastAsia="仿宋" w:hAnsi="仿宋" w:hint="eastAsia"/>
          <w:sz w:val="32"/>
          <w:szCs w:val="32"/>
        </w:rPr>
        <w:lastRenderedPageBreak/>
        <w:t>根据工作需要购置两台公务用车。</w:t>
      </w:r>
    </w:p>
    <w:p w:rsidR="00A91EDB" w:rsidRDefault="00E31F4D">
      <w:pPr>
        <w:pStyle w:val="Default"/>
        <w:spacing w:line="580" w:lineRule="exact"/>
        <w:ind w:firstLineChars="196" w:firstLine="630"/>
        <w:jc w:val="both"/>
        <w:rPr>
          <w:rFonts w:ascii="楷体" w:eastAsia="楷体" w:hAnsi="楷体" w:cs="楷体"/>
          <w:b/>
          <w:sz w:val="32"/>
          <w:szCs w:val="32"/>
        </w:rPr>
      </w:pPr>
      <w:r>
        <w:rPr>
          <w:rFonts w:ascii="楷体" w:eastAsia="楷体" w:hAnsi="楷体" w:cs="楷体" w:hint="eastAsia"/>
          <w:b/>
          <w:sz w:val="32"/>
          <w:szCs w:val="32"/>
        </w:rPr>
        <w:t>（二）“三公”经费财政拨款支出决算具体情况说明</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2021年度“三公”经费财政拨款支出决算中，公务接待费支出决算8.11万元，占6.72%,因公出国（境）费支出决算0万元,公务用车购置费及运行维护费支出决算112.49万元，占93.28%。其中：</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1、因公出国（境）费支出决算为0万元，受疫情影响，全年因公出国（境）任务取消，未开支经费。</w:t>
      </w:r>
      <w:r w:rsidR="00A22D93">
        <w:rPr>
          <w:rFonts w:ascii="仿宋" w:eastAsia="仿宋" w:hAnsi="仿宋" w:hint="eastAsia"/>
          <w:sz w:val="32"/>
          <w:szCs w:val="32"/>
        </w:rPr>
        <w:t>因公出国（境）团组0组，人数0人。</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2、公务接待费支出决算为8.11万元，全年共接待来访团组22个、来宾576人次，主要是中宣部、各省市宣传文化系统来湘调研发生的接待支出。</w:t>
      </w:r>
    </w:p>
    <w:p w:rsidR="00A91EDB" w:rsidRDefault="00E31F4D">
      <w:pPr>
        <w:pStyle w:val="Default"/>
        <w:spacing w:line="580" w:lineRule="exact"/>
        <w:ind w:firstLineChars="196" w:firstLine="627"/>
        <w:jc w:val="both"/>
        <w:rPr>
          <w:rFonts w:ascii="仿宋" w:eastAsia="仿宋" w:hAnsi="仿宋"/>
          <w:sz w:val="32"/>
          <w:szCs w:val="32"/>
        </w:rPr>
      </w:pPr>
      <w:r>
        <w:rPr>
          <w:rFonts w:ascii="仿宋" w:eastAsia="仿宋" w:hAnsi="仿宋" w:hint="eastAsia"/>
          <w:sz w:val="32"/>
          <w:szCs w:val="32"/>
        </w:rPr>
        <w:t>3、公务用车购置费及运行维护费支出决算为112.49万元，其中：公务用车购置费33万元，部本级</w:t>
      </w:r>
      <w:r w:rsidR="00A22D93">
        <w:rPr>
          <w:rFonts w:ascii="仿宋" w:eastAsia="仿宋" w:hAnsi="仿宋" w:hint="eastAsia"/>
          <w:sz w:val="32"/>
          <w:szCs w:val="32"/>
        </w:rPr>
        <w:t>购置</w:t>
      </w:r>
      <w:r>
        <w:rPr>
          <w:rFonts w:ascii="仿宋" w:eastAsia="仿宋" w:hAnsi="仿宋" w:hint="eastAsia"/>
          <w:sz w:val="32"/>
          <w:szCs w:val="32"/>
        </w:rPr>
        <w:t>公务用车2辆。公务用车运行维护费79.49万元，主要是用于公务用车购置，公务用车燃料费、维修费、过桥过路费、保险费、驾驶员安全奖励费等支出，截止2021年12月31日，我部开支财政拨款的公务用车保有量为13辆。</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八、政府性基金预算收入支出决算情况</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本单位无政府性基金收支。</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九、关于机关运行经费支出说明</w:t>
      </w:r>
    </w:p>
    <w:p w:rsidR="00A91EDB" w:rsidRDefault="00E31F4D">
      <w:pPr>
        <w:pStyle w:val="Default"/>
        <w:spacing w:line="580" w:lineRule="exact"/>
        <w:ind w:firstLineChars="200" w:firstLine="640"/>
        <w:jc w:val="both"/>
        <w:rPr>
          <w:rFonts w:ascii="宋体" w:eastAsia="宋体" w:hAnsi="宋体"/>
          <w:sz w:val="32"/>
          <w:szCs w:val="32"/>
        </w:rPr>
      </w:pPr>
      <w:r>
        <w:rPr>
          <w:rFonts w:ascii="仿宋" w:eastAsia="仿宋" w:hAnsi="仿宋" w:hint="eastAsia"/>
          <w:sz w:val="32"/>
          <w:szCs w:val="32"/>
        </w:rPr>
        <w:t>本部门2021年度机关运行经费支出740.62万元，比年初预算数（853.08万元）减少102.46 万元，降低12.01%。主要是邮电费、培训费、公务接待费、福利费、其他交通费用</w:t>
      </w:r>
      <w:r>
        <w:rPr>
          <w:rFonts w:ascii="仿宋" w:eastAsia="仿宋" w:hAnsi="仿宋" w:hint="eastAsia"/>
          <w:sz w:val="32"/>
          <w:szCs w:val="32"/>
        </w:rPr>
        <w:lastRenderedPageBreak/>
        <w:t>等经费结余，原因是我部牢固树立过“紧日子”思想，加大一般性支出管理力度</w:t>
      </w:r>
      <w:r>
        <w:rPr>
          <w:rFonts w:ascii="宋体" w:eastAsia="宋体" w:hAnsi="宋体" w:hint="eastAsia"/>
          <w:sz w:val="32"/>
          <w:szCs w:val="32"/>
        </w:rPr>
        <w:t>。。</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十、一般性支出情况</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2021年本部门开支会议费407.11万元，用于召开全省宣传部长会议等，因该事项内容涉密，依法不予公开；开支培训费151.21万元，用于开展哲学社会科学骨干研修班培训等，因该事项内容涉密，依法不予公开；未举办节庆、晚会、论坛、赛事活动，无此项开支。</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十一、关于政府采购支出说明</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本部门2021年度政府采购支出总额6765.76万元，其中：政府采购货物支出4332.72万元、政府采购工程支出0万元、政府采购服务支出2433.04万元。授予中小企业合同金额2297.3万元，占政府采购支出总额的33.95%，其中：授予小微企业合同金额1509.56万元，占政府采购支出总额的22.31%；货物采购授予中小企业合同金额占货物支出金额的11.85%；工程采购授予中小企业合同金额占工程支出金额的%</w:t>
      </w:r>
      <w:r w:rsidR="00A22D93">
        <w:rPr>
          <w:rFonts w:ascii="仿宋" w:eastAsia="仿宋" w:hAnsi="仿宋" w:hint="eastAsia"/>
          <w:sz w:val="32"/>
          <w:szCs w:val="32"/>
        </w:rPr>
        <w:t>，</w:t>
      </w:r>
      <w:r w:rsidR="00A22D93" w:rsidRPr="00A22D93">
        <w:rPr>
          <w:rFonts w:ascii="仿宋" w:eastAsia="仿宋" w:hAnsi="仿宋" w:hint="eastAsia"/>
          <w:sz w:val="32"/>
          <w:szCs w:val="32"/>
        </w:rPr>
        <w:t>由于工程支出为0</w:t>
      </w:r>
      <w:r w:rsidR="00A22D93">
        <w:rPr>
          <w:rFonts w:ascii="仿宋" w:eastAsia="仿宋" w:hAnsi="仿宋" w:hint="eastAsia"/>
          <w:sz w:val="32"/>
          <w:szCs w:val="32"/>
        </w:rPr>
        <w:t>，无法计算百分比</w:t>
      </w:r>
      <w:r>
        <w:rPr>
          <w:rFonts w:ascii="仿宋" w:eastAsia="仿宋" w:hAnsi="仿宋" w:hint="eastAsia"/>
          <w:sz w:val="32"/>
          <w:szCs w:val="32"/>
        </w:rPr>
        <w:t>；服务采购授予中小企业合同金额占服务支出金额的73.31%。</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十二、关于国有资产占用情况说明</w:t>
      </w:r>
    </w:p>
    <w:p w:rsidR="00A91EDB" w:rsidRDefault="00E31F4D">
      <w:pPr>
        <w:pStyle w:val="Default"/>
        <w:spacing w:line="580" w:lineRule="exact"/>
        <w:ind w:firstLineChars="200" w:firstLine="640"/>
        <w:jc w:val="both"/>
        <w:rPr>
          <w:rFonts w:ascii="仿宋" w:eastAsia="仿宋" w:hAnsi="仿宋"/>
          <w:sz w:val="32"/>
          <w:szCs w:val="32"/>
        </w:rPr>
      </w:pPr>
      <w:r>
        <w:rPr>
          <w:rFonts w:ascii="仿宋" w:eastAsia="仿宋" w:hAnsi="仿宋" w:hint="eastAsia"/>
          <w:sz w:val="32"/>
          <w:szCs w:val="32"/>
        </w:rPr>
        <w:t>截至2021年12月31日，本单位共有车辆14辆（其中1辆二级机构公务用车，未纳入财政拨款经费，由其单位资金保障,其余13辆均为开支财政拨款的公务用车）。其中，主要领导干部用车2辆，机要通信用车0辆、应急保障用车2辆、执法执勤用车3辆、特种专业技术用车0辆、其他用车7辆，</w:t>
      </w:r>
      <w:r>
        <w:rPr>
          <w:rFonts w:ascii="仿宋" w:eastAsia="仿宋" w:hAnsi="仿宋" w:hint="eastAsia"/>
          <w:sz w:val="32"/>
          <w:szCs w:val="32"/>
        </w:rPr>
        <w:lastRenderedPageBreak/>
        <w:t>其他用车主要是保障离退休干部用车、机要用车及实物保障用车；单位价值50万元以上通用设备0台（套），根据二级机构决算公开情况重新勘正；单位价值100万元以上专用设备0台（套）。</w:t>
      </w:r>
    </w:p>
    <w:p w:rsidR="00A91EDB" w:rsidRDefault="00E31F4D">
      <w:pPr>
        <w:pStyle w:val="Default"/>
        <w:spacing w:line="580" w:lineRule="exact"/>
        <w:ind w:firstLineChars="196" w:firstLine="630"/>
        <w:jc w:val="both"/>
        <w:rPr>
          <w:rFonts w:hAnsi="黑体"/>
          <w:b/>
          <w:sz w:val="32"/>
          <w:szCs w:val="32"/>
        </w:rPr>
      </w:pPr>
      <w:r>
        <w:rPr>
          <w:rFonts w:hAnsi="黑体" w:hint="eastAsia"/>
          <w:b/>
          <w:sz w:val="32"/>
          <w:szCs w:val="32"/>
        </w:rPr>
        <w:t>十三、关于2020年度预算绩效情况的说明</w:t>
      </w:r>
    </w:p>
    <w:p w:rsidR="00A91EDB" w:rsidRDefault="00E31F4D">
      <w:pPr>
        <w:pStyle w:val="Default"/>
        <w:spacing w:line="580" w:lineRule="exact"/>
        <w:ind w:firstLineChars="196" w:firstLine="630"/>
        <w:jc w:val="both"/>
        <w:rPr>
          <w:rFonts w:ascii="楷体" w:eastAsia="楷体" w:hAnsi="楷体" w:cs="楷体"/>
          <w:b/>
          <w:sz w:val="32"/>
          <w:szCs w:val="32"/>
        </w:rPr>
      </w:pPr>
      <w:r>
        <w:rPr>
          <w:rFonts w:ascii="楷体" w:eastAsia="楷体" w:hAnsi="楷体" w:cs="楷体" w:hint="eastAsia"/>
          <w:b/>
          <w:sz w:val="32"/>
          <w:szCs w:val="32"/>
        </w:rPr>
        <w:t>（1）绩效管理评价工作开展情况</w:t>
      </w:r>
    </w:p>
    <w:p w:rsidR="00A91EDB" w:rsidRDefault="00E31F4D">
      <w:pPr>
        <w:pStyle w:val="Default"/>
        <w:spacing w:line="580" w:lineRule="exact"/>
        <w:ind w:firstLineChars="196" w:firstLine="627"/>
        <w:jc w:val="both"/>
        <w:rPr>
          <w:rFonts w:ascii="仿宋" w:eastAsia="仿宋" w:hAnsi="仿宋" w:cs="Times New Roman"/>
          <w:sz w:val="32"/>
          <w:szCs w:val="32"/>
        </w:rPr>
      </w:pPr>
      <w:r>
        <w:rPr>
          <w:rFonts w:ascii="仿宋" w:eastAsia="仿宋" w:hAnsi="仿宋" w:hint="eastAsia"/>
          <w:sz w:val="32"/>
          <w:szCs w:val="32"/>
        </w:rPr>
        <w:t>根据预算绩效管理及通知要求，我部门组织对2021年度一般公共预算项目支出全面开展绩效自评（省文化事业、文化产业两个省级发展专项资金不纳入本年度自评范围，因此本次自评项目为一般公共预算项目支出中的业务工作专项），共涉及资金11,551.29万元，占我部一般公共预算项目支出</w:t>
      </w:r>
      <w:r>
        <w:rPr>
          <w:rFonts w:ascii="仿宋" w:eastAsia="仿宋" w:hAnsi="仿宋" w:cs="Times New Roman" w:hint="eastAsia"/>
          <w:sz w:val="32"/>
          <w:szCs w:val="32"/>
        </w:rPr>
        <w:t>总额的100%。我部无政府性基金预算及国有资本经营预算。</w:t>
      </w:r>
    </w:p>
    <w:p w:rsidR="00A91EDB" w:rsidRDefault="00E31F4D">
      <w:pPr>
        <w:pStyle w:val="Default"/>
        <w:spacing w:line="580" w:lineRule="exact"/>
        <w:ind w:firstLineChars="196" w:firstLine="627"/>
        <w:jc w:val="both"/>
        <w:rPr>
          <w:rFonts w:ascii="仿宋" w:eastAsia="仿宋" w:hAnsi="仿宋" w:cs="Times New Roman"/>
          <w:sz w:val="32"/>
          <w:szCs w:val="32"/>
        </w:rPr>
      </w:pPr>
      <w:r>
        <w:rPr>
          <w:rFonts w:ascii="仿宋" w:eastAsia="仿宋" w:hAnsi="仿宋" w:cs="Times New Roman" w:hint="eastAsia"/>
          <w:sz w:val="32"/>
          <w:szCs w:val="32"/>
        </w:rPr>
        <w:t>在我部公开的《中共湖南省委宣传部2021年度整体支出绩效自评报告》中，根据绩效自评要求，对由省财政厅代编、我部</w:t>
      </w:r>
      <w:r>
        <w:rPr>
          <w:rFonts w:ascii="仿宋_GB2312" w:eastAsia="仿宋_GB2312" w:hAnsi="仿宋_GB2312" w:cs="仿宋_GB2312" w:hint="eastAsia"/>
          <w:bCs/>
          <w:sz w:val="32"/>
          <w:szCs w:val="32"/>
        </w:rPr>
        <w:t>主管的“电影事业发展专项资金”（政府性基金）及</w:t>
      </w:r>
      <w:r>
        <w:rPr>
          <w:rFonts w:ascii="仿宋" w:eastAsia="仿宋" w:hAnsi="仿宋" w:cs="Times New Roman" w:hint="eastAsia"/>
          <w:sz w:val="32"/>
          <w:szCs w:val="32"/>
        </w:rPr>
        <w:t>由省财政代编、</w:t>
      </w:r>
      <w:r>
        <w:rPr>
          <w:rFonts w:ascii="仿宋_GB2312" w:eastAsia="仿宋_GB2312" w:hAnsi="仿宋_GB2312" w:cs="仿宋_GB2312" w:hint="eastAsia"/>
          <w:bCs/>
          <w:sz w:val="32"/>
          <w:szCs w:val="32"/>
        </w:rPr>
        <w:t>我部（省文资委）参与配合管理的省管国有文化企业国有资本经营预算支出开展了绩效自评工作，详见附件五，上述资金均未纳入部门预算</w:t>
      </w:r>
      <w:r>
        <w:rPr>
          <w:rFonts w:ascii="仿宋" w:eastAsia="仿宋" w:hAnsi="仿宋" w:cs="Times New Roman" w:hint="eastAsia"/>
          <w:sz w:val="32"/>
          <w:szCs w:val="32"/>
        </w:rPr>
        <w:t>。</w:t>
      </w:r>
    </w:p>
    <w:p w:rsidR="00A91EDB" w:rsidRDefault="00E31F4D">
      <w:pPr>
        <w:pStyle w:val="Default"/>
        <w:spacing w:line="580" w:lineRule="exact"/>
        <w:ind w:firstLineChars="196" w:firstLine="630"/>
        <w:jc w:val="both"/>
        <w:rPr>
          <w:rFonts w:ascii="楷体" w:eastAsia="楷体" w:hAnsi="楷体" w:cs="楷体"/>
          <w:b/>
          <w:sz w:val="32"/>
          <w:szCs w:val="32"/>
        </w:rPr>
      </w:pPr>
      <w:r>
        <w:rPr>
          <w:rFonts w:ascii="楷体" w:eastAsia="楷体" w:hAnsi="楷体" w:cs="楷体" w:hint="eastAsia"/>
          <w:b/>
          <w:sz w:val="32"/>
          <w:szCs w:val="32"/>
        </w:rPr>
        <w:t>（2）部门评价项目绩效评价结果</w:t>
      </w:r>
    </w:p>
    <w:p w:rsidR="00A91EDB" w:rsidRDefault="00E31F4D">
      <w:pPr>
        <w:pStyle w:val="Default"/>
        <w:spacing w:line="580" w:lineRule="exact"/>
        <w:ind w:firstLineChars="200" w:firstLine="640"/>
        <w:jc w:val="both"/>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2021年部门整体绩效自评综述：2021年，围绕年初制定的绩效目标，积极推动工作任务落实，较好地完成了年度各项工作，在维护意识形态领域安全，坚持正确舆论导向，建设社会主义核心价值体系，推动全省文化繁荣发展等方面取得了较好的效果。根据年初设定的绩效目标，部门整体支</w:t>
      </w:r>
      <w:r>
        <w:rPr>
          <w:rFonts w:ascii="仿宋_GB2312" w:eastAsia="仿宋_GB2312" w:hAnsi="仿宋_GB2312" w:cs="仿宋_GB2312" w:hint="eastAsia"/>
          <w:bCs/>
          <w:sz w:val="32"/>
          <w:szCs w:val="32"/>
        </w:rPr>
        <w:lastRenderedPageBreak/>
        <w:t>出绩效自评得分为95分，业务工作专项绩效自评得分为93.90分，电影发展专项资金自评得分为94.63分，省属国有文化企业国有资本经营预算支出项目自评得分为92.80分。具体情况已按要求向社会公开，详见第五部分附件。</w:t>
      </w: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A91EDB">
      <w:pPr>
        <w:pStyle w:val="Default"/>
        <w:jc w:val="center"/>
        <w:rPr>
          <w:sz w:val="72"/>
          <w:szCs w:val="72"/>
        </w:rPr>
      </w:pPr>
    </w:p>
    <w:p w:rsidR="00A91EDB" w:rsidRDefault="00E31F4D">
      <w:pPr>
        <w:pStyle w:val="Default"/>
        <w:jc w:val="center"/>
        <w:rPr>
          <w:sz w:val="72"/>
          <w:szCs w:val="72"/>
        </w:rPr>
      </w:pPr>
      <w:r>
        <w:rPr>
          <w:rFonts w:hint="eastAsia"/>
          <w:sz w:val="72"/>
          <w:szCs w:val="72"/>
        </w:rPr>
        <w:t>第四部分</w:t>
      </w:r>
    </w:p>
    <w:p w:rsidR="00A91EDB" w:rsidRDefault="00A91EDB">
      <w:pPr>
        <w:jc w:val="center"/>
        <w:rPr>
          <w:rFonts w:ascii="黑体" w:eastAsia="黑体" w:cs="黑体"/>
          <w:color w:val="000000"/>
          <w:kern w:val="0"/>
          <w:sz w:val="70"/>
          <w:szCs w:val="70"/>
        </w:rPr>
      </w:pPr>
    </w:p>
    <w:p w:rsidR="00A91EDB" w:rsidRDefault="00E31F4D">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A91EDB" w:rsidRDefault="00E31F4D">
      <w:pPr>
        <w:widowControl/>
        <w:ind w:firstLineChars="100" w:firstLine="700"/>
        <w:jc w:val="left"/>
        <w:rPr>
          <w:rFonts w:ascii="仿宋_GB2312" w:eastAsia="仿宋_GB2312" w:hAnsi="仿宋_GB2312" w:cs="仿宋_GB2312"/>
          <w:color w:val="000000"/>
          <w:kern w:val="0"/>
          <w:sz w:val="32"/>
          <w:szCs w:val="32"/>
        </w:rPr>
      </w:pPr>
      <w:r>
        <w:rPr>
          <w:rFonts w:ascii="黑体" w:eastAsia="黑体" w:cs="黑体"/>
          <w:color w:val="000000"/>
          <w:kern w:val="0"/>
          <w:sz w:val="70"/>
          <w:szCs w:val="70"/>
        </w:rPr>
        <w:br w:type="page"/>
      </w:r>
      <w:r>
        <w:rPr>
          <w:rFonts w:ascii="仿宋_GB2312" w:eastAsia="仿宋_GB2312" w:hAnsi="仿宋_GB2312" w:cs="仿宋_GB2312" w:hint="eastAsia"/>
          <w:color w:val="000000"/>
          <w:kern w:val="0"/>
          <w:sz w:val="32"/>
          <w:szCs w:val="32"/>
        </w:rPr>
        <w:lastRenderedPageBreak/>
        <w:t>一、宣传事务:反映中国共产党宣传部门的支出。</w:t>
      </w:r>
    </w:p>
    <w:p w:rsidR="00A91EDB" w:rsidRDefault="00E31F4D">
      <w:pPr>
        <w:widowControl/>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bCs/>
          <w:color w:val="000000"/>
          <w:kern w:val="0"/>
          <w:sz w:val="32"/>
          <w:szCs w:val="32"/>
        </w:rPr>
        <w:t>二、财政拨款收入：</w:t>
      </w:r>
      <w:r>
        <w:rPr>
          <w:rFonts w:ascii="仿宋_GB2312" w:eastAsia="仿宋_GB2312" w:hAnsi="仿宋_GB2312" w:cs="仿宋_GB2312" w:hint="eastAsia"/>
          <w:color w:val="000000"/>
          <w:kern w:val="0"/>
          <w:sz w:val="32"/>
          <w:szCs w:val="32"/>
        </w:rPr>
        <w:t>指财政部门核拨给单位的财政预算资金。</w:t>
      </w:r>
    </w:p>
    <w:p w:rsidR="00A91EDB" w:rsidRDefault="00E31F4D">
      <w:pPr>
        <w:shd w:val="clear" w:color="auto" w:fill="FFFFFF"/>
        <w:ind w:firstLineChars="196" w:firstLine="627"/>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三、</w:t>
      </w:r>
      <w:r>
        <w:rPr>
          <w:rFonts w:ascii="仿宋_GB2312" w:eastAsia="仿宋_GB2312" w:hAnsi="仿宋_GB2312" w:cs="仿宋_GB2312" w:hint="eastAsia"/>
          <w:bCs/>
          <w:color w:val="000000"/>
          <w:kern w:val="0"/>
          <w:sz w:val="32"/>
          <w:szCs w:val="32"/>
        </w:rPr>
        <w:t>其他收入：</w:t>
      </w:r>
      <w:r>
        <w:rPr>
          <w:rFonts w:ascii="仿宋_GB2312" w:eastAsia="仿宋_GB2312" w:hAnsi="仿宋_GB2312" w:cs="仿宋_GB2312" w:hint="eastAsia"/>
          <w:color w:val="000000"/>
          <w:kern w:val="0"/>
          <w:sz w:val="32"/>
          <w:szCs w:val="32"/>
        </w:rPr>
        <w:t>指单位取得的除上述“财政拨款收入”“事业收入”“附属单位上缴收入”等以外的收入。</w:t>
      </w:r>
    </w:p>
    <w:p w:rsidR="00A91EDB" w:rsidRDefault="00E31F4D">
      <w:pPr>
        <w:shd w:val="clear" w:color="auto" w:fill="FFFFFF"/>
        <w:ind w:firstLineChars="196" w:firstLine="627"/>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四、</w:t>
      </w:r>
      <w:r>
        <w:rPr>
          <w:rFonts w:ascii="仿宋_GB2312" w:eastAsia="仿宋_GB2312" w:hAnsi="仿宋_GB2312" w:cs="仿宋_GB2312" w:hint="eastAsia"/>
          <w:bCs/>
          <w:color w:val="000000"/>
          <w:kern w:val="0"/>
          <w:sz w:val="32"/>
          <w:szCs w:val="32"/>
        </w:rPr>
        <w:t>年初结转和结余：</w:t>
      </w:r>
      <w:r>
        <w:rPr>
          <w:rFonts w:ascii="仿宋_GB2312" w:eastAsia="仿宋_GB2312" w:hAnsi="仿宋_GB2312" w:cs="仿宋_GB2312" w:hint="eastAsia"/>
          <w:color w:val="000000"/>
          <w:kern w:val="0"/>
          <w:sz w:val="32"/>
          <w:szCs w:val="32"/>
        </w:rPr>
        <w:t>指以前年度尚未完成、结转到本年仍按有关规定继续使用的资金。</w:t>
      </w:r>
    </w:p>
    <w:p w:rsidR="00A91EDB" w:rsidRDefault="00E31F4D">
      <w:pPr>
        <w:shd w:val="clear" w:color="auto" w:fill="FFFFFF"/>
        <w:ind w:firstLineChars="196" w:firstLine="627"/>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五、</w:t>
      </w:r>
      <w:r>
        <w:rPr>
          <w:rFonts w:ascii="仿宋_GB2312" w:eastAsia="仿宋_GB2312" w:hAnsi="仿宋_GB2312" w:cs="仿宋_GB2312" w:hint="eastAsia"/>
          <w:bCs/>
          <w:color w:val="000000"/>
          <w:kern w:val="0"/>
          <w:sz w:val="32"/>
          <w:szCs w:val="32"/>
        </w:rPr>
        <w:t>用事业基金弥补收支差额：</w:t>
      </w:r>
      <w:r>
        <w:rPr>
          <w:rFonts w:ascii="仿宋_GB2312" w:eastAsia="仿宋_GB2312" w:hAnsi="仿宋_GB2312" w:cs="仿宋_GB2312" w:hint="eastAsia"/>
          <w:color w:val="000000"/>
          <w:kern w:val="0"/>
          <w:sz w:val="32"/>
          <w:szCs w:val="32"/>
        </w:rPr>
        <w:t>指事业单位在当年的“财政拨款收入”“事业收入”“经营收入”和“其他收入”不足以安排当年支出的情况下，使用以前年度积累的事业基金（即事业单位以前各年度收支相抵后，按国家规定提取、用于弥补以后年度收支差额的基金）弥补本年收支缺口的资金。</w:t>
      </w:r>
    </w:p>
    <w:p w:rsidR="00A91EDB" w:rsidRDefault="00E31F4D">
      <w:pPr>
        <w:shd w:val="clear" w:color="auto" w:fill="FFFFFF"/>
        <w:ind w:firstLineChars="196" w:firstLine="627"/>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六、年末结转和结余：指本年度或以前年度预算安排、因客观条件发生变化无法按原计划实施，需延迟到以后年度按有关规定继续使用的资金。</w:t>
      </w:r>
    </w:p>
    <w:p w:rsidR="00A91EDB" w:rsidRDefault="00E31F4D">
      <w:pPr>
        <w:shd w:val="clear" w:color="auto" w:fill="FFFFFF"/>
        <w:ind w:firstLine="641"/>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七、基本支出：指为保障机构正常运转、完成日常工作任务而发生的人员支出和公用支出。</w:t>
      </w:r>
    </w:p>
    <w:p w:rsidR="00A91EDB" w:rsidRDefault="00E31F4D">
      <w:pPr>
        <w:shd w:val="clear" w:color="auto" w:fill="FFFFFF"/>
        <w:ind w:firstLine="641"/>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八、项目支出：指在基本支出之外，为完成特定行政任务和事业发展目标所发生的支出。</w:t>
      </w:r>
    </w:p>
    <w:p w:rsidR="00A91EDB" w:rsidRDefault="00E31F4D">
      <w:pPr>
        <w:shd w:val="clear" w:color="auto" w:fill="FFFFFF"/>
        <w:ind w:firstLine="641"/>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九、“三公”经费：指省财政拨款安排的因公出国（境）费、公务用车购置及运行费和公务接待费。其中，因公出国（境）费反映单位公务出国（境）的国际旅费、国外城市间</w:t>
      </w:r>
      <w:r>
        <w:rPr>
          <w:rFonts w:ascii="仿宋_GB2312" w:eastAsia="仿宋_GB2312" w:hAnsi="仿宋_GB2312" w:cs="仿宋_GB2312" w:hint="eastAsia"/>
          <w:color w:val="000000"/>
          <w:kern w:val="0"/>
          <w:sz w:val="32"/>
          <w:szCs w:val="32"/>
        </w:rPr>
        <w:lastRenderedPageBreak/>
        <w:t>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A91EDB" w:rsidRDefault="00E31F4D">
      <w:pPr>
        <w:shd w:val="clear" w:color="auto" w:fill="FFFFFF"/>
        <w:ind w:firstLine="641"/>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十、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91EDB" w:rsidRDefault="00A91EDB">
      <w:pPr>
        <w:pStyle w:val="a0"/>
        <w:rPr>
          <w:rFonts w:ascii="仿宋_GB2312" w:eastAsia="仿宋_GB2312" w:hAnsi="仿宋_GB2312" w:cs="仿宋_GB2312"/>
          <w:kern w:val="0"/>
          <w:sz w:val="32"/>
          <w:szCs w:val="32"/>
        </w:rPr>
      </w:pPr>
    </w:p>
    <w:p w:rsidR="00A91EDB" w:rsidRDefault="00A91EDB">
      <w:pPr>
        <w:pStyle w:val="5"/>
      </w:pPr>
    </w:p>
    <w:p w:rsidR="00A91EDB" w:rsidRDefault="00A91EDB">
      <w:pPr>
        <w:pStyle w:val="Default"/>
        <w:rPr>
          <w:sz w:val="32"/>
          <w:szCs w:val="32"/>
        </w:rPr>
      </w:pPr>
    </w:p>
    <w:p w:rsidR="00A91EDB" w:rsidRDefault="00A91EDB">
      <w:pPr>
        <w:pStyle w:val="Default"/>
        <w:rPr>
          <w:sz w:val="72"/>
          <w:szCs w:val="72"/>
        </w:rPr>
      </w:pPr>
    </w:p>
    <w:p w:rsidR="00A91EDB" w:rsidRDefault="00A91EDB">
      <w:pPr>
        <w:pStyle w:val="Default"/>
        <w:rPr>
          <w:sz w:val="72"/>
          <w:szCs w:val="72"/>
        </w:rPr>
      </w:pPr>
    </w:p>
    <w:p w:rsidR="00A91EDB" w:rsidRDefault="00E31F4D">
      <w:pPr>
        <w:pStyle w:val="Default"/>
        <w:rPr>
          <w:sz w:val="72"/>
          <w:szCs w:val="72"/>
        </w:rPr>
      </w:pPr>
      <w:r>
        <w:rPr>
          <w:sz w:val="72"/>
          <w:szCs w:val="72"/>
        </w:rPr>
        <w:br w:type="page"/>
      </w:r>
    </w:p>
    <w:p w:rsidR="00A91EDB" w:rsidRDefault="00A91EDB">
      <w:pPr>
        <w:pStyle w:val="Default"/>
        <w:rPr>
          <w:sz w:val="72"/>
          <w:szCs w:val="72"/>
        </w:rPr>
      </w:pPr>
    </w:p>
    <w:p w:rsidR="00A91EDB" w:rsidRDefault="00E31F4D">
      <w:pPr>
        <w:pStyle w:val="Default"/>
        <w:jc w:val="center"/>
        <w:rPr>
          <w:sz w:val="72"/>
          <w:szCs w:val="72"/>
        </w:rPr>
      </w:pPr>
      <w:r>
        <w:rPr>
          <w:rFonts w:hint="eastAsia"/>
          <w:sz w:val="72"/>
          <w:szCs w:val="72"/>
        </w:rPr>
        <w:t>第五部分</w:t>
      </w:r>
    </w:p>
    <w:p w:rsidR="00A91EDB" w:rsidRDefault="00A91EDB">
      <w:pPr>
        <w:jc w:val="center"/>
        <w:rPr>
          <w:rFonts w:ascii="黑体" w:eastAsia="黑体" w:cs="黑体"/>
          <w:color w:val="000000"/>
          <w:kern w:val="0"/>
          <w:sz w:val="70"/>
          <w:szCs w:val="70"/>
        </w:rPr>
      </w:pPr>
    </w:p>
    <w:p w:rsidR="00A91EDB" w:rsidRDefault="00E31F4D">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A91EDB" w:rsidRDefault="00E31F4D">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A91EDB" w:rsidRDefault="00A91EDB">
      <w:pPr>
        <w:widowControl/>
        <w:jc w:val="left"/>
        <w:rPr>
          <w:rFonts w:ascii="黑体" w:eastAsia="黑体" w:cs="黑体"/>
          <w:color w:val="000000"/>
          <w:kern w:val="0"/>
          <w:sz w:val="70"/>
          <w:szCs w:val="70"/>
        </w:rPr>
      </w:pPr>
    </w:p>
    <w:p w:rsidR="00A91EDB" w:rsidRDefault="00A91EDB">
      <w:pPr>
        <w:spacing w:line="600" w:lineRule="exact"/>
        <w:rPr>
          <w:rFonts w:eastAsia="黑体"/>
          <w:kern w:val="0"/>
          <w:sz w:val="32"/>
          <w:szCs w:val="32"/>
        </w:rPr>
      </w:pPr>
    </w:p>
    <w:p w:rsidR="00A91EDB" w:rsidRDefault="00A91EDB">
      <w:pPr>
        <w:spacing w:line="600" w:lineRule="exact"/>
        <w:rPr>
          <w:rFonts w:eastAsia="黑体"/>
          <w:kern w:val="0"/>
          <w:sz w:val="32"/>
          <w:szCs w:val="32"/>
        </w:rPr>
      </w:pPr>
    </w:p>
    <w:p w:rsidR="00A91EDB" w:rsidRDefault="00E31F4D">
      <w:pPr>
        <w:adjustRightInd w:val="0"/>
        <w:snapToGrid w:val="0"/>
        <w:spacing w:line="360" w:lineRule="auto"/>
        <w:jc w:val="center"/>
        <w:rPr>
          <w:rFonts w:ascii="汉仪大宋简" w:eastAsia="汉仪大宋简" w:hAnsi="汉仪大宋简" w:cs="汉仪大宋简"/>
          <w:b/>
          <w:bCs/>
          <w:sz w:val="52"/>
          <w:szCs w:val="52"/>
        </w:rPr>
      </w:pPr>
      <w:r>
        <w:rPr>
          <w:rFonts w:ascii="汉仪大宋简" w:eastAsia="汉仪大宋简" w:hAnsi="汉仪大宋简" w:cs="汉仪大宋简" w:hint="eastAsia"/>
          <w:b/>
          <w:bCs/>
          <w:sz w:val="52"/>
          <w:szCs w:val="52"/>
        </w:rPr>
        <w:t>中共湖南省委宣传部</w:t>
      </w:r>
    </w:p>
    <w:p w:rsidR="00A91EDB" w:rsidRDefault="00E31F4D">
      <w:pPr>
        <w:adjustRightInd w:val="0"/>
        <w:snapToGrid w:val="0"/>
        <w:spacing w:line="360" w:lineRule="auto"/>
        <w:jc w:val="center"/>
        <w:rPr>
          <w:rFonts w:ascii="汉仪大宋简" w:eastAsia="汉仪大宋简" w:hAnsi="汉仪大宋简" w:cs="汉仪大宋简"/>
          <w:b/>
          <w:bCs/>
          <w:sz w:val="52"/>
          <w:szCs w:val="52"/>
        </w:rPr>
      </w:pPr>
      <w:r>
        <w:rPr>
          <w:rFonts w:ascii="汉仪大宋简" w:eastAsia="汉仪大宋简" w:hAnsi="汉仪大宋简" w:cs="汉仪大宋简"/>
          <w:b/>
          <w:bCs/>
          <w:sz w:val="52"/>
          <w:szCs w:val="52"/>
        </w:rPr>
        <w:t>202</w:t>
      </w:r>
      <w:r>
        <w:rPr>
          <w:rFonts w:ascii="汉仪大宋简" w:eastAsia="汉仪大宋简" w:hAnsi="汉仪大宋简" w:cs="汉仪大宋简" w:hint="eastAsia"/>
          <w:b/>
          <w:bCs/>
          <w:sz w:val="52"/>
          <w:szCs w:val="52"/>
        </w:rPr>
        <w:t>1年度整体支出绩效自评报告</w:t>
      </w:r>
    </w:p>
    <w:p w:rsidR="00A91EDB" w:rsidRDefault="00A91EDB">
      <w:pPr>
        <w:jc w:val="center"/>
        <w:rPr>
          <w:rFonts w:eastAsia="黑体"/>
          <w:sz w:val="32"/>
          <w:szCs w:val="32"/>
        </w:rPr>
      </w:pPr>
    </w:p>
    <w:p w:rsidR="00A91EDB" w:rsidRDefault="00A91EDB">
      <w:pPr>
        <w:rPr>
          <w:rFonts w:eastAsia="黑体"/>
          <w:sz w:val="32"/>
          <w:szCs w:val="32"/>
        </w:rPr>
      </w:pPr>
    </w:p>
    <w:p w:rsidR="00A91EDB" w:rsidRDefault="00A91EDB">
      <w:pPr>
        <w:jc w:val="center"/>
        <w:rPr>
          <w:rFonts w:eastAsia="黑体"/>
          <w:sz w:val="32"/>
          <w:szCs w:val="32"/>
        </w:rPr>
      </w:pPr>
    </w:p>
    <w:p w:rsidR="00A91EDB" w:rsidRDefault="00A91EDB">
      <w:pPr>
        <w:jc w:val="center"/>
        <w:rPr>
          <w:rFonts w:eastAsia="黑体"/>
          <w:sz w:val="32"/>
          <w:szCs w:val="32"/>
        </w:rPr>
      </w:pPr>
    </w:p>
    <w:p w:rsidR="00A91EDB" w:rsidRDefault="00A91EDB">
      <w:pPr>
        <w:jc w:val="center"/>
        <w:rPr>
          <w:rFonts w:eastAsia="黑体"/>
          <w:sz w:val="32"/>
          <w:szCs w:val="32"/>
        </w:rPr>
      </w:pPr>
    </w:p>
    <w:p w:rsidR="00A91EDB" w:rsidRDefault="00A91EDB">
      <w:pPr>
        <w:rPr>
          <w:rFonts w:eastAsia="黑体"/>
          <w:sz w:val="32"/>
          <w:szCs w:val="32"/>
        </w:rPr>
      </w:pPr>
    </w:p>
    <w:p w:rsidR="00A91EDB" w:rsidRDefault="00A91EDB">
      <w:pPr>
        <w:jc w:val="center"/>
        <w:rPr>
          <w:rFonts w:eastAsia="黑体"/>
          <w:sz w:val="32"/>
          <w:szCs w:val="32"/>
        </w:rPr>
      </w:pPr>
    </w:p>
    <w:p w:rsidR="00A91EDB" w:rsidRDefault="00A91EDB">
      <w:pPr>
        <w:jc w:val="center"/>
        <w:rPr>
          <w:rFonts w:ascii="楷体_GB2312" w:eastAsia="楷体_GB2312" w:hAnsi="楷体_GB2312" w:cs="楷体_GB2312"/>
          <w:b/>
          <w:bCs/>
          <w:sz w:val="44"/>
          <w:szCs w:val="44"/>
        </w:rPr>
      </w:pPr>
    </w:p>
    <w:p w:rsidR="00A91EDB" w:rsidRDefault="00A91EDB">
      <w:pPr>
        <w:jc w:val="center"/>
        <w:rPr>
          <w:rFonts w:ascii="楷体_GB2312" w:eastAsia="楷体_GB2312" w:hAnsi="楷体_GB2312" w:cs="楷体_GB2312"/>
          <w:b/>
          <w:bCs/>
          <w:sz w:val="44"/>
          <w:szCs w:val="44"/>
        </w:rPr>
      </w:pPr>
    </w:p>
    <w:p w:rsidR="00A91EDB" w:rsidRDefault="00A91EDB">
      <w:pPr>
        <w:pStyle w:val="a0"/>
      </w:pPr>
    </w:p>
    <w:p w:rsidR="00A91EDB" w:rsidRDefault="00A91EDB">
      <w:pPr>
        <w:pStyle w:val="a0"/>
      </w:pPr>
    </w:p>
    <w:p w:rsidR="00A91EDB" w:rsidRDefault="00A91EDB">
      <w:pPr>
        <w:pStyle w:val="a0"/>
      </w:pPr>
    </w:p>
    <w:p w:rsidR="00A91EDB" w:rsidRDefault="00E31F4D">
      <w:pPr>
        <w:spacing w:line="700" w:lineRule="exact"/>
        <w:jc w:val="center"/>
        <w:rPr>
          <w:rFonts w:ascii="楷体_GB2312" w:eastAsia="楷体_GB2312" w:hAnsi="楷体_GB2312" w:cs="楷体_GB2312"/>
          <w:b/>
          <w:bCs/>
          <w:sz w:val="44"/>
          <w:szCs w:val="44"/>
        </w:rPr>
      </w:pPr>
      <w:r>
        <w:rPr>
          <w:rFonts w:ascii="楷体_GB2312" w:eastAsia="楷体_GB2312" w:hAnsi="楷体_GB2312" w:cs="楷体_GB2312" w:hint="eastAsia"/>
          <w:b/>
          <w:bCs/>
          <w:sz w:val="44"/>
          <w:szCs w:val="44"/>
        </w:rPr>
        <w:t>中共湖南省委宣传部</w:t>
      </w:r>
    </w:p>
    <w:p w:rsidR="00A91EDB" w:rsidRDefault="00E31F4D">
      <w:pPr>
        <w:spacing w:line="700" w:lineRule="exact"/>
        <w:jc w:val="center"/>
        <w:rPr>
          <w:rFonts w:ascii="楷体_GB2312" w:eastAsia="楷体_GB2312" w:hAnsi="楷体_GB2312" w:cs="楷体_GB2312"/>
          <w:b/>
          <w:bCs/>
          <w:sz w:val="44"/>
          <w:szCs w:val="44"/>
        </w:rPr>
        <w:sectPr w:rsidR="00A91EDB">
          <w:headerReference w:type="default" r:id="rId9"/>
          <w:footerReference w:type="even" r:id="rId10"/>
          <w:footerReference w:type="default" r:id="rId11"/>
          <w:pgSz w:w="11906" w:h="16838"/>
          <w:pgMar w:top="1440" w:right="1800" w:bottom="1440" w:left="1800" w:header="851" w:footer="992" w:gutter="0"/>
          <w:cols w:space="720"/>
          <w:docGrid w:type="lines" w:linePitch="312"/>
        </w:sectPr>
      </w:pPr>
      <w:r>
        <w:rPr>
          <w:rFonts w:ascii="楷体_GB2312" w:eastAsia="楷体_GB2312" w:hAnsi="楷体_GB2312" w:cs="楷体_GB2312"/>
          <w:b/>
          <w:bCs/>
          <w:sz w:val="44"/>
          <w:szCs w:val="44"/>
        </w:rPr>
        <w:t>202</w:t>
      </w:r>
      <w:r>
        <w:rPr>
          <w:rFonts w:ascii="楷体_GB2312" w:eastAsia="楷体_GB2312" w:hAnsi="楷体_GB2312" w:cs="楷体_GB2312" w:hint="eastAsia"/>
          <w:b/>
          <w:bCs/>
          <w:sz w:val="44"/>
          <w:szCs w:val="44"/>
        </w:rPr>
        <w:t>2年</w:t>
      </w:r>
      <w:r>
        <w:rPr>
          <w:rFonts w:ascii="楷体_GB2312" w:eastAsia="楷体_GB2312" w:hAnsi="楷体_GB2312" w:cs="楷体_GB2312"/>
          <w:b/>
          <w:bCs/>
          <w:sz w:val="44"/>
          <w:szCs w:val="44"/>
        </w:rPr>
        <w:t>5</w:t>
      </w:r>
      <w:r>
        <w:rPr>
          <w:rFonts w:ascii="楷体_GB2312" w:eastAsia="楷体_GB2312" w:hAnsi="楷体_GB2312" w:cs="楷体_GB2312" w:hint="eastAsia"/>
          <w:b/>
          <w:bCs/>
          <w:sz w:val="44"/>
          <w:szCs w:val="44"/>
        </w:rPr>
        <w:t>月</w:t>
      </w:r>
    </w:p>
    <w:p w:rsidR="00A91EDB" w:rsidRDefault="00E31F4D">
      <w:pPr>
        <w:jc w:val="center"/>
        <w:rPr>
          <w:rFonts w:ascii="汉仪大宋简" w:eastAsia="汉仪大宋简" w:hAnsi="汉仪大宋简" w:cs="汉仪大宋简"/>
          <w:sz w:val="44"/>
          <w:szCs w:val="44"/>
        </w:rPr>
      </w:pPr>
      <w:r>
        <w:rPr>
          <w:rFonts w:ascii="汉仪大宋简" w:eastAsia="汉仪大宋简" w:hAnsi="汉仪大宋简" w:cs="汉仪大宋简" w:hint="eastAsia"/>
          <w:sz w:val="44"/>
          <w:szCs w:val="44"/>
        </w:rPr>
        <w:lastRenderedPageBreak/>
        <w:t>目   录</w:t>
      </w:r>
    </w:p>
    <w:p w:rsidR="00A91EDB" w:rsidRDefault="00A91EDB">
      <w:pPr>
        <w:pStyle w:val="10"/>
        <w:tabs>
          <w:tab w:val="right" w:leader="dot" w:pos="8306"/>
        </w:tabs>
      </w:pPr>
    </w:p>
    <w:p w:rsidR="00A91EDB" w:rsidRDefault="00E31F4D">
      <w:pPr>
        <w:pStyle w:val="10"/>
        <w:tabs>
          <w:tab w:val="right" w:leader="dot" w:pos="8306"/>
        </w:tabs>
        <w:adjustRightInd w:val="0"/>
        <w:spacing w:line="520" w:lineRule="exact"/>
        <w:rPr>
          <w:rFonts w:ascii="仿宋_GB2312" w:eastAsia="黑体" w:hAnsi="仿宋_GB2312" w:cs="仿宋_GB2312"/>
          <w:sz w:val="32"/>
          <w:szCs w:val="32"/>
        </w:rPr>
      </w:pPr>
      <w:r>
        <w:rPr>
          <w:rFonts w:ascii="黑体" w:eastAsia="黑体" w:hAnsi="黑体" w:cs="黑体" w:hint="eastAsia"/>
          <w:sz w:val="32"/>
          <w:szCs w:val="32"/>
        </w:rPr>
        <w:t>一、单位基本情况</w:t>
      </w:r>
      <w:r>
        <w:rPr>
          <w:rFonts w:ascii="黑体" w:eastAsia="黑体" w:hAnsi="黑体" w:cs="黑体" w:hint="eastAsia"/>
          <w:sz w:val="32"/>
          <w:szCs w:val="32"/>
        </w:rPr>
        <w:tab/>
        <w:t>39</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（一）单位概况</w:t>
      </w:r>
      <w:r>
        <w:rPr>
          <w:rFonts w:ascii="楷体_GB2312" w:eastAsia="楷体_GB2312" w:hAnsi="CESI楷体-GB2312" w:cs="CESI楷体-GB2312" w:hint="eastAsia"/>
          <w:sz w:val="32"/>
          <w:szCs w:val="32"/>
        </w:rPr>
        <w:tab/>
        <w:t>39</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（二）绩效评价工作开展</w:t>
      </w:r>
      <w:r>
        <w:rPr>
          <w:rFonts w:ascii="楷体_GB2312" w:eastAsia="楷体_GB2312" w:hAnsi="CESI楷体-GB2312" w:cs="CESI楷体-GB2312" w:hint="eastAsia"/>
          <w:sz w:val="32"/>
          <w:szCs w:val="32"/>
        </w:rPr>
        <w:tab/>
        <w:t>40</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1.明确绩效评价范围 </w:t>
      </w:r>
      <w:r>
        <w:rPr>
          <w:rFonts w:ascii="仿宋_GB2312" w:eastAsia="仿宋_GB2312" w:hAnsi="仿宋_GB2312" w:cs="仿宋_GB2312" w:hint="eastAsia"/>
          <w:sz w:val="32"/>
          <w:szCs w:val="32"/>
        </w:rPr>
        <w:tab/>
        <w:t>40</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2.成立绩效评价工作领导小组 </w:t>
      </w:r>
      <w:r>
        <w:rPr>
          <w:rFonts w:ascii="仿宋_GB2312" w:eastAsia="仿宋_GB2312" w:hAnsi="仿宋_GB2312" w:cs="仿宋_GB2312" w:hint="eastAsia"/>
          <w:sz w:val="32"/>
          <w:szCs w:val="32"/>
        </w:rPr>
        <w:tab/>
        <w:t>40</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3.及时下发通知组织开展自评 </w:t>
      </w:r>
      <w:r>
        <w:rPr>
          <w:rFonts w:ascii="仿宋_GB2312" w:eastAsia="仿宋_GB2312" w:hAnsi="仿宋_GB2312" w:cs="仿宋_GB2312" w:hint="eastAsia"/>
          <w:sz w:val="32"/>
          <w:szCs w:val="32"/>
        </w:rPr>
        <w:tab/>
        <w:t>40</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4.综合分析形成绩效报告 </w:t>
      </w:r>
      <w:r>
        <w:rPr>
          <w:rFonts w:ascii="仿宋_GB2312" w:eastAsia="仿宋_GB2312" w:hAnsi="仿宋_GB2312" w:cs="仿宋_GB2312" w:hint="eastAsia"/>
          <w:sz w:val="32"/>
          <w:szCs w:val="32"/>
        </w:rPr>
        <w:tab/>
        <w:t>40</w:t>
      </w:r>
    </w:p>
    <w:p w:rsidR="00A91EDB" w:rsidRDefault="00E31F4D">
      <w:pPr>
        <w:pStyle w:val="10"/>
        <w:tabs>
          <w:tab w:val="right" w:leader="dot" w:pos="8306"/>
        </w:tabs>
        <w:adjustRightInd w:val="0"/>
        <w:spacing w:line="520" w:lineRule="exact"/>
        <w:rPr>
          <w:rFonts w:ascii="仿宋_GB2312" w:eastAsia="黑体" w:hAnsi="仿宋_GB2312" w:cs="仿宋_GB2312"/>
          <w:sz w:val="32"/>
          <w:szCs w:val="32"/>
        </w:rPr>
      </w:pPr>
      <w:r>
        <w:rPr>
          <w:rFonts w:ascii="黑体" w:eastAsia="黑体" w:hAnsi="黑体" w:cs="黑体" w:hint="eastAsia"/>
          <w:sz w:val="32"/>
          <w:szCs w:val="32"/>
        </w:rPr>
        <w:t>二、一般公共预算支出情况</w:t>
      </w:r>
      <w:r>
        <w:rPr>
          <w:rFonts w:ascii="黑体" w:eastAsia="黑体" w:hAnsi="黑体" w:cs="黑体" w:hint="eastAsia"/>
          <w:sz w:val="32"/>
          <w:szCs w:val="32"/>
        </w:rPr>
        <w:tab/>
        <w:t>41</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（一）部门预算收支总体情况</w:t>
      </w:r>
      <w:r>
        <w:rPr>
          <w:rFonts w:ascii="楷体_GB2312" w:eastAsia="楷体_GB2312" w:hAnsi="CESI楷体-GB2312" w:cs="CESI楷体-GB2312" w:hint="eastAsia"/>
          <w:sz w:val="32"/>
          <w:szCs w:val="32"/>
        </w:rPr>
        <w:tab/>
        <w:t>41</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1.部门预算收入情况</w:t>
      </w:r>
      <w:r>
        <w:rPr>
          <w:rFonts w:ascii="仿宋_GB2312" w:eastAsia="仿宋_GB2312" w:hAnsi="仿宋_GB2312" w:cs="仿宋_GB2312" w:hint="eastAsia"/>
          <w:sz w:val="32"/>
          <w:szCs w:val="32"/>
        </w:rPr>
        <w:tab/>
        <w:t>41</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2.部门预算支出情况</w:t>
      </w:r>
      <w:r>
        <w:rPr>
          <w:rFonts w:ascii="仿宋_GB2312" w:eastAsia="仿宋_GB2312" w:hAnsi="仿宋_GB2312" w:cs="仿宋_GB2312" w:hint="eastAsia"/>
          <w:sz w:val="32"/>
          <w:szCs w:val="32"/>
        </w:rPr>
        <w:tab/>
        <w:t>41</w:t>
      </w:r>
    </w:p>
    <w:p w:rsidR="00A91EDB" w:rsidRDefault="00E31F4D">
      <w:pPr>
        <w:pStyle w:val="10"/>
        <w:tabs>
          <w:tab w:val="right" w:leader="dot" w:pos="8306"/>
        </w:tabs>
        <w:adjustRightInd w:val="0"/>
        <w:spacing w:line="520" w:lineRule="exact"/>
        <w:rPr>
          <w:rFonts w:ascii="仿宋_GB2312" w:eastAsia="仿宋_GB2312" w:hAnsi="仿宋_GB2312" w:cs="仿宋_GB2312"/>
          <w:sz w:val="32"/>
          <w:szCs w:val="32"/>
        </w:rPr>
      </w:pPr>
      <w:r>
        <w:rPr>
          <w:rFonts w:ascii="仿宋_GB2312" w:eastAsia="仿宋_GB2312" w:hAnsi="仿宋_GB2312" w:cs="仿宋_GB2312" w:hint="eastAsia"/>
          <w:bCs/>
          <w:sz w:val="32"/>
          <w:szCs w:val="32"/>
        </w:rPr>
        <w:t>3.预算执行及结转结余情况</w:t>
      </w:r>
      <w:r>
        <w:rPr>
          <w:rFonts w:ascii="仿宋_GB2312" w:eastAsia="仿宋_GB2312" w:hAnsi="仿宋_GB2312" w:cs="仿宋_GB2312" w:hint="eastAsia"/>
          <w:sz w:val="32"/>
          <w:szCs w:val="32"/>
        </w:rPr>
        <w:tab/>
        <w:t>42</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（二）基本支出情况</w:t>
      </w:r>
      <w:r>
        <w:rPr>
          <w:rFonts w:ascii="楷体_GB2312" w:eastAsia="楷体_GB2312" w:hAnsi="CESI楷体-GB2312" w:cs="CESI楷体-GB2312" w:hint="eastAsia"/>
          <w:sz w:val="32"/>
          <w:szCs w:val="32"/>
        </w:rPr>
        <w:tab/>
        <w:t>43</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1.基本支出收支总额情况</w:t>
      </w:r>
      <w:r>
        <w:rPr>
          <w:rFonts w:ascii="仿宋_GB2312" w:eastAsia="仿宋_GB2312" w:hAnsi="仿宋_GB2312" w:cs="仿宋_GB2312" w:hint="eastAsia"/>
          <w:sz w:val="32"/>
          <w:szCs w:val="32"/>
        </w:rPr>
        <w:tab/>
        <w:t>43</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2.人员经费预算及执行情况</w:t>
      </w:r>
      <w:r>
        <w:rPr>
          <w:rFonts w:ascii="仿宋_GB2312" w:eastAsia="仿宋_GB2312" w:hAnsi="仿宋_GB2312" w:cs="仿宋_GB2312" w:hint="eastAsia"/>
          <w:sz w:val="32"/>
          <w:szCs w:val="32"/>
        </w:rPr>
        <w:tab/>
        <w:t>43</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3.公用经费预算及执行情况</w:t>
      </w:r>
      <w:r>
        <w:rPr>
          <w:rFonts w:ascii="仿宋_GB2312" w:eastAsia="仿宋_GB2312" w:hAnsi="仿宋_GB2312" w:cs="仿宋_GB2312" w:hint="eastAsia"/>
          <w:sz w:val="32"/>
          <w:szCs w:val="32"/>
        </w:rPr>
        <w:tab/>
        <w:t>44</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4.基本支出预算执行偏离原因分析</w:t>
      </w:r>
      <w:r>
        <w:rPr>
          <w:rFonts w:ascii="仿宋_GB2312" w:eastAsia="仿宋_GB2312" w:hAnsi="仿宋_GB2312" w:cs="仿宋_GB2312" w:hint="eastAsia"/>
          <w:sz w:val="32"/>
          <w:szCs w:val="32"/>
        </w:rPr>
        <w:tab/>
        <w:t>45</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（三）项目支出情况</w:t>
      </w:r>
      <w:r>
        <w:rPr>
          <w:rFonts w:ascii="楷体_GB2312" w:eastAsia="楷体_GB2312" w:hAnsi="CESI楷体-GB2312" w:cs="CESI楷体-GB2312" w:hint="eastAsia"/>
          <w:sz w:val="32"/>
          <w:szCs w:val="32"/>
        </w:rPr>
        <w:tab/>
        <w:t>45</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1.项目支出收支总额情况</w:t>
      </w:r>
      <w:r>
        <w:rPr>
          <w:rFonts w:ascii="仿宋_GB2312" w:eastAsia="仿宋_GB2312" w:hAnsi="仿宋_GB2312" w:cs="仿宋_GB2312" w:hint="eastAsia"/>
          <w:sz w:val="32"/>
          <w:szCs w:val="32"/>
        </w:rPr>
        <w:tab/>
        <w:t>45</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2.项目支出预算安排情况</w:t>
      </w:r>
      <w:r>
        <w:rPr>
          <w:rFonts w:ascii="仿宋_GB2312" w:eastAsia="仿宋_GB2312" w:hAnsi="仿宋_GB2312" w:cs="仿宋_GB2312" w:hint="eastAsia"/>
          <w:sz w:val="32"/>
          <w:szCs w:val="32"/>
        </w:rPr>
        <w:tab/>
        <w:t>45</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3.项目支出预算执行及完成情况</w:t>
      </w:r>
      <w:r>
        <w:rPr>
          <w:rFonts w:ascii="仿宋_GB2312" w:eastAsia="仿宋_GB2312" w:hAnsi="仿宋_GB2312" w:cs="仿宋_GB2312" w:hint="eastAsia"/>
          <w:sz w:val="32"/>
          <w:szCs w:val="32"/>
        </w:rPr>
        <w:tab/>
        <w:t>46</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（四）三公经费预算及执行情况</w:t>
      </w:r>
      <w:r>
        <w:rPr>
          <w:rFonts w:ascii="楷体_GB2312" w:eastAsia="楷体_GB2312" w:hAnsi="CESI楷体-GB2312" w:cs="CESI楷体-GB2312" w:hint="eastAsia"/>
          <w:sz w:val="32"/>
          <w:szCs w:val="32"/>
        </w:rPr>
        <w:tab/>
        <w:t>47</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1.“三公经费”总体预算及执行情况</w:t>
      </w:r>
      <w:r>
        <w:rPr>
          <w:rFonts w:ascii="仿宋_GB2312" w:eastAsia="仿宋_GB2312" w:hAnsi="仿宋_GB2312" w:cs="仿宋_GB2312" w:hint="eastAsia"/>
          <w:sz w:val="32"/>
          <w:szCs w:val="32"/>
        </w:rPr>
        <w:tab/>
        <w:t>47</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2.“三公经费”预算偏离原因分析</w:t>
      </w:r>
      <w:r>
        <w:rPr>
          <w:rFonts w:ascii="仿宋_GB2312" w:eastAsia="仿宋_GB2312" w:hAnsi="仿宋_GB2312" w:cs="仿宋_GB2312" w:hint="eastAsia"/>
          <w:sz w:val="32"/>
          <w:szCs w:val="32"/>
        </w:rPr>
        <w:tab/>
        <w:t>47</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3.“三公经费”与上年比较情况</w:t>
      </w:r>
      <w:r>
        <w:rPr>
          <w:rFonts w:ascii="仿宋_GB2312" w:eastAsia="仿宋_GB2312" w:hAnsi="仿宋_GB2312" w:cs="仿宋_GB2312" w:hint="eastAsia"/>
          <w:sz w:val="32"/>
          <w:szCs w:val="32"/>
        </w:rPr>
        <w:tab/>
        <w:t>48</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（五）政府采购管理情况</w:t>
      </w:r>
      <w:r>
        <w:rPr>
          <w:rFonts w:ascii="楷体_GB2312" w:eastAsia="楷体_GB2312" w:hAnsi="CESI楷体-GB2312" w:cs="CESI楷体-GB2312" w:hint="eastAsia"/>
          <w:sz w:val="32"/>
          <w:szCs w:val="32"/>
        </w:rPr>
        <w:tab/>
        <w:t>48</w:t>
      </w:r>
    </w:p>
    <w:p w:rsidR="00A91EDB" w:rsidRDefault="00E31F4D">
      <w:pPr>
        <w:pStyle w:val="10"/>
        <w:tabs>
          <w:tab w:val="right" w:leader="dot" w:pos="8306"/>
        </w:tabs>
        <w:adjustRightInd w:val="0"/>
        <w:spacing w:line="520" w:lineRule="exact"/>
        <w:rPr>
          <w:rFonts w:ascii="仿宋_GB2312" w:eastAsia="黑体" w:hAnsi="仿宋_GB2312" w:cs="仿宋_GB2312"/>
          <w:sz w:val="32"/>
          <w:szCs w:val="32"/>
        </w:rPr>
      </w:pPr>
      <w:r>
        <w:rPr>
          <w:rFonts w:ascii="黑体" w:eastAsia="黑体" w:hAnsi="黑体" w:cs="黑体" w:hint="eastAsia"/>
          <w:sz w:val="32"/>
          <w:szCs w:val="32"/>
        </w:rPr>
        <w:t>三、政府性基金预算支出情况</w:t>
      </w:r>
      <w:r>
        <w:rPr>
          <w:rFonts w:ascii="黑体" w:eastAsia="黑体" w:hAnsi="黑体" w:cs="黑体" w:hint="eastAsia"/>
          <w:sz w:val="32"/>
          <w:szCs w:val="32"/>
        </w:rPr>
        <w:tab/>
        <w:t>48</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（一）专项资金基本情况</w:t>
      </w:r>
      <w:r>
        <w:rPr>
          <w:rFonts w:ascii="楷体_GB2312" w:eastAsia="楷体_GB2312" w:hAnsi="CESI楷体-GB2312" w:cs="CESI楷体-GB2312" w:hint="eastAsia"/>
          <w:sz w:val="32"/>
          <w:szCs w:val="32"/>
        </w:rPr>
        <w:tab/>
        <w:t>48</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（二）专项资金预算及投入方向</w:t>
      </w:r>
      <w:r>
        <w:rPr>
          <w:rFonts w:ascii="楷体_GB2312" w:eastAsia="楷体_GB2312" w:hAnsi="CESI楷体-GB2312" w:cs="CESI楷体-GB2312" w:hint="eastAsia"/>
          <w:sz w:val="32"/>
          <w:szCs w:val="32"/>
        </w:rPr>
        <w:tab/>
        <w:t>49</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（三）专项资金预算投入地市分布情况</w:t>
      </w:r>
      <w:r>
        <w:rPr>
          <w:rFonts w:ascii="楷体_GB2312" w:eastAsia="楷体_GB2312" w:hAnsi="CESI楷体-GB2312" w:cs="CESI楷体-GB2312" w:hint="eastAsia"/>
          <w:sz w:val="32"/>
          <w:szCs w:val="32"/>
        </w:rPr>
        <w:tab/>
        <w:t>50</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（四）专项资金预算指标下达情况</w:t>
      </w:r>
      <w:r>
        <w:rPr>
          <w:rFonts w:ascii="楷体_GB2312" w:eastAsia="楷体_GB2312" w:hAnsi="CESI楷体-GB2312" w:cs="CESI楷体-GB2312" w:hint="eastAsia"/>
          <w:sz w:val="32"/>
          <w:szCs w:val="32"/>
        </w:rPr>
        <w:tab/>
        <w:t>50</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（五）专项资金下拨项目单位到位情况</w:t>
      </w:r>
      <w:r>
        <w:rPr>
          <w:rFonts w:ascii="楷体_GB2312" w:eastAsia="楷体_GB2312" w:hAnsi="CESI楷体-GB2312" w:cs="CESI楷体-GB2312" w:hint="eastAsia"/>
          <w:sz w:val="32"/>
          <w:szCs w:val="32"/>
        </w:rPr>
        <w:tab/>
        <w:t>51</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（六）项目实施完成进度及资金使用情况</w:t>
      </w:r>
      <w:r>
        <w:rPr>
          <w:rFonts w:ascii="楷体_GB2312" w:eastAsia="楷体_GB2312" w:hAnsi="CESI楷体-GB2312" w:cs="CESI楷体-GB2312" w:hint="eastAsia"/>
          <w:sz w:val="32"/>
          <w:szCs w:val="32"/>
        </w:rPr>
        <w:tab/>
        <w:t>51</w:t>
      </w:r>
    </w:p>
    <w:p w:rsidR="00A91EDB" w:rsidRDefault="00E31F4D">
      <w:pPr>
        <w:pStyle w:val="10"/>
        <w:tabs>
          <w:tab w:val="right" w:leader="dot" w:pos="8306"/>
        </w:tabs>
        <w:adjustRightInd w:val="0"/>
        <w:spacing w:line="520" w:lineRule="exact"/>
        <w:rPr>
          <w:rFonts w:ascii="仿宋_GB2312" w:eastAsia="黑体" w:hAnsi="仿宋_GB2312" w:cs="仿宋_GB2312"/>
          <w:sz w:val="32"/>
          <w:szCs w:val="32"/>
        </w:rPr>
      </w:pPr>
      <w:r>
        <w:rPr>
          <w:rFonts w:ascii="黑体" w:eastAsia="黑体" w:hAnsi="黑体" w:cs="黑体" w:hint="eastAsia"/>
          <w:sz w:val="32"/>
          <w:szCs w:val="32"/>
        </w:rPr>
        <w:t>四、国有资本经营预算支出情况</w:t>
      </w:r>
      <w:r>
        <w:rPr>
          <w:rFonts w:ascii="黑体" w:eastAsia="黑体" w:hAnsi="黑体" w:cs="黑体" w:hint="eastAsia"/>
          <w:sz w:val="32"/>
          <w:szCs w:val="32"/>
        </w:rPr>
        <w:tab/>
        <w:t>53</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（一）专项资金基本情况</w:t>
      </w:r>
      <w:r>
        <w:rPr>
          <w:rFonts w:ascii="楷体_GB2312" w:eastAsia="楷体_GB2312" w:hAnsi="CESI楷体-GB2312" w:cs="CESI楷体-GB2312" w:hint="eastAsia"/>
          <w:sz w:val="32"/>
          <w:szCs w:val="32"/>
        </w:rPr>
        <w:tab/>
        <w:t>53</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（二）专项资金申报及审批情况</w:t>
      </w:r>
      <w:r>
        <w:rPr>
          <w:rFonts w:ascii="楷体_GB2312" w:eastAsia="楷体_GB2312" w:hAnsi="CESI楷体-GB2312" w:cs="CESI楷体-GB2312" w:hint="eastAsia"/>
          <w:sz w:val="32"/>
          <w:szCs w:val="32"/>
        </w:rPr>
        <w:tab/>
        <w:t>53</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（三）专项资金指标下达及到位情况</w:t>
      </w:r>
      <w:r>
        <w:rPr>
          <w:rFonts w:ascii="楷体_GB2312" w:eastAsia="楷体_GB2312" w:hAnsi="CESI楷体-GB2312" w:cs="CESI楷体-GB2312" w:hint="eastAsia"/>
          <w:sz w:val="32"/>
          <w:szCs w:val="32"/>
        </w:rPr>
        <w:tab/>
        <w:t>54</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（四）项目实施完成情况</w:t>
      </w:r>
      <w:r>
        <w:rPr>
          <w:rFonts w:ascii="楷体_GB2312" w:eastAsia="楷体_GB2312" w:hAnsi="CESI楷体-GB2312" w:cs="CESI楷体-GB2312" w:hint="eastAsia"/>
          <w:sz w:val="32"/>
          <w:szCs w:val="32"/>
        </w:rPr>
        <w:tab/>
        <w:t>54</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（五）项目投资计划及专项资金使用完成情况</w:t>
      </w:r>
      <w:r>
        <w:rPr>
          <w:rFonts w:ascii="楷体_GB2312" w:eastAsia="楷体_GB2312" w:hAnsi="CESI楷体-GB2312" w:cs="CESI楷体-GB2312" w:hint="eastAsia"/>
          <w:sz w:val="32"/>
          <w:szCs w:val="32"/>
        </w:rPr>
        <w:tab/>
        <w:t>55</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1.项目投资总额及当年投入完成情况</w:t>
      </w:r>
      <w:r>
        <w:rPr>
          <w:rFonts w:ascii="仿宋_GB2312" w:eastAsia="仿宋_GB2312" w:hAnsi="仿宋_GB2312" w:cs="仿宋_GB2312" w:hint="eastAsia"/>
          <w:sz w:val="32"/>
          <w:szCs w:val="32"/>
        </w:rPr>
        <w:tab/>
        <w:t>55</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2.专项资金投入使用情况</w:t>
      </w:r>
      <w:r>
        <w:rPr>
          <w:rFonts w:ascii="仿宋_GB2312" w:eastAsia="仿宋_GB2312" w:hAnsi="仿宋_GB2312" w:cs="仿宋_GB2312" w:hint="eastAsia"/>
          <w:sz w:val="32"/>
          <w:szCs w:val="32"/>
        </w:rPr>
        <w:tab/>
        <w:t>56</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（六）资金投入及完成情况偏离原因分析</w:t>
      </w:r>
      <w:r>
        <w:rPr>
          <w:rFonts w:ascii="楷体_GB2312" w:eastAsia="楷体_GB2312" w:hAnsi="CESI楷体-GB2312" w:cs="CESI楷体-GB2312" w:hint="eastAsia"/>
          <w:sz w:val="32"/>
          <w:szCs w:val="32"/>
        </w:rPr>
        <w:tab/>
        <w:t>56</w:t>
      </w:r>
    </w:p>
    <w:p w:rsidR="00A91EDB" w:rsidRDefault="00E31F4D">
      <w:pPr>
        <w:pStyle w:val="10"/>
        <w:tabs>
          <w:tab w:val="right" w:leader="dot" w:pos="8306"/>
        </w:tabs>
        <w:adjustRightInd w:val="0"/>
        <w:spacing w:line="520" w:lineRule="exact"/>
        <w:rPr>
          <w:rFonts w:ascii="仿宋_GB2312" w:eastAsia="黑体" w:hAnsi="仿宋_GB2312" w:cs="仿宋_GB2312"/>
          <w:sz w:val="32"/>
          <w:szCs w:val="32"/>
        </w:rPr>
      </w:pPr>
      <w:r>
        <w:rPr>
          <w:rFonts w:ascii="黑体" w:eastAsia="黑体" w:hAnsi="黑体" w:cs="黑体" w:hint="eastAsia"/>
          <w:sz w:val="32"/>
          <w:szCs w:val="32"/>
        </w:rPr>
        <w:t>五、部门整体支出绩效情况</w:t>
      </w:r>
      <w:r>
        <w:rPr>
          <w:rFonts w:ascii="黑体" w:eastAsia="黑体" w:hAnsi="黑体" w:cs="黑体" w:hint="eastAsia"/>
          <w:sz w:val="32"/>
          <w:szCs w:val="32"/>
        </w:rPr>
        <w:tab/>
        <w:t>57</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（一）整体支出绩效自评总体结果</w:t>
      </w:r>
      <w:r>
        <w:rPr>
          <w:rFonts w:ascii="楷体_GB2312" w:eastAsia="楷体_GB2312" w:hAnsi="CESI楷体-GB2312" w:cs="CESI楷体-GB2312" w:hint="eastAsia"/>
          <w:sz w:val="32"/>
          <w:szCs w:val="32"/>
        </w:rPr>
        <w:tab/>
        <w:t>57</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（二）整体支出行政效能</w:t>
      </w:r>
      <w:r>
        <w:rPr>
          <w:rFonts w:ascii="楷体_GB2312" w:eastAsia="楷体_GB2312" w:hAnsi="CESI楷体-GB2312" w:cs="CESI楷体-GB2312" w:hint="eastAsia"/>
          <w:sz w:val="32"/>
          <w:szCs w:val="32"/>
        </w:rPr>
        <w:tab/>
        <w:t>57</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1.项目资金统筹规划不断加强</w:t>
      </w:r>
      <w:r>
        <w:rPr>
          <w:rFonts w:ascii="仿宋_GB2312" w:eastAsia="仿宋_GB2312" w:hAnsi="仿宋_GB2312" w:cs="仿宋_GB2312" w:hint="eastAsia"/>
          <w:sz w:val="32"/>
          <w:szCs w:val="32"/>
        </w:rPr>
        <w:tab/>
        <w:t>57</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2.全面预算绩效管理持续推进</w:t>
      </w:r>
      <w:r>
        <w:rPr>
          <w:rFonts w:ascii="仿宋_GB2312" w:eastAsia="仿宋_GB2312" w:hAnsi="仿宋_GB2312" w:cs="仿宋_GB2312" w:hint="eastAsia"/>
          <w:sz w:val="32"/>
          <w:szCs w:val="32"/>
        </w:rPr>
        <w:tab/>
        <w:t>58</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3.内部控制制度不断完善</w:t>
      </w:r>
      <w:r>
        <w:rPr>
          <w:rFonts w:ascii="仿宋_GB2312" w:eastAsia="仿宋_GB2312" w:hAnsi="仿宋_GB2312" w:cs="仿宋_GB2312" w:hint="eastAsia"/>
          <w:sz w:val="32"/>
          <w:szCs w:val="32"/>
        </w:rPr>
        <w:tab/>
        <w:t>58</w:t>
      </w:r>
    </w:p>
    <w:p w:rsidR="00A91EDB" w:rsidRDefault="00E31F4D">
      <w:pPr>
        <w:pStyle w:val="10"/>
        <w:tabs>
          <w:tab w:val="right" w:leader="dot" w:pos="8306"/>
        </w:tabs>
        <w:adjustRightInd w:val="0"/>
        <w:spacing w:line="520" w:lineRule="exact"/>
        <w:rPr>
          <w:rFonts w:ascii="仿宋_GB2312" w:eastAsia="仿宋_GB2312" w:hAnsi="仿宋_GB2312" w:cs="仿宋_GB2312"/>
          <w:sz w:val="32"/>
          <w:szCs w:val="32"/>
        </w:rPr>
      </w:pPr>
      <w:r>
        <w:rPr>
          <w:rFonts w:ascii="仿宋_GB2312" w:eastAsia="仿宋_GB2312" w:hAnsi="仿宋_GB2312" w:cs="仿宋_GB2312" w:hint="eastAsia"/>
          <w:bCs/>
          <w:sz w:val="32"/>
          <w:szCs w:val="32"/>
        </w:rPr>
        <w:t>4.日常财务管理工作不断规范</w:t>
      </w:r>
      <w:r>
        <w:rPr>
          <w:rFonts w:ascii="仿宋_GB2312" w:eastAsia="仿宋_GB2312" w:hAnsi="仿宋_GB2312" w:cs="仿宋_GB2312" w:hint="eastAsia"/>
          <w:sz w:val="32"/>
          <w:szCs w:val="32"/>
        </w:rPr>
        <w:tab/>
        <w:t>58</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（三）整体支出主要绩效产出</w:t>
      </w:r>
      <w:r>
        <w:rPr>
          <w:rFonts w:ascii="楷体_GB2312" w:eastAsia="楷体_GB2312" w:hAnsi="CESI楷体-GB2312" w:cs="CESI楷体-GB2312" w:hint="eastAsia"/>
          <w:sz w:val="32"/>
          <w:szCs w:val="32"/>
        </w:rPr>
        <w:tab/>
        <w:t>59</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lastRenderedPageBreak/>
        <w:t>1.宣传贯彻习近平新时代中国特色社会主义思想不断深入</w:t>
      </w:r>
      <w:r>
        <w:rPr>
          <w:rFonts w:ascii="仿宋_GB2312" w:eastAsia="仿宋_GB2312" w:hAnsi="仿宋_GB2312" w:cs="仿宋_GB2312" w:hint="eastAsia"/>
          <w:sz w:val="32"/>
          <w:szCs w:val="32"/>
        </w:rPr>
        <w:tab/>
        <w:t>59</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2.建党百年系列庆祝活动展示湖南担当、体现湖南特色</w:t>
      </w:r>
      <w:r>
        <w:rPr>
          <w:rFonts w:ascii="仿宋_GB2312" w:eastAsia="仿宋_GB2312" w:hAnsi="仿宋_GB2312" w:cs="仿宋_GB2312" w:hint="eastAsia"/>
          <w:sz w:val="32"/>
          <w:szCs w:val="32"/>
        </w:rPr>
        <w:tab/>
        <w:t>59</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3.党史学习教育走在前头作出表率</w:t>
      </w:r>
      <w:r>
        <w:rPr>
          <w:rFonts w:ascii="仿宋_GB2312" w:eastAsia="仿宋_GB2312" w:hAnsi="仿宋_GB2312" w:cs="仿宋_GB2312" w:hint="eastAsia"/>
          <w:sz w:val="32"/>
          <w:szCs w:val="32"/>
        </w:rPr>
        <w:tab/>
        <w:t>60</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4.建设社会主义现代化新湖南舆论环境向上向好</w:t>
      </w:r>
      <w:r>
        <w:rPr>
          <w:rFonts w:ascii="仿宋_GB2312" w:eastAsia="仿宋_GB2312" w:hAnsi="仿宋_GB2312" w:cs="仿宋_GB2312" w:hint="eastAsia"/>
          <w:sz w:val="32"/>
          <w:szCs w:val="32"/>
        </w:rPr>
        <w:tab/>
        <w:t>61</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5.社会主义核心价值观建设持续深化</w:t>
      </w:r>
      <w:r>
        <w:rPr>
          <w:rFonts w:ascii="仿宋_GB2312" w:eastAsia="仿宋_GB2312" w:hAnsi="仿宋_GB2312" w:cs="仿宋_GB2312" w:hint="eastAsia"/>
          <w:sz w:val="32"/>
          <w:szCs w:val="32"/>
        </w:rPr>
        <w:tab/>
        <w:t>62</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6.文化强省建设迈出新步伐</w:t>
      </w:r>
      <w:r>
        <w:rPr>
          <w:rFonts w:ascii="仿宋_GB2312" w:eastAsia="仿宋_GB2312" w:hAnsi="仿宋_GB2312" w:cs="仿宋_GB2312" w:hint="eastAsia"/>
          <w:sz w:val="32"/>
          <w:szCs w:val="32"/>
        </w:rPr>
        <w:tab/>
        <w:t>63</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（四）政府性基金预算支出绩效产出</w:t>
      </w:r>
      <w:r>
        <w:rPr>
          <w:rFonts w:ascii="楷体_GB2312" w:eastAsia="楷体_GB2312" w:hAnsi="CESI楷体-GB2312" w:cs="CESI楷体-GB2312" w:hint="eastAsia"/>
          <w:sz w:val="32"/>
          <w:szCs w:val="32"/>
        </w:rPr>
        <w:tab/>
        <w:t>64</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1.重点电影文化活动产出数量和质量超预期</w:t>
      </w:r>
      <w:r>
        <w:rPr>
          <w:rFonts w:ascii="仿宋_GB2312" w:eastAsia="仿宋_GB2312" w:hAnsi="仿宋_GB2312" w:cs="仿宋_GB2312" w:hint="eastAsia"/>
          <w:sz w:val="32"/>
          <w:szCs w:val="32"/>
        </w:rPr>
        <w:tab/>
        <w:t>64</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2.资助影片播出斩获佳绩，社会效益超预期</w:t>
      </w:r>
      <w:r>
        <w:rPr>
          <w:rFonts w:ascii="仿宋_GB2312" w:eastAsia="仿宋_GB2312" w:hAnsi="仿宋_GB2312" w:cs="仿宋_GB2312" w:hint="eastAsia"/>
          <w:sz w:val="32"/>
          <w:szCs w:val="32"/>
        </w:rPr>
        <w:tab/>
        <w:t>64</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3.影院奖励和资助抵御疫情，助力影视经济成效显著</w:t>
      </w:r>
      <w:r>
        <w:rPr>
          <w:rFonts w:ascii="仿宋_GB2312" w:eastAsia="仿宋_GB2312" w:hAnsi="仿宋_GB2312" w:cs="仿宋_GB2312" w:hint="eastAsia"/>
          <w:sz w:val="32"/>
          <w:szCs w:val="32"/>
        </w:rPr>
        <w:tab/>
        <w:t>65</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（五）国有资本经营预算支出绩效产出</w:t>
      </w:r>
      <w:r>
        <w:rPr>
          <w:rFonts w:ascii="楷体_GB2312" w:eastAsia="楷体_GB2312" w:hAnsi="CESI楷体-GB2312" w:cs="CESI楷体-GB2312" w:hint="eastAsia"/>
          <w:sz w:val="32"/>
          <w:szCs w:val="32"/>
        </w:rPr>
        <w:tab/>
        <w:t>65</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1.有效推动了产业转型升级</w:t>
      </w:r>
      <w:r>
        <w:rPr>
          <w:rFonts w:ascii="仿宋_GB2312" w:eastAsia="仿宋_GB2312" w:hAnsi="仿宋_GB2312" w:cs="仿宋_GB2312" w:hint="eastAsia"/>
          <w:sz w:val="32"/>
          <w:szCs w:val="32"/>
        </w:rPr>
        <w:tab/>
        <w:t>65</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2.有效落实了国家重大文化战略</w:t>
      </w:r>
      <w:r>
        <w:rPr>
          <w:rFonts w:ascii="仿宋_GB2312" w:eastAsia="仿宋_GB2312" w:hAnsi="仿宋_GB2312" w:cs="仿宋_GB2312" w:hint="eastAsia"/>
          <w:sz w:val="32"/>
          <w:szCs w:val="32"/>
        </w:rPr>
        <w:tab/>
        <w:t>66</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3.有效促进了媒体深度融合</w:t>
      </w:r>
      <w:r>
        <w:rPr>
          <w:rFonts w:ascii="仿宋_GB2312" w:eastAsia="仿宋_GB2312" w:hAnsi="仿宋_GB2312" w:cs="仿宋_GB2312" w:hint="eastAsia"/>
          <w:sz w:val="32"/>
          <w:szCs w:val="32"/>
        </w:rPr>
        <w:tab/>
        <w:t>66</w:t>
      </w:r>
    </w:p>
    <w:p w:rsidR="00A91EDB" w:rsidRDefault="00E31F4D">
      <w:pPr>
        <w:pStyle w:val="10"/>
        <w:tabs>
          <w:tab w:val="right" w:leader="dot" w:pos="8306"/>
        </w:tabs>
        <w:adjustRightInd w:val="0"/>
        <w:spacing w:line="520" w:lineRule="exact"/>
        <w:rPr>
          <w:rFonts w:ascii="仿宋_GB2312" w:eastAsia="黑体" w:hAnsi="仿宋_GB2312" w:cs="仿宋_GB2312"/>
          <w:sz w:val="32"/>
          <w:szCs w:val="32"/>
        </w:rPr>
      </w:pPr>
      <w:r>
        <w:rPr>
          <w:rFonts w:ascii="黑体" w:eastAsia="黑体" w:hAnsi="黑体" w:cs="黑体" w:hint="eastAsia"/>
          <w:sz w:val="32"/>
          <w:szCs w:val="32"/>
        </w:rPr>
        <w:t>六、存在的主要问题</w:t>
      </w:r>
      <w:r>
        <w:rPr>
          <w:rFonts w:ascii="黑体" w:eastAsia="黑体" w:hAnsi="黑体" w:cs="黑体" w:hint="eastAsia"/>
          <w:sz w:val="32"/>
          <w:szCs w:val="32"/>
        </w:rPr>
        <w:tab/>
        <w:t>67</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（一）整体支出预算管理方面</w:t>
      </w:r>
      <w:r>
        <w:rPr>
          <w:rFonts w:ascii="楷体_GB2312" w:eastAsia="楷体_GB2312" w:hAnsi="CESI楷体-GB2312" w:cs="CESI楷体-GB2312" w:hint="eastAsia"/>
          <w:sz w:val="32"/>
          <w:szCs w:val="32"/>
        </w:rPr>
        <w:tab/>
        <w:t>67</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1.年初预算编制需要进一步精准</w:t>
      </w:r>
      <w:r>
        <w:rPr>
          <w:rFonts w:ascii="仿宋_GB2312" w:eastAsia="仿宋_GB2312" w:hAnsi="仿宋_GB2312" w:cs="仿宋_GB2312" w:hint="eastAsia"/>
          <w:sz w:val="32"/>
          <w:szCs w:val="32"/>
        </w:rPr>
        <w:tab/>
        <w:t>67</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2.预算执行“前松后紧”现象未明显改善</w:t>
      </w:r>
      <w:r>
        <w:rPr>
          <w:rFonts w:ascii="仿宋_GB2312" w:eastAsia="仿宋_GB2312" w:hAnsi="仿宋_GB2312" w:cs="仿宋_GB2312" w:hint="eastAsia"/>
          <w:sz w:val="32"/>
          <w:szCs w:val="32"/>
        </w:rPr>
        <w:tab/>
        <w:t>68</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3.预算绩效管理水平有待进一步提高</w:t>
      </w:r>
      <w:r>
        <w:rPr>
          <w:rFonts w:ascii="仿宋_GB2312" w:eastAsia="仿宋_GB2312" w:hAnsi="仿宋_GB2312" w:cs="仿宋_GB2312" w:hint="eastAsia"/>
          <w:sz w:val="32"/>
          <w:szCs w:val="32"/>
        </w:rPr>
        <w:tab/>
        <w:t>68</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（二）政府性基金预算支出管理方面</w:t>
      </w:r>
      <w:r>
        <w:rPr>
          <w:rFonts w:ascii="楷体_GB2312" w:eastAsia="楷体_GB2312" w:hAnsi="CESI楷体-GB2312" w:cs="CESI楷体-GB2312" w:hint="eastAsia"/>
          <w:sz w:val="32"/>
          <w:szCs w:val="32"/>
        </w:rPr>
        <w:tab/>
        <w:t>68</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1.部分资金下达时间晚</w:t>
      </w:r>
      <w:r>
        <w:rPr>
          <w:rFonts w:ascii="仿宋_GB2312" w:eastAsia="仿宋_GB2312" w:hAnsi="仿宋_GB2312" w:cs="仿宋_GB2312" w:hint="eastAsia"/>
          <w:sz w:val="32"/>
          <w:szCs w:val="32"/>
        </w:rPr>
        <w:tab/>
        <w:t>68</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2.乡镇影院建设试点建成率未达到预期目标</w:t>
      </w:r>
      <w:r>
        <w:rPr>
          <w:rFonts w:ascii="仿宋_GB2312" w:eastAsia="仿宋_GB2312" w:hAnsi="仿宋_GB2312" w:cs="仿宋_GB2312" w:hint="eastAsia"/>
          <w:sz w:val="32"/>
          <w:szCs w:val="32"/>
        </w:rPr>
        <w:tab/>
        <w:t>69</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（三）国有资本经营预算支出管理方面</w:t>
      </w:r>
      <w:r>
        <w:rPr>
          <w:rFonts w:ascii="楷体_GB2312" w:eastAsia="楷体_GB2312" w:hAnsi="CESI楷体-GB2312" w:cs="CESI楷体-GB2312" w:hint="eastAsia"/>
          <w:sz w:val="32"/>
          <w:szCs w:val="32"/>
        </w:rPr>
        <w:tab/>
        <w:t>69</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1.资金申报和下达时间存在滞后</w:t>
      </w:r>
      <w:r>
        <w:rPr>
          <w:rFonts w:ascii="仿宋_GB2312" w:eastAsia="仿宋_GB2312" w:hAnsi="仿宋_GB2312" w:cs="仿宋_GB2312" w:hint="eastAsia"/>
          <w:sz w:val="32"/>
          <w:szCs w:val="32"/>
        </w:rPr>
        <w:tab/>
        <w:t>69</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2.企业项目管理机制不健全</w:t>
      </w:r>
      <w:r>
        <w:rPr>
          <w:rFonts w:ascii="仿宋_GB2312" w:eastAsia="仿宋_GB2312" w:hAnsi="仿宋_GB2312" w:cs="仿宋_GB2312" w:hint="eastAsia"/>
          <w:sz w:val="32"/>
          <w:szCs w:val="32"/>
        </w:rPr>
        <w:tab/>
        <w:t>69</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3.部分项目实施进度较慢，绩效产出未达预期</w:t>
      </w:r>
      <w:r>
        <w:rPr>
          <w:rFonts w:ascii="仿宋_GB2312" w:eastAsia="仿宋_GB2312" w:hAnsi="仿宋_GB2312" w:cs="仿宋_GB2312" w:hint="eastAsia"/>
          <w:sz w:val="32"/>
          <w:szCs w:val="32"/>
        </w:rPr>
        <w:tab/>
        <w:t>69</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4.项目绩效评价方式有待改进</w:t>
      </w:r>
      <w:r>
        <w:rPr>
          <w:rFonts w:ascii="仿宋_GB2312" w:eastAsia="仿宋_GB2312" w:hAnsi="仿宋_GB2312" w:cs="仿宋_GB2312" w:hint="eastAsia"/>
          <w:sz w:val="32"/>
          <w:szCs w:val="32"/>
        </w:rPr>
        <w:tab/>
        <w:t>70</w:t>
      </w:r>
    </w:p>
    <w:p w:rsidR="00A91EDB" w:rsidRDefault="00E31F4D">
      <w:pPr>
        <w:pStyle w:val="10"/>
        <w:tabs>
          <w:tab w:val="right" w:leader="dot" w:pos="8306"/>
        </w:tabs>
        <w:adjustRightInd w:val="0"/>
        <w:spacing w:line="520" w:lineRule="exact"/>
        <w:rPr>
          <w:rFonts w:ascii="仿宋_GB2312" w:eastAsia="黑体" w:hAnsi="仿宋_GB2312" w:cs="仿宋_GB2312"/>
          <w:sz w:val="32"/>
          <w:szCs w:val="32"/>
        </w:rPr>
      </w:pPr>
      <w:r>
        <w:rPr>
          <w:rFonts w:ascii="黑体" w:eastAsia="黑体" w:hAnsi="黑体" w:cs="黑体" w:hint="eastAsia"/>
          <w:sz w:val="32"/>
          <w:szCs w:val="32"/>
        </w:rPr>
        <w:t>七、下一步改进措施</w:t>
      </w:r>
      <w:r>
        <w:rPr>
          <w:rFonts w:ascii="黑体" w:eastAsia="黑体" w:hAnsi="黑体" w:cs="黑体" w:hint="eastAsia"/>
          <w:sz w:val="32"/>
          <w:szCs w:val="32"/>
        </w:rPr>
        <w:tab/>
        <w:t>70</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（一）整体支出预算及绩效管理方面</w:t>
      </w:r>
      <w:r>
        <w:rPr>
          <w:rFonts w:ascii="楷体_GB2312" w:eastAsia="楷体_GB2312" w:hAnsi="CESI楷体-GB2312" w:cs="CESI楷体-GB2312" w:hint="eastAsia"/>
          <w:sz w:val="32"/>
          <w:szCs w:val="32"/>
        </w:rPr>
        <w:tab/>
        <w:t>70</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1.进一步加强预算管理</w:t>
      </w:r>
      <w:r>
        <w:rPr>
          <w:rFonts w:ascii="仿宋_GB2312" w:eastAsia="仿宋_GB2312" w:hAnsi="仿宋_GB2312" w:cs="仿宋_GB2312" w:hint="eastAsia"/>
          <w:sz w:val="32"/>
          <w:szCs w:val="32"/>
        </w:rPr>
        <w:tab/>
        <w:t>70</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2.进一步强化绩效管理</w:t>
      </w:r>
      <w:r>
        <w:rPr>
          <w:rFonts w:ascii="仿宋_GB2312" w:eastAsia="仿宋_GB2312" w:hAnsi="仿宋_GB2312" w:cs="仿宋_GB2312" w:hint="eastAsia"/>
          <w:sz w:val="32"/>
          <w:szCs w:val="32"/>
        </w:rPr>
        <w:tab/>
        <w:t>71</w:t>
      </w:r>
    </w:p>
    <w:p w:rsidR="00A91EDB" w:rsidRDefault="00E31F4D">
      <w:pPr>
        <w:pStyle w:val="20"/>
        <w:tabs>
          <w:tab w:val="right" w:leader="dot" w:pos="8306"/>
        </w:tabs>
        <w:adjustRightInd w:val="0"/>
        <w:spacing w:line="520" w:lineRule="exact"/>
        <w:ind w:leftChars="0" w:left="0"/>
        <w:rPr>
          <w:rFonts w:ascii="楷体_GB2312" w:eastAsia="楷体_GB2312" w:hAnsi="CESI楷体-GB2312" w:cs="CESI楷体-GB2312"/>
          <w:sz w:val="32"/>
          <w:szCs w:val="32"/>
        </w:rPr>
      </w:pPr>
      <w:r>
        <w:rPr>
          <w:rFonts w:ascii="楷体_GB2312" w:eastAsia="楷体_GB2312" w:hAnsi="CESI楷体-GB2312" w:cs="CESI楷体-GB2312" w:hint="eastAsia"/>
          <w:sz w:val="32"/>
          <w:szCs w:val="32"/>
        </w:rPr>
        <w:t>（二）政府性基金预算支出管理方面</w:t>
      </w:r>
      <w:r>
        <w:rPr>
          <w:rFonts w:ascii="楷体_GB2312" w:eastAsia="楷体_GB2312" w:hAnsi="CESI楷体-GB2312" w:cs="CESI楷体-GB2312" w:hint="eastAsia"/>
          <w:sz w:val="32"/>
          <w:szCs w:val="32"/>
        </w:rPr>
        <w:tab/>
        <w:t>71</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1.加强专资申报工作</w:t>
      </w:r>
      <w:r>
        <w:rPr>
          <w:rFonts w:ascii="仿宋_GB2312" w:eastAsia="仿宋_GB2312" w:hAnsi="仿宋_GB2312" w:cs="仿宋_GB2312" w:hint="eastAsia"/>
          <w:sz w:val="32"/>
          <w:szCs w:val="32"/>
        </w:rPr>
        <w:tab/>
        <w:t>71</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2.加大乡镇影院建设推进力度</w:t>
      </w:r>
      <w:r>
        <w:rPr>
          <w:rFonts w:ascii="仿宋_GB2312" w:eastAsia="仿宋_GB2312" w:hAnsi="仿宋_GB2312" w:cs="仿宋_GB2312" w:hint="eastAsia"/>
          <w:sz w:val="32"/>
          <w:szCs w:val="32"/>
        </w:rPr>
        <w:tab/>
        <w:t>71</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3.加强政策的引导和宣传</w:t>
      </w:r>
      <w:r>
        <w:rPr>
          <w:rFonts w:ascii="仿宋_GB2312" w:eastAsia="仿宋_GB2312" w:hAnsi="仿宋_GB2312" w:cs="仿宋_GB2312" w:hint="eastAsia"/>
          <w:sz w:val="32"/>
          <w:szCs w:val="32"/>
        </w:rPr>
        <w:tab/>
        <w:t>72</w:t>
      </w:r>
    </w:p>
    <w:p w:rsidR="00A91EDB" w:rsidRDefault="00E31F4D">
      <w:pPr>
        <w:pStyle w:val="20"/>
        <w:tabs>
          <w:tab w:val="right" w:leader="dot" w:pos="8306"/>
        </w:tabs>
        <w:adjustRightInd w:val="0"/>
        <w:spacing w:line="520" w:lineRule="exact"/>
        <w:ind w:leftChars="0" w:left="0"/>
        <w:rPr>
          <w:rFonts w:ascii="楷体_GB2312" w:eastAsia="楷体_GB2312" w:hAnsi="仿宋_GB2312" w:cs="仿宋_GB2312"/>
          <w:sz w:val="32"/>
          <w:szCs w:val="32"/>
        </w:rPr>
      </w:pPr>
      <w:r>
        <w:rPr>
          <w:rFonts w:ascii="楷体_GB2312" w:eastAsia="楷体_GB2312" w:hAnsi="CESI楷体-GB2312" w:cs="CESI楷体-GB2312" w:hint="eastAsia"/>
          <w:sz w:val="32"/>
          <w:szCs w:val="32"/>
        </w:rPr>
        <w:t>（三）国有资本经营预算支出管理方面</w:t>
      </w:r>
      <w:r>
        <w:rPr>
          <w:rFonts w:ascii="楷体_GB2312" w:eastAsia="楷体_GB2312" w:hAnsi="CESI楷体-GB2312" w:cs="CESI楷体-GB2312" w:hint="eastAsia"/>
          <w:sz w:val="32"/>
          <w:szCs w:val="32"/>
        </w:rPr>
        <w:tab/>
        <w:t>72</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1.加快项目申报及资金下达</w:t>
      </w:r>
      <w:r>
        <w:rPr>
          <w:rFonts w:ascii="仿宋_GB2312" w:eastAsia="仿宋_GB2312" w:hAnsi="仿宋_GB2312" w:cs="仿宋_GB2312" w:hint="eastAsia"/>
          <w:sz w:val="32"/>
          <w:szCs w:val="32"/>
        </w:rPr>
        <w:tab/>
        <w:t>72</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2.加强项目申报审核审批管理</w:t>
      </w:r>
      <w:r>
        <w:rPr>
          <w:rFonts w:ascii="仿宋_GB2312" w:eastAsia="仿宋_GB2312" w:hAnsi="仿宋_GB2312" w:cs="仿宋_GB2312" w:hint="eastAsia"/>
          <w:sz w:val="32"/>
          <w:szCs w:val="32"/>
        </w:rPr>
        <w:tab/>
        <w:t>72</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3.加强项目资金的后续监管和评价</w:t>
      </w:r>
      <w:r>
        <w:rPr>
          <w:rFonts w:ascii="仿宋_GB2312" w:eastAsia="仿宋_GB2312" w:hAnsi="仿宋_GB2312" w:cs="仿宋_GB2312" w:hint="eastAsia"/>
          <w:sz w:val="32"/>
          <w:szCs w:val="32"/>
        </w:rPr>
        <w:tab/>
        <w:t>73</w:t>
      </w:r>
    </w:p>
    <w:p w:rsidR="00A91EDB" w:rsidRDefault="00E31F4D">
      <w:pPr>
        <w:pStyle w:val="30"/>
        <w:tabs>
          <w:tab w:val="right" w:leader="dot" w:pos="8306"/>
        </w:tabs>
        <w:adjustRightInd w:val="0"/>
        <w:spacing w:line="52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4.加强绩效评价结果的运用</w:t>
      </w:r>
      <w:r>
        <w:rPr>
          <w:rFonts w:ascii="仿宋_GB2312" w:eastAsia="仿宋_GB2312" w:hAnsi="仿宋_GB2312" w:cs="仿宋_GB2312" w:hint="eastAsia"/>
          <w:sz w:val="32"/>
          <w:szCs w:val="32"/>
        </w:rPr>
        <w:tab/>
        <w:t>73</w:t>
      </w:r>
    </w:p>
    <w:p w:rsidR="00A91EDB" w:rsidRDefault="00E31F4D">
      <w:pPr>
        <w:pStyle w:val="10"/>
        <w:tabs>
          <w:tab w:val="right" w:leader="dot" w:pos="8306"/>
        </w:tabs>
        <w:adjustRightInd w:val="0"/>
        <w:spacing w:line="520" w:lineRule="exact"/>
        <w:rPr>
          <w:rFonts w:ascii="黑体" w:eastAsia="黑体" w:hAnsi="黑体" w:cs="黑体"/>
          <w:sz w:val="32"/>
          <w:szCs w:val="32"/>
        </w:rPr>
      </w:pPr>
      <w:r>
        <w:rPr>
          <w:rFonts w:ascii="黑体" w:eastAsia="黑体" w:hAnsi="黑体" w:cs="黑体" w:hint="eastAsia"/>
          <w:sz w:val="32"/>
          <w:szCs w:val="32"/>
        </w:rPr>
        <w:t>八、绩效自评结果拟应用和公开情况</w:t>
      </w:r>
      <w:r>
        <w:rPr>
          <w:rFonts w:ascii="黑体" w:eastAsia="黑体" w:hAnsi="黑体" w:cs="黑体" w:hint="eastAsia"/>
          <w:sz w:val="32"/>
          <w:szCs w:val="32"/>
        </w:rPr>
        <w:tab/>
        <w:t>73</w:t>
      </w:r>
    </w:p>
    <w:p w:rsidR="00A91EDB" w:rsidRDefault="00A91EDB">
      <w:pPr>
        <w:spacing w:line="520" w:lineRule="exact"/>
        <w:jc w:val="center"/>
        <w:outlineLvl w:val="0"/>
        <w:rPr>
          <w:rFonts w:ascii="汉仪大宋简" w:eastAsia="汉仪大宋简" w:hAnsi="汉仪大宋简" w:cs="汉仪大宋简"/>
          <w:b/>
          <w:bCs/>
          <w:spacing w:val="-10"/>
          <w:sz w:val="32"/>
          <w:szCs w:val="32"/>
        </w:rPr>
      </w:pPr>
    </w:p>
    <w:p w:rsidR="00A91EDB" w:rsidRDefault="00A91EDB">
      <w:pPr>
        <w:pStyle w:val="a0"/>
        <w:spacing w:after="0" w:line="520" w:lineRule="exact"/>
        <w:rPr>
          <w:sz w:val="32"/>
          <w:szCs w:val="32"/>
        </w:rPr>
        <w:sectPr w:rsidR="00A91EDB">
          <w:footerReference w:type="default" r:id="rId12"/>
          <w:pgSz w:w="11906" w:h="16838"/>
          <w:pgMar w:top="1440" w:right="1800" w:bottom="1440" w:left="1800" w:header="851" w:footer="992" w:gutter="0"/>
          <w:cols w:space="720"/>
          <w:docGrid w:type="lines" w:linePitch="312"/>
        </w:sectPr>
      </w:pPr>
    </w:p>
    <w:p w:rsidR="00A91EDB" w:rsidRDefault="00E31F4D">
      <w:pPr>
        <w:spacing w:line="680" w:lineRule="exact"/>
        <w:jc w:val="center"/>
        <w:outlineLvl w:val="0"/>
        <w:rPr>
          <w:rFonts w:ascii="汉仪大宋简" w:eastAsia="汉仪大宋简" w:hAnsi="汉仪大宋简" w:cs="汉仪大宋简"/>
          <w:b/>
          <w:bCs/>
          <w:spacing w:val="-10"/>
          <w:sz w:val="44"/>
          <w:szCs w:val="44"/>
        </w:rPr>
      </w:pPr>
      <w:bookmarkStart w:id="2" w:name="_Toc280213544"/>
      <w:bookmarkStart w:id="3" w:name="_Toc1060095749_WPSOffice_Level1"/>
      <w:r>
        <w:rPr>
          <w:rFonts w:ascii="汉仪大宋简" w:eastAsia="汉仪大宋简" w:hAnsi="汉仪大宋简" w:cs="汉仪大宋简" w:hint="eastAsia"/>
          <w:b/>
          <w:bCs/>
          <w:spacing w:val="-10"/>
          <w:sz w:val="44"/>
          <w:szCs w:val="44"/>
        </w:rPr>
        <w:lastRenderedPageBreak/>
        <w:t>中共湖南省委宣传部</w:t>
      </w:r>
      <w:bookmarkEnd w:id="2"/>
      <w:bookmarkEnd w:id="3"/>
    </w:p>
    <w:p w:rsidR="00A91EDB" w:rsidRDefault="00E31F4D">
      <w:pPr>
        <w:spacing w:line="680" w:lineRule="exact"/>
        <w:jc w:val="center"/>
        <w:outlineLvl w:val="0"/>
        <w:rPr>
          <w:rFonts w:ascii="汉仪大宋简" w:eastAsia="汉仪大宋简" w:hAnsi="汉仪大宋简" w:cs="汉仪大宋简"/>
          <w:b/>
          <w:bCs/>
          <w:sz w:val="44"/>
          <w:szCs w:val="44"/>
        </w:rPr>
      </w:pPr>
      <w:bookmarkStart w:id="4" w:name="_Toc9638"/>
      <w:bookmarkStart w:id="5" w:name="_Toc1173061377_WPSOffice_Level1"/>
      <w:bookmarkStart w:id="6" w:name="_Toc1192273449_WPSOffice_Level1"/>
      <w:bookmarkStart w:id="7" w:name="_Toc395403678_WPSOffice_Level1"/>
      <w:bookmarkStart w:id="8" w:name="_Toc30014"/>
      <w:bookmarkStart w:id="9" w:name="_Toc1365013955"/>
      <w:bookmarkStart w:id="10" w:name="_Toc1213640062_WPSOffice_Level1"/>
      <w:bookmarkStart w:id="11" w:name="_Toc22642"/>
      <w:bookmarkStart w:id="12" w:name="_Toc18543"/>
      <w:bookmarkStart w:id="13" w:name="_Toc15155"/>
      <w:bookmarkStart w:id="14" w:name="_Toc7325"/>
      <w:bookmarkStart w:id="15" w:name="_Toc25343"/>
      <w:bookmarkStart w:id="16" w:name="_Toc1430719185"/>
      <w:bookmarkStart w:id="17" w:name="_Toc4708"/>
      <w:r>
        <w:rPr>
          <w:rFonts w:ascii="汉仪大宋简" w:eastAsia="汉仪大宋简" w:hAnsi="汉仪大宋简" w:cs="汉仪大宋简"/>
          <w:b/>
          <w:bCs/>
          <w:spacing w:val="-10"/>
          <w:sz w:val="44"/>
          <w:szCs w:val="44"/>
        </w:rPr>
        <w:t>202</w:t>
      </w:r>
      <w:r>
        <w:rPr>
          <w:rFonts w:ascii="汉仪大宋简" w:eastAsia="汉仪大宋简" w:hAnsi="汉仪大宋简" w:cs="汉仪大宋简" w:hint="eastAsia"/>
          <w:b/>
          <w:bCs/>
          <w:spacing w:val="-10"/>
          <w:sz w:val="44"/>
          <w:szCs w:val="44"/>
        </w:rPr>
        <w:t>1年度部门整体支出</w:t>
      </w:r>
      <w:r>
        <w:rPr>
          <w:rFonts w:ascii="汉仪大宋简" w:eastAsia="汉仪大宋简" w:hAnsi="汉仪大宋简" w:cs="汉仪大宋简" w:hint="eastAsia"/>
          <w:b/>
          <w:bCs/>
          <w:sz w:val="44"/>
          <w:szCs w:val="44"/>
        </w:rPr>
        <w:t>绩效评价报告</w:t>
      </w:r>
      <w:bookmarkEnd w:id="4"/>
      <w:bookmarkEnd w:id="5"/>
      <w:bookmarkEnd w:id="6"/>
      <w:bookmarkEnd w:id="7"/>
      <w:bookmarkEnd w:id="8"/>
      <w:bookmarkEnd w:id="9"/>
      <w:bookmarkEnd w:id="10"/>
      <w:bookmarkEnd w:id="11"/>
      <w:bookmarkEnd w:id="12"/>
      <w:bookmarkEnd w:id="13"/>
      <w:bookmarkEnd w:id="14"/>
      <w:bookmarkEnd w:id="15"/>
      <w:bookmarkEnd w:id="16"/>
      <w:bookmarkEnd w:id="17"/>
    </w:p>
    <w:p w:rsidR="00A91EDB" w:rsidRDefault="00A91EDB">
      <w:pPr>
        <w:spacing w:line="680" w:lineRule="exact"/>
        <w:jc w:val="center"/>
        <w:rPr>
          <w:rFonts w:ascii="汉仪大宋简" w:eastAsia="汉仪大宋简" w:hAnsi="汉仪大宋简" w:cs="汉仪大宋简"/>
          <w:b/>
          <w:bCs/>
          <w:sz w:val="44"/>
          <w:szCs w:val="44"/>
        </w:rPr>
      </w:pPr>
    </w:p>
    <w:p w:rsidR="00A91EDB" w:rsidRDefault="00E31F4D">
      <w:pPr>
        <w:pStyle w:val="a0"/>
        <w:spacing w:after="0"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湖南省财政厅关于开展2021年度部门整体支出绩效自评工作的通知》（湘财绩[2022]1号），我部按要求组织开展了2021年度部门整体支出绩效自评工作，现将自评工作开展及2021年度整体支出绩效情况报告如下。</w:t>
      </w:r>
    </w:p>
    <w:p w:rsidR="00A91EDB" w:rsidRDefault="00E31F4D" w:rsidP="004C22C5">
      <w:pPr>
        <w:pStyle w:val="1"/>
        <w:spacing w:line="580" w:lineRule="exact"/>
        <w:ind w:firstLineChars="200" w:firstLine="643"/>
        <w:rPr>
          <w:rFonts w:ascii="黑体" w:eastAsia="黑体" w:hAnsi="黑体" w:cs="黑体"/>
          <w:sz w:val="32"/>
          <w:szCs w:val="32"/>
        </w:rPr>
      </w:pPr>
      <w:bookmarkStart w:id="18" w:name="_Toc9745"/>
      <w:bookmarkStart w:id="19" w:name="_Toc21777"/>
      <w:bookmarkStart w:id="20" w:name="_Toc10103"/>
      <w:bookmarkStart w:id="21" w:name="_Toc32635"/>
      <w:bookmarkStart w:id="22" w:name="_Toc43020956"/>
      <w:bookmarkStart w:id="23" w:name="_Toc18664"/>
      <w:bookmarkStart w:id="24" w:name="_Toc17145"/>
      <w:bookmarkStart w:id="25" w:name="_Toc25899"/>
      <w:bookmarkStart w:id="26" w:name="_Toc214211793"/>
      <w:bookmarkStart w:id="27" w:name="_Toc461133697"/>
      <w:r>
        <w:rPr>
          <w:rFonts w:ascii="黑体" w:eastAsia="黑体" w:hAnsi="黑体" w:cs="黑体" w:hint="eastAsia"/>
          <w:sz w:val="32"/>
          <w:szCs w:val="32"/>
        </w:rPr>
        <w:t>一、</w:t>
      </w:r>
      <w:bookmarkEnd w:id="18"/>
      <w:bookmarkEnd w:id="19"/>
      <w:bookmarkEnd w:id="20"/>
      <w:bookmarkEnd w:id="21"/>
      <w:bookmarkEnd w:id="22"/>
      <w:bookmarkEnd w:id="23"/>
      <w:bookmarkEnd w:id="24"/>
      <w:bookmarkEnd w:id="25"/>
      <w:r>
        <w:rPr>
          <w:rFonts w:ascii="黑体" w:eastAsia="黑体" w:hAnsi="黑体" w:cs="黑体" w:hint="eastAsia"/>
          <w:sz w:val="32"/>
          <w:szCs w:val="32"/>
        </w:rPr>
        <w:t>单位基本情况</w:t>
      </w:r>
      <w:bookmarkEnd w:id="26"/>
      <w:bookmarkEnd w:id="27"/>
    </w:p>
    <w:p w:rsidR="00A91EDB" w:rsidRDefault="00E31F4D" w:rsidP="004C22C5">
      <w:pPr>
        <w:pStyle w:val="2"/>
        <w:spacing w:line="580" w:lineRule="exact"/>
        <w:ind w:firstLineChars="200" w:firstLine="643"/>
        <w:rPr>
          <w:rFonts w:ascii="楷体" w:eastAsia="楷体" w:hAnsi="楷体" w:cs="楷体"/>
        </w:rPr>
      </w:pPr>
      <w:bookmarkStart w:id="28" w:name="_Toc25247"/>
      <w:bookmarkStart w:id="29" w:name="_Toc9550"/>
      <w:bookmarkStart w:id="30" w:name="_Toc30089"/>
      <w:bookmarkStart w:id="31" w:name="_Toc80"/>
      <w:bookmarkStart w:id="32" w:name="_Toc4027"/>
      <w:bookmarkStart w:id="33" w:name="_Toc29643"/>
      <w:bookmarkStart w:id="34" w:name="_Toc7147"/>
      <w:bookmarkStart w:id="35" w:name="_Toc1713147645"/>
      <w:bookmarkStart w:id="36" w:name="_Toc2141014025"/>
      <w:r>
        <w:rPr>
          <w:rFonts w:ascii="楷体" w:eastAsia="楷体" w:hAnsi="楷体" w:cs="楷体" w:hint="eastAsia"/>
        </w:rPr>
        <w:t>（一）单位</w:t>
      </w:r>
      <w:bookmarkEnd w:id="28"/>
      <w:bookmarkEnd w:id="29"/>
      <w:bookmarkEnd w:id="30"/>
      <w:bookmarkEnd w:id="31"/>
      <w:bookmarkEnd w:id="32"/>
      <w:bookmarkEnd w:id="33"/>
      <w:r>
        <w:rPr>
          <w:rFonts w:ascii="楷体" w:eastAsia="楷体" w:hAnsi="楷体" w:cs="楷体" w:hint="eastAsia"/>
        </w:rPr>
        <w:t>概况</w:t>
      </w:r>
      <w:bookmarkEnd w:id="34"/>
      <w:bookmarkEnd w:id="35"/>
      <w:bookmarkEnd w:id="36"/>
    </w:p>
    <w:p w:rsidR="00A91EDB" w:rsidRDefault="00E31F4D">
      <w:pPr>
        <w:pStyle w:val="a0"/>
        <w:spacing w:after="0"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省委宣传部是省委主管意识形态工作的综合职能部门，为正厅级、财政全额拨款预算单位。同时加挂了省政府新闻办公室、省新闻出版局（省版权局）、省精神文明建设指导委员会办公室、省电影局牌子。因主要职能及内设处室内容涉密，依法不予公开。部本级现有编制191人（含省新闻中心办公室、省新闻工作者协会秘书处、省哲学社会科学规划基金办公室等参公事业编），截至2021年末，实有在职人数205人;离退休人员68人。</w:t>
      </w:r>
    </w:p>
    <w:p w:rsidR="00A91EDB" w:rsidRDefault="00E31F4D">
      <w:pPr>
        <w:pStyle w:val="a0"/>
        <w:spacing w:after="0"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我部直属二级单位3个，其中纳入省财政厅预决算管理单位1个，为中共湖南省委宣传部出版产品质量监督检测中心（中共湖南省委宣传部出版物评审中心）（以下简称“质检中心”），该单位为副处级公益二类差额拨款事业单位，其财政预算关系2021年转入我部。未纳入省财政厅预决算管理单位2个。本次直属单位绩效评价范围仅含质检中心。质检中心现有人员15</w:t>
      </w:r>
      <w:r>
        <w:rPr>
          <w:rFonts w:ascii="仿宋_GB2312" w:eastAsia="仿宋_GB2312" w:hAnsi="仿宋_GB2312" w:cs="仿宋_GB2312" w:hint="eastAsia"/>
          <w:bCs/>
          <w:sz w:val="32"/>
          <w:szCs w:val="32"/>
        </w:rPr>
        <w:lastRenderedPageBreak/>
        <w:t>名，其中正式在编人员7名，聘用人员8名。内设综合部、编校鉴定部及印刷质检部三个科室。</w:t>
      </w:r>
    </w:p>
    <w:p w:rsidR="00A91EDB" w:rsidRDefault="00E31F4D" w:rsidP="004C22C5">
      <w:pPr>
        <w:pStyle w:val="2"/>
        <w:spacing w:line="580" w:lineRule="exact"/>
        <w:ind w:firstLineChars="200" w:firstLine="643"/>
        <w:rPr>
          <w:rFonts w:ascii="楷体" w:eastAsia="楷体" w:hAnsi="楷体" w:cs="楷体"/>
        </w:rPr>
      </w:pPr>
      <w:bookmarkStart w:id="37" w:name="_Toc1199625682"/>
      <w:bookmarkStart w:id="38" w:name="_Toc933044897"/>
      <w:r>
        <w:rPr>
          <w:rFonts w:ascii="楷体" w:eastAsia="楷体" w:hAnsi="楷体" w:cs="楷体" w:hint="eastAsia"/>
        </w:rPr>
        <w:t>（二）绩效评价工作开展</w:t>
      </w:r>
      <w:bookmarkEnd w:id="37"/>
      <w:bookmarkEnd w:id="38"/>
    </w:p>
    <w:p w:rsidR="00A91EDB" w:rsidRPr="00A117ED" w:rsidRDefault="00E31F4D" w:rsidP="004C22C5">
      <w:pPr>
        <w:pStyle w:val="a0"/>
        <w:spacing w:after="0" w:line="580" w:lineRule="exact"/>
        <w:ind w:firstLineChars="200" w:firstLine="643"/>
        <w:rPr>
          <w:rFonts w:ascii="仿宋_GB2312" w:eastAsia="仿宋_GB2312" w:hAnsi="仿宋_GB2312" w:cs="仿宋_GB2312"/>
          <w:bCs/>
          <w:sz w:val="32"/>
          <w:szCs w:val="32"/>
        </w:rPr>
      </w:pPr>
      <w:bookmarkStart w:id="39" w:name="_Toc1182983725"/>
      <w:bookmarkStart w:id="40" w:name="_Toc1647996698"/>
      <w:r>
        <w:rPr>
          <w:rStyle w:val="3Char"/>
          <w:rFonts w:ascii="仿宋" w:eastAsia="仿宋" w:hAnsi="仿宋" w:cs="仿宋" w:hint="eastAsia"/>
        </w:rPr>
        <w:t>1.明确绩效评价范围。</w:t>
      </w:r>
      <w:bookmarkEnd w:id="39"/>
      <w:bookmarkEnd w:id="40"/>
      <w:r w:rsidRPr="00A117ED">
        <w:rPr>
          <w:rFonts w:ascii="仿宋_GB2312" w:eastAsia="仿宋_GB2312" w:hAnsi="仿宋_GB2312" w:cs="仿宋_GB2312" w:hint="eastAsia"/>
          <w:bCs/>
          <w:sz w:val="32"/>
          <w:szCs w:val="32"/>
        </w:rPr>
        <w:t>根据财政通知要求，结合我部实际，本次绩效评价范围包括一般公共预算支出、政府性基金预算支出（省级电影事业发展专项资金）、国有资本经营预算支出（省管文化企业国有资本经营预算支出）。</w:t>
      </w:r>
    </w:p>
    <w:p w:rsidR="00A91EDB" w:rsidRPr="00A117ED" w:rsidRDefault="00E31F4D" w:rsidP="004C22C5">
      <w:pPr>
        <w:pStyle w:val="a0"/>
        <w:spacing w:after="0" w:line="580" w:lineRule="exact"/>
        <w:ind w:firstLineChars="200" w:firstLine="643"/>
        <w:rPr>
          <w:rFonts w:ascii="仿宋_GB2312" w:eastAsia="仿宋_GB2312" w:hAnsi="仿宋_GB2312" w:cs="仿宋_GB2312"/>
          <w:bCs/>
          <w:sz w:val="32"/>
          <w:szCs w:val="32"/>
        </w:rPr>
      </w:pPr>
      <w:bookmarkStart w:id="41" w:name="_Toc318301037"/>
      <w:bookmarkStart w:id="42" w:name="_Toc2053541153"/>
      <w:r>
        <w:rPr>
          <w:rStyle w:val="3Char"/>
          <w:rFonts w:ascii="仿宋" w:eastAsia="仿宋" w:hAnsi="仿宋" w:cs="仿宋" w:hint="eastAsia"/>
        </w:rPr>
        <w:t>2.成立绩效评价工作领导小组。</w:t>
      </w:r>
      <w:bookmarkEnd w:id="41"/>
      <w:bookmarkEnd w:id="42"/>
      <w:r w:rsidRPr="00A117ED">
        <w:rPr>
          <w:rFonts w:ascii="仿宋_GB2312" w:eastAsia="仿宋_GB2312" w:hAnsi="仿宋_GB2312" w:cs="仿宋_GB2312" w:hint="eastAsia"/>
          <w:bCs/>
          <w:sz w:val="32"/>
          <w:szCs w:val="32"/>
        </w:rPr>
        <w:t>及时制订部门整体支出绩效评价工作方案，成立由常务副部长担任组长的绩效评价工作领导小组，明确了绩效自评工作内容、责任分工和具体进度安排。</w:t>
      </w:r>
    </w:p>
    <w:p w:rsidR="00A91EDB" w:rsidRPr="00A117ED" w:rsidRDefault="00E31F4D" w:rsidP="004C22C5">
      <w:pPr>
        <w:pStyle w:val="a0"/>
        <w:spacing w:after="0" w:line="580" w:lineRule="exact"/>
        <w:ind w:firstLineChars="200" w:firstLine="643"/>
        <w:rPr>
          <w:rFonts w:ascii="仿宋_GB2312" w:eastAsia="仿宋_GB2312" w:hAnsi="仿宋_GB2312" w:cs="仿宋_GB2312"/>
          <w:bCs/>
          <w:sz w:val="32"/>
          <w:szCs w:val="32"/>
        </w:rPr>
      </w:pPr>
      <w:bookmarkStart w:id="43" w:name="_Toc920500669"/>
      <w:bookmarkStart w:id="44" w:name="_Toc1180989662"/>
      <w:r>
        <w:rPr>
          <w:rStyle w:val="3Char"/>
          <w:rFonts w:ascii="仿宋" w:eastAsia="仿宋" w:hAnsi="仿宋" w:cs="仿宋" w:hint="eastAsia"/>
        </w:rPr>
        <w:t>3.及时下发通知组织开展自评。</w:t>
      </w:r>
      <w:bookmarkEnd w:id="43"/>
      <w:bookmarkEnd w:id="44"/>
      <w:r w:rsidRPr="00A117ED">
        <w:rPr>
          <w:rFonts w:ascii="仿宋_GB2312" w:eastAsia="仿宋_GB2312" w:hAnsi="仿宋_GB2312" w:cs="仿宋_GB2312" w:hint="eastAsia"/>
          <w:bCs/>
          <w:sz w:val="32"/>
          <w:szCs w:val="32"/>
        </w:rPr>
        <w:t>下发《关于开展2021年度部门整体支出绩效评价工作的通知》《关于开展2021年度省管国有文化企业国有资本经营预算支出绩效自评工作的通知》《关于开展2021年度省级电影事业发展专项资金绩效自评工作的通知》等系列通知，要求资金使用单位、项目单位认真组织自评，确保自评工作全覆盖。</w:t>
      </w:r>
    </w:p>
    <w:p w:rsidR="00A91EDB" w:rsidRPr="00A117ED" w:rsidRDefault="00E31F4D" w:rsidP="004C22C5">
      <w:pPr>
        <w:overflowPunct w:val="0"/>
        <w:adjustRightInd w:val="0"/>
        <w:snapToGrid w:val="0"/>
        <w:spacing w:line="580" w:lineRule="exact"/>
        <w:ind w:firstLineChars="200" w:firstLine="643"/>
        <w:rPr>
          <w:rFonts w:ascii="仿宋_GB2312" w:eastAsia="仿宋_GB2312" w:hAnsi="仿宋_GB2312" w:cs="仿宋_GB2312"/>
          <w:bCs/>
          <w:sz w:val="32"/>
          <w:szCs w:val="32"/>
        </w:rPr>
      </w:pPr>
      <w:bookmarkStart w:id="45" w:name="_Toc663255513"/>
      <w:bookmarkStart w:id="46" w:name="_Toc523046030"/>
      <w:r>
        <w:rPr>
          <w:rStyle w:val="3Char"/>
          <w:rFonts w:ascii="仿宋" w:eastAsia="仿宋" w:hAnsi="仿宋" w:cs="仿宋" w:hint="eastAsia"/>
        </w:rPr>
        <w:t>4.综合分析形成绩效报告。</w:t>
      </w:r>
      <w:bookmarkEnd w:id="45"/>
      <w:bookmarkEnd w:id="46"/>
      <w:r w:rsidRPr="00A117ED">
        <w:rPr>
          <w:rFonts w:ascii="仿宋_GB2312" w:eastAsia="仿宋_GB2312" w:hAnsi="仿宋_GB2312" w:cs="仿宋_GB2312" w:hint="eastAsia"/>
          <w:bCs/>
          <w:sz w:val="32"/>
          <w:szCs w:val="32"/>
        </w:rPr>
        <w:t>评价工作小组对各单位提交的自评材料进行认真审核，对各项目单位自评工作的组织、项目资金投入情况、项目实施完成情况及绩效达成情况进行了详细记录，综合分析后形成绩效自评报告。评价结果将作为以后年度项目支持的考核依据。</w:t>
      </w:r>
    </w:p>
    <w:p w:rsidR="00A91EDB" w:rsidRDefault="00E31F4D" w:rsidP="004C22C5">
      <w:pPr>
        <w:pStyle w:val="1"/>
        <w:spacing w:line="580" w:lineRule="exact"/>
        <w:ind w:firstLineChars="200" w:firstLine="643"/>
        <w:rPr>
          <w:rFonts w:ascii="黑体" w:eastAsia="黑体" w:hAnsi="黑体" w:cs="黑体"/>
          <w:sz w:val="32"/>
          <w:szCs w:val="32"/>
        </w:rPr>
      </w:pPr>
      <w:bookmarkStart w:id="47" w:name="_Toc4442"/>
      <w:bookmarkStart w:id="48" w:name="_Toc16757"/>
      <w:bookmarkStart w:id="49" w:name="_Toc43020954"/>
      <w:bookmarkStart w:id="50" w:name="_Toc289"/>
      <w:bookmarkStart w:id="51" w:name="_Toc14555"/>
      <w:bookmarkStart w:id="52" w:name="_Toc2004"/>
      <w:bookmarkStart w:id="53" w:name="_Toc1740"/>
      <w:bookmarkStart w:id="54" w:name="_Toc10736"/>
      <w:bookmarkStart w:id="55" w:name="_Toc1648531421"/>
      <w:bookmarkStart w:id="56" w:name="_Toc269013058"/>
      <w:r>
        <w:rPr>
          <w:rFonts w:ascii="黑体" w:eastAsia="黑体" w:hAnsi="黑体" w:cs="黑体" w:hint="eastAsia"/>
          <w:sz w:val="32"/>
          <w:szCs w:val="32"/>
        </w:rPr>
        <w:lastRenderedPageBreak/>
        <w:t>二、</w:t>
      </w:r>
      <w:bookmarkStart w:id="57" w:name="_Toc21859"/>
      <w:bookmarkStart w:id="58" w:name="_Toc26657"/>
      <w:bookmarkStart w:id="59" w:name="_Toc10013"/>
      <w:bookmarkStart w:id="60" w:name="_Toc11546"/>
      <w:bookmarkStart w:id="61" w:name="_Toc9632"/>
      <w:bookmarkStart w:id="62" w:name="_Toc43020959"/>
      <w:bookmarkStart w:id="63" w:name="_Toc25929"/>
      <w:bookmarkStart w:id="64" w:name="_Toc28066"/>
      <w:bookmarkEnd w:id="47"/>
      <w:bookmarkEnd w:id="48"/>
      <w:bookmarkEnd w:id="49"/>
      <w:bookmarkEnd w:id="50"/>
      <w:bookmarkEnd w:id="51"/>
      <w:bookmarkEnd w:id="52"/>
      <w:bookmarkEnd w:id="53"/>
      <w:bookmarkEnd w:id="54"/>
      <w:r>
        <w:rPr>
          <w:rFonts w:ascii="黑体" w:eastAsia="黑体" w:hAnsi="黑体" w:cs="黑体" w:hint="eastAsia"/>
          <w:sz w:val="32"/>
          <w:szCs w:val="32"/>
        </w:rPr>
        <w:t>一般公共预算支出情况</w:t>
      </w:r>
      <w:bookmarkEnd w:id="55"/>
      <w:bookmarkEnd w:id="56"/>
      <w:bookmarkEnd w:id="57"/>
      <w:bookmarkEnd w:id="58"/>
      <w:bookmarkEnd w:id="59"/>
      <w:bookmarkEnd w:id="60"/>
      <w:bookmarkEnd w:id="61"/>
      <w:bookmarkEnd w:id="62"/>
      <w:bookmarkEnd w:id="63"/>
      <w:bookmarkEnd w:id="64"/>
    </w:p>
    <w:p w:rsidR="00A91EDB" w:rsidRDefault="00E31F4D" w:rsidP="004C22C5">
      <w:pPr>
        <w:pStyle w:val="2"/>
        <w:spacing w:line="580" w:lineRule="exact"/>
        <w:ind w:firstLineChars="200" w:firstLine="643"/>
        <w:rPr>
          <w:rFonts w:ascii="楷体" w:eastAsia="楷体" w:hAnsi="楷体" w:cs="楷体"/>
        </w:rPr>
      </w:pPr>
      <w:bookmarkStart w:id="65" w:name="_Toc495952389"/>
      <w:bookmarkStart w:id="66" w:name="_Toc1662484032"/>
      <w:bookmarkStart w:id="67" w:name="_Toc1329"/>
      <w:bookmarkStart w:id="68" w:name="_Toc3367"/>
      <w:bookmarkStart w:id="69" w:name="_Toc29473"/>
      <w:bookmarkStart w:id="70" w:name="_Toc11454"/>
      <w:bookmarkStart w:id="71" w:name="_Toc32575"/>
      <w:bookmarkStart w:id="72" w:name="_Toc30904"/>
      <w:bookmarkStart w:id="73" w:name="_Toc43020965"/>
      <w:bookmarkStart w:id="74" w:name="_Toc30798"/>
      <w:r>
        <w:rPr>
          <w:rFonts w:ascii="楷体" w:eastAsia="楷体" w:hAnsi="楷体" w:cs="楷体" w:hint="eastAsia"/>
        </w:rPr>
        <w:t>（一）部门预算收支总体情况</w:t>
      </w:r>
      <w:bookmarkEnd w:id="65"/>
      <w:bookmarkEnd w:id="66"/>
    </w:p>
    <w:p w:rsidR="00A91EDB" w:rsidRDefault="00E31F4D" w:rsidP="004C22C5">
      <w:pPr>
        <w:pStyle w:val="3"/>
        <w:ind w:firstLineChars="200" w:firstLine="643"/>
      </w:pPr>
      <w:bookmarkStart w:id="75" w:name="_Toc25761"/>
      <w:bookmarkStart w:id="76" w:name="_Toc428037298"/>
      <w:bookmarkStart w:id="77" w:name="_Toc1747766095"/>
      <w:bookmarkStart w:id="78" w:name="_Toc31061"/>
      <w:r>
        <w:rPr>
          <w:rFonts w:hint="eastAsia"/>
        </w:rPr>
        <w:t>1.</w:t>
      </w:r>
      <w:r>
        <w:rPr>
          <w:rFonts w:hint="eastAsia"/>
        </w:rPr>
        <w:t>部门预算收入情况</w:t>
      </w:r>
      <w:bookmarkEnd w:id="75"/>
      <w:bookmarkEnd w:id="76"/>
      <w:bookmarkEnd w:id="77"/>
      <w:bookmarkEnd w:id="78"/>
    </w:p>
    <w:tbl>
      <w:tblPr>
        <w:tblW w:w="8903" w:type="dxa"/>
        <w:tblInd w:w="-176" w:type="dxa"/>
        <w:tblLayout w:type="fixed"/>
        <w:tblLook w:val="04A0"/>
      </w:tblPr>
      <w:tblGrid>
        <w:gridCol w:w="1731"/>
        <w:gridCol w:w="1266"/>
        <w:gridCol w:w="1309"/>
        <w:gridCol w:w="1473"/>
        <w:gridCol w:w="1407"/>
        <w:gridCol w:w="1717"/>
      </w:tblGrid>
      <w:tr w:rsidR="00A91EDB">
        <w:trPr>
          <w:trHeight w:val="585"/>
        </w:trPr>
        <w:tc>
          <w:tcPr>
            <w:tcW w:w="1731" w:type="dxa"/>
            <w:tcBorders>
              <w:top w:val="single" w:sz="12" w:space="0" w:color="auto"/>
              <w:left w:val="single" w:sz="12" w:space="0" w:color="auto"/>
              <w:bottom w:val="single" w:sz="4" w:space="0" w:color="auto"/>
              <w:right w:val="single" w:sz="4" w:space="0" w:color="auto"/>
            </w:tcBorders>
            <w:vAlign w:val="center"/>
          </w:tcPr>
          <w:p w:rsidR="00A91EDB" w:rsidRDefault="00E31F4D">
            <w:pPr>
              <w:widowControl/>
              <w:spacing w:line="460" w:lineRule="exact"/>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单位名称</w:t>
            </w:r>
          </w:p>
        </w:tc>
        <w:tc>
          <w:tcPr>
            <w:tcW w:w="1266" w:type="dxa"/>
            <w:tcBorders>
              <w:top w:val="single" w:sz="12" w:space="0" w:color="auto"/>
              <w:left w:val="single" w:sz="4" w:space="0" w:color="auto"/>
              <w:bottom w:val="single" w:sz="4" w:space="0" w:color="auto"/>
              <w:right w:val="single" w:sz="4" w:space="0" w:color="auto"/>
            </w:tcBorders>
            <w:vAlign w:val="center"/>
          </w:tcPr>
          <w:p w:rsidR="00A91EDB" w:rsidRDefault="00E31F4D">
            <w:pPr>
              <w:widowControl/>
              <w:spacing w:line="460" w:lineRule="exact"/>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年初预算</w:t>
            </w:r>
          </w:p>
        </w:tc>
        <w:tc>
          <w:tcPr>
            <w:tcW w:w="1309" w:type="dxa"/>
            <w:tcBorders>
              <w:top w:val="single" w:sz="12" w:space="0" w:color="auto"/>
              <w:left w:val="single" w:sz="4" w:space="0" w:color="auto"/>
              <w:bottom w:val="single" w:sz="4" w:space="0" w:color="auto"/>
              <w:right w:val="single" w:sz="4" w:space="0" w:color="auto"/>
            </w:tcBorders>
            <w:vAlign w:val="center"/>
          </w:tcPr>
          <w:p w:rsidR="00A91EDB" w:rsidRDefault="00E31F4D">
            <w:pPr>
              <w:widowControl/>
              <w:spacing w:line="460" w:lineRule="exact"/>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本年追加</w:t>
            </w:r>
          </w:p>
        </w:tc>
        <w:tc>
          <w:tcPr>
            <w:tcW w:w="1473" w:type="dxa"/>
            <w:tcBorders>
              <w:top w:val="single" w:sz="12" w:space="0" w:color="auto"/>
              <w:left w:val="single" w:sz="4" w:space="0" w:color="auto"/>
              <w:bottom w:val="single" w:sz="4" w:space="0" w:color="auto"/>
              <w:right w:val="single" w:sz="4" w:space="0" w:color="auto"/>
            </w:tcBorders>
            <w:vAlign w:val="center"/>
          </w:tcPr>
          <w:p w:rsidR="00A91EDB" w:rsidRDefault="00E31F4D">
            <w:pPr>
              <w:widowControl/>
              <w:spacing w:line="460" w:lineRule="exact"/>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合计</w:t>
            </w:r>
          </w:p>
        </w:tc>
        <w:tc>
          <w:tcPr>
            <w:tcW w:w="1407" w:type="dxa"/>
            <w:tcBorders>
              <w:top w:val="single" w:sz="12" w:space="0" w:color="auto"/>
              <w:left w:val="single" w:sz="4" w:space="0" w:color="auto"/>
              <w:bottom w:val="single" w:sz="4" w:space="0" w:color="auto"/>
              <w:right w:val="single" w:sz="4" w:space="0" w:color="auto"/>
            </w:tcBorders>
            <w:vAlign w:val="center"/>
          </w:tcPr>
          <w:p w:rsidR="00A91EDB" w:rsidRDefault="00E31F4D">
            <w:pPr>
              <w:widowControl/>
              <w:spacing w:line="460" w:lineRule="exact"/>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基本支出</w:t>
            </w:r>
          </w:p>
        </w:tc>
        <w:tc>
          <w:tcPr>
            <w:tcW w:w="1717" w:type="dxa"/>
            <w:tcBorders>
              <w:top w:val="single" w:sz="12" w:space="0" w:color="auto"/>
              <w:left w:val="single" w:sz="4" w:space="0" w:color="auto"/>
              <w:bottom w:val="single" w:sz="4" w:space="0" w:color="auto"/>
              <w:right w:val="single" w:sz="12" w:space="0" w:color="auto"/>
            </w:tcBorders>
            <w:vAlign w:val="center"/>
          </w:tcPr>
          <w:p w:rsidR="00A91EDB" w:rsidRDefault="00E31F4D">
            <w:pPr>
              <w:widowControl/>
              <w:spacing w:line="460" w:lineRule="exact"/>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项目支出</w:t>
            </w:r>
          </w:p>
        </w:tc>
      </w:tr>
      <w:tr w:rsidR="00A91EDB">
        <w:trPr>
          <w:trHeight w:val="690"/>
        </w:trPr>
        <w:tc>
          <w:tcPr>
            <w:tcW w:w="1731" w:type="dxa"/>
            <w:tcBorders>
              <w:top w:val="single" w:sz="4" w:space="0" w:color="auto"/>
              <w:left w:val="single" w:sz="12" w:space="0" w:color="auto"/>
              <w:bottom w:val="single" w:sz="4"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部机关本级</w:t>
            </w:r>
          </w:p>
        </w:tc>
        <w:tc>
          <w:tcPr>
            <w:tcW w:w="1266"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10,971.27</w:t>
            </w:r>
          </w:p>
        </w:tc>
        <w:tc>
          <w:tcPr>
            <w:tcW w:w="1309"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5,017.61</w:t>
            </w:r>
          </w:p>
        </w:tc>
        <w:tc>
          <w:tcPr>
            <w:tcW w:w="1473"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spacing w:line="460" w:lineRule="exact"/>
              <w:jc w:val="center"/>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15,988.88</w:t>
            </w:r>
          </w:p>
        </w:tc>
        <w:tc>
          <w:tcPr>
            <w:tcW w:w="1407"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5,694.03</w:t>
            </w:r>
          </w:p>
        </w:tc>
        <w:tc>
          <w:tcPr>
            <w:tcW w:w="1717" w:type="dxa"/>
            <w:tcBorders>
              <w:top w:val="single" w:sz="4" w:space="0" w:color="auto"/>
              <w:left w:val="single" w:sz="4" w:space="0" w:color="auto"/>
              <w:bottom w:val="single" w:sz="4" w:space="0" w:color="auto"/>
              <w:right w:val="single" w:sz="12" w:space="0" w:color="auto"/>
            </w:tcBorders>
            <w:noWrap/>
            <w:vAlign w:val="center"/>
          </w:tcPr>
          <w:p w:rsidR="00A91EDB" w:rsidRDefault="00E31F4D">
            <w:pPr>
              <w:widowControl/>
              <w:spacing w:line="460" w:lineRule="exact"/>
              <w:jc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10,294.85</w:t>
            </w:r>
          </w:p>
        </w:tc>
      </w:tr>
      <w:tr w:rsidR="00A91EDB">
        <w:trPr>
          <w:trHeight w:val="600"/>
        </w:trPr>
        <w:tc>
          <w:tcPr>
            <w:tcW w:w="1731" w:type="dxa"/>
            <w:tcBorders>
              <w:top w:val="single" w:sz="4" w:space="0" w:color="auto"/>
              <w:left w:val="single" w:sz="12" w:space="0" w:color="auto"/>
              <w:bottom w:val="single" w:sz="4"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质检中心</w:t>
            </w:r>
          </w:p>
        </w:tc>
        <w:tc>
          <w:tcPr>
            <w:tcW w:w="1266"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182.35</w:t>
            </w:r>
          </w:p>
        </w:tc>
        <w:tc>
          <w:tcPr>
            <w:tcW w:w="1309"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80.00</w:t>
            </w:r>
          </w:p>
        </w:tc>
        <w:tc>
          <w:tcPr>
            <w:tcW w:w="1473"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spacing w:line="460" w:lineRule="exact"/>
              <w:jc w:val="center"/>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262.35</w:t>
            </w:r>
          </w:p>
        </w:tc>
        <w:tc>
          <w:tcPr>
            <w:tcW w:w="1407"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62.35</w:t>
            </w:r>
          </w:p>
        </w:tc>
        <w:tc>
          <w:tcPr>
            <w:tcW w:w="1717" w:type="dxa"/>
            <w:tcBorders>
              <w:top w:val="single" w:sz="4" w:space="0" w:color="auto"/>
              <w:left w:val="single" w:sz="4" w:space="0" w:color="auto"/>
              <w:bottom w:val="single" w:sz="4" w:space="0" w:color="auto"/>
              <w:right w:val="single" w:sz="12" w:space="0" w:color="auto"/>
            </w:tcBorders>
            <w:noWrap/>
            <w:vAlign w:val="center"/>
          </w:tcPr>
          <w:p w:rsidR="00A91EDB" w:rsidRDefault="00E31F4D">
            <w:pPr>
              <w:widowControl/>
              <w:spacing w:line="460" w:lineRule="exact"/>
              <w:jc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200.00</w:t>
            </w:r>
          </w:p>
        </w:tc>
      </w:tr>
      <w:tr w:rsidR="00A91EDB">
        <w:trPr>
          <w:trHeight w:val="775"/>
        </w:trPr>
        <w:tc>
          <w:tcPr>
            <w:tcW w:w="1731" w:type="dxa"/>
            <w:tcBorders>
              <w:top w:val="single" w:sz="4" w:space="0" w:color="auto"/>
              <w:left w:val="single" w:sz="12" w:space="0" w:color="auto"/>
              <w:bottom w:val="single" w:sz="12"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b/>
                <w:color w:val="000000"/>
                <w:kern w:val="0"/>
                <w:sz w:val="22"/>
              </w:rPr>
            </w:pPr>
            <w:r>
              <w:rPr>
                <w:rFonts w:ascii="仿宋_GB2312" w:eastAsia="仿宋_GB2312" w:hAnsi="仿宋_GB2312" w:cs="仿宋_GB2312" w:hint="eastAsia"/>
                <w:b/>
                <w:color w:val="000000"/>
                <w:kern w:val="0"/>
                <w:sz w:val="22"/>
              </w:rPr>
              <w:t>合计</w:t>
            </w:r>
          </w:p>
        </w:tc>
        <w:tc>
          <w:tcPr>
            <w:tcW w:w="1266" w:type="dxa"/>
            <w:tcBorders>
              <w:top w:val="single" w:sz="4" w:space="0" w:color="auto"/>
              <w:left w:val="single" w:sz="4" w:space="0" w:color="auto"/>
              <w:bottom w:val="single" w:sz="12"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b/>
                <w:color w:val="000000"/>
                <w:kern w:val="0"/>
                <w:sz w:val="22"/>
              </w:rPr>
            </w:pPr>
            <w:r>
              <w:rPr>
                <w:rFonts w:ascii="仿宋_GB2312" w:eastAsia="仿宋_GB2312" w:hAnsi="仿宋_GB2312" w:cs="仿宋_GB2312" w:hint="eastAsia"/>
                <w:b/>
                <w:color w:val="000000"/>
                <w:kern w:val="0"/>
                <w:sz w:val="22"/>
              </w:rPr>
              <w:t>11,153.62</w:t>
            </w:r>
          </w:p>
        </w:tc>
        <w:tc>
          <w:tcPr>
            <w:tcW w:w="1309" w:type="dxa"/>
            <w:tcBorders>
              <w:top w:val="single" w:sz="4" w:space="0" w:color="auto"/>
              <w:left w:val="single" w:sz="4" w:space="0" w:color="auto"/>
              <w:bottom w:val="single" w:sz="12"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b/>
                <w:color w:val="000000"/>
                <w:kern w:val="0"/>
                <w:sz w:val="22"/>
              </w:rPr>
            </w:pPr>
            <w:r>
              <w:rPr>
                <w:rFonts w:ascii="仿宋_GB2312" w:eastAsia="仿宋_GB2312" w:hAnsi="仿宋_GB2312" w:cs="仿宋_GB2312" w:hint="eastAsia"/>
                <w:b/>
                <w:color w:val="000000"/>
                <w:kern w:val="0"/>
                <w:sz w:val="22"/>
              </w:rPr>
              <w:t>5,097.61</w:t>
            </w:r>
          </w:p>
        </w:tc>
        <w:tc>
          <w:tcPr>
            <w:tcW w:w="1473" w:type="dxa"/>
            <w:tcBorders>
              <w:top w:val="single" w:sz="4" w:space="0" w:color="auto"/>
              <w:left w:val="single" w:sz="4" w:space="0" w:color="auto"/>
              <w:bottom w:val="single" w:sz="12" w:space="0" w:color="auto"/>
              <w:right w:val="single" w:sz="4" w:space="0" w:color="auto"/>
            </w:tcBorders>
            <w:noWrap/>
            <w:vAlign w:val="center"/>
          </w:tcPr>
          <w:p w:rsidR="00A91EDB" w:rsidRDefault="00E31F4D">
            <w:pPr>
              <w:widowControl/>
              <w:spacing w:line="460" w:lineRule="exact"/>
              <w:jc w:val="center"/>
              <w:textAlignment w:val="center"/>
              <w:rPr>
                <w:rFonts w:ascii="仿宋_GB2312" w:eastAsia="仿宋_GB2312" w:hAnsi="仿宋_GB2312" w:cs="仿宋_GB2312"/>
                <w:b/>
                <w:color w:val="000000"/>
                <w:kern w:val="0"/>
                <w:sz w:val="22"/>
              </w:rPr>
            </w:pPr>
            <w:r>
              <w:rPr>
                <w:rFonts w:ascii="仿宋_GB2312" w:eastAsia="仿宋_GB2312" w:hAnsi="仿宋_GB2312" w:cs="仿宋_GB2312" w:hint="eastAsia"/>
                <w:b/>
                <w:color w:val="000000"/>
                <w:kern w:val="0"/>
                <w:sz w:val="22"/>
              </w:rPr>
              <w:t>16,251.23</w:t>
            </w:r>
          </w:p>
        </w:tc>
        <w:tc>
          <w:tcPr>
            <w:tcW w:w="1407" w:type="dxa"/>
            <w:tcBorders>
              <w:top w:val="single" w:sz="4" w:space="0" w:color="auto"/>
              <w:left w:val="single" w:sz="4" w:space="0" w:color="auto"/>
              <w:bottom w:val="single" w:sz="12" w:space="0" w:color="auto"/>
              <w:right w:val="single" w:sz="4" w:space="0" w:color="auto"/>
            </w:tcBorders>
            <w:noWrap/>
            <w:vAlign w:val="center"/>
          </w:tcPr>
          <w:p w:rsidR="00A91EDB" w:rsidRDefault="00E31F4D">
            <w:pPr>
              <w:widowControl/>
              <w:spacing w:line="460" w:lineRule="exact"/>
              <w:jc w:val="center"/>
              <w:rPr>
                <w:rFonts w:ascii="仿宋_GB2312" w:eastAsia="仿宋_GB2312" w:hAnsi="仿宋_GB2312" w:cs="仿宋_GB2312"/>
                <w:b/>
                <w:color w:val="000000"/>
                <w:kern w:val="0"/>
                <w:sz w:val="22"/>
              </w:rPr>
            </w:pPr>
            <w:r>
              <w:rPr>
                <w:rFonts w:ascii="仿宋_GB2312" w:eastAsia="仿宋_GB2312" w:hAnsi="仿宋_GB2312" w:cs="仿宋_GB2312" w:hint="eastAsia"/>
                <w:b/>
                <w:color w:val="000000"/>
                <w:kern w:val="0"/>
                <w:sz w:val="22"/>
              </w:rPr>
              <w:t>5,756.38</w:t>
            </w:r>
          </w:p>
        </w:tc>
        <w:tc>
          <w:tcPr>
            <w:tcW w:w="1717" w:type="dxa"/>
            <w:tcBorders>
              <w:top w:val="single" w:sz="4" w:space="0" w:color="auto"/>
              <w:left w:val="single" w:sz="4" w:space="0" w:color="auto"/>
              <w:bottom w:val="single" w:sz="12" w:space="0" w:color="auto"/>
              <w:right w:val="single" w:sz="12" w:space="0" w:color="auto"/>
            </w:tcBorders>
            <w:noWrap/>
            <w:vAlign w:val="center"/>
          </w:tcPr>
          <w:p w:rsidR="00A91EDB" w:rsidRDefault="00E31F4D">
            <w:pPr>
              <w:widowControl/>
              <w:spacing w:line="460" w:lineRule="exact"/>
              <w:jc w:val="center"/>
              <w:rPr>
                <w:rFonts w:ascii="仿宋_GB2312" w:eastAsia="仿宋_GB2312" w:hAnsi="仿宋_GB2312" w:cs="仿宋_GB2312"/>
                <w:b/>
                <w:color w:val="000000"/>
                <w:kern w:val="0"/>
                <w:sz w:val="22"/>
              </w:rPr>
            </w:pPr>
            <w:r>
              <w:rPr>
                <w:rFonts w:ascii="仿宋_GB2312" w:eastAsia="仿宋_GB2312" w:hAnsi="仿宋_GB2312" w:cs="仿宋_GB2312" w:hint="eastAsia"/>
                <w:b/>
                <w:color w:val="000000"/>
                <w:kern w:val="0"/>
                <w:sz w:val="22"/>
              </w:rPr>
              <w:t>10,494.85</w:t>
            </w:r>
          </w:p>
        </w:tc>
      </w:tr>
    </w:tbl>
    <w:p w:rsidR="00A91EDB" w:rsidRDefault="00E31F4D">
      <w:pPr>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本年年初预算11,153.62万元，其中部机关本级10,971.27万元，质检中心182.35万元;基本支出预算5,340.93万元，项目支出5,812.69万元。</w:t>
      </w:r>
    </w:p>
    <w:p w:rsidR="00A91EDB" w:rsidRDefault="00E31F4D">
      <w:pPr>
        <w:adjustRightInd w:val="0"/>
        <w:snapToGrid w:val="0"/>
        <w:spacing w:line="580" w:lineRule="exact"/>
        <w:ind w:firstLineChars="200" w:firstLine="640"/>
        <w:rPr>
          <w:rFonts w:eastAsia="仿宋_GB2312"/>
          <w:sz w:val="32"/>
          <w:szCs w:val="32"/>
        </w:rPr>
      </w:pPr>
      <w:r>
        <w:rPr>
          <w:rFonts w:ascii="仿宋_GB2312" w:eastAsia="仿宋_GB2312" w:hAnsi="仿宋" w:cs="仿宋" w:hint="eastAsia"/>
          <w:sz w:val="32"/>
          <w:szCs w:val="32"/>
        </w:rPr>
        <w:t>本年预算追加5,097.61万元,其中部机关本级5,017.61万元，质检中心80.00万元;基本支出追加415.45万元，项目支出追加4,682.16万元(省财政年中将“2020年省绩效考核奖”等人员经费410.84万元以项目支出类型追加，已将该笔费用调整至基本支出进行分析，为如实反映情况，下述关于基本支出和项目支出的数据均已进行相应调整）。</w:t>
      </w:r>
    </w:p>
    <w:p w:rsidR="00A91EDB" w:rsidRDefault="00E31F4D">
      <w:pPr>
        <w:adjustRightInd w:val="0"/>
        <w:snapToGrid w:val="0"/>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本年收入合计16,251.23万元，其中：部机关本级15,988.88万元，质检中心262.35万元；基本支出5,756.38万元，项目支出10,494.85万元。</w:t>
      </w:r>
    </w:p>
    <w:p w:rsidR="00A91EDB" w:rsidRDefault="00E31F4D" w:rsidP="004C22C5">
      <w:pPr>
        <w:pStyle w:val="3"/>
        <w:spacing w:line="580" w:lineRule="exact"/>
        <w:ind w:firstLineChars="200" w:firstLine="643"/>
      </w:pPr>
      <w:bookmarkStart w:id="79" w:name="_Toc10625"/>
      <w:bookmarkStart w:id="80" w:name="_Toc17182"/>
      <w:bookmarkStart w:id="81" w:name="_Toc43020962"/>
      <w:bookmarkStart w:id="82" w:name="_Toc246602723"/>
      <w:bookmarkStart w:id="83" w:name="_Toc1797089515"/>
      <w:r>
        <w:rPr>
          <w:rFonts w:hint="eastAsia"/>
        </w:rPr>
        <w:t>2</w:t>
      </w:r>
      <w:r>
        <w:t>.</w:t>
      </w:r>
      <w:r>
        <w:rPr>
          <w:rFonts w:hint="eastAsia"/>
        </w:rPr>
        <w:t>部门预算支出情况</w:t>
      </w:r>
      <w:bookmarkEnd w:id="79"/>
      <w:bookmarkEnd w:id="80"/>
      <w:bookmarkEnd w:id="81"/>
      <w:bookmarkEnd w:id="82"/>
      <w:bookmarkEnd w:id="83"/>
    </w:p>
    <w:p w:rsidR="00A91EDB" w:rsidRDefault="00E31F4D">
      <w:pPr>
        <w:adjustRightInd w:val="0"/>
        <w:snapToGrid w:val="0"/>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我部本年预算支出14,805.70万元，其中：部机关本级14,481.37万元，质检中心324.33万元；基本支出4,884.20万元，项目支出9,921.50万元。</w:t>
      </w:r>
    </w:p>
    <w:p w:rsidR="00A91EDB" w:rsidRDefault="00E31F4D">
      <w:pPr>
        <w:pStyle w:val="a0"/>
        <w:spacing w:after="0" w:line="520" w:lineRule="exact"/>
        <w:ind w:firstLineChars="200" w:firstLine="640"/>
        <w:outlineLvl w:val="0"/>
        <w:rPr>
          <w:rFonts w:ascii="仿宋_GB2312" w:eastAsia="仿宋_GB2312" w:hAnsi="仿宋" w:cs="仿宋"/>
          <w:b/>
          <w:bCs/>
          <w:sz w:val="32"/>
          <w:szCs w:val="32"/>
        </w:rPr>
      </w:pPr>
      <w:bookmarkStart w:id="84" w:name="_Toc1347539676"/>
      <w:bookmarkStart w:id="85" w:name="_Toc688073235"/>
      <w:r>
        <w:rPr>
          <w:rFonts w:ascii="仿宋_GB2312" w:eastAsia="仿宋_GB2312" w:hAnsi="仿宋" w:cs="仿宋" w:hint="eastAsia"/>
          <w:b/>
          <w:bCs/>
          <w:sz w:val="32"/>
          <w:szCs w:val="32"/>
        </w:rPr>
        <w:lastRenderedPageBreak/>
        <w:t>3.预算执行及结转结余情况</w:t>
      </w:r>
      <w:bookmarkEnd w:id="84"/>
      <w:bookmarkEnd w:id="85"/>
    </w:p>
    <w:tbl>
      <w:tblPr>
        <w:tblW w:w="8821" w:type="dxa"/>
        <w:tblLayout w:type="fixed"/>
        <w:tblLook w:val="04A0"/>
      </w:tblPr>
      <w:tblGrid>
        <w:gridCol w:w="1359"/>
        <w:gridCol w:w="1124"/>
        <w:gridCol w:w="1309"/>
        <w:gridCol w:w="1276"/>
        <w:gridCol w:w="1189"/>
        <w:gridCol w:w="1342"/>
        <w:gridCol w:w="1222"/>
      </w:tblGrid>
      <w:tr w:rsidR="00A91EDB">
        <w:trPr>
          <w:trHeight w:val="585"/>
        </w:trPr>
        <w:tc>
          <w:tcPr>
            <w:tcW w:w="1359" w:type="dxa"/>
            <w:vMerge w:val="restart"/>
            <w:tcBorders>
              <w:top w:val="single" w:sz="12" w:space="0" w:color="auto"/>
              <w:left w:val="single" w:sz="12" w:space="0" w:color="auto"/>
              <w:bottom w:val="single" w:sz="4" w:space="0" w:color="auto"/>
              <w:right w:val="single" w:sz="4" w:space="0" w:color="auto"/>
            </w:tcBorders>
            <w:vAlign w:val="center"/>
          </w:tcPr>
          <w:p w:rsidR="00A91EDB" w:rsidRDefault="00E31F4D">
            <w:pPr>
              <w:widowControl/>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预算单位</w:t>
            </w:r>
          </w:p>
          <w:p w:rsidR="00A91EDB" w:rsidRDefault="00E31F4D">
            <w:pPr>
              <w:widowControl/>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名称</w:t>
            </w:r>
          </w:p>
        </w:tc>
        <w:tc>
          <w:tcPr>
            <w:tcW w:w="3709" w:type="dxa"/>
            <w:gridSpan w:val="3"/>
            <w:tcBorders>
              <w:top w:val="single" w:sz="12" w:space="0" w:color="auto"/>
              <w:left w:val="single" w:sz="4" w:space="0" w:color="auto"/>
              <w:bottom w:val="single" w:sz="4" w:space="0" w:color="auto"/>
              <w:right w:val="single" w:sz="4" w:space="0" w:color="auto"/>
            </w:tcBorders>
            <w:vAlign w:val="center"/>
          </w:tcPr>
          <w:p w:rsidR="00A91EDB" w:rsidRDefault="00E31F4D">
            <w:pPr>
              <w:widowControl/>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本年可用预算</w:t>
            </w:r>
          </w:p>
        </w:tc>
        <w:tc>
          <w:tcPr>
            <w:tcW w:w="3753" w:type="dxa"/>
            <w:gridSpan w:val="3"/>
            <w:tcBorders>
              <w:top w:val="single" w:sz="12" w:space="0" w:color="auto"/>
              <w:left w:val="single" w:sz="4" w:space="0" w:color="auto"/>
              <w:bottom w:val="single" w:sz="4" w:space="0" w:color="auto"/>
              <w:right w:val="single" w:sz="12" w:space="0" w:color="auto"/>
            </w:tcBorders>
            <w:noWrap/>
            <w:vAlign w:val="center"/>
          </w:tcPr>
          <w:p w:rsidR="00A91EDB" w:rsidRDefault="00E31F4D">
            <w:pPr>
              <w:widowControl/>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本年预算支出</w:t>
            </w:r>
          </w:p>
        </w:tc>
      </w:tr>
      <w:tr w:rsidR="00A91EDB">
        <w:trPr>
          <w:trHeight w:val="622"/>
        </w:trPr>
        <w:tc>
          <w:tcPr>
            <w:tcW w:w="1359" w:type="dxa"/>
            <w:vMerge/>
            <w:tcBorders>
              <w:top w:val="single" w:sz="4" w:space="0" w:color="auto"/>
              <w:left w:val="single" w:sz="12" w:space="0" w:color="auto"/>
              <w:bottom w:val="single" w:sz="4" w:space="0" w:color="auto"/>
              <w:right w:val="single" w:sz="4" w:space="0" w:color="auto"/>
            </w:tcBorders>
            <w:vAlign w:val="center"/>
          </w:tcPr>
          <w:p w:rsidR="00A91EDB" w:rsidRDefault="00A91EDB">
            <w:pPr>
              <w:widowControl/>
              <w:jc w:val="left"/>
              <w:rPr>
                <w:rFonts w:ascii="仿宋_GB2312" w:eastAsia="仿宋_GB2312" w:hAnsi="仿宋_GB2312" w:cs="仿宋_GB2312"/>
                <w:b/>
                <w:bCs/>
                <w:color w:val="000000"/>
                <w:kern w:val="0"/>
                <w:sz w:val="22"/>
              </w:rPr>
            </w:pPr>
          </w:p>
        </w:tc>
        <w:tc>
          <w:tcPr>
            <w:tcW w:w="1124"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基本支出</w:t>
            </w:r>
          </w:p>
        </w:tc>
        <w:tc>
          <w:tcPr>
            <w:tcW w:w="1309"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项目支出</w:t>
            </w:r>
          </w:p>
        </w:tc>
        <w:tc>
          <w:tcPr>
            <w:tcW w:w="1276"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合计</w:t>
            </w:r>
          </w:p>
        </w:tc>
        <w:tc>
          <w:tcPr>
            <w:tcW w:w="1189"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基本支出</w:t>
            </w:r>
          </w:p>
        </w:tc>
        <w:tc>
          <w:tcPr>
            <w:tcW w:w="1342"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项目支出</w:t>
            </w:r>
          </w:p>
        </w:tc>
        <w:tc>
          <w:tcPr>
            <w:tcW w:w="1222" w:type="dxa"/>
            <w:tcBorders>
              <w:top w:val="single" w:sz="4" w:space="0" w:color="auto"/>
              <w:left w:val="single" w:sz="4" w:space="0" w:color="auto"/>
              <w:bottom w:val="single" w:sz="4" w:space="0" w:color="auto"/>
              <w:right w:val="single" w:sz="12" w:space="0" w:color="auto"/>
            </w:tcBorders>
            <w:noWrap/>
            <w:vAlign w:val="center"/>
          </w:tcPr>
          <w:p w:rsidR="00A91EDB" w:rsidRDefault="00E31F4D">
            <w:pPr>
              <w:widowControl/>
              <w:jc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合计</w:t>
            </w:r>
          </w:p>
        </w:tc>
      </w:tr>
      <w:tr w:rsidR="00A91EDB">
        <w:trPr>
          <w:trHeight w:val="674"/>
        </w:trPr>
        <w:tc>
          <w:tcPr>
            <w:tcW w:w="1359" w:type="dxa"/>
            <w:tcBorders>
              <w:top w:val="single" w:sz="4" w:space="0" w:color="auto"/>
              <w:left w:val="single" w:sz="12" w:space="0" w:color="auto"/>
              <w:bottom w:val="single" w:sz="4" w:space="0" w:color="auto"/>
              <w:right w:val="single" w:sz="4" w:space="0" w:color="auto"/>
            </w:tcBorders>
            <w:noWrap/>
            <w:vAlign w:val="center"/>
          </w:tcPr>
          <w:p w:rsidR="00A91EDB" w:rsidRDefault="00E31F4D">
            <w:pPr>
              <w:widowControl/>
              <w:jc w:val="left"/>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部机关本级</w:t>
            </w:r>
          </w:p>
        </w:tc>
        <w:tc>
          <w:tcPr>
            <w:tcW w:w="1124"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right"/>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 xml:space="preserve">5,814.94 </w:t>
            </w:r>
          </w:p>
        </w:tc>
        <w:tc>
          <w:tcPr>
            <w:tcW w:w="1309"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right"/>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 xml:space="preserve">11,262.05 </w:t>
            </w:r>
          </w:p>
        </w:tc>
        <w:tc>
          <w:tcPr>
            <w:tcW w:w="1276"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right"/>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17,076.99</w:t>
            </w:r>
          </w:p>
        </w:tc>
        <w:tc>
          <w:tcPr>
            <w:tcW w:w="1189"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4,821.85</w:t>
            </w:r>
          </w:p>
        </w:tc>
        <w:tc>
          <w:tcPr>
            <w:tcW w:w="1342"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right"/>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9,659.52</w:t>
            </w:r>
          </w:p>
        </w:tc>
        <w:tc>
          <w:tcPr>
            <w:tcW w:w="1222" w:type="dxa"/>
            <w:tcBorders>
              <w:top w:val="single" w:sz="4" w:space="0" w:color="auto"/>
              <w:left w:val="single" w:sz="4" w:space="0" w:color="auto"/>
              <w:bottom w:val="single" w:sz="4" w:space="0" w:color="auto"/>
              <w:right w:val="single" w:sz="12" w:space="0" w:color="auto"/>
            </w:tcBorders>
            <w:noWrap/>
            <w:vAlign w:val="center"/>
          </w:tcPr>
          <w:p w:rsidR="00A91EDB" w:rsidRDefault="00E31F4D">
            <w:pPr>
              <w:widowControl/>
              <w:jc w:val="right"/>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14,481.37</w:t>
            </w:r>
          </w:p>
        </w:tc>
      </w:tr>
      <w:tr w:rsidR="00A91EDB">
        <w:trPr>
          <w:trHeight w:val="600"/>
        </w:trPr>
        <w:tc>
          <w:tcPr>
            <w:tcW w:w="1359" w:type="dxa"/>
            <w:tcBorders>
              <w:top w:val="single" w:sz="4" w:space="0" w:color="auto"/>
              <w:left w:val="single" w:sz="12" w:space="0" w:color="auto"/>
              <w:bottom w:val="single" w:sz="4" w:space="0" w:color="auto"/>
              <w:right w:val="single" w:sz="4" w:space="0" w:color="auto"/>
            </w:tcBorders>
            <w:noWrap/>
            <w:vAlign w:val="center"/>
          </w:tcPr>
          <w:p w:rsidR="00A91EDB" w:rsidRDefault="00E31F4D">
            <w:pPr>
              <w:widowControl/>
              <w:jc w:val="left"/>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质检中心</w:t>
            </w:r>
          </w:p>
        </w:tc>
        <w:tc>
          <w:tcPr>
            <w:tcW w:w="1124"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right"/>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62.35</w:t>
            </w:r>
          </w:p>
        </w:tc>
        <w:tc>
          <w:tcPr>
            <w:tcW w:w="1309"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right"/>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289.24</w:t>
            </w:r>
          </w:p>
        </w:tc>
        <w:tc>
          <w:tcPr>
            <w:tcW w:w="1276"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right"/>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351.59</w:t>
            </w:r>
          </w:p>
        </w:tc>
        <w:tc>
          <w:tcPr>
            <w:tcW w:w="1189"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right"/>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62.35</w:t>
            </w:r>
          </w:p>
        </w:tc>
        <w:tc>
          <w:tcPr>
            <w:tcW w:w="1342" w:type="dxa"/>
            <w:tcBorders>
              <w:top w:val="single" w:sz="4" w:space="0" w:color="auto"/>
              <w:left w:val="single" w:sz="4" w:space="0" w:color="auto"/>
              <w:bottom w:val="single" w:sz="4" w:space="0" w:color="auto"/>
              <w:right w:val="single" w:sz="4" w:space="0" w:color="auto"/>
            </w:tcBorders>
            <w:noWrap/>
            <w:vAlign w:val="center"/>
          </w:tcPr>
          <w:p w:rsidR="00A91EDB" w:rsidRDefault="00E31F4D">
            <w:pPr>
              <w:widowControl/>
              <w:jc w:val="right"/>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261.98</w:t>
            </w:r>
          </w:p>
        </w:tc>
        <w:tc>
          <w:tcPr>
            <w:tcW w:w="1222" w:type="dxa"/>
            <w:tcBorders>
              <w:top w:val="single" w:sz="4" w:space="0" w:color="auto"/>
              <w:left w:val="single" w:sz="4" w:space="0" w:color="auto"/>
              <w:bottom w:val="single" w:sz="4" w:space="0" w:color="auto"/>
              <w:right w:val="single" w:sz="12" w:space="0" w:color="auto"/>
            </w:tcBorders>
            <w:noWrap/>
            <w:vAlign w:val="center"/>
          </w:tcPr>
          <w:p w:rsidR="00A91EDB" w:rsidRDefault="00E31F4D">
            <w:pPr>
              <w:widowControl/>
              <w:jc w:val="right"/>
              <w:textAlignment w:val="center"/>
              <w:rPr>
                <w:rFonts w:ascii="仿宋_GB2312" w:eastAsia="仿宋_GB2312" w:hAnsi="仿宋_GB2312" w:cs="仿宋_GB2312"/>
                <w:color w:val="000000"/>
                <w:kern w:val="0"/>
                <w:sz w:val="22"/>
              </w:rPr>
            </w:pPr>
            <w:r>
              <w:rPr>
                <w:rFonts w:ascii="仿宋_GB2312" w:eastAsia="仿宋_GB2312" w:hAnsi="仿宋_GB2312" w:cs="仿宋_GB2312" w:hint="eastAsia"/>
                <w:color w:val="000000"/>
                <w:kern w:val="0"/>
                <w:sz w:val="22"/>
              </w:rPr>
              <w:t>324.33</w:t>
            </w:r>
          </w:p>
        </w:tc>
      </w:tr>
      <w:tr w:rsidR="00A91EDB">
        <w:trPr>
          <w:trHeight w:val="844"/>
        </w:trPr>
        <w:tc>
          <w:tcPr>
            <w:tcW w:w="1359" w:type="dxa"/>
            <w:tcBorders>
              <w:top w:val="single" w:sz="4" w:space="0" w:color="auto"/>
              <w:left w:val="single" w:sz="12" w:space="0" w:color="auto"/>
              <w:bottom w:val="single" w:sz="12" w:space="0" w:color="auto"/>
              <w:right w:val="single" w:sz="4" w:space="0" w:color="auto"/>
            </w:tcBorders>
            <w:noWrap/>
            <w:vAlign w:val="center"/>
          </w:tcPr>
          <w:p w:rsidR="00A91EDB" w:rsidRDefault="00E31F4D">
            <w:pPr>
              <w:widowControl/>
              <w:jc w:val="center"/>
              <w:rPr>
                <w:rFonts w:ascii="仿宋_GB2312" w:eastAsia="仿宋_GB2312" w:hAnsi="仿宋_GB2312" w:cs="仿宋_GB2312"/>
                <w:b/>
                <w:color w:val="000000"/>
                <w:kern w:val="0"/>
                <w:sz w:val="22"/>
              </w:rPr>
            </w:pPr>
            <w:r>
              <w:rPr>
                <w:rFonts w:ascii="仿宋_GB2312" w:eastAsia="仿宋_GB2312" w:hAnsi="仿宋_GB2312" w:cs="仿宋_GB2312" w:hint="eastAsia"/>
                <w:b/>
                <w:color w:val="000000"/>
                <w:kern w:val="0"/>
                <w:sz w:val="22"/>
              </w:rPr>
              <w:t>合计</w:t>
            </w:r>
          </w:p>
        </w:tc>
        <w:tc>
          <w:tcPr>
            <w:tcW w:w="1124" w:type="dxa"/>
            <w:tcBorders>
              <w:top w:val="single" w:sz="4" w:space="0" w:color="auto"/>
              <w:left w:val="single" w:sz="4" w:space="0" w:color="auto"/>
              <w:bottom w:val="single" w:sz="12" w:space="0" w:color="auto"/>
              <w:right w:val="single" w:sz="4" w:space="0" w:color="auto"/>
            </w:tcBorders>
            <w:vAlign w:val="center"/>
          </w:tcPr>
          <w:p w:rsidR="00A91EDB" w:rsidRDefault="00E31F4D">
            <w:pPr>
              <w:widowControl/>
              <w:jc w:val="right"/>
              <w:textAlignment w:val="center"/>
              <w:rPr>
                <w:rFonts w:ascii="仿宋_GB2312" w:eastAsia="仿宋_GB2312" w:hAnsi="仿宋_GB2312" w:cs="仿宋_GB2312"/>
                <w:b/>
                <w:color w:val="000000"/>
                <w:kern w:val="0"/>
                <w:sz w:val="22"/>
              </w:rPr>
            </w:pPr>
            <w:r>
              <w:rPr>
                <w:rFonts w:ascii="仿宋_GB2312" w:eastAsia="仿宋_GB2312" w:hAnsi="仿宋_GB2312" w:cs="仿宋_GB2312" w:hint="eastAsia"/>
                <w:b/>
                <w:bCs/>
                <w:color w:val="000000"/>
                <w:kern w:val="0"/>
                <w:sz w:val="22"/>
              </w:rPr>
              <w:t>5,877.29</w:t>
            </w:r>
          </w:p>
        </w:tc>
        <w:tc>
          <w:tcPr>
            <w:tcW w:w="1309" w:type="dxa"/>
            <w:tcBorders>
              <w:top w:val="single" w:sz="4" w:space="0" w:color="auto"/>
              <w:left w:val="single" w:sz="4" w:space="0" w:color="auto"/>
              <w:bottom w:val="single" w:sz="12" w:space="0" w:color="auto"/>
              <w:right w:val="single" w:sz="4" w:space="0" w:color="auto"/>
            </w:tcBorders>
            <w:vAlign w:val="center"/>
          </w:tcPr>
          <w:p w:rsidR="00A91EDB" w:rsidRDefault="00E31F4D">
            <w:pPr>
              <w:widowControl/>
              <w:jc w:val="right"/>
              <w:textAlignment w:val="center"/>
              <w:rPr>
                <w:rFonts w:ascii="仿宋_GB2312" w:eastAsia="仿宋_GB2312" w:hAnsi="仿宋_GB2312" w:cs="仿宋_GB2312"/>
                <w:b/>
                <w:color w:val="000000"/>
                <w:kern w:val="0"/>
                <w:sz w:val="22"/>
              </w:rPr>
            </w:pPr>
            <w:r>
              <w:rPr>
                <w:rFonts w:ascii="仿宋_GB2312" w:eastAsia="仿宋_GB2312" w:hAnsi="仿宋_GB2312" w:cs="仿宋_GB2312" w:hint="eastAsia"/>
                <w:b/>
                <w:bCs/>
                <w:color w:val="000000"/>
                <w:kern w:val="0"/>
                <w:sz w:val="22"/>
              </w:rPr>
              <w:t>11,551.29</w:t>
            </w:r>
          </w:p>
        </w:tc>
        <w:tc>
          <w:tcPr>
            <w:tcW w:w="1276" w:type="dxa"/>
            <w:tcBorders>
              <w:top w:val="single" w:sz="4" w:space="0" w:color="auto"/>
              <w:left w:val="single" w:sz="4" w:space="0" w:color="auto"/>
              <w:bottom w:val="single" w:sz="12" w:space="0" w:color="auto"/>
              <w:right w:val="single" w:sz="4" w:space="0" w:color="auto"/>
            </w:tcBorders>
            <w:vAlign w:val="center"/>
          </w:tcPr>
          <w:p w:rsidR="00A91EDB" w:rsidRDefault="00E31F4D">
            <w:pPr>
              <w:widowControl/>
              <w:jc w:val="right"/>
              <w:textAlignment w:val="center"/>
              <w:rPr>
                <w:rFonts w:ascii="仿宋_GB2312" w:eastAsia="仿宋_GB2312" w:hAnsi="仿宋_GB2312" w:cs="仿宋_GB2312"/>
                <w:b/>
                <w:color w:val="000000"/>
                <w:kern w:val="0"/>
                <w:sz w:val="22"/>
              </w:rPr>
            </w:pPr>
            <w:r>
              <w:rPr>
                <w:rFonts w:ascii="仿宋_GB2312" w:eastAsia="仿宋_GB2312" w:hAnsi="仿宋_GB2312" w:cs="仿宋_GB2312" w:hint="eastAsia"/>
                <w:b/>
                <w:bCs/>
                <w:color w:val="000000"/>
                <w:kern w:val="0"/>
                <w:sz w:val="22"/>
              </w:rPr>
              <w:t>17,428.58</w:t>
            </w:r>
          </w:p>
        </w:tc>
        <w:tc>
          <w:tcPr>
            <w:tcW w:w="1189" w:type="dxa"/>
            <w:tcBorders>
              <w:top w:val="single" w:sz="4" w:space="0" w:color="auto"/>
              <w:left w:val="single" w:sz="4" w:space="0" w:color="auto"/>
              <w:bottom w:val="single" w:sz="12" w:space="0" w:color="auto"/>
              <w:right w:val="single" w:sz="4" w:space="0" w:color="auto"/>
            </w:tcBorders>
            <w:vAlign w:val="center"/>
          </w:tcPr>
          <w:p w:rsidR="00A91EDB" w:rsidRDefault="00E31F4D">
            <w:pPr>
              <w:widowControl/>
              <w:jc w:val="right"/>
              <w:textAlignment w:val="center"/>
              <w:rPr>
                <w:rFonts w:ascii="仿宋_GB2312" w:eastAsia="仿宋_GB2312" w:hAnsi="仿宋_GB2312" w:cs="仿宋_GB2312"/>
                <w:b/>
                <w:color w:val="000000"/>
                <w:kern w:val="0"/>
                <w:sz w:val="22"/>
              </w:rPr>
            </w:pPr>
            <w:r>
              <w:rPr>
                <w:rFonts w:ascii="仿宋_GB2312" w:eastAsia="仿宋_GB2312" w:hAnsi="仿宋_GB2312" w:cs="仿宋_GB2312" w:hint="eastAsia"/>
                <w:b/>
                <w:bCs/>
                <w:color w:val="000000"/>
                <w:kern w:val="0"/>
                <w:sz w:val="22"/>
              </w:rPr>
              <w:t>4,884.20</w:t>
            </w:r>
          </w:p>
        </w:tc>
        <w:tc>
          <w:tcPr>
            <w:tcW w:w="1342" w:type="dxa"/>
            <w:tcBorders>
              <w:top w:val="single" w:sz="4" w:space="0" w:color="auto"/>
              <w:left w:val="single" w:sz="4" w:space="0" w:color="auto"/>
              <w:bottom w:val="single" w:sz="12" w:space="0" w:color="auto"/>
              <w:right w:val="single" w:sz="4" w:space="0" w:color="auto"/>
            </w:tcBorders>
            <w:vAlign w:val="center"/>
          </w:tcPr>
          <w:p w:rsidR="00A91EDB" w:rsidRDefault="00E31F4D">
            <w:pPr>
              <w:widowControl/>
              <w:jc w:val="right"/>
              <w:textAlignment w:val="center"/>
              <w:rPr>
                <w:rFonts w:ascii="仿宋_GB2312" w:eastAsia="仿宋_GB2312" w:hAnsi="仿宋_GB2312" w:cs="仿宋_GB2312"/>
                <w:b/>
                <w:color w:val="000000"/>
                <w:kern w:val="0"/>
                <w:sz w:val="22"/>
              </w:rPr>
            </w:pPr>
            <w:r>
              <w:rPr>
                <w:rFonts w:ascii="仿宋_GB2312" w:eastAsia="仿宋_GB2312" w:hAnsi="仿宋_GB2312" w:cs="仿宋_GB2312" w:hint="eastAsia"/>
                <w:b/>
                <w:bCs/>
                <w:color w:val="000000"/>
                <w:kern w:val="0"/>
                <w:sz w:val="22"/>
              </w:rPr>
              <w:t>9,921.50</w:t>
            </w:r>
          </w:p>
        </w:tc>
        <w:tc>
          <w:tcPr>
            <w:tcW w:w="1222" w:type="dxa"/>
            <w:tcBorders>
              <w:top w:val="single" w:sz="4" w:space="0" w:color="auto"/>
              <w:left w:val="single" w:sz="4" w:space="0" w:color="auto"/>
              <w:bottom w:val="single" w:sz="12" w:space="0" w:color="auto"/>
              <w:right w:val="single" w:sz="12" w:space="0" w:color="auto"/>
            </w:tcBorders>
            <w:vAlign w:val="center"/>
          </w:tcPr>
          <w:p w:rsidR="00A91EDB" w:rsidRDefault="00E31F4D">
            <w:pPr>
              <w:widowControl/>
              <w:jc w:val="right"/>
              <w:textAlignment w:val="center"/>
              <w:rPr>
                <w:rFonts w:ascii="仿宋_GB2312" w:eastAsia="仿宋_GB2312" w:hAnsi="仿宋_GB2312" w:cs="仿宋_GB2312"/>
                <w:b/>
                <w:color w:val="000000"/>
                <w:kern w:val="0"/>
                <w:sz w:val="22"/>
              </w:rPr>
            </w:pPr>
            <w:r>
              <w:rPr>
                <w:rFonts w:ascii="仿宋_GB2312" w:eastAsia="仿宋_GB2312" w:hAnsi="仿宋_GB2312" w:cs="仿宋_GB2312" w:hint="eastAsia"/>
                <w:b/>
                <w:bCs/>
                <w:color w:val="000000"/>
                <w:kern w:val="0"/>
                <w:sz w:val="22"/>
              </w:rPr>
              <w:t>14,805.70</w:t>
            </w:r>
          </w:p>
        </w:tc>
      </w:tr>
    </w:tbl>
    <w:p w:rsidR="00A91EDB" w:rsidRDefault="00E31F4D">
      <w:pPr>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b/>
          <w:bCs/>
          <w:sz w:val="32"/>
          <w:szCs w:val="32"/>
        </w:rPr>
        <w:t>（1）上年经费结转。</w:t>
      </w:r>
      <w:r>
        <w:rPr>
          <w:rFonts w:ascii="仿宋_GB2312" w:eastAsia="仿宋_GB2312" w:hAnsi="仿宋" w:cs="仿宋" w:hint="eastAsia"/>
          <w:sz w:val="32"/>
          <w:szCs w:val="32"/>
        </w:rPr>
        <w:t>我部上年财政拨款结转1,177.35万元</w:t>
      </w:r>
      <w:r>
        <w:rPr>
          <w:rFonts w:ascii="仿宋_GB2312" w:eastAsia="仿宋_GB2312" w:hAnsi="仿宋" w:cs="仿宋" w:hint="eastAsia"/>
          <w:spacing w:val="-6"/>
          <w:sz w:val="32"/>
          <w:szCs w:val="32"/>
        </w:rPr>
        <w:t>，其中：部机关本级1,088.11万元，质检中心89.24万元;</w:t>
      </w:r>
      <w:r>
        <w:rPr>
          <w:rFonts w:ascii="仿宋_GB2312" w:eastAsia="仿宋_GB2312" w:hAnsi="仿宋" w:cs="仿宋" w:hint="eastAsia"/>
          <w:sz w:val="32"/>
          <w:szCs w:val="32"/>
        </w:rPr>
        <w:t>基本支出120.91万元(原预算指标结转为0，经查，部机关本级“清算2019年省直部门综治奖和预拨2020年综治奖、绩效奖”等人员经费结余120.91万元列在项目支出，为反映实际情况，调整到基本支出)，项目支出1056.44万元。</w:t>
      </w:r>
    </w:p>
    <w:p w:rsidR="00A91EDB" w:rsidRDefault="00E31F4D">
      <w:pPr>
        <w:adjustRightInd w:val="0"/>
        <w:snapToGrid w:val="0"/>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b/>
          <w:bCs/>
          <w:sz w:val="32"/>
          <w:szCs w:val="32"/>
        </w:rPr>
        <w:t>（2）本年可用预算。</w:t>
      </w:r>
      <w:r>
        <w:rPr>
          <w:rFonts w:ascii="仿宋_GB2312" w:eastAsia="仿宋_GB2312" w:hAnsi="仿宋" w:cs="仿宋" w:hint="eastAsia"/>
          <w:sz w:val="32"/>
          <w:szCs w:val="32"/>
        </w:rPr>
        <w:t>含上年结转、本年预算及追加，本年可用预算经费17,428.58万元，其中基本支出5,877.29万元，项目支出11,551.29万元。</w:t>
      </w:r>
    </w:p>
    <w:p w:rsidR="00A91EDB" w:rsidRDefault="00E31F4D">
      <w:pPr>
        <w:adjustRightInd w:val="0"/>
        <w:snapToGrid w:val="0"/>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b/>
          <w:bCs/>
          <w:sz w:val="32"/>
          <w:szCs w:val="32"/>
        </w:rPr>
        <w:t>（3）预算支出及预算执行率。</w:t>
      </w:r>
      <w:r>
        <w:rPr>
          <w:rFonts w:ascii="仿宋_GB2312" w:eastAsia="仿宋_GB2312" w:hAnsi="仿宋" w:cs="仿宋" w:hint="eastAsia"/>
          <w:sz w:val="32"/>
          <w:szCs w:val="32"/>
        </w:rPr>
        <w:t>本年预算支出14,805.70万元，预算执行率84.95</w:t>
      </w:r>
      <w:r>
        <w:rPr>
          <w:rFonts w:ascii="仿宋_GB2312" w:eastAsia="仿宋_GB2312" w:hAnsi="仿宋" w:cs="仿宋"/>
          <w:sz w:val="32"/>
          <w:szCs w:val="32"/>
        </w:rPr>
        <w:t>%</w:t>
      </w:r>
      <w:r>
        <w:rPr>
          <w:rFonts w:ascii="仿宋_GB2312" w:eastAsia="仿宋_GB2312" w:hAnsi="仿宋" w:cs="仿宋" w:hint="eastAsia"/>
          <w:sz w:val="32"/>
          <w:szCs w:val="32"/>
        </w:rPr>
        <w:t>。其中：基本支出4,884.20万元，预算执行率83.10</w:t>
      </w:r>
      <w:r>
        <w:rPr>
          <w:rFonts w:ascii="仿宋_GB2312" w:eastAsia="仿宋_GB2312" w:hAnsi="仿宋" w:cs="仿宋"/>
          <w:sz w:val="32"/>
          <w:szCs w:val="32"/>
        </w:rPr>
        <w:t>%</w:t>
      </w:r>
      <w:r>
        <w:rPr>
          <w:rFonts w:ascii="仿宋_GB2312" w:eastAsia="仿宋_GB2312" w:hAnsi="仿宋" w:cs="仿宋" w:hint="eastAsia"/>
          <w:sz w:val="32"/>
          <w:szCs w:val="32"/>
        </w:rPr>
        <w:t>；项目支出9,921.50万元，预算执行率85.89</w:t>
      </w:r>
      <w:r>
        <w:rPr>
          <w:rFonts w:ascii="仿宋_GB2312" w:eastAsia="仿宋_GB2312" w:hAnsi="仿宋" w:cs="仿宋"/>
          <w:sz w:val="32"/>
          <w:szCs w:val="32"/>
        </w:rPr>
        <w:t>%</w:t>
      </w:r>
      <w:r>
        <w:rPr>
          <w:rFonts w:ascii="仿宋_GB2312" w:eastAsia="仿宋_GB2312" w:hAnsi="仿宋" w:cs="仿宋" w:hint="eastAsia"/>
          <w:sz w:val="32"/>
          <w:szCs w:val="32"/>
        </w:rPr>
        <w:t>。</w:t>
      </w:r>
    </w:p>
    <w:p w:rsidR="00A91EDB" w:rsidRDefault="00E31F4D">
      <w:pPr>
        <w:spacing w:line="580" w:lineRule="exact"/>
        <w:ind w:firstLine="642"/>
        <w:rPr>
          <w:rFonts w:ascii="仿宋_GB2312" w:eastAsia="仿宋_GB2312" w:hAnsi="仿宋" w:cs="仿宋"/>
          <w:sz w:val="32"/>
          <w:szCs w:val="32"/>
        </w:rPr>
      </w:pPr>
      <w:r>
        <w:rPr>
          <w:rFonts w:ascii="仿宋_GB2312" w:eastAsia="仿宋_GB2312" w:hAnsi="仿宋" w:cs="仿宋" w:hint="eastAsia"/>
          <w:b/>
          <w:bCs/>
          <w:sz w:val="32"/>
          <w:szCs w:val="32"/>
        </w:rPr>
        <w:t>（4）结转结余情况。</w:t>
      </w:r>
      <w:r>
        <w:rPr>
          <w:rFonts w:ascii="仿宋_GB2312" w:eastAsia="仿宋_GB2312" w:hAnsi="仿宋" w:cs="仿宋"/>
          <w:sz w:val="32"/>
          <w:szCs w:val="32"/>
        </w:rPr>
        <w:t>202</w:t>
      </w:r>
      <w:r>
        <w:rPr>
          <w:rFonts w:ascii="仿宋_GB2312" w:eastAsia="仿宋_GB2312" w:hAnsi="仿宋" w:cs="仿宋" w:hint="eastAsia"/>
          <w:sz w:val="32"/>
          <w:szCs w:val="32"/>
        </w:rPr>
        <w:t>1年结转结余指标2,622.87万元，结转结余率15.05</w:t>
      </w:r>
      <w:r>
        <w:rPr>
          <w:rFonts w:ascii="仿宋_GB2312" w:eastAsia="仿宋_GB2312" w:hAnsi="仿宋" w:cs="仿宋"/>
          <w:sz w:val="32"/>
          <w:szCs w:val="32"/>
        </w:rPr>
        <w:t>%</w:t>
      </w:r>
      <w:r>
        <w:rPr>
          <w:rFonts w:ascii="仿宋_GB2312" w:eastAsia="仿宋_GB2312" w:hAnsi="仿宋" w:cs="仿宋" w:hint="eastAsia"/>
          <w:sz w:val="32"/>
          <w:szCs w:val="32"/>
        </w:rPr>
        <w:t>。其中：部机关本级结转结余2,595.62</w:t>
      </w:r>
      <w:r>
        <w:rPr>
          <w:rFonts w:ascii="仿宋_GB2312" w:eastAsia="仿宋_GB2312" w:hAnsi="仿宋" w:cs="仿宋" w:hint="eastAsia"/>
          <w:sz w:val="32"/>
          <w:szCs w:val="32"/>
        </w:rPr>
        <w:lastRenderedPageBreak/>
        <w:t>万元，质检中心结转结余27.25万元；基本支出结余993.09万元，项目支出结转结余1,629.78万元。</w:t>
      </w:r>
    </w:p>
    <w:p w:rsidR="00A91EDB" w:rsidRDefault="00E31F4D" w:rsidP="004C22C5">
      <w:pPr>
        <w:pStyle w:val="2"/>
        <w:ind w:firstLineChars="200" w:firstLine="643"/>
        <w:rPr>
          <w:rFonts w:ascii="楷体" w:eastAsia="楷体" w:hAnsi="楷体" w:cs="楷体"/>
        </w:rPr>
      </w:pPr>
      <w:bookmarkStart w:id="86" w:name="_Toc1964909041"/>
      <w:bookmarkStart w:id="87" w:name="_Toc2137436894"/>
      <w:r>
        <w:rPr>
          <w:rFonts w:ascii="楷体" w:eastAsia="楷体" w:hAnsi="楷体" w:cs="楷体" w:hint="eastAsia"/>
        </w:rPr>
        <w:t>（二）基本支出情况</w:t>
      </w:r>
      <w:bookmarkEnd w:id="67"/>
      <w:bookmarkEnd w:id="68"/>
      <w:bookmarkEnd w:id="69"/>
      <w:bookmarkEnd w:id="70"/>
      <w:bookmarkEnd w:id="71"/>
      <w:bookmarkEnd w:id="72"/>
      <w:bookmarkEnd w:id="73"/>
      <w:bookmarkEnd w:id="74"/>
      <w:bookmarkEnd w:id="86"/>
      <w:bookmarkEnd w:id="87"/>
    </w:p>
    <w:p w:rsidR="00A91EDB" w:rsidRDefault="00E31F4D" w:rsidP="004C22C5">
      <w:pPr>
        <w:pStyle w:val="3"/>
        <w:ind w:firstLineChars="200" w:firstLine="643"/>
      </w:pPr>
      <w:bookmarkStart w:id="88" w:name="_Toc1323559814"/>
      <w:bookmarkStart w:id="89" w:name="_Toc1937323908"/>
      <w:bookmarkStart w:id="90" w:name="_Toc12425"/>
      <w:r>
        <w:t>1.</w:t>
      </w:r>
      <w:r>
        <w:rPr>
          <w:rFonts w:hint="eastAsia"/>
        </w:rPr>
        <w:t>基本支出收支总额情况</w:t>
      </w:r>
      <w:bookmarkEnd w:id="88"/>
      <w:bookmarkEnd w:id="89"/>
      <w:bookmarkEnd w:id="90"/>
    </w:p>
    <w:tbl>
      <w:tblPr>
        <w:tblW w:w="9007" w:type="dxa"/>
        <w:tblInd w:w="-29" w:type="dxa"/>
        <w:tblLayout w:type="fixed"/>
        <w:tblLook w:val="04A0"/>
      </w:tblPr>
      <w:tblGrid>
        <w:gridCol w:w="1298"/>
        <w:gridCol w:w="960"/>
        <w:gridCol w:w="1200"/>
        <w:gridCol w:w="990"/>
        <w:gridCol w:w="1200"/>
        <w:gridCol w:w="1275"/>
        <w:gridCol w:w="1005"/>
        <w:gridCol w:w="1079"/>
      </w:tblGrid>
      <w:tr w:rsidR="00A91EDB">
        <w:trPr>
          <w:trHeight w:val="716"/>
        </w:trPr>
        <w:tc>
          <w:tcPr>
            <w:tcW w:w="1298" w:type="dxa"/>
            <w:tcBorders>
              <w:top w:val="single" w:sz="12"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黑体" w:eastAsia="黑体" w:hAnsi="黑体" w:cs="黑体"/>
                <w:b/>
                <w:bCs/>
                <w:color w:val="000000"/>
                <w:kern w:val="0"/>
                <w:szCs w:val="21"/>
              </w:rPr>
            </w:pPr>
            <w:r>
              <w:rPr>
                <w:rFonts w:ascii="黑体" w:eastAsia="黑体" w:hAnsi="黑体" w:cs="黑体" w:hint="eastAsia"/>
                <w:b/>
                <w:bCs/>
                <w:color w:val="000000"/>
                <w:kern w:val="0"/>
                <w:szCs w:val="21"/>
              </w:rPr>
              <w:t>预算单位</w:t>
            </w:r>
          </w:p>
          <w:p w:rsidR="00A91EDB" w:rsidRDefault="00E31F4D">
            <w:pPr>
              <w:widowControl/>
              <w:adjustRightInd w:val="0"/>
              <w:snapToGrid w:val="0"/>
              <w:spacing w:line="280" w:lineRule="exact"/>
              <w:jc w:val="center"/>
              <w:textAlignment w:val="center"/>
              <w:rPr>
                <w:rFonts w:ascii="黑体" w:eastAsia="黑体" w:hAnsi="黑体" w:cs="黑体"/>
                <w:b/>
                <w:bCs/>
                <w:color w:val="000000"/>
                <w:szCs w:val="21"/>
              </w:rPr>
            </w:pPr>
            <w:r>
              <w:rPr>
                <w:rFonts w:ascii="黑体" w:eastAsia="黑体" w:hAnsi="黑体" w:cs="黑体" w:hint="eastAsia"/>
                <w:b/>
                <w:bCs/>
                <w:color w:val="000000"/>
                <w:kern w:val="0"/>
                <w:szCs w:val="21"/>
              </w:rPr>
              <w:t>名称</w:t>
            </w:r>
          </w:p>
        </w:tc>
        <w:tc>
          <w:tcPr>
            <w:tcW w:w="960"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黑体" w:eastAsia="黑体" w:hAnsi="黑体" w:cs="黑体"/>
                <w:b/>
                <w:bCs/>
                <w:color w:val="000000"/>
                <w:kern w:val="0"/>
                <w:szCs w:val="21"/>
              </w:rPr>
            </w:pPr>
            <w:r>
              <w:rPr>
                <w:rFonts w:ascii="黑体" w:eastAsia="黑体" w:hAnsi="黑体" w:cs="黑体" w:hint="eastAsia"/>
                <w:b/>
                <w:bCs/>
                <w:color w:val="000000"/>
                <w:kern w:val="0"/>
                <w:szCs w:val="21"/>
              </w:rPr>
              <w:t>上年</w:t>
            </w:r>
          </w:p>
          <w:p w:rsidR="00A91EDB" w:rsidRDefault="00E31F4D">
            <w:pPr>
              <w:widowControl/>
              <w:adjustRightInd w:val="0"/>
              <w:snapToGrid w:val="0"/>
              <w:spacing w:line="280" w:lineRule="exact"/>
              <w:jc w:val="center"/>
              <w:textAlignment w:val="center"/>
              <w:rPr>
                <w:rFonts w:ascii="黑体" w:eastAsia="黑体" w:hAnsi="黑体" w:cs="黑体"/>
                <w:b/>
                <w:bCs/>
                <w:color w:val="000000"/>
                <w:szCs w:val="21"/>
              </w:rPr>
            </w:pPr>
            <w:r>
              <w:rPr>
                <w:rFonts w:ascii="黑体" w:eastAsia="黑体" w:hAnsi="黑体" w:cs="黑体" w:hint="eastAsia"/>
                <w:b/>
                <w:bCs/>
                <w:color w:val="000000"/>
                <w:kern w:val="0"/>
                <w:szCs w:val="21"/>
              </w:rPr>
              <w:t>结余</w:t>
            </w:r>
          </w:p>
        </w:tc>
        <w:tc>
          <w:tcPr>
            <w:tcW w:w="1200"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黑体" w:eastAsia="黑体" w:hAnsi="黑体" w:cs="黑体"/>
                <w:b/>
                <w:bCs/>
                <w:color w:val="000000"/>
                <w:szCs w:val="21"/>
              </w:rPr>
            </w:pPr>
            <w:r>
              <w:rPr>
                <w:rFonts w:ascii="黑体" w:eastAsia="黑体" w:hAnsi="黑体" w:cs="黑体" w:hint="eastAsia"/>
                <w:b/>
                <w:bCs/>
                <w:color w:val="000000"/>
                <w:kern w:val="0"/>
                <w:szCs w:val="21"/>
              </w:rPr>
              <w:t>本年预算</w:t>
            </w:r>
          </w:p>
        </w:tc>
        <w:tc>
          <w:tcPr>
            <w:tcW w:w="990"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黑体" w:eastAsia="黑体" w:hAnsi="黑体" w:cs="黑体"/>
                <w:b/>
                <w:bCs/>
                <w:color w:val="000000"/>
                <w:kern w:val="0"/>
                <w:szCs w:val="21"/>
              </w:rPr>
            </w:pPr>
            <w:r>
              <w:rPr>
                <w:rFonts w:ascii="黑体" w:eastAsia="黑体" w:hAnsi="黑体" w:cs="黑体" w:hint="eastAsia"/>
                <w:b/>
                <w:bCs/>
                <w:color w:val="000000"/>
                <w:kern w:val="0"/>
                <w:szCs w:val="21"/>
              </w:rPr>
              <w:t>本年</w:t>
            </w:r>
          </w:p>
          <w:p w:rsidR="00A91EDB" w:rsidRDefault="00E31F4D">
            <w:pPr>
              <w:widowControl/>
              <w:adjustRightInd w:val="0"/>
              <w:snapToGrid w:val="0"/>
              <w:spacing w:line="280" w:lineRule="exact"/>
              <w:jc w:val="center"/>
              <w:textAlignment w:val="center"/>
              <w:rPr>
                <w:rFonts w:ascii="黑体" w:eastAsia="黑体" w:hAnsi="黑体" w:cs="黑体"/>
                <w:b/>
                <w:bCs/>
                <w:color w:val="000000"/>
                <w:szCs w:val="21"/>
              </w:rPr>
            </w:pPr>
            <w:r>
              <w:rPr>
                <w:rFonts w:ascii="黑体" w:eastAsia="黑体" w:hAnsi="黑体" w:cs="黑体" w:hint="eastAsia"/>
                <w:b/>
                <w:bCs/>
                <w:color w:val="000000"/>
                <w:kern w:val="0"/>
                <w:szCs w:val="21"/>
              </w:rPr>
              <w:t>追加</w:t>
            </w:r>
          </w:p>
        </w:tc>
        <w:tc>
          <w:tcPr>
            <w:tcW w:w="1200"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黑体" w:eastAsia="黑体" w:hAnsi="黑体" w:cs="黑体"/>
                <w:b/>
                <w:bCs/>
                <w:color w:val="000000"/>
                <w:szCs w:val="21"/>
              </w:rPr>
            </w:pPr>
            <w:r>
              <w:rPr>
                <w:rFonts w:ascii="黑体" w:eastAsia="黑体" w:hAnsi="黑体" w:cs="黑体" w:hint="eastAsia"/>
                <w:b/>
                <w:bCs/>
                <w:color w:val="000000"/>
                <w:kern w:val="0"/>
                <w:szCs w:val="21"/>
              </w:rPr>
              <w:t>合计</w:t>
            </w:r>
          </w:p>
        </w:tc>
        <w:tc>
          <w:tcPr>
            <w:tcW w:w="1275"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80" w:lineRule="exact"/>
              <w:jc w:val="center"/>
              <w:textAlignment w:val="center"/>
              <w:rPr>
                <w:rFonts w:ascii="黑体" w:eastAsia="黑体" w:hAnsi="黑体" w:cs="黑体"/>
                <w:b/>
                <w:bCs/>
                <w:color w:val="000000"/>
                <w:kern w:val="0"/>
                <w:szCs w:val="21"/>
              </w:rPr>
            </w:pPr>
            <w:r>
              <w:rPr>
                <w:rFonts w:ascii="黑体" w:eastAsia="黑体" w:hAnsi="黑体" w:cs="黑体" w:hint="eastAsia"/>
                <w:b/>
                <w:bCs/>
                <w:color w:val="000000"/>
                <w:kern w:val="0"/>
                <w:szCs w:val="21"/>
              </w:rPr>
              <w:t>本年</w:t>
            </w:r>
          </w:p>
          <w:p w:rsidR="00A91EDB" w:rsidRDefault="00E31F4D">
            <w:pPr>
              <w:widowControl/>
              <w:adjustRightInd w:val="0"/>
              <w:snapToGrid w:val="0"/>
              <w:spacing w:line="280" w:lineRule="exact"/>
              <w:jc w:val="center"/>
              <w:textAlignment w:val="center"/>
              <w:rPr>
                <w:rFonts w:ascii="黑体" w:eastAsia="黑体" w:hAnsi="黑体" w:cs="黑体"/>
                <w:b/>
                <w:bCs/>
                <w:color w:val="000000"/>
                <w:szCs w:val="21"/>
              </w:rPr>
            </w:pPr>
            <w:r>
              <w:rPr>
                <w:rFonts w:ascii="黑体" w:eastAsia="黑体" w:hAnsi="黑体" w:cs="黑体" w:hint="eastAsia"/>
                <w:b/>
                <w:bCs/>
                <w:color w:val="000000"/>
                <w:kern w:val="0"/>
                <w:szCs w:val="21"/>
              </w:rPr>
              <w:t>支出</w:t>
            </w:r>
          </w:p>
        </w:tc>
        <w:tc>
          <w:tcPr>
            <w:tcW w:w="1005"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80" w:lineRule="exact"/>
              <w:jc w:val="center"/>
              <w:textAlignment w:val="center"/>
              <w:rPr>
                <w:rFonts w:ascii="黑体" w:eastAsia="黑体" w:hAnsi="黑体" w:cs="黑体"/>
                <w:b/>
                <w:bCs/>
                <w:color w:val="000000"/>
                <w:kern w:val="0"/>
                <w:szCs w:val="21"/>
              </w:rPr>
            </w:pPr>
            <w:r>
              <w:rPr>
                <w:rFonts w:ascii="黑体" w:eastAsia="黑体" w:hAnsi="黑体" w:cs="黑体" w:hint="eastAsia"/>
                <w:b/>
                <w:bCs/>
                <w:color w:val="000000"/>
                <w:kern w:val="0"/>
                <w:szCs w:val="21"/>
              </w:rPr>
              <w:t>本年</w:t>
            </w:r>
          </w:p>
          <w:p w:rsidR="00A91EDB" w:rsidRDefault="00E31F4D">
            <w:pPr>
              <w:widowControl/>
              <w:adjustRightInd w:val="0"/>
              <w:snapToGrid w:val="0"/>
              <w:spacing w:line="280" w:lineRule="exact"/>
              <w:jc w:val="center"/>
              <w:textAlignment w:val="center"/>
              <w:rPr>
                <w:rFonts w:ascii="黑体" w:eastAsia="黑体" w:hAnsi="黑体" w:cs="黑体"/>
                <w:b/>
                <w:bCs/>
                <w:color w:val="000000"/>
                <w:szCs w:val="21"/>
              </w:rPr>
            </w:pPr>
            <w:r>
              <w:rPr>
                <w:rFonts w:ascii="黑体" w:eastAsia="黑体" w:hAnsi="黑体" w:cs="黑体" w:hint="eastAsia"/>
                <w:b/>
                <w:bCs/>
                <w:color w:val="000000"/>
                <w:kern w:val="0"/>
                <w:szCs w:val="21"/>
              </w:rPr>
              <w:t>结余</w:t>
            </w:r>
          </w:p>
        </w:tc>
        <w:tc>
          <w:tcPr>
            <w:tcW w:w="1079" w:type="dxa"/>
            <w:tcBorders>
              <w:top w:val="single" w:sz="12" w:space="0" w:color="000000"/>
              <w:left w:val="single" w:sz="4" w:space="0" w:color="000000"/>
              <w:bottom w:val="single" w:sz="4" w:space="0" w:color="000000"/>
              <w:right w:val="single" w:sz="12" w:space="0" w:color="000000"/>
            </w:tcBorders>
            <w:vAlign w:val="center"/>
          </w:tcPr>
          <w:p w:rsidR="00A91EDB" w:rsidRDefault="00E31F4D">
            <w:pPr>
              <w:widowControl/>
              <w:adjustRightInd w:val="0"/>
              <w:snapToGrid w:val="0"/>
              <w:spacing w:line="280" w:lineRule="exact"/>
              <w:jc w:val="center"/>
              <w:textAlignment w:val="center"/>
              <w:rPr>
                <w:rFonts w:ascii="黑体" w:eastAsia="黑体" w:hAnsi="黑体" w:cs="黑体"/>
                <w:b/>
                <w:bCs/>
                <w:color w:val="000000"/>
                <w:kern w:val="0"/>
                <w:szCs w:val="21"/>
              </w:rPr>
            </w:pPr>
            <w:r>
              <w:rPr>
                <w:rFonts w:ascii="黑体" w:eastAsia="黑体" w:hAnsi="黑体" w:cs="黑体" w:hint="eastAsia"/>
                <w:b/>
                <w:bCs/>
                <w:color w:val="000000"/>
                <w:kern w:val="0"/>
                <w:szCs w:val="21"/>
              </w:rPr>
              <w:t>预算</w:t>
            </w:r>
          </w:p>
          <w:p w:rsidR="00A91EDB" w:rsidRDefault="00E31F4D">
            <w:pPr>
              <w:widowControl/>
              <w:adjustRightInd w:val="0"/>
              <w:snapToGrid w:val="0"/>
              <w:spacing w:line="280" w:lineRule="exact"/>
              <w:jc w:val="center"/>
              <w:textAlignment w:val="center"/>
              <w:rPr>
                <w:rFonts w:ascii="黑体" w:eastAsia="黑体" w:hAnsi="黑体" w:cs="黑体"/>
                <w:b/>
                <w:bCs/>
                <w:color w:val="000000"/>
                <w:szCs w:val="21"/>
              </w:rPr>
            </w:pPr>
            <w:r>
              <w:rPr>
                <w:rFonts w:ascii="黑体" w:eastAsia="黑体" w:hAnsi="黑体" w:cs="黑体" w:hint="eastAsia"/>
                <w:b/>
                <w:bCs/>
                <w:color w:val="000000"/>
                <w:kern w:val="0"/>
                <w:szCs w:val="21"/>
              </w:rPr>
              <w:t>执行率</w:t>
            </w:r>
          </w:p>
        </w:tc>
      </w:tr>
      <w:tr w:rsidR="00A91EDB">
        <w:trPr>
          <w:trHeight w:val="422"/>
        </w:trPr>
        <w:tc>
          <w:tcPr>
            <w:tcW w:w="1298"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部机关</w:t>
            </w:r>
          </w:p>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本级</w:t>
            </w:r>
          </w:p>
        </w:tc>
        <w:tc>
          <w:tcPr>
            <w:tcW w:w="96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120.91</w:t>
            </w:r>
          </w:p>
        </w:tc>
        <w:tc>
          <w:tcPr>
            <w:tcW w:w="120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5,278.58</w:t>
            </w:r>
          </w:p>
        </w:tc>
        <w:tc>
          <w:tcPr>
            <w:tcW w:w="9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415.45</w:t>
            </w:r>
          </w:p>
        </w:tc>
        <w:tc>
          <w:tcPr>
            <w:tcW w:w="120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5,814.94</w:t>
            </w:r>
          </w:p>
        </w:tc>
        <w:tc>
          <w:tcPr>
            <w:tcW w:w="127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4,821.85</w:t>
            </w:r>
          </w:p>
        </w:tc>
        <w:tc>
          <w:tcPr>
            <w:tcW w:w="100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993.09</w:t>
            </w:r>
          </w:p>
        </w:tc>
        <w:tc>
          <w:tcPr>
            <w:tcW w:w="10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82.92%</w:t>
            </w:r>
          </w:p>
        </w:tc>
      </w:tr>
      <w:tr w:rsidR="00A91EDB">
        <w:trPr>
          <w:trHeight w:val="684"/>
        </w:trPr>
        <w:tc>
          <w:tcPr>
            <w:tcW w:w="1298"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质检中心</w:t>
            </w:r>
          </w:p>
        </w:tc>
        <w:tc>
          <w:tcPr>
            <w:tcW w:w="960" w:type="dxa"/>
            <w:tcBorders>
              <w:top w:val="single" w:sz="4" w:space="0" w:color="000000"/>
              <w:left w:val="single" w:sz="4" w:space="0" w:color="000000"/>
              <w:bottom w:val="single" w:sz="4" w:space="0" w:color="000000"/>
              <w:right w:val="single" w:sz="4" w:space="0" w:color="000000"/>
            </w:tcBorders>
            <w:noWrap/>
            <w:vAlign w:val="center"/>
          </w:tcPr>
          <w:p w:rsidR="00A91EDB" w:rsidRDefault="00A91EDB">
            <w:pPr>
              <w:widowControl/>
              <w:adjustRightInd w:val="0"/>
              <w:snapToGrid w:val="0"/>
              <w:spacing w:line="360" w:lineRule="exact"/>
              <w:jc w:val="center"/>
              <w:rPr>
                <w:rFonts w:ascii="仿宋_GB2312" w:eastAsia="仿宋_GB2312" w:hAnsi="仿宋_GB2312" w:cs="仿宋_GB2312"/>
                <w:color w:val="000000"/>
                <w:sz w:val="24"/>
                <w:szCs w:val="24"/>
              </w:rPr>
            </w:pPr>
          </w:p>
        </w:tc>
        <w:tc>
          <w:tcPr>
            <w:tcW w:w="120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62.35</w:t>
            </w:r>
          </w:p>
        </w:tc>
        <w:tc>
          <w:tcPr>
            <w:tcW w:w="990" w:type="dxa"/>
            <w:tcBorders>
              <w:top w:val="single" w:sz="4" w:space="0" w:color="000000"/>
              <w:left w:val="single" w:sz="4" w:space="0" w:color="000000"/>
              <w:bottom w:val="single" w:sz="4" w:space="0" w:color="000000"/>
              <w:right w:val="single" w:sz="4" w:space="0" w:color="000000"/>
            </w:tcBorders>
            <w:noWrap/>
            <w:vAlign w:val="center"/>
          </w:tcPr>
          <w:p w:rsidR="00A91EDB" w:rsidRDefault="00A91EDB">
            <w:pPr>
              <w:widowControl/>
              <w:adjustRightInd w:val="0"/>
              <w:snapToGrid w:val="0"/>
              <w:spacing w:line="360" w:lineRule="exact"/>
              <w:jc w:val="center"/>
              <w:rPr>
                <w:rFonts w:ascii="仿宋_GB2312" w:eastAsia="仿宋_GB2312" w:hAnsi="仿宋_GB2312" w:cs="仿宋_GB2312"/>
                <w:color w:val="000000"/>
                <w:sz w:val="24"/>
                <w:szCs w:val="24"/>
              </w:rPr>
            </w:pPr>
          </w:p>
        </w:tc>
        <w:tc>
          <w:tcPr>
            <w:tcW w:w="120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62.35</w:t>
            </w:r>
          </w:p>
        </w:tc>
        <w:tc>
          <w:tcPr>
            <w:tcW w:w="127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62.35</w:t>
            </w:r>
          </w:p>
        </w:tc>
        <w:tc>
          <w:tcPr>
            <w:tcW w:w="1005" w:type="dxa"/>
            <w:tcBorders>
              <w:top w:val="single" w:sz="4" w:space="0" w:color="000000"/>
              <w:left w:val="single" w:sz="4" w:space="0" w:color="000000"/>
              <w:bottom w:val="single" w:sz="4" w:space="0" w:color="000000"/>
              <w:right w:val="single" w:sz="4" w:space="0" w:color="000000"/>
            </w:tcBorders>
            <w:noWrap/>
            <w:vAlign w:val="center"/>
          </w:tcPr>
          <w:p w:rsidR="00A91EDB" w:rsidRDefault="00A91EDB">
            <w:pPr>
              <w:widowControl/>
              <w:adjustRightInd w:val="0"/>
              <w:snapToGrid w:val="0"/>
              <w:spacing w:line="360" w:lineRule="exact"/>
              <w:jc w:val="center"/>
              <w:rPr>
                <w:rFonts w:ascii="仿宋_GB2312" w:eastAsia="仿宋_GB2312" w:hAnsi="仿宋_GB2312" w:cs="仿宋_GB2312"/>
                <w:color w:val="000000"/>
                <w:sz w:val="24"/>
                <w:szCs w:val="24"/>
              </w:rPr>
            </w:pPr>
          </w:p>
        </w:tc>
        <w:tc>
          <w:tcPr>
            <w:tcW w:w="10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100%</w:t>
            </w:r>
          </w:p>
        </w:tc>
      </w:tr>
      <w:tr w:rsidR="00A91EDB">
        <w:trPr>
          <w:trHeight w:val="871"/>
        </w:trPr>
        <w:tc>
          <w:tcPr>
            <w:tcW w:w="1298" w:type="dxa"/>
            <w:tcBorders>
              <w:top w:val="single" w:sz="4" w:space="0" w:color="000000"/>
              <w:left w:val="single" w:sz="12"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合计</w:t>
            </w:r>
          </w:p>
        </w:tc>
        <w:tc>
          <w:tcPr>
            <w:tcW w:w="960"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color w:val="000000"/>
                <w:kern w:val="0"/>
                <w:sz w:val="24"/>
                <w:szCs w:val="24"/>
              </w:rPr>
              <w:t>120.91</w:t>
            </w:r>
          </w:p>
        </w:tc>
        <w:tc>
          <w:tcPr>
            <w:tcW w:w="1200"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color w:val="000000"/>
                <w:kern w:val="0"/>
                <w:sz w:val="24"/>
                <w:szCs w:val="24"/>
              </w:rPr>
              <w:t>5,340.93</w:t>
            </w:r>
          </w:p>
        </w:tc>
        <w:tc>
          <w:tcPr>
            <w:tcW w:w="990"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color w:val="000000"/>
                <w:kern w:val="0"/>
                <w:sz w:val="24"/>
                <w:szCs w:val="24"/>
              </w:rPr>
              <w:t>415.45</w:t>
            </w:r>
          </w:p>
        </w:tc>
        <w:tc>
          <w:tcPr>
            <w:tcW w:w="1200"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color w:val="000000"/>
                <w:kern w:val="0"/>
                <w:sz w:val="24"/>
                <w:szCs w:val="24"/>
              </w:rPr>
              <w:t>5,877.29</w:t>
            </w:r>
          </w:p>
        </w:tc>
        <w:tc>
          <w:tcPr>
            <w:tcW w:w="1275"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color w:val="000000"/>
                <w:kern w:val="0"/>
                <w:sz w:val="24"/>
                <w:szCs w:val="24"/>
              </w:rPr>
              <w:t>4,884.20</w:t>
            </w:r>
          </w:p>
        </w:tc>
        <w:tc>
          <w:tcPr>
            <w:tcW w:w="1005"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color w:val="000000"/>
                <w:kern w:val="0"/>
                <w:sz w:val="24"/>
                <w:szCs w:val="24"/>
              </w:rPr>
              <w:t>993.09</w:t>
            </w:r>
          </w:p>
        </w:tc>
        <w:tc>
          <w:tcPr>
            <w:tcW w:w="1079" w:type="dxa"/>
            <w:tcBorders>
              <w:top w:val="single" w:sz="4" w:space="0" w:color="000000"/>
              <w:left w:val="single" w:sz="4" w:space="0" w:color="000000"/>
              <w:bottom w:val="single" w:sz="12"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color w:val="000000"/>
                <w:kern w:val="0"/>
                <w:sz w:val="24"/>
                <w:szCs w:val="24"/>
              </w:rPr>
              <w:t>83.10%</w:t>
            </w:r>
          </w:p>
        </w:tc>
      </w:tr>
    </w:tbl>
    <w:p w:rsidR="00A91EDB" w:rsidRDefault="00E31F4D">
      <w:pPr>
        <w:spacing w:line="580" w:lineRule="exact"/>
        <w:ind w:firstLineChars="200" w:firstLine="640"/>
        <w:rPr>
          <w:rFonts w:ascii="仿宋_GB2312" w:eastAsia="仿宋_GB2312" w:hAnsi="仿宋" w:cs="仿宋"/>
          <w:b/>
          <w:bCs/>
          <w:sz w:val="32"/>
          <w:szCs w:val="32"/>
        </w:rPr>
      </w:pPr>
      <w:r>
        <w:rPr>
          <w:rFonts w:ascii="仿宋_GB2312" w:eastAsia="仿宋_GB2312" w:hAnsi="仿宋" w:cs="仿宋" w:hint="eastAsia"/>
          <w:b/>
          <w:bCs/>
          <w:sz w:val="32"/>
          <w:szCs w:val="32"/>
        </w:rPr>
        <w:t>（</w:t>
      </w:r>
      <w:r>
        <w:rPr>
          <w:rFonts w:ascii="仿宋_GB2312" w:eastAsia="仿宋_GB2312" w:hAnsi="仿宋" w:cs="仿宋"/>
          <w:b/>
          <w:bCs/>
          <w:sz w:val="32"/>
          <w:szCs w:val="32"/>
        </w:rPr>
        <w:t>1</w:t>
      </w:r>
      <w:r>
        <w:rPr>
          <w:rFonts w:ascii="仿宋_GB2312" w:eastAsia="仿宋_GB2312" w:hAnsi="仿宋" w:cs="仿宋" w:hint="eastAsia"/>
          <w:b/>
          <w:bCs/>
          <w:sz w:val="32"/>
          <w:szCs w:val="32"/>
        </w:rPr>
        <w:t>）本年基本支出预算情况</w:t>
      </w:r>
    </w:p>
    <w:p w:rsidR="00A91EDB" w:rsidRDefault="00E31F4D">
      <w:pPr>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我部本年基本支出预算5,756.38万元，其中：部机关本级基本支出预算5,694.03万元，质检中心62.35万元；本年预算基本支出5,340.93万元，本年追加基本支出415.45万元。</w:t>
      </w:r>
    </w:p>
    <w:p w:rsidR="00A91EDB" w:rsidRDefault="00E31F4D">
      <w:pPr>
        <w:pStyle w:val="a4"/>
        <w:spacing w:line="580" w:lineRule="exact"/>
        <w:ind w:firstLineChars="200" w:firstLine="640"/>
        <w:jc w:val="both"/>
        <w:rPr>
          <w:rFonts w:ascii="仿宋_GB2312" w:eastAsia="仿宋_GB2312" w:hAnsi="仿宋" w:cs="仿宋"/>
          <w:b/>
          <w:bCs/>
          <w:sz w:val="32"/>
          <w:szCs w:val="32"/>
        </w:rPr>
      </w:pPr>
      <w:r>
        <w:rPr>
          <w:rFonts w:ascii="仿宋_GB2312" w:eastAsia="仿宋_GB2312" w:hAnsi="仿宋" w:cs="仿宋" w:hint="eastAsia"/>
          <w:b/>
          <w:bCs/>
          <w:sz w:val="32"/>
          <w:szCs w:val="32"/>
        </w:rPr>
        <w:t>（</w:t>
      </w:r>
      <w:r>
        <w:rPr>
          <w:rFonts w:ascii="仿宋_GB2312" w:eastAsia="仿宋_GB2312" w:hAnsi="仿宋" w:cs="仿宋"/>
          <w:b/>
          <w:bCs/>
          <w:sz w:val="32"/>
          <w:szCs w:val="32"/>
        </w:rPr>
        <w:t>2</w:t>
      </w:r>
      <w:r>
        <w:rPr>
          <w:rFonts w:ascii="仿宋_GB2312" w:eastAsia="仿宋_GB2312" w:hAnsi="仿宋" w:cs="仿宋" w:hint="eastAsia"/>
          <w:b/>
          <w:bCs/>
          <w:sz w:val="32"/>
          <w:szCs w:val="32"/>
        </w:rPr>
        <w:t>）基本支出预算执行及结转结余情况</w:t>
      </w:r>
    </w:p>
    <w:p w:rsidR="00A91EDB" w:rsidRDefault="00E31F4D">
      <w:pPr>
        <w:pStyle w:val="a4"/>
        <w:spacing w:line="580" w:lineRule="exact"/>
        <w:ind w:firstLineChars="200" w:firstLine="640"/>
        <w:jc w:val="both"/>
        <w:rPr>
          <w:rFonts w:ascii="仿宋_GB2312" w:eastAsia="仿宋_GB2312" w:hAnsi="仿宋" w:cs="仿宋"/>
          <w:sz w:val="32"/>
          <w:szCs w:val="32"/>
        </w:rPr>
      </w:pPr>
      <w:r>
        <w:rPr>
          <w:rFonts w:ascii="仿宋_GB2312" w:eastAsia="仿宋_GB2312" w:hAnsi="仿宋" w:cs="仿宋" w:hint="eastAsia"/>
          <w:sz w:val="32"/>
          <w:szCs w:val="32"/>
        </w:rPr>
        <w:t>本年基本支出可用预算为5,877.29万元，实际基本支出4,884.20万元，预算执行率83.10%。其中：部机关本级预算执行率82.92</w:t>
      </w:r>
      <w:r>
        <w:rPr>
          <w:rFonts w:ascii="仿宋_GB2312" w:eastAsia="仿宋_GB2312" w:hAnsi="仿宋" w:cs="仿宋"/>
          <w:sz w:val="32"/>
          <w:szCs w:val="32"/>
        </w:rPr>
        <w:t>%</w:t>
      </w:r>
      <w:r>
        <w:rPr>
          <w:rFonts w:ascii="仿宋_GB2312" w:eastAsia="仿宋_GB2312" w:hAnsi="仿宋" w:cs="仿宋" w:hint="eastAsia"/>
          <w:sz w:val="32"/>
          <w:szCs w:val="32"/>
        </w:rPr>
        <w:t>，质检中心预算执行率100</w:t>
      </w:r>
      <w:r>
        <w:rPr>
          <w:rFonts w:ascii="仿宋_GB2312" w:eastAsia="仿宋_GB2312" w:hAnsi="仿宋" w:cs="仿宋"/>
          <w:sz w:val="32"/>
          <w:szCs w:val="32"/>
        </w:rPr>
        <w:t>%</w:t>
      </w:r>
      <w:r>
        <w:rPr>
          <w:rFonts w:ascii="仿宋_GB2312" w:eastAsia="仿宋_GB2312" w:hAnsi="仿宋" w:cs="仿宋" w:hint="eastAsia"/>
          <w:sz w:val="32"/>
          <w:szCs w:val="32"/>
        </w:rPr>
        <w:t>。本年基本支出结余993.09万元，全部为部机关本级结余。</w:t>
      </w:r>
    </w:p>
    <w:p w:rsidR="00A91EDB" w:rsidRDefault="00E31F4D" w:rsidP="004C22C5">
      <w:pPr>
        <w:pStyle w:val="3"/>
        <w:ind w:firstLineChars="200" w:firstLine="643"/>
      </w:pPr>
      <w:bookmarkStart w:id="91" w:name="_Toc2089285539"/>
      <w:bookmarkStart w:id="92" w:name="_Toc498514374"/>
      <w:bookmarkStart w:id="93" w:name="_Toc18889"/>
      <w:bookmarkStart w:id="94" w:name="_Toc2411"/>
      <w:r>
        <w:rPr>
          <w:rFonts w:hint="eastAsia"/>
        </w:rPr>
        <w:t>2.</w:t>
      </w:r>
      <w:r>
        <w:rPr>
          <w:rFonts w:hint="eastAsia"/>
        </w:rPr>
        <w:t>人员经费预算及执行情况</w:t>
      </w:r>
      <w:bookmarkEnd w:id="91"/>
      <w:bookmarkEnd w:id="92"/>
    </w:p>
    <w:tbl>
      <w:tblPr>
        <w:tblW w:w="8637" w:type="dxa"/>
        <w:tblInd w:w="96" w:type="dxa"/>
        <w:tblLayout w:type="fixed"/>
        <w:tblLook w:val="04A0"/>
      </w:tblPr>
      <w:tblGrid>
        <w:gridCol w:w="1653"/>
        <w:gridCol w:w="2295"/>
        <w:gridCol w:w="1275"/>
        <w:gridCol w:w="1215"/>
        <w:gridCol w:w="1140"/>
        <w:gridCol w:w="1059"/>
      </w:tblGrid>
      <w:tr w:rsidR="00A91EDB">
        <w:trPr>
          <w:trHeight w:val="576"/>
        </w:trPr>
        <w:tc>
          <w:tcPr>
            <w:tcW w:w="1653" w:type="dxa"/>
            <w:tcBorders>
              <w:top w:val="single" w:sz="12" w:space="0" w:color="000000"/>
              <w:left w:val="single" w:sz="12"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预算单位名称</w:t>
            </w:r>
          </w:p>
        </w:tc>
        <w:tc>
          <w:tcPr>
            <w:tcW w:w="2295"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经济分类名称</w:t>
            </w:r>
          </w:p>
        </w:tc>
        <w:tc>
          <w:tcPr>
            <w:tcW w:w="1275"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本年可用预算金额</w:t>
            </w:r>
          </w:p>
        </w:tc>
        <w:tc>
          <w:tcPr>
            <w:tcW w:w="1215"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预算支出</w:t>
            </w:r>
          </w:p>
        </w:tc>
        <w:tc>
          <w:tcPr>
            <w:tcW w:w="1140"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结转结余</w:t>
            </w:r>
          </w:p>
        </w:tc>
        <w:tc>
          <w:tcPr>
            <w:tcW w:w="1059" w:type="dxa"/>
            <w:tcBorders>
              <w:top w:val="single" w:sz="12" w:space="0" w:color="000000"/>
              <w:left w:val="single" w:sz="4" w:space="0" w:color="000000"/>
              <w:bottom w:val="single" w:sz="4" w:space="0" w:color="000000"/>
              <w:right w:val="single" w:sz="12"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预算执行率</w:t>
            </w:r>
          </w:p>
        </w:tc>
      </w:tr>
      <w:tr w:rsidR="00A91EDB">
        <w:trPr>
          <w:trHeight w:val="400"/>
        </w:trPr>
        <w:tc>
          <w:tcPr>
            <w:tcW w:w="1653"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质检中心</w:t>
            </w:r>
          </w:p>
        </w:tc>
        <w:tc>
          <w:tcPr>
            <w:tcW w:w="229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工资福利支出</w:t>
            </w:r>
          </w:p>
        </w:tc>
        <w:tc>
          <w:tcPr>
            <w:tcW w:w="127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62.35</w:t>
            </w:r>
          </w:p>
        </w:tc>
        <w:tc>
          <w:tcPr>
            <w:tcW w:w="121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62.35</w:t>
            </w:r>
          </w:p>
        </w:tc>
        <w:tc>
          <w:tcPr>
            <w:tcW w:w="1140" w:type="dxa"/>
            <w:tcBorders>
              <w:top w:val="single" w:sz="4" w:space="0" w:color="000000"/>
              <w:left w:val="single" w:sz="4" w:space="0" w:color="000000"/>
              <w:bottom w:val="single" w:sz="4" w:space="0" w:color="000000"/>
              <w:right w:val="single" w:sz="4" w:space="0" w:color="000000"/>
            </w:tcBorders>
            <w:vAlign w:val="center"/>
          </w:tcPr>
          <w:p w:rsidR="00A91EDB" w:rsidRDefault="00A91EDB">
            <w:pPr>
              <w:jc w:val="center"/>
              <w:rPr>
                <w:rFonts w:ascii="仿宋_GB2312" w:eastAsia="仿宋_GB2312" w:hAnsi="仿宋_GB2312" w:cs="仿宋_GB2312"/>
                <w:color w:val="000000"/>
                <w:sz w:val="22"/>
              </w:rPr>
            </w:pPr>
          </w:p>
        </w:tc>
        <w:tc>
          <w:tcPr>
            <w:tcW w:w="1059" w:type="dxa"/>
            <w:tcBorders>
              <w:top w:val="single" w:sz="4" w:space="0" w:color="000000"/>
              <w:left w:val="single" w:sz="4" w:space="0" w:color="000000"/>
              <w:bottom w:val="single" w:sz="4" w:space="0" w:color="000000"/>
              <w:right w:val="single" w:sz="12" w:space="0" w:color="000000"/>
            </w:tcBorders>
            <w:vAlign w:val="center"/>
          </w:tcPr>
          <w:p w:rsidR="00A91EDB" w:rsidRDefault="00A91EDB">
            <w:pPr>
              <w:jc w:val="center"/>
              <w:rPr>
                <w:rFonts w:ascii="仿宋_GB2312" w:eastAsia="仿宋_GB2312" w:hAnsi="仿宋_GB2312" w:cs="仿宋_GB2312"/>
                <w:color w:val="000000"/>
                <w:sz w:val="22"/>
              </w:rPr>
            </w:pPr>
          </w:p>
        </w:tc>
      </w:tr>
      <w:tr w:rsidR="00A91EDB">
        <w:trPr>
          <w:trHeight w:val="400"/>
        </w:trPr>
        <w:tc>
          <w:tcPr>
            <w:tcW w:w="1653" w:type="dxa"/>
            <w:vMerge w:val="restart"/>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部机关本级</w:t>
            </w:r>
          </w:p>
        </w:tc>
        <w:tc>
          <w:tcPr>
            <w:tcW w:w="229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工资福利支出</w:t>
            </w:r>
          </w:p>
        </w:tc>
        <w:tc>
          <w:tcPr>
            <w:tcW w:w="127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4,705.95 </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3,917.43 </w:t>
            </w:r>
          </w:p>
        </w:tc>
        <w:tc>
          <w:tcPr>
            <w:tcW w:w="114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788.52 </w:t>
            </w:r>
          </w:p>
        </w:tc>
        <w:tc>
          <w:tcPr>
            <w:tcW w:w="105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83.24%</w:t>
            </w:r>
          </w:p>
        </w:tc>
      </w:tr>
      <w:tr w:rsidR="00A91EDB">
        <w:trPr>
          <w:trHeight w:val="400"/>
        </w:trPr>
        <w:tc>
          <w:tcPr>
            <w:tcW w:w="1653" w:type="dxa"/>
            <w:vMerge/>
            <w:tcBorders>
              <w:top w:val="single" w:sz="4" w:space="0" w:color="000000"/>
              <w:left w:val="single" w:sz="12" w:space="0" w:color="000000"/>
              <w:bottom w:val="single" w:sz="4" w:space="0" w:color="000000"/>
              <w:right w:val="single" w:sz="4" w:space="0" w:color="000000"/>
            </w:tcBorders>
            <w:vAlign w:val="center"/>
          </w:tcPr>
          <w:p w:rsidR="00A91EDB" w:rsidRDefault="00A91EDB">
            <w:pPr>
              <w:jc w:val="center"/>
              <w:rPr>
                <w:rFonts w:ascii="仿宋_GB2312" w:eastAsia="仿宋_GB2312" w:hAnsi="仿宋_GB2312" w:cs="仿宋_GB2312"/>
                <w:color w:val="000000"/>
                <w:sz w:val="22"/>
              </w:rPr>
            </w:pPr>
          </w:p>
        </w:tc>
        <w:tc>
          <w:tcPr>
            <w:tcW w:w="229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对个人和家庭的补助</w:t>
            </w:r>
          </w:p>
        </w:tc>
        <w:tc>
          <w:tcPr>
            <w:tcW w:w="127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255.91 </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163.79 </w:t>
            </w:r>
          </w:p>
        </w:tc>
        <w:tc>
          <w:tcPr>
            <w:tcW w:w="114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92.12 </w:t>
            </w:r>
          </w:p>
        </w:tc>
        <w:tc>
          <w:tcPr>
            <w:tcW w:w="105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64.00%</w:t>
            </w:r>
          </w:p>
        </w:tc>
      </w:tr>
      <w:tr w:rsidR="00A91EDB">
        <w:trPr>
          <w:trHeight w:val="400"/>
        </w:trPr>
        <w:tc>
          <w:tcPr>
            <w:tcW w:w="1653" w:type="dxa"/>
            <w:vMerge w:val="restart"/>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合计</w:t>
            </w:r>
          </w:p>
        </w:tc>
        <w:tc>
          <w:tcPr>
            <w:tcW w:w="229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工资福利支出</w:t>
            </w:r>
          </w:p>
        </w:tc>
        <w:tc>
          <w:tcPr>
            <w:tcW w:w="127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 xml:space="preserve">4,768.30 </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 xml:space="preserve">3,979.78 </w:t>
            </w:r>
          </w:p>
        </w:tc>
        <w:tc>
          <w:tcPr>
            <w:tcW w:w="114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 xml:space="preserve">788.52 </w:t>
            </w:r>
          </w:p>
        </w:tc>
        <w:tc>
          <w:tcPr>
            <w:tcW w:w="105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83.46%</w:t>
            </w:r>
          </w:p>
        </w:tc>
      </w:tr>
      <w:tr w:rsidR="00A91EDB">
        <w:trPr>
          <w:trHeight w:val="480"/>
        </w:trPr>
        <w:tc>
          <w:tcPr>
            <w:tcW w:w="1653" w:type="dxa"/>
            <w:vMerge/>
            <w:tcBorders>
              <w:top w:val="single" w:sz="4" w:space="0" w:color="000000"/>
              <w:left w:val="single" w:sz="12" w:space="0" w:color="000000"/>
              <w:bottom w:val="single" w:sz="4" w:space="0" w:color="000000"/>
              <w:right w:val="single" w:sz="4" w:space="0" w:color="000000"/>
            </w:tcBorders>
            <w:noWrap/>
            <w:vAlign w:val="center"/>
          </w:tcPr>
          <w:p w:rsidR="00A91EDB" w:rsidRDefault="00A91EDB">
            <w:pPr>
              <w:jc w:val="center"/>
              <w:rPr>
                <w:rFonts w:ascii="仿宋_GB2312" w:eastAsia="仿宋_GB2312" w:hAnsi="仿宋_GB2312" w:cs="仿宋_GB2312"/>
                <w:b/>
                <w:bCs/>
                <w:color w:val="000000"/>
                <w:sz w:val="22"/>
              </w:rPr>
            </w:pPr>
          </w:p>
        </w:tc>
        <w:tc>
          <w:tcPr>
            <w:tcW w:w="229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对个人和家庭的补助</w:t>
            </w:r>
          </w:p>
        </w:tc>
        <w:tc>
          <w:tcPr>
            <w:tcW w:w="127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 xml:space="preserve">255.91 </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 xml:space="preserve">163.79 </w:t>
            </w:r>
          </w:p>
        </w:tc>
        <w:tc>
          <w:tcPr>
            <w:tcW w:w="114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 xml:space="preserve">92.12 </w:t>
            </w:r>
          </w:p>
        </w:tc>
        <w:tc>
          <w:tcPr>
            <w:tcW w:w="105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64.00%</w:t>
            </w:r>
          </w:p>
        </w:tc>
      </w:tr>
      <w:tr w:rsidR="00A91EDB">
        <w:trPr>
          <w:trHeight w:val="580"/>
        </w:trPr>
        <w:tc>
          <w:tcPr>
            <w:tcW w:w="1653" w:type="dxa"/>
            <w:vMerge/>
            <w:tcBorders>
              <w:top w:val="single" w:sz="4" w:space="0" w:color="000000"/>
              <w:left w:val="single" w:sz="12" w:space="0" w:color="000000"/>
              <w:bottom w:val="single" w:sz="12" w:space="0" w:color="000000"/>
              <w:right w:val="single" w:sz="4" w:space="0" w:color="000000"/>
            </w:tcBorders>
            <w:noWrap/>
            <w:vAlign w:val="center"/>
          </w:tcPr>
          <w:p w:rsidR="00A91EDB" w:rsidRDefault="00A91EDB">
            <w:pPr>
              <w:jc w:val="center"/>
              <w:rPr>
                <w:rFonts w:ascii="仿宋_GB2312" w:eastAsia="仿宋_GB2312" w:hAnsi="仿宋_GB2312" w:cs="仿宋_GB2312"/>
                <w:b/>
                <w:bCs/>
                <w:color w:val="000000"/>
                <w:sz w:val="22"/>
              </w:rPr>
            </w:pPr>
          </w:p>
        </w:tc>
        <w:tc>
          <w:tcPr>
            <w:tcW w:w="2295"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合计</w:t>
            </w:r>
          </w:p>
        </w:tc>
        <w:tc>
          <w:tcPr>
            <w:tcW w:w="1275"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 xml:space="preserve">5,024.21 </w:t>
            </w:r>
          </w:p>
        </w:tc>
        <w:tc>
          <w:tcPr>
            <w:tcW w:w="1215"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 xml:space="preserve">4,143.57 </w:t>
            </w:r>
          </w:p>
        </w:tc>
        <w:tc>
          <w:tcPr>
            <w:tcW w:w="1140"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 xml:space="preserve">880.64 </w:t>
            </w:r>
          </w:p>
        </w:tc>
        <w:tc>
          <w:tcPr>
            <w:tcW w:w="1059" w:type="dxa"/>
            <w:tcBorders>
              <w:top w:val="single" w:sz="4" w:space="0" w:color="000000"/>
              <w:left w:val="single" w:sz="4" w:space="0" w:color="000000"/>
              <w:bottom w:val="single" w:sz="12"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color w:val="000000"/>
                <w:kern w:val="0"/>
                <w:sz w:val="22"/>
              </w:rPr>
              <w:t>82.47%</w:t>
            </w:r>
          </w:p>
        </w:tc>
      </w:tr>
    </w:tbl>
    <w:bookmarkEnd w:id="93"/>
    <w:bookmarkEnd w:id="94"/>
    <w:p w:rsidR="00A91EDB" w:rsidRDefault="00E31F4D">
      <w:pPr>
        <w:pStyle w:val="a4"/>
        <w:snapToGrid w:val="0"/>
        <w:spacing w:line="580" w:lineRule="exact"/>
        <w:ind w:firstLineChars="200" w:firstLine="640"/>
        <w:jc w:val="both"/>
        <w:rPr>
          <w:rFonts w:ascii="仿宋_GB2312" w:eastAsia="仿宋_GB2312" w:hAnsi="仿宋" w:cs="仿宋"/>
          <w:sz w:val="32"/>
          <w:szCs w:val="32"/>
        </w:rPr>
      </w:pPr>
      <w:r>
        <w:rPr>
          <w:rFonts w:ascii="仿宋_GB2312" w:eastAsia="仿宋_GB2312" w:hAnsi="仿宋" w:cs="仿宋" w:hint="eastAsia"/>
          <w:sz w:val="32"/>
          <w:szCs w:val="32"/>
        </w:rPr>
        <w:t>本年基本支出人员经费预算可用总额5,024.21万元，支出4,143.57万元，预算执行率82.47%，其中：部机关本级执行率82.25%，质检中心执行率100%；工资福利支出预算执行率83.46%，对个人和家庭的补助预算执行率64%。结余880.64万元，其中：工资福利支出结余788.52万元，对个人和家庭的补助结余92.12万元。</w:t>
      </w:r>
    </w:p>
    <w:p w:rsidR="00A91EDB" w:rsidRDefault="00E31F4D" w:rsidP="004C22C5">
      <w:pPr>
        <w:pStyle w:val="3"/>
        <w:snapToGrid w:val="0"/>
        <w:spacing w:line="580" w:lineRule="exact"/>
        <w:ind w:firstLineChars="200" w:firstLine="643"/>
      </w:pPr>
      <w:bookmarkStart w:id="95" w:name="_Toc1441244559"/>
      <w:bookmarkStart w:id="96" w:name="_Toc233731129"/>
      <w:r>
        <w:rPr>
          <w:rFonts w:hint="eastAsia"/>
        </w:rPr>
        <w:t>3.</w:t>
      </w:r>
      <w:r>
        <w:rPr>
          <w:rFonts w:hint="eastAsia"/>
        </w:rPr>
        <w:t>公用经费预算及执行情况</w:t>
      </w:r>
      <w:bookmarkEnd w:id="95"/>
      <w:bookmarkEnd w:id="96"/>
    </w:p>
    <w:p w:rsidR="00A91EDB" w:rsidRDefault="00E31F4D">
      <w:pPr>
        <w:pStyle w:val="a0"/>
        <w:snapToGrid w:val="0"/>
        <w:spacing w:after="0" w:line="580" w:lineRule="exact"/>
        <w:ind w:firstLineChars="200" w:firstLine="640"/>
        <w:rPr>
          <w:rFonts w:ascii="仿宋_GB2312" w:eastAsia="仿宋_GB2312" w:hAnsi="仿宋" w:cs="仿宋"/>
          <w:kern w:val="0"/>
          <w:sz w:val="32"/>
          <w:szCs w:val="32"/>
        </w:rPr>
      </w:pPr>
      <w:r>
        <w:rPr>
          <w:rFonts w:ascii="仿宋_GB2312" w:eastAsia="仿宋_GB2312" w:hAnsi="仿宋" w:cs="仿宋" w:hint="eastAsia"/>
          <w:sz w:val="32"/>
          <w:szCs w:val="32"/>
        </w:rPr>
        <w:t>本年公用经费可用金额853.08万元，预算支出740.62万元，结余112.46万元，预算执行率86.98%，其中：办公费、差旅费等大多经费执行率达到或接近100%；</w:t>
      </w:r>
      <w:r>
        <w:rPr>
          <w:rFonts w:ascii="仿宋_GB2312" w:eastAsia="仿宋_GB2312" w:hAnsi="仿宋" w:cs="仿宋" w:hint="eastAsia"/>
          <w:kern w:val="0"/>
          <w:sz w:val="32"/>
          <w:szCs w:val="32"/>
        </w:rPr>
        <w:t>培训费、其他交通费用、邮电费预算执行率较低，分别为81.88%、80.38%、70.85%；福利费、公务接待费预算执行偏离较大，预算执行率分别为36.60%、27.03%。具体情况如下：</w:t>
      </w:r>
    </w:p>
    <w:tbl>
      <w:tblPr>
        <w:tblW w:w="8115" w:type="dxa"/>
        <w:jc w:val="center"/>
        <w:tblLayout w:type="fixed"/>
        <w:tblLook w:val="04A0"/>
      </w:tblPr>
      <w:tblGrid>
        <w:gridCol w:w="2341"/>
        <w:gridCol w:w="1680"/>
        <w:gridCol w:w="1425"/>
        <w:gridCol w:w="1290"/>
        <w:gridCol w:w="1379"/>
      </w:tblGrid>
      <w:tr w:rsidR="00A91EDB">
        <w:trPr>
          <w:trHeight w:val="446"/>
          <w:jc w:val="center"/>
        </w:trPr>
        <w:tc>
          <w:tcPr>
            <w:tcW w:w="2341" w:type="dxa"/>
            <w:tcBorders>
              <w:top w:val="single" w:sz="12"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经济分类名称</w:t>
            </w:r>
          </w:p>
        </w:tc>
        <w:tc>
          <w:tcPr>
            <w:tcW w:w="1680"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本年可用预算</w:t>
            </w:r>
          </w:p>
        </w:tc>
        <w:tc>
          <w:tcPr>
            <w:tcW w:w="1425"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预算支出</w:t>
            </w:r>
          </w:p>
        </w:tc>
        <w:tc>
          <w:tcPr>
            <w:tcW w:w="1290"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结转结余</w:t>
            </w:r>
          </w:p>
        </w:tc>
        <w:tc>
          <w:tcPr>
            <w:tcW w:w="1379" w:type="dxa"/>
            <w:tcBorders>
              <w:top w:val="single" w:sz="12" w:space="0" w:color="000000"/>
              <w:left w:val="single" w:sz="4" w:space="0" w:color="000000"/>
              <w:bottom w:val="single" w:sz="4" w:space="0" w:color="000000"/>
              <w:right w:val="single" w:sz="12"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预算执行率</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办公费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50.00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50.00</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0.00</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100.00%</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差旅费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80.00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80.00</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0.00</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100.00%</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工会经费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63.00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63.00</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0.00</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100.00%</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公车运行维护费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40.00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40.00</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0.00</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100.00%</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会议费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30.00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30.00</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0.00</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100.00%</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劳务费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40.00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40.00</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0.00</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100.00%</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其他商品和服务支出</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80.08</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80.08</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0.00</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100.00%</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水费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5.00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5.00</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0.00</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100.00%</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印刷费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20.00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20.00</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0.00</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100.00%</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lastRenderedPageBreak/>
              <w:t>电费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15.00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14.89</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0.11</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99.27%</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培训费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40.00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32.75</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7.25</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81.88%</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其他交通费用</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300.00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241.13</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58.87</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80.38%</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邮电费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40.00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28.34</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11.66</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70.85%</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福利费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20.00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7.32</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12.68</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36.60%</w:t>
            </w:r>
          </w:p>
        </w:tc>
      </w:tr>
      <w:tr w:rsidR="00A91EDB">
        <w:trPr>
          <w:trHeight w:val="288"/>
          <w:jc w:val="center"/>
        </w:trPr>
        <w:tc>
          <w:tcPr>
            <w:tcW w:w="2341"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公务接待费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30.00</w:t>
            </w:r>
          </w:p>
        </w:tc>
        <w:tc>
          <w:tcPr>
            <w:tcW w:w="14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8.11</w:t>
            </w:r>
          </w:p>
        </w:tc>
        <w:tc>
          <w:tcPr>
            <w:tcW w:w="129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21.89</w:t>
            </w:r>
          </w:p>
        </w:tc>
        <w:tc>
          <w:tcPr>
            <w:tcW w:w="1379"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sz w:val="22"/>
              </w:rPr>
            </w:pPr>
            <w:r>
              <w:rPr>
                <w:rFonts w:ascii="仿宋_GB2312" w:eastAsia="仿宋_GB2312" w:hAnsi="仿宋_GB2312" w:cs="仿宋_GB2312" w:hint="eastAsia"/>
                <w:kern w:val="0"/>
                <w:sz w:val="22"/>
              </w:rPr>
              <w:t>27.03%</w:t>
            </w:r>
          </w:p>
        </w:tc>
      </w:tr>
      <w:tr w:rsidR="00A91EDB">
        <w:trPr>
          <w:trHeight w:val="303"/>
          <w:jc w:val="center"/>
        </w:trPr>
        <w:tc>
          <w:tcPr>
            <w:tcW w:w="2341" w:type="dxa"/>
            <w:tcBorders>
              <w:top w:val="single" w:sz="4" w:space="0" w:color="000000"/>
              <w:left w:val="single" w:sz="12" w:space="0" w:color="000000"/>
              <w:bottom w:val="single" w:sz="12" w:space="0" w:color="000000"/>
              <w:right w:val="single" w:sz="4" w:space="0" w:color="000000"/>
            </w:tcBorders>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小计</w:t>
            </w:r>
          </w:p>
        </w:tc>
        <w:tc>
          <w:tcPr>
            <w:tcW w:w="1680"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853.08</w:t>
            </w:r>
          </w:p>
        </w:tc>
        <w:tc>
          <w:tcPr>
            <w:tcW w:w="1425"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740.62</w:t>
            </w:r>
          </w:p>
        </w:tc>
        <w:tc>
          <w:tcPr>
            <w:tcW w:w="1290"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112.46</w:t>
            </w:r>
          </w:p>
        </w:tc>
        <w:tc>
          <w:tcPr>
            <w:tcW w:w="1379" w:type="dxa"/>
            <w:tcBorders>
              <w:top w:val="single" w:sz="4" w:space="0" w:color="000000"/>
              <w:left w:val="single" w:sz="4" w:space="0" w:color="000000"/>
              <w:bottom w:val="single" w:sz="12"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86.98%</w:t>
            </w:r>
          </w:p>
        </w:tc>
      </w:tr>
    </w:tbl>
    <w:p w:rsidR="00A91EDB" w:rsidRDefault="00E31F4D" w:rsidP="004C22C5">
      <w:pPr>
        <w:pStyle w:val="3"/>
        <w:spacing w:line="580" w:lineRule="exact"/>
        <w:ind w:firstLineChars="200" w:firstLine="643"/>
      </w:pPr>
      <w:bookmarkStart w:id="97" w:name="_Toc1301990409"/>
      <w:bookmarkStart w:id="98" w:name="_Toc1237593537"/>
      <w:bookmarkStart w:id="99" w:name="_Toc8971"/>
      <w:bookmarkStart w:id="100" w:name="_Toc18799"/>
      <w:r>
        <w:rPr>
          <w:rFonts w:hint="eastAsia"/>
        </w:rPr>
        <w:t>4.</w:t>
      </w:r>
      <w:r>
        <w:rPr>
          <w:rFonts w:hint="eastAsia"/>
        </w:rPr>
        <w:t>基本支出预算执行偏离原因分析</w:t>
      </w:r>
      <w:bookmarkEnd w:id="97"/>
      <w:bookmarkEnd w:id="98"/>
    </w:p>
    <w:p w:rsidR="00A91EDB" w:rsidRDefault="00E31F4D">
      <w:pPr>
        <w:pStyle w:val="a4"/>
        <w:spacing w:line="580" w:lineRule="exact"/>
        <w:ind w:firstLineChars="200" w:firstLine="640"/>
        <w:jc w:val="both"/>
        <w:rPr>
          <w:rFonts w:ascii="仿宋_GB2312" w:eastAsia="仿宋_GB2312" w:hAnsi="仿宋" w:cs="仿宋"/>
          <w:sz w:val="32"/>
          <w:szCs w:val="32"/>
        </w:rPr>
      </w:pPr>
      <w:r>
        <w:rPr>
          <w:rFonts w:ascii="仿宋_GB2312" w:eastAsia="仿宋_GB2312" w:hAnsi="仿宋" w:cs="仿宋" w:hint="eastAsia"/>
          <w:sz w:val="32"/>
          <w:szCs w:val="32"/>
        </w:rPr>
        <w:t>基本支出预算执行率偏离较多的主要为福利费和公务接待费，主要原因为：一是2021年年终奖励发放政策调整，相关奖金调整至下年度发放；二是贯彻财政过紧日子思想，</w:t>
      </w:r>
      <w:r>
        <w:rPr>
          <w:rFonts w:ascii="仿宋_GB2312" w:eastAsia="仿宋_GB2312" w:hAnsi="仿宋_GB2312" w:cs="仿宋_GB2312" w:hint="eastAsia"/>
          <w:bCs/>
          <w:sz w:val="32"/>
          <w:szCs w:val="32"/>
        </w:rPr>
        <w:t>严格执行例行节约反对浪费的要求，加强了三公经费管理</w:t>
      </w:r>
      <w:r>
        <w:rPr>
          <w:rFonts w:ascii="仿宋_GB2312" w:eastAsia="仿宋_GB2312" w:hAnsi="仿宋" w:cs="仿宋" w:hint="eastAsia"/>
          <w:sz w:val="32"/>
          <w:szCs w:val="32"/>
        </w:rPr>
        <w:t>。</w:t>
      </w:r>
    </w:p>
    <w:p w:rsidR="00A91EDB" w:rsidRDefault="00E31F4D" w:rsidP="004C22C5">
      <w:pPr>
        <w:pStyle w:val="2"/>
        <w:spacing w:line="580" w:lineRule="exact"/>
        <w:ind w:firstLineChars="200" w:firstLine="643"/>
        <w:rPr>
          <w:rFonts w:ascii="楷体" w:eastAsia="楷体" w:hAnsi="楷体" w:cs="楷体"/>
        </w:rPr>
      </w:pPr>
      <w:bookmarkStart w:id="101" w:name="_Toc1749677068"/>
      <w:bookmarkStart w:id="102" w:name="_Toc1437605095"/>
      <w:bookmarkStart w:id="103" w:name="_Toc32127"/>
      <w:bookmarkStart w:id="104" w:name="_Toc4080"/>
      <w:bookmarkStart w:id="105" w:name="_Toc43020973"/>
      <w:bookmarkEnd w:id="99"/>
      <w:bookmarkEnd w:id="100"/>
      <w:r>
        <w:rPr>
          <w:rFonts w:ascii="楷体" w:eastAsia="楷体" w:hAnsi="楷体" w:cs="楷体" w:hint="eastAsia"/>
        </w:rPr>
        <w:t>（三）项目支出情况</w:t>
      </w:r>
      <w:bookmarkEnd w:id="101"/>
      <w:bookmarkEnd w:id="102"/>
    </w:p>
    <w:p w:rsidR="00A91EDB" w:rsidRDefault="00E31F4D">
      <w:pPr>
        <w:pStyle w:val="a0"/>
        <w:spacing w:after="0" w:line="580" w:lineRule="exact"/>
        <w:ind w:firstLineChars="200" w:firstLine="596"/>
        <w:rPr>
          <w:rFonts w:ascii="仿宋_GB2312" w:eastAsia="仿宋_GB2312" w:hAnsi="仿宋_GB2312" w:cs="仿宋_GB2312"/>
          <w:spacing w:val="-11"/>
        </w:rPr>
      </w:pPr>
      <w:r>
        <w:rPr>
          <w:rFonts w:ascii="仿宋_GB2312" w:eastAsia="仿宋_GB2312" w:hAnsi="仿宋_GB2312" w:cs="仿宋_GB2312" w:hint="eastAsia"/>
          <w:spacing w:val="-11"/>
          <w:sz w:val="32"/>
          <w:szCs w:val="32"/>
        </w:rPr>
        <w:t>根据通知要求，省文化事业、文化产业两个省级发展专项资金不纳入本次自评范围，因此本次自评项目为一般公共预算项目支出中的业务工作专项。</w:t>
      </w:r>
    </w:p>
    <w:p w:rsidR="00A91EDB" w:rsidRDefault="00E31F4D" w:rsidP="004C22C5">
      <w:pPr>
        <w:pStyle w:val="3"/>
        <w:spacing w:line="580" w:lineRule="exact"/>
        <w:ind w:firstLineChars="200" w:firstLine="643"/>
      </w:pPr>
      <w:bookmarkStart w:id="106" w:name="_Toc451652772"/>
      <w:bookmarkStart w:id="107" w:name="_Toc314245315"/>
      <w:bookmarkStart w:id="108" w:name="_Toc13464"/>
      <w:bookmarkStart w:id="109" w:name="_Toc19526"/>
      <w:r>
        <w:t>1.</w:t>
      </w:r>
      <w:r>
        <w:rPr>
          <w:rFonts w:hint="eastAsia"/>
        </w:rPr>
        <w:t>项目支出收支总额情况</w:t>
      </w:r>
      <w:bookmarkEnd w:id="106"/>
      <w:bookmarkEnd w:id="107"/>
      <w:bookmarkEnd w:id="108"/>
      <w:bookmarkEnd w:id="109"/>
    </w:p>
    <w:tbl>
      <w:tblPr>
        <w:tblW w:w="9007" w:type="dxa"/>
        <w:tblInd w:w="-29" w:type="dxa"/>
        <w:tblLayout w:type="fixed"/>
        <w:tblLook w:val="04A0"/>
      </w:tblPr>
      <w:tblGrid>
        <w:gridCol w:w="1193"/>
        <w:gridCol w:w="1155"/>
        <w:gridCol w:w="1185"/>
        <w:gridCol w:w="1200"/>
        <w:gridCol w:w="1065"/>
        <w:gridCol w:w="1125"/>
        <w:gridCol w:w="1202"/>
        <w:gridCol w:w="882"/>
      </w:tblGrid>
      <w:tr w:rsidR="00A91EDB">
        <w:trPr>
          <w:trHeight w:val="576"/>
        </w:trPr>
        <w:tc>
          <w:tcPr>
            <w:tcW w:w="1193" w:type="dxa"/>
            <w:tcBorders>
              <w:top w:val="single" w:sz="12" w:space="0" w:color="000000"/>
              <w:left w:val="single" w:sz="12"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预算单位</w:t>
            </w:r>
          </w:p>
        </w:tc>
        <w:tc>
          <w:tcPr>
            <w:tcW w:w="1155"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上年结余</w:t>
            </w:r>
          </w:p>
        </w:tc>
        <w:tc>
          <w:tcPr>
            <w:tcW w:w="1185"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本年预算</w:t>
            </w:r>
          </w:p>
        </w:tc>
        <w:tc>
          <w:tcPr>
            <w:tcW w:w="1200"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本年追加</w:t>
            </w:r>
          </w:p>
        </w:tc>
        <w:tc>
          <w:tcPr>
            <w:tcW w:w="1065"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合计</w:t>
            </w:r>
          </w:p>
        </w:tc>
        <w:tc>
          <w:tcPr>
            <w:tcW w:w="1125"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本年支出</w:t>
            </w:r>
          </w:p>
        </w:tc>
        <w:tc>
          <w:tcPr>
            <w:tcW w:w="1202"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本年结余</w:t>
            </w:r>
          </w:p>
        </w:tc>
        <w:tc>
          <w:tcPr>
            <w:tcW w:w="882" w:type="dxa"/>
            <w:tcBorders>
              <w:top w:val="single" w:sz="12" w:space="0" w:color="000000"/>
              <w:left w:val="single" w:sz="4" w:space="0" w:color="000000"/>
              <w:bottom w:val="single" w:sz="4" w:space="0" w:color="000000"/>
              <w:right w:val="single" w:sz="12" w:space="0" w:color="000000"/>
            </w:tcBorders>
            <w:vAlign w:val="center"/>
          </w:tcPr>
          <w:p w:rsidR="00A91EDB" w:rsidRDefault="00E31F4D">
            <w:pPr>
              <w:widowControl/>
              <w:jc w:val="left"/>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执行率</w:t>
            </w:r>
          </w:p>
        </w:tc>
      </w:tr>
      <w:tr w:rsidR="00A91EDB">
        <w:trPr>
          <w:trHeight w:val="401"/>
        </w:trPr>
        <w:tc>
          <w:tcPr>
            <w:tcW w:w="1193"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jc w:val="left"/>
              <w:textAlignment w:val="center"/>
              <w:rPr>
                <w:rFonts w:ascii="仿宋_GB2312" w:eastAsia="仿宋_GB2312" w:hAnsi="仿宋_GB2312" w:cs="仿宋_GB2312"/>
                <w:b/>
                <w:bCs/>
                <w:color w:val="000000"/>
                <w:sz w:val="18"/>
                <w:szCs w:val="18"/>
              </w:rPr>
            </w:pPr>
            <w:r>
              <w:rPr>
                <w:rFonts w:ascii="仿宋_GB2312" w:eastAsia="仿宋_GB2312" w:hAnsi="仿宋_GB2312" w:cs="仿宋_GB2312" w:hint="eastAsia"/>
                <w:color w:val="000000"/>
                <w:kern w:val="0"/>
                <w:sz w:val="18"/>
                <w:szCs w:val="18"/>
              </w:rPr>
              <w:t>部机关本级</w:t>
            </w:r>
          </w:p>
        </w:tc>
        <w:tc>
          <w:tcPr>
            <w:tcW w:w="115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967.20 </w:t>
            </w:r>
          </w:p>
        </w:tc>
        <w:tc>
          <w:tcPr>
            <w:tcW w:w="118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5,692.69 </w:t>
            </w:r>
          </w:p>
        </w:tc>
        <w:tc>
          <w:tcPr>
            <w:tcW w:w="120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4,602.16 </w:t>
            </w:r>
          </w:p>
        </w:tc>
        <w:tc>
          <w:tcPr>
            <w:tcW w:w="106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11,262.05 </w:t>
            </w:r>
          </w:p>
        </w:tc>
        <w:tc>
          <w:tcPr>
            <w:tcW w:w="11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9,659.52 </w:t>
            </w:r>
          </w:p>
        </w:tc>
        <w:tc>
          <w:tcPr>
            <w:tcW w:w="1202"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1,602.53 </w:t>
            </w:r>
          </w:p>
        </w:tc>
        <w:tc>
          <w:tcPr>
            <w:tcW w:w="882"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85.77%</w:t>
            </w:r>
          </w:p>
        </w:tc>
      </w:tr>
      <w:tr w:rsidR="00A91EDB">
        <w:trPr>
          <w:trHeight w:val="389"/>
        </w:trPr>
        <w:tc>
          <w:tcPr>
            <w:tcW w:w="1193"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jc w:val="left"/>
              <w:textAlignment w:val="center"/>
              <w:rPr>
                <w:rFonts w:ascii="仿宋_GB2312" w:eastAsia="仿宋_GB2312" w:hAnsi="仿宋_GB2312" w:cs="仿宋_GB2312"/>
                <w:b/>
                <w:bCs/>
                <w:color w:val="000000"/>
                <w:sz w:val="18"/>
                <w:szCs w:val="18"/>
              </w:rPr>
            </w:pPr>
            <w:r>
              <w:rPr>
                <w:rFonts w:ascii="仿宋_GB2312" w:eastAsia="仿宋_GB2312" w:hAnsi="仿宋_GB2312" w:cs="仿宋_GB2312" w:hint="eastAsia"/>
                <w:color w:val="000000"/>
                <w:kern w:val="0"/>
                <w:sz w:val="18"/>
                <w:szCs w:val="18"/>
              </w:rPr>
              <w:t>质检中心</w:t>
            </w:r>
          </w:p>
        </w:tc>
        <w:tc>
          <w:tcPr>
            <w:tcW w:w="115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89.24 </w:t>
            </w:r>
          </w:p>
        </w:tc>
        <w:tc>
          <w:tcPr>
            <w:tcW w:w="118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120.00 </w:t>
            </w:r>
          </w:p>
        </w:tc>
        <w:tc>
          <w:tcPr>
            <w:tcW w:w="120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80.00 </w:t>
            </w:r>
          </w:p>
        </w:tc>
        <w:tc>
          <w:tcPr>
            <w:tcW w:w="106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289.24 </w:t>
            </w:r>
          </w:p>
        </w:tc>
        <w:tc>
          <w:tcPr>
            <w:tcW w:w="112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261.98 </w:t>
            </w:r>
          </w:p>
        </w:tc>
        <w:tc>
          <w:tcPr>
            <w:tcW w:w="1202"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 xml:space="preserve">27.25 </w:t>
            </w:r>
          </w:p>
        </w:tc>
        <w:tc>
          <w:tcPr>
            <w:tcW w:w="882"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18"/>
                <w:szCs w:val="18"/>
              </w:rPr>
            </w:pPr>
            <w:r>
              <w:rPr>
                <w:rFonts w:ascii="仿宋_GB2312" w:eastAsia="仿宋_GB2312" w:hAnsi="仿宋_GB2312" w:cs="仿宋_GB2312" w:hint="eastAsia"/>
                <w:color w:val="000000"/>
                <w:kern w:val="0"/>
                <w:sz w:val="18"/>
                <w:szCs w:val="18"/>
              </w:rPr>
              <w:t>90.58%</w:t>
            </w:r>
          </w:p>
        </w:tc>
      </w:tr>
      <w:tr w:rsidR="00A91EDB">
        <w:trPr>
          <w:trHeight w:val="388"/>
        </w:trPr>
        <w:tc>
          <w:tcPr>
            <w:tcW w:w="1193" w:type="dxa"/>
            <w:tcBorders>
              <w:top w:val="single" w:sz="4" w:space="0" w:color="000000"/>
              <w:left w:val="single" w:sz="12" w:space="0" w:color="000000"/>
              <w:bottom w:val="single" w:sz="12" w:space="0" w:color="000000"/>
              <w:right w:val="single" w:sz="4" w:space="0" w:color="000000"/>
            </w:tcBorders>
            <w:noWrap/>
            <w:vAlign w:val="center"/>
          </w:tcPr>
          <w:p w:rsidR="00A91EDB" w:rsidRDefault="00E31F4D">
            <w:pPr>
              <w:widowControl/>
              <w:jc w:val="center"/>
              <w:textAlignment w:val="center"/>
              <w:rPr>
                <w:rFonts w:ascii="仿宋_GB2312" w:eastAsia="仿宋_GB2312" w:hAnsi="仿宋_GB2312" w:cs="仿宋_GB2312"/>
                <w:b/>
                <w:bCs/>
                <w:color w:val="000000"/>
                <w:sz w:val="18"/>
                <w:szCs w:val="18"/>
              </w:rPr>
            </w:pPr>
            <w:r>
              <w:rPr>
                <w:rFonts w:ascii="仿宋_GB2312" w:eastAsia="仿宋_GB2312" w:hAnsi="仿宋_GB2312" w:cs="仿宋_GB2312" w:hint="eastAsia"/>
                <w:b/>
                <w:bCs/>
                <w:color w:val="000000"/>
                <w:kern w:val="0"/>
                <w:sz w:val="18"/>
                <w:szCs w:val="18"/>
              </w:rPr>
              <w:t>合计</w:t>
            </w:r>
          </w:p>
        </w:tc>
        <w:tc>
          <w:tcPr>
            <w:tcW w:w="1155"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18"/>
                <w:szCs w:val="18"/>
              </w:rPr>
            </w:pPr>
            <w:r>
              <w:rPr>
                <w:rFonts w:ascii="仿宋_GB2312" w:eastAsia="仿宋_GB2312" w:hAnsi="仿宋_GB2312" w:cs="仿宋_GB2312" w:hint="eastAsia"/>
                <w:b/>
                <w:bCs/>
                <w:color w:val="000000"/>
                <w:kern w:val="0"/>
                <w:sz w:val="18"/>
                <w:szCs w:val="18"/>
              </w:rPr>
              <w:t xml:space="preserve">1,056.44 </w:t>
            </w:r>
          </w:p>
        </w:tc>
        <w:tc>
          <w:tcPr>
            <w:tcW w:w="1185"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18"/>
                <w:szCs w:val="18"/>
              </w:rPr>
            </w:pPr>
            <w:r>
              <w:rPr>
                <w:rFonts w:ascii="仿宋_GB2312" w:eastAsia="仿宋_GB2312" w:hAnsi="仿宋_GB2312" w:cs="仿宋_GB2312" w:hint="eastAsia"/>
                <w:b/>
                <w:bCs/>
                <w:color w:val="000000"/>
                <w:kern w:val="0"/>
                <w:sz w:val="18"/>
                <w:szCs w:val="18"/>
              </w:rPr>
              <w:t xml:space="preserve">5,812.69 </w:t>
            </w:r>
          </w:p>
        </w:tc>
        <w:tc>
          <w:tcPr>
            <w:tcW w:w="1200"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18"/>
                <w:szCs w:val="18"/>
              </w:rPr>
            </w:pPr>
            <w:r>
              <w:rPr>
                <w:rFonts w:ascii="仿宋_GB2312" w:eastAsia="仿宋_GB2312" w:hAnsi="仿宋_GB2312" w:cs="仿宋_GB2312" w:hint="eastAsia"/>
                <w:b/>
                <w:bCs/>
                <w:color w:val="000000"/>
                <w:kern w:val="0"/>
                <w:sz w:val="18"/>
                <w:szCs w:val="18"/>
              </w:rPr>
              <w:t xml:space="preserve">4,682.16 </w:t>
            </w:r>
          </w:p>
        </w:tc>
        <w:tc>
          <w:tcPr>
            <w:tcW w:w="1065"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18"/>
                <w:szCs w:val="18"/>
              </w:rPr>
            </w:pPr>
            <w:r>
              <w:rPr>
                <w:rFonts w:ascii="仿宋_GB2312" w:eastAsia="仿宋_GB2312" w:hAnsi="仿宋_GB2312" w:cs="仿宋_GB2312" w:hint="eastAsia"/>
                <w:b/>
                <w:bCs/>
                <w:color w:val="000000"/>
                <w:kern w:val="0"/>
                <w:sz w:val="18"/>
                <w:szCs w:val="18"/>
              </w:rPr>
              <w:t xml:space="preserve">11,551.29 </w:t>
            </w:r>
          </w:p>
        </w:tc>
        <w:tc>
          <w:tcPr>
            <w:tcW w:w="1125"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18"/>
                <w:szCs w:val="18"/>
              </w:rPr>
            </w:pPr>
            <w:r>
              <w:rPr>
                <w:rFonts w:ascii="仿宋_GB2312" w:eastAsia="仿宋_GB2312" w:hAnsi="仿宋_GB2312" w:cs="仿宋_GB2312" w:hint="eastAsia"/>
                <w:b/>
                <w:bCs/>
                <w:color w:val="000000"/>
                <w:kern w:val="0"/>
                <w:sz w:val="18"/>
                <w:szCs w:val="18"/>
              </w:rPr>
              <w:t xml:space="preserve">9,921.50 </w:t>
            </w:r>
          </w:p>
        </w:tc>
        <w:tc>
          <w:tcPr>
            <w:tcW w:w="1202"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18"/>
                <w:szCs w:val="18"/>
              </w:rPr>
            </w:pPr>
            <w:r>
              <w:rPr>
                <w:rFonts w:ascii="仿宋_GB2312" w:eastAsia="仿宋_GB2312" w:hAnsi="仿宋_GB2312" w:cs="仿宋_GB2312" w:hint="eastAsia"/>
                <w:b/>
                <w:bCs/>
                <w:color w:val="000000"/>
                <w:kern w:val="0"/>
                <w:sz w:val="18"/>
                <w:szCs w:val="18"/>
              </w:rPr>
              <w:t xml:space="preserve">1,629.78 </w:t>
            </w:r>
          </w:p>
        </w:tc>
        <w:tc>
          <w:tcPr>
            <w:tcW w:w="882" w:type="dxa"/>
            <w:tcBorders>
              <w:top w:val="single" w:sz="4" w:space="0" w:color="000000"/>
              <w:left w:val="single" w:sz="4" w:space="0" w:color="000000"/>
              <w:bottom w:val="single" w:sz="12"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18"/>
                <w:szCs w:val="18"/>
              </w:rPr>
            </w:pPr>
            <w:r>
              <w:rPr>
                <w:rFonts w:ascii="仿宋_GB2312" w:eastAsia="仿宋_GB2312" w:hAnsi="仿宋_GB2312" w:cs="仿宋_GB2312" w:hint="eastAsia"/>
                <w:b/>
                <w:bCs/>
                <w:color w:val="000000"/>
                <w:kern w:val="0"/>
                <w:sz w:val="18"/>
                <w:szCs w:val="18"/>
              </w:rPr>
              <w:t>85.89%</w:t>
            </w:r>
          </w:p>
        </w:tc>
      </w:tr>
    </w:tbl>
    <w:p w:rsidR="00A91EDB" w:rsidRDefault="00E31F4D">
      <w:pPr>
        <w:pStyle w:val="a4"/>
        <w:tabs>
          <w:tab w:val="left" w:pos="1276"/>
        </w:tabs>
        <w:spacing w:line="580" w:lineRule="exact"/>
        <w:ind w:firstLineChars="200" w:firstLine="640"/>
        <w:jc w:val="both"/>
        <w:rPr>
          <w:rFonts w:ascii="仿宋_GB2312" w:eastAsia="仿宋_GB2312" w:hAnsi="仿宋" w:cs="仿宋"/>
          <w:sz w:val="32"/>
          <w:szCs w:val="32"/>
        </w:rPr>
      </w:pPr>
      <w:r>
        <w:rPr>
          <w:rFonts w:ascii="仿宋_GB2312" w:eastAsia="仿宋_GB2312" w:hAnsi="仿宋" w:cs="仿宋" w:hint="eastAsia"/>
          <w:sz w:val="32"/>
          <w:szCs w:val="32"/>
        </w:rPr>
        <w:t>本年项目支出可用预算合计11,551.29万元。其中部机关本级可用预算11,262.05万元，质检中心289.24万元。本年项目支出合计9,921.50万元，预算执行率85.89%，其中部机关本级85.77%，质检中心预算执行率90.58%。结转结余1,629.78万元。</w:t>
      </w:r>
    </w:p>
    <w:p w:rsidR="00A91EDB" w:rsidRDefault="00E31F4D" w:rsidP="004C22C5">
      <w:pPr>
        <w:pStyle w:val="3"/>
        <w:spacing w:line="580" w:lineRule="exact"/>
        <w:ind w:firstLineChars="200" w:firstLine="643"/>
      </w:pPr>
      <w:bookmarkStart w:id="110" w:name="_Toc1493625638"/>
      <w:bookmarkStart w:id="111" w:name="_Toc831192758"/>
      <w:bookmarkEnd w:id="103"/>
      <w:bookmarkEnd w:id="104"/>
      <w:bookmarkEnd w:id="105"/>
      <w:r>
        <w:lastRenderedPageBreak/>
        <w:t>2.</w:t>
      </w:r>
      <w:bookmarkStart w:id="112" w:name="_Toc3106"/>
      <w:bookmarkStart w:id="113" w:name="_Toc16200"/>
      <w:r>
        <w:rPr>
          <w:rFonts w:hint="eastAsia"/>
        </w:rPr>
        <w:t>项目支出预算安排情况</w:t>
      </w:r>
      <w:bookmarkEnd w:id="110"/>
      <w:bookmarkEnd w:id="111"/>
      <w:bookmarkEnd w:id="112"/>
      <w:bookmarkEnd w:id="113"/>
    </w:p>
    <w:p w:rsidR="00A91EDB" w:rsidRDefault="00E31F4D">
      <w:pPr>
        <w:spacing w:line="580" w:lineRule="exact"/>
        <w:ind w:firstLine="640"/>
        <w:rPr>
          <w:rFonts w:ascii="仿宋_GB2312" w:eastAsia="仿宋_GB2312" w:hAnsi="仿宋" w:cs="仿宋"/>
          <w:sz w:val="32"/>
          <w:szCs w:val="32"/>
        </w:rPr>
      </w:pPr>
      <w:r>
        <w:rPr>
          <w:rFonts w:ascii="仿宋_GB2312" w:eastAsia="仿宋_GB2312" w:hAnsi="仿宋" w:cs="仿宋" w:hint="eastAsia"/>
          <w:sz w:val="32"/>
          <w:szCs w:val="32"/>
        </w:rPr>
        <w:t>我部业务工作专项本年合计50个，其中部机关本级专项48个，质检中心专项2个。</w:t>
      </w:r>
    </w:p>
    <w:p w:rsidR="00A91EDB" w:rsidRDefault="00E31F4D">
      <w:pPr>
        <w:spacing w:line="580" w:lineRule="exact"/>
        <w:ind w:firstLine="640"/>
        <w:rPr>
          <w:rFonts w:ascii="仿宋_GB2312" w:eastAsia="仿宋_GB2312" w:hAnsi="仿宋" w:cs="仿宋"/>
          <w:sz w:val="32"/>
          <w:szCs w:val="32"/>
        </w:rPr>
      </w:pPr>
      <w:r>
        <w:rPr>
          <w:rFonts w:ascii="仿宋_GB2312" w:eastAsia="仿宋_GB2312" w:hAnsi="仿宋" w:cs="仿宋" w:hint="eastAsia"/>
          <w:sz w:val="32"/>
          <w:szCs w:val="32"/>
        </w:rPr>
        <w:t>部机关专项中，上年结转项目3个，预算资金431.87万元；年初预算安排36个，预算资金5,692.69万元；本年追加项目9个，追加业务工作经费4,602.16万元。各业务工作专项预算执行情况详见附表。</w:t>
      </w:r>
    </w:p>
    <w:p w:rsidR="00A91EDB" w:rsidRDefault="00E31F4D" w:rsidP="004C22C5">
      <w:pPr>
        <w:pStyle w:val="3"/>
        <w:spacing w:line="580" w:lineRule="exact"/>
        <w:ind w:firstLineChars="200" w:firstLine="643"/>
      </w:pPr>
      <w:bookmarkStart w:id="114" w:name="_Toc289062885"/>
      <w:bookmarkStart w:id="115" w:name="_Toc2043659392"/>
      <w:r>
        <w:rPr>
          <w:rFonts w:hint="eastAsia"/>
        </w:rPr>
        <w:t>3.</w:t>
      </w:r>
      <w:r>
        <w:rPr>
          <w:rFonts w:hint="eastAsia"/>
        </w:rPr>
        <w:t>项目支出预算执行及完成情况</w:t>
      </w:r>
      <w:bookmarkEnd w:id="114"/>
      <w:bookmarkEnd w:id="115"/>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部机关48个业务工作专项中：</w:t>
      </w:r>
    </w:p>
    <w:p w:rsidR="00A91EDB" w:rsidRDefault="00E31F4D">
      <w:pPr>
        <w:pStyle w:val="a0"/>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（1）预算执行率在</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以上的业务专项27个，合计项目预算可用资金7,149.19万元，支出7,021.05万元，平均预算执行率98.2%。</w:t>
      </w:r>
    </w:p>
    <w:p w:rsidR="00A91EDB" w:rsidRDefault="00E31F4D">
      <w:pPr>
        <w:pStyle w:val="a0"/>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预算执行率80%-90%之间的业务专项7个，合计项目预算可用资金1,147.23万元，预算支出987.21万元，平均预算执行率86.1%，未达到90%，主要原因为：一是部分项目采取委托承办方式，严控委托业务费等采购成本；二是部分项目未到合同支付节点，如“第二届中非经贸博览会经费”项目等；三是部分专项因工作计划调整，如“道德模范帮扶”项目经费，因会议延迟到2022年度开展形成。</w:t>
      </w:r>
    </w:p>
    <w:p w:rsidR="00A91EDB" w:rsidRDefault="00E31F4D">
      <w:pPr>
        <w:pStyle w:val="a0"/>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sz w:val="32"/>
          <w:szCs w:val="32"/>
        </w:rPr>
        <w:t>预算执行率在80%以下</w:t>
      </w:r>
      <w:r>
        <w:rPr>
          <w:rFonts w:ascii="仿宋_GB2312" w:eastAsia="仿宋_GB2312" w:hAnsi="仿宋_GB2312" w:cs="仿宋_GB2312" w:hint="eastAsia"/>
          <w:sz w:val="32"/>
          <w:szCs w:val="32"/>
        </w:rPr>
        <w:t>的</w:t>
      </w:r>
      <w:r>
        <w:rPr>
          <w:rFonts w:ascii="仿宋_GB2312" w:eastAsia="仿宋_GB2312" w:hAnsi="仿宋_GB2312" w:cs="仿宋_GB2312"/>
          <w:sz w:val="32"/>
          <w:szCs w:val="32"/>
        </w:rPr>
        <w:t>专项14个</w:t>
      </w:r>
      <w:r>
        <w:rPr>
          <w:rFonts w:ascii="仿宋_GB2312" w:eastAsia="仿宋_GB2312" w:hAnsi="仿宋_GB2312" w:cs="仿宋_GB2312" w:hint="eastAsia"/>
          <w:sz w:val="32"/>
          <w:szCs w:val="32"/>
        </w:rPr>
        <w:t>，其中4个专项经费支出预算执行率为0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合计项目预算可用资金2,965.63万元，预算支出1,651.27万元，平均预算执行率55.7%。执行率较低的主要原因为：部分项目因疫情原因未开展，如</w:t>
      </w:r>
      <w:r>
        <w:rPr>
          <w:rFonts w:ascii="仿宋_GB2312" w:eastAsia="仿宋_GB2312" w:hAnsi="仿宋_GB2312" w:cs="仿宋_GB2312"/>
          <w:sz w:val="32"/>
          <w:szCs w:val="32"/>
        </w:rPr>
        <w:t>“出国</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境</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经费”</w:t>
      </w:r>
      <w:r>
        <w:rPr>
          <w:rFonts w:ascii="仿宋_GB2312" w:eastAsia="仿宋_GB2312" w:hAnsi="仿宋_GB2312" w:cs="仿宋_GB2312" w:hint="eastAsia"/>
          <w:sz w:val="32"/>
          <w:szCs w:val="32"/>
        </w:rPr>
        <w:t>项目</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部分专项年中调整工作计划或工作内容，</w:t>
      </w:r>
      <w:r>
        <w:rPr>
          <w:rFonts w:ascii="仿宋_GB2312" w:eastAsia="仿宋_GB2312" w:hAnsi="仿宋_GB2312" w:cs="仿宋_GB2312" w:hint="eastAsia"/>
          <w:sz w:val="32"/>
          <w:szCs w:val="32"/>
        </w:rPr>
        <w:lastRenderedPageBreak/>
        <w:t>影响了预算执行率，</w:t>
      </w:r>
      <w:r>
        <w:rPr>
          <w:rFonts w:ascii="仿宋_GB2312" w:eastAsia="仿宋_GB2312" w:hAnsi="仿宋_GB2312" w:cs="仿宋_GB2312"/>
          <w:sz w:val="32"/>
          <w:szCs w:val="32"/>
        </w:rPr>
        <w:t>如</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央媒上稿奖</w:t>
      </w:r>
      <w:r>
        <w:rPr>
          <w:rFonts w:ascii="仿宋_GB2312" w:eastAsia="仿宋_GB2312" w:hAnsi="仿宋_GB2312" w:cs="仿宋_GB2312" w:hint="eastAsia"/>
          <w:sz w:val="32"/>
          <w:szCs w:val="32"/>
        </w:rPr>
        <w:t>”“意识形态工作经费”等10个专项；部分项目因经办处室未按期提交经费申请等原因，未及时完成支付，如“中国旅法勤工俭学法国蒙达尔纪纪念馆运转经费”等。</w:t>
      </w:r>
    </w:p>
    <w:p w:rsidR="00A91EDB" w:rsidRDefault="00E31F4D">
      <w:pPr>
        <w:adjustRightInd w:val="0"/>
        <w:snapToGrid w:val="0"/>
        <w:spacing w:line="580" w:lineRule="exact"/>
        <w:ind w:firstLineChars="200" w:firstLine="640"/>
        <w:rPr>
          <w:rFonts w:eastAsia="仿宋_GB2312"/>
        </w:rPr>
      </w:pPr>
      <w:r>
        <w:rPr>
          <w:rFonts w:ascii="仿宋_GB2312" w:eastAsia="仿宋_GB2312" w:hAnsi="仿宋" w:cs="仿宋" w:hint="eastAsia"/>
          <w:sz w:val="32"/>
          <w:szCs w:val="32"/>
        </w:rPr>
        <w:t>质检中心</w:t>
      </w:r>
      <w:r>
        <w:rPr>
          <w:rFonts w:ascii="仿宋_GB2312" w:eastAsia="仿宋_GB2312" w:hAnsi="仿宋_GB2312" w:cs="仿宋_GB2312" w:hint="eastAsia"/>
          <w:sz w:val="32"/>
          <w:szCs w:val="32"/>
        </w:rPr>
        <w:t>业务工作专项2个，</w:t>
      </w:r>
      <w:r>
        <w:rPr>
          <w:rFonts w:ascii="仿宋_GB2312" w:eastAsia="仿宋_GB2312" w:hAnsi="仿宋" w:cs="仿宋" w:hint="eastAsia"/>
          <w:sz w:val="32"/>
          <w:szCs w:val="32"/>
        </w:rPr>
        <w:t>为“出版物鉴定检测专项工作经费”“公共文化服务体系建设绩效奖励”经费合计289.24万元（其中上年结转89.24万元，本年追加200万元）。</w:t>
      </w:r>
      <w:r>
        <w:rPr>
          <w:rFonts w:ascii="仿宋_GB2312" w:eastAsia="仿宋_GB2312" w:hAnsi="仿宋_GB2312" w:cs="仿宋_GB2312" w:hint="eastAsia"/>
          <w:sz w:val="32"/>
          <w:szCs w:val="32"/>
        </w:rPr>
        <w:t>预算执行率分别为91.09%、90.04</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 xml:space="preserve">。 </w:t>
      </w:r>
    </w:p>
    <w:p w:rsidR="00A91EDB" w:rsidRDefault="00E31F4D" w:rsidP="004C22C5">
      <w:pPr>
        <w:pStyle w:val="2"/>
        <w:spacing w:line="580" w:lineRule="exact"/>
        <w:ind w:firstLineChars="200" w:firstLine="643"/>
        <w:rPr>
          <w:rFonts w:ascii="楷体" w:eastAsia="楷体" w:hAnsi="楷体" w:cs="楷体"/>
        </w:rPr>
      </w:pPr>
      <w:bookmarkStart w:id="116" w:name="_Toc1407570003"/>
      <w:bookmarkStart w:id="117" w:name="_Toc32001"/>
      <w:bookmarkStart w:id="118" w:name="_Toc6350"/>
      <w:bookmarkStart w:id="119" w:name="_Toc4260"/>
      <w:bookmarkStart w:id="120" w:name="_Toc2043"/>
      <w:bookmarkStart w:id="121" w:name="_Toc10635"/>
      <w:bookmarkStart w:id="122" w:name="_Toc259516413"/>
      <w:bookmarkStart w:id="123" w:name="_Toc14113"/>
      <w:bookmarkStart w:id="124" w:name="_Toc32325"/>
      <w:bookmarkStart w:id="125" w:name="_Toc43020975"/>
      <w:r>
        <w:rPr>
          <w:rFonts w:ascii="楷体" w:eastAsia="楷体" w:hAnsi="楷体" w:cs="楷体" w:hint="eastAsia"/>
        </w:rPr>
        <w:t>（四）三公经费预算及执行情况</w:t>
      </w:r>
      <w:bookmarkEnd w:id="116"/>
      <w:bookmarkEnd w:id="117"/>
      <w:bookmarkEnd w:id="118"/>
      <w:bookmarkEnd w:id="119"/>
      <w:bookmarkEnd w:id="120"/>
      <w:bookmarkEnd w:id="121"/>
      <w:bookmarkEnd w:id="122"/>
      <w:bookmarkEnd w:id="123"/>
      <w:bookmarkEnd w:id="124"/>
    </w:p>
    <w:p w:rsidR="00A91EDB" w:rsidRDefault="00E31F4D" w:rsidP="004C22C5">
      <w:pPr>
        <w:pStyle w:val="3"/>
        <w:spacing w:line="580" w:lineRule="exact"/>
        <w:ind w:firstLineChars="200" w:firstLine="643"/>
      </w:pPr>
      <w:bookmarkStart w:id="126" w:name="_Toc851808298"/>
      <w:bookmarkStart w:id="127" w:name="_Toc389413806"/>
      <w:r>
        <w:rPr>
          <w:rFonts w:hint="eastAsia"/>
        </w:rPr>
        <w:t>1.</w:t>
      </w:r>
      <w:r>
        <w:rPr>
          <w:rFonts w:hint="eastAsia"/>
        </w:rPr>
        <w:t>“三公经费”总体预算及执行情况</w:t>
      </w:r>
      <w:bookmarkEnd w:id="126"/>
      <w:bookmarkEnd w:id="127"/>
    </w:p>
    <w:p w:rsidR="00A91EDB" w:rsidRDefault="00E31F4D">
      <w:pPr>
        <w:pStyle w:val="a0"/>
        <w:spacing w:after="0" w:line="580" w:lineRule="exact"/>
        <w:ind w:firstLine="640"/>
        <w:rPr>
          <w:rFonts w:ascii="仿宋_GB2312" w:eastAsia="仿宋_GB2312" w:hAnsi="仿宋_GB2312" w:cs="仿宋_GB2312"/>
          <w:bCs/>
          <w:sz w:val="32"/>
          <w:szCs w:val="32"/>
        </w:rPr>
      </w:pPr>
      <w:r>
        <w:rPr>
          <w:rFonts w:ascii="仿宋_GB2312" w:eastAsia="仿宋_GB2312" w:hAnsi="仿宋_GB2312" w:cs="仿宋_GB2312" w:hint="eastAsia"/>
          <w:sz w:val="32"/>
          <w:szCs w:val="32"/>
        </w:rPr>
        <w:t>部机关本级“三公经费”预算合计203.00万元，本年支出120.60万元，执行率为59.4%，</w:t>
      </w:r>
      <w:r>
        <w:rPr>
          <w:rFonts w:ascii="仿宋_GB2312" w:eastAsia="仿宋_GB2312" w:hAnsi="仿宋_GB2312" w:cs="仿宋_GB2312" w:hint="eastAsia"/>
          <w:bCs/>
          <w:sz w:val="32"/>
          <w:szCs w:val="32"/>
        </w:rPr>
        <w:t>其中：公车购置、公车运行使用费预算执行率较高，分别为100%、85.02%；公务接待费预算执行率18.02%，出国出境费预算执行率为0。本年结余82.40万元，结余率40.59</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w:t>
      </w:r>
    </w:p>
    <w:tbl>
      <w:tblPr>
        <w:tblW w:w="8291" w:type="dxa"/>
        <w:tblInd w:w="159" w:type="dxa"/>
        <w:tblLayout w:type="fixed"/>
        <w:tblLook w:val="04A0"/>
      </w:tblPr>
      <w:tblGrid>
        <w:gridCol w:w="2335"/>
        <w:gridCol w:w="1636"/>
        <w:gridCol w:w="1473"/>
        <w:gridCol w:w="1276"/>
        <w:gridCol w:w="1571"/>
      </w:tblGrid>
      <w:tr w:rsidR="00A91EDB">
        <w:trPr>
          <w:trHeight w:val="654"/>
        </w:trPr>
        <w:tc>
          <w:tcPr>
            <w:tcW w:w="2335" w:type="dxa"/>
            <w:tcBorders>
              <w:top w:val="single" w:sz="12"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科目</w:t>
            </w:r>
          </w:p>
        </w:tc>
        <w:tc>
          <w:tcPr>
            <w:tcW w:w="1636"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本年预算</w:t>
            </w:r>
          </w:p>
        </w:tc>
        <w:tc>
          <w:tcPr>
            <w:tcW w:w="1473"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本年支出</w:t>
            </w:r>
          </w:p>
        </w:tc>
        <w:tc>
          <w:tcPr>
            <w:tcW w:w="1276"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年末结余</w:t>
            </w:r>
          </w:p>
        </w:tc>
        <w:tc>
          <w:tcPr>
            <w:tcW w:w="1571" w:type="dxa"/>
            <w:tcBorders>
              <w:top w:val="single" w:sz="12"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预算执行率</w:t>
            </w:r>
          </w:p>
        </w:tc>
      </w:tr>
      <w:tr w:rsidR="00A91EDB">
        <w:trPr>
          <w:trHeight w:val="594"/>
        </w:trPr>
        <w:tc>
          <w:tcPr>
            <w:tcW w:w="2335"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公务接待费</w:t>
            </w:r>
          </w:p>
        </w:tc>
        <w:tc>
          <w:tcPr>
            <w:tcW w:w="1636"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45.00 </w:t>
            </w:r>
          </w:p>
        </w:tc>
        <w:tc>
          <w:tcPr>
            <w:tcW w:w="1473"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8.11 </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36.89 </w:t>
            </w:r>
          </w:p>
        </w:tc>
        <w:tc>
          <w:tcPr>
            <w:tcW w:w="1571"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18.02%</w:t>
            </w:r>
          </w:p>
        </w:tc>
      </w:tr>
      <w:tr w:rsidR="00A91EDB">
        <w:trPr>
          <w:trHeight w:val="650"/>
        </w:trPr>
        <w:tc>
          <w:tcPr>
            <w:tcW w:w="2335"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公车运行使用费</w:t>
            </w:r>
          </w:p>
        </w:tc>
        <w:tc>
          <w:tcPr>
            <w:tcW w:w="1636"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70.15 </w:t>
            </w:r>
          </w:p>
        </w:tc>
        <w:tc>
          <w:tcPr>
            <w:tcW w:w="1473"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59.64 </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10.51 </w:t>
            </w:r>
          </w:p>
        </w:tc>
        <w:tc>
          <w:tcPr>
            <w:tcW w:w="1571"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85.02%</w:t>
            </w:r>
          </w:p>
        </w:tc>
      </w:tr>
      <w:tr w:rsidR="00A91EDB">
        <w:trPr>
          <w:trHeight w:val="634"/>
        </w:trPr>
        <w:tc>
          <w:tcPr>
            <w:tcW w:w="2335"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公车购置</w:t>
            </w:r>
          </w:p>
        </w:tc>
        <w:tc>
          <w:tcPr>
            <w:tcW w:w="1636"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52.85 </w:t>
            </w:r>
          </w:p>
        </w:tc>
        <w:tc>
          <w:tcPr>
            <w:tcW w:w="1473"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52.85 </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0.00 </w:t>
            </w:r>
          </w:p>
        </w:tc>
        <w:tc>
          <w:tcPr>
            <w:tcW w:w="1571"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100.0%</w:t>
            </w:r>
          </w:p>
        </w:tc>
      </w:tr>
      <w:tr w:rsidR="00A91EDB">
        <w:trPr>
          <w:trHeight w:val="716"/>
        </w:trPr>
        <w:tc>
          <w:tcPr>
            <w:tcW w:w="2335"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出国出境费</w:t>
            </w:r>
          </w:p>
        </w:tc>
        <w:tc>
          <w:tcPr>
            <w:tcW w:w="1636"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35.00 </w:t>
            </w:r>
          </w:p>
        </w:tc>
        <w:tc>
          <w:tcPr>
            <w:tcW w:w="1473"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0.00 </w:t>
            </w:r>
          </w:p>
        </w:tc>
        <w:tc>
          <w:tcPr>
            <w:tcW w:w="1276"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35.00 </w:t>
            </w:r>
          </w:p>
        </w:tc>
        <w:tc>
          <w:tcPr>
            <w:tcW w:w="1571"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0.0%</w:t>
            </w:r>
          </w:p>
        </w:tc>
      </w:tr>
      <w:tr w:rsidR="00A91EDB">
        <w:trPr>
          <w:trHeight w:val="848"/>
        </w:trPr>
        <w:tc>
          <w:tcPr>
            <w:tcW w:w="2335" w:type="dxa"/>
            <w:tcBorders>
              <w:top w:val="single" w:sz="4" w:space="0" w:color="000000"/>
              <w:left w:val="single" w:sz="12"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合计</w:t>
            </w:r>
          </w:p>
        </w:tc>
        <w:tc>
          <w:tcPr>
            <w:tcW w:w="1636"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203.00 </w:t>
            </w:r>
          </w:p>
        </w:tc>
        <w:tc>
          <w:tcPr>
            <w:tcW w:w="1473"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120.60 </w:t>
            </w:r>
          </w:p>
        </w:tc>
        <w:tc>
          <w:tcPr>
            <w:tcW w:w="1276"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 xml:space="preserve">82.40 </w:t>
            </w:r>
          </w:p>
        </w:tc>
        <w:tc>
          <w:tcPr>
            <w:tcW w:w="1571" w:type="dxa"/>
            <w:tcBorders>
              <w:top w:val="single" w:sz="4" w:space="0" w:color="000000"/>
              <w:left w:val="single" w:sz="4" w:space="0" w:color="000000"/>
              <w:bottom w:val="single" w:sz="12" w:space="0" w:color="000000"/>
              <w:right w:val="single" w:sz="12" w:space="0" w:color="000000"/>
            </w:tcBorders>
            <w:noWrap/>
            <w:vAlign w:val="center"/>
          </w:tcPr>
          <w:p w:rsidR="00A91EDB" w:rsidRDefault="00E31F4D">
            <w:pPr>
              <w:widowControl/>
              <w:adjustRightInd w:val="0"/>
              <w:snapToGrid w:val="0"/>
              <w:spacing w:line="360" w:lineRule="exact"/>
              <w:jc w:val="righ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59.40%</w:t>
            </w:r>
          </w:p>
        </w:tc>
      </w:tr>
    </w:tbl>
    <w:p w:rsidR="00A91EDB" w:rsidRDefault="00E31F4D">
      <w:pPr>
        <w:pStyle w:val="a0"/>
        <w:spacing w:after="0"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质检中心一般公共预算未安排“三公经费”预算。</w:t>
      </w:r>
    </w:p>
    <w:p w:rsidR="00A91EDB" w:rsidRDefault="00E31F4D" w:rsidP="004C22C5">
      <w:pPr>
        <w:pStyle w:val="3"/>
        <w:spacing w:line="580" w:lineRule="exact"/>
        <w:ind w:firstLineChars="200" w:firstLine="643"/>
      </w:pPr>
      <w:bookmarkStart w:id="128" w:name="_Toc1579022165"/>
      <w:bookmarkStart w:id="129" w:name="_Toc283746236"/>
      <w:r>
        <w:rPr>
          <w:rFonts w:hint="eastAsia"/>
        </w:rPr>
        <w:lastRenderedPageBreak/>
        <w:t>2.</w:t>
      </w:r>
      <w:r>
        <w:rPr>
          <w:rFonts w:hint="eastAsia"/>
        </w:rPr>
        <w:t>“三公经费”预算偏离原因分析</w:t>
      </w:r>
      <w:bookmarkEnd w:id="128"/>
      <w:bookmarkEnd w:id="129"/>
    </w:p>
    <w:p w:rsidR="00A91EDB" w:rsidRDefault="00E31F4D">
      <w:pPr>
        <w:pStyle w:val="a0"/>
        <w:adjustRightInd w:val="0"/>
        <w:snapToGrid w:val="0"/>
        <w:spacing w:after="0" w:line="580" w:lineRule="exact"/>
        <w:ind w:firstLine="641"/>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“三公经费”预算执行率偏低，主要原因为因疫情原因取消出国（境）工作，出国（境）经费全额结余；根据中央和省委要求，严格控制公务接待费预算支出，导致公务接待费结余较多。</w:t>
      </w:r>
    </w:p>
    <w:p w:rsidR="00A91EDB" w:rsidRDefault="00E31F4D" w:rsidP="004C22C5">
      <w:pPr>
        <w:pStyle w:val="3"/>
        <w:ind w:firstLineChars="200" w:firstLine="643"/>
      </w:pPr>
      <w:bookmarkStart w:id="130" w:name="_Toc1593573930"/>
      <w:bookmarkStart w:id="131" w:name="_Toc2089671970"/>
      <w:r>
        <w:rPr>
          <w:rFonts w:hint="eastAsia"/>
        </w:rPr>
        <w:t>3.</w:t>
      </w:r>
      <w:r>
        <w:rPr>
          <w:rFonts w:hint="eastAsia"/>
        </w:rPr>
        <w:t>“三公经费”与上年比较情况</w:t>
      </w:r>
      <w:bookmarkEnd w:id="130"/>
      <w:bookmarkEnd w:id="131"/>
    </w:p>
    <w:tbl>
      <w:tblPr>
        <w:tblW w:w="8987" w:type="dxa"/>
        <w:tblInd w:w="96" w:type="dxa"/>
        <w:tblLayout w:type="fixed"/>
        <w:tblLook w:val="04A0"/>
      </w:tblPr>
      <w:tblGrid>
        <w:gridCol w:w="1836"/>
        <w:gridCol w:w="1032"/>
        <w:gridCol w:w="996"/>
        <w:gridCol w:w="1032"/>
        <w:gridCol w:w="1068"/>
        <w:gridCol w:w="1032"/>
        <w:gridCol w:w="976"/>
        <w:gridCol w:w="1015"/>
      </w:tblGrid>
      <w:tr w:rsidR="00A91EDB">
        <w:trPr>
          <w:trHeight w:val="400"/>
        </w:trPr>
        <w:tc>
          <w:tcPr>
            <w:tcW w:w="1836" w:type="dxa"/>
            <w:vMerge w:val="restart"/>
            <w:tcBorders>
              <w:top w:val="single" w:sz="12"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300" w:lineRule="exact"/>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费用项目</w:t>
            </w:r>
          </w:p>
        </w:tc>
        <w:tc>
          <w:tcPr>
            <w:tcW w:w="2028" w:type="dxa"/>
            <w:gridSpan w:val="2"/>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300" w:lineRule="exact"/>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本年预决算金额</w:t>
            </w:r>
          </w:p>
        </w:tc>
        <w:tc>
          <w:tcPr>
            <w:tcW w:w="2100" w:type="dxa"/>
            <w:gridSpan w:val="2"/>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300" w:lineRule="exact"/>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上年年预决算金额</w:t>
            </w:r>
          </w:p>
        </w:tc>
        <w:tc>
          <w:tcPr>
            <w:tcW w:w="3023" w:type="dxa"/>
            <w:gridSpan w:val="3"/>
            <w:tcBorders>
              <w:top w:val="single" w:sz="12" w:space="0" w:color="000000"/>
              <w:left w:val="single" w:sz="4" w:space="0" w:color="000000"/>
              <w:bottom w:val="single" w:sz="4" w:space="0" w:color="000000"/>
              <w:right w:val="single" w:sz="12" w:space="0" w:color="000000"/>
            </w:tcBorders>
            <w:vAlign w:val="center"/>
          </w:tcPr>
          <w:p w:rsidR="00A91EDB" w:rsidRDefault="00E31F4D">
            <w:pPr>
              <w:widowControl/>
              <w:adjustRightInd w:val="0"/>
              <w:snapToGrid w:val="0"/>
              <w:spacing w:line="300" w:lineRule="exact"/>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与上年增减额</w:t>
            </w:r>
          </w:p>
        </w:tc>
      </w:tr>
      <w:tr w:rsidR="00A91EDB">
        <w:trPr>
          <w:trHeight w:val="500"/>
        </w:trPr>
        <w:tc>
          <w:tcPr>
            <w:tcW w:w="1836" w:type="dxa"/>
            <w:vMerge/>
            <w:tcBorders>
              <w:top w:val="single" w:sz="4" w:space="0" w:color="000000"/>
              <w:left w:val="single" w:sz="12" w:space="0" w:color="000000"/>
              <w:bottom w:val="single" w:sz="4" w:space="0" w:color="000000"/>
              <w:right w:val="single" w:sz="4" w:space="0" w:color="000000"/>
            </w:tcBorders>
            <w:vAlign w:val="center"/>
          </w:tcPr>
          <w:p w:rsidR="00A91EDB" w:rsidRDefault="00A91EDB">
            <w:pPr>
              <w:widowControl/>
              <w:adjustRightInd w:val="0"/>
              <w:snapToGrid w:val="0"/>
              <w:spacing w:line="300" w:lineRule="exact"/>
              <w:jc w:val="center"/>
              <w:rPr>
                <w:rFonts w:ascii="仿宋_GB2312" w:eastAsia="仿宋_GB2312" w:hAnsi="仿宋_GB2312" w:cs="仿宋_GB2312"/>
                <w:b/>
                <w:bCs/>
                <w:color w:val="000000"/>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kern w:val="0"/>
                <w:szCs w:val="21"/>
              </w:rPr>
            </w:pPr>
            <w:r>
              <w:rPr>
                <w:rFonts w:ascii="仿宋_GB2312" w:eastAsia="仿宋_GB2312" w:hAnsi="仿宋_GB2312" w:cs="仿宋_GB2312" w:hint="eastAsia"/>
                <w:b/>
                <w:bCs/>
                <w:color w:val="000000"/>
                <w:kern w:val="0"/>
                <w:szCs w:val="21"/>
              </w:rPr>
              <w:t>预算</w:t>
            </w:r>
          </w:p>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金额</w:t>
            </w:r>
          </w:p>
        </w:tc>
        <w:tc>
          <w:tcPr>
            <w:tcW w:w="996"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kern w:val="0"/>
                <w:szCs w:val="21"/>
              </w:rPr>
            </w:pPr>
            <w:r>
              <w:rPr>
                <w:rFonts w:ascii="仿宋_GB2312" w:eastAsia="仿宋_GB2312" w:hAnsi="仿宋_GB2312" w:cs="仿宋_GB2312" w:hint="eastAsia"/>
                <w:b/>
                <w:bCs/>
                <w:color w:val="000000"/>
                <w:kern w:val="0"/>
                <w:szCs w:val="21"/>
              </w:rPr>
              <w:t>决算</w:t>
            </w:r>
          </w:p>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金额</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kern w:val="0"/>
                <w:szCs w:val="21"/>
              </w:rPr>
            </w:pPr>
            <w:r>
              <w:rPr>
                <w:rFonts w:ascii="仿宋_GB2312" w:eastAsia="仿宋_GB2312" w:hAnsi="仿宋_GB2312" w:cs="仿宋_GB2312" w:hint="eastAsia"/>
                <w:b/>
                <w:bCs/>
                <w:color w:val="000000"/>
                <w:kern w:val="0"/>
                <w:szCs w:val="21"/>
              </w:rPr>
              <w:t>预算</w:t>
            </w:r>
          </w:p>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金额</w:t>
            </w:r>
          </w:p>
        </w:tc>
        <w:tc>
          <w:tcPr>
            <w:tcW w:w="1068"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决算金额</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kern w:val="0"/>
                <w:szCs w:val="21"/>
              </w:rPr>
            </w:pPr>
            <w:r>
              <w:rPr>
                <w:rFonts w:ascii="仿宋_GB2312" w:eastAsia="仿宋_GB2312" w:hAnsi="仿宋_GB2312" w:cs="仿宋_GB2312" w:hint="eastAsia"/>
                <w:b/>
                <w:bCs/>
                <w:color w:val="000000"/>
                <w:kern w:val="0"/>
                <w:szCs w:val="21"/>
              </w:rPr>
              <w:t>预算</w:t>
            </w:r>
          </w:p>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金额</w:t>
            </w:r>
          </w:p>
        </w:tc>
        <w:tc>
          <w:tcPr>
            <w:tcW w:w="976"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kern w:val="0"/>
                <w:szCs w:val="21"/>
              </w:rPr>
            </w:pPr>
            <w:r>
              <w:rPr>
                <w:rFonts w:ascii="仿宋_GB2312" w:eastAsia="仿宋_GB2312" w:hAnsi="仿宋_GB2312" w:cs="仿宋_GB2312" w:hint="eastAsia"/>
                <w:b/>
                <w:bCs/>
                <w:color w:val="000000"/>
                <w:kern w:val="0"/>
                <w:szCs w:val="21"/>
              </w:rPr>
              <w:t>决算</w:t>
            </w:r>
          </w:p>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金额</w:t>
            </w:r>
          </w:p>
        </w:tc>
        <w:tc>
          <w:tcPr>
            <w:tcW w:w="1015" w:type="dxa"/>
            <w:tcBorders>
              <w:top w:val="single" w:sz="4" w:space="0" w:color="000000"/>
              <w:left w:val="single" w:sz="4" w:space="0" w:color="000000"/>
              <w:bottom w:val="single" w:sz="4" w:space="0" w:color="000000"/>
              <w:right w:val="single" w:sz="12" w:space="0" w:color="000000"/>
            </w:tcBorders>
            <w:vAlign w:val="center"/>
          </w:tcPr>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kern w:val="0"/>
                <w:sz w:val="22"/>
              </w:rPr>
            </w:pPr>
            <w:r>
              <w:rPr>
                <w:rFonts w:ascii="仿宋_GB2312" w:eastAsia="仿宋_GB2312" w:hAnsi="仿宋_GB2312" w:cs="仿宋_GB2312" w:hint="eastAsia"/>
                <w:b/>
                <w:bCs/>
                <w:color w:val="000000"/>
                <w:kern w:val="0"/>
                <w:sz w:val="22"/>
              </w:rPr>
              <w:t>预算</w:t>
            </w:r>
          </w:p>
          <w:p w:rsidR="00A91EDB" w:rsidRDefault="00E31F4D">
            <w:pPr>
              <w:widowControl/>
              <w:adjustRightInd w:val="0"/>
              <w:snapToGrid w:val="0"/>
              <w:spacing w:line="26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变动率</w:t>
            </w:r>
          </w:p>
        </w:tc>
      </w:tr>
      <w:tr w:rsidR="00A91EDB">
        <w:trPr>
          <w:trHeight w:val="400"/>
        </w:trPr>
        <w:tc>
          <w:tcPr>
            <w:tcW w:w="1836"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公务接待费</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45.00 </w:t>
            </w:r>
          </w:p>
        </w:tc>
        <w:tc>
          <w:tcPr>
            <w:tcW w:w="996"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8.11 </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45.00 </w:t>
            </w:r>
          </w:p>
        </w:tc>
        <w:tc>
          <w:tcPr>
            <w:tcW w:w="1068"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11.78 </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0.00 </w:t>
            </w:r>
          </w:p>
        </w:tc>
        <w:tc>
          <w:tcPr>
            <w:tcW w:w="976"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-3.67 </w:t>
            </w:r>
          </w:p>
        </w:tc>
        <w:tc>
          <w:tcPr>
            <w:tcW w:w="1015"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0</w:t>
            </w:r>
          </w:p>
        </w:tc>
      </w:tr>
      <w:tr w:rsidR="00A91EDB">
        <w:trPr>
          <w:trHeight w:val="400"/>
        </w:trPr>
        <w:tc>
          <w:tcPr>
            <w:tcW w:w="1836"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公车运行维护费</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70.15 </w:t>
            </w:r>
          </w:p>
        </w:tc>
        <w:tc>
          <w:tcPr>
            <w:tcW w:w="996"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59.64 </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120.00 </w:t>
            </w:r>
          </w:p>
        </w:tc>
        <w:tc>
          <w:tcPr>
            <w:tcW w:w="1068"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70.34 </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-49.85 </w:t>
            </w:r>
          </w:p>
        </w:tc>
        <w:tc>
          <w:tcPr>
            <w:tcW w:w="976"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-10.70 </w:t>
            </w:r>
          </w:p>
        </w:tc>
        <w:tc>
          <w:tcPr>
            <w:tcW w:w="1015"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-41.54%</w:t>
            </w:r>
          </w:p>
        </w:tc>
      </w:tr>
      <w:tr w:rsidR="00A91EDB">
        <w:trPr>
          <w:trHeight w:val="400"/>
        </w:trPr>
        <w:tc>
          <w:tcPr>
            <w:tcW w:w="1836"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公车购置</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52.85 </w:t>
            </w:r>
          </w:p>
        </w:tc>
        <w:tc>
          <w:tcPr>
            <w:tcW w:w="996"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52.85 </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A91EDB">
            <w:pPr>
              <w:jc w:val="right"/>
              <w:rPr>
                <w:rFonts w:ascii="仿宋_GB2312" w:eastAsia="仿宋_GB2312" w:hAnsi="仿宋_GB2312" w:cs="仿宋_GB2312"/>
                <w:color w:val="000000"/>
                <w:szCs w:val="21"/>
              </w:rPr>
            </w:pPr>
          </w:p>
        </w:tc>
        <w:tc>
          <w:tcPr>
            <w:tcW w:w="1068" w:type="dxa"/>
            <w:tcBorders>
              <w:top w:val="single" w:sz="4" w:space="0" w:color="000000"/>
              <w:left w:val="single" w:sz="4" w:space="0" w:color="000000"/>
              <w:bottom w:val="single" w:sz="4" w:space="0" w:color="000000"/>
              <w:right w:val="single" w:sz="4" w:space="0" w:color="000000"/>
            </w:tcBorders>
            <w:vAlign w:val="center"/>
          </w:tcPr>
          <w:p w:rsidR="00A91EDB" w:rsidRDefault="00A91EDB">
            <w:pPr>
              <w:jc w:val="right"/>
              <w:rPr>
                <w:rFonts w:ascii="仿宋_GB2312" w:eastAsia="仿宋_GB2312" w:hAnsi="仿宋_GB2312" w:cs="仿宋_GB2312"/>
                <w:color w:val="000000"/>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52.85 </w:t>
            </w:r>
          </w:p>
        </w:tc>
        <w:tc>
          <w:tcPr>
            <w:tcW w:w="976"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52.85 </w:t>
            </w:r>
          </w:p>
        </w:tc>
        <w:tc>
          <w:tcPr>
            <w:tcW w:w="1015" w:type="dxa"/>
            <w:tcBorders>
              <w:top w:val="single" w:sz="4" w:space="0" w:color="000000"/>
              <w:left w:val="single" w:sz="4" w:space="0" w:color="000000"/>
              <w:bottom w:val="single" w:sz="4" w:space="0" w:color="000000"/>
              <w:right w:val="single" w:sz="12" w:space="0" w:color="000000"/>
            </w:tcBorders>
            <w:noWrap/>
            <w:vAlign w:val="center"/>
          </w:tcPr>
          <w:p w:rsidR="00A91EDB" w:rsidRDefault="00A91EDB">
            <w:pPr>
              <w:rPr>
                <w:rFonts w:ascii="仿宋_GB2312" w:eastAsia="仿宋_GB2312" w:hAnsi="仿宋_GB2312" w:cs="仿宋_GB2312"/>
                <w:color w:val="000000"/>
                <w:sz w:val="22"/>
              </w:rPr>
            </w:pPr>
          </w:p>
        </w:tc>
      </w:tr>
      <w:tr w:rsidR="00A91EDB">
        <w:trPr>
          <w:trHeight w:val="400"/>
        </w:trPr>
        <w:tc>
          <w:tcPr>
            <w:tcW w:w="1836"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因公出国费用</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35.00 </w:t>
            </w:r>
          </w:p>
        </w:tc>
        <w:tc>
          <w:tcPr>
            <w:tcW w:w="996"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0.00 </w:t>
            </w: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35.00 </w:t>
            </w:r>
          </w:p>
        </w:tc>
        <w:tc>
          <w:tcPr>
            <w:tcW w:w="1068" w:type="dxa"/>
            <w:tcBorders>
              <w:top w:val="single" w:sz="4" w:space="0" w:color="000000"/>
              <w:left w:val="single" w:sz="4" w:space="0" w:color="000000"/>
              <w:bottom w:val="single" w:sz="4" w:space="0" w:color="000000"/>
              <w:right w:val="single" w:sz="4" w:space="0" w:color="000000"/>
            </w:tcBorders>
            <w:vAlign w:val="center"/>
          </w:tcPr>
          <w:p w:rsidR="00A91EDB" w:rsidRDefault="00A91EDB">
            <w:pPr>
              <w:rPr>
                <w:rFonts w:ascii="仿宋_GB2312" w:eastAsia="仿宋_GB2312" w:hAnsi="仿宋_GB2312" w:cs="仿宋_GB2312"/>
                <w:color w:val="000000"/>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0.00 </w:t>
            </w:r>
          </w:p>
        </w:tc>
        <w:tc>
          <w:tcPr>
            <w:tcW w:w="976"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color w:val="000000"/>
                <w:szCs w:val="21"/>
              </w:rPr>
            </w:pPr>
            <w:r>
              <w:rPr>
                <w:rFonts w:ascii="仿宋_GB2312" w:eastAsia="仿宋_GB2312" w:hAnsi="仿宋_GB2312" w:cs="仿宋_GB2312" w:hint="eastAsia"/>
                <w:color w:val="000000"/>
                <w:kern w:val="0"/>
                <w:szCs w:val="21"/>
              </w:rPr>
              <w:t xml:space="preserve">0.00 </w:t>
            </w:r>
          </w:p>
        </w:tc>
        <w:tc>
          <w:tcPr>
            <w:tcW w:w="1015"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0.00%</w:t>
            </w:r>
          </w:p>
        </w:tc>
      </w:tr>
      <w:tr w:rsidR="00A91EDB">
        <w:trPr>
          <w:trHeight w:val="400"/>
        </w:trPr>
        <w:tc>
          <w:tcPr>
            <w:tcW w:w="1836" w:type="dxa"/>
            <w:tcBorders>
              <w:top w:val="single" w:sz="4" w:space="0" w:color="000000"/>
              <w:left w:val="single" w:sz="12" w:space="0" w:color="000000"/>
              <w:bottom w:val="single" w:sz="12"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合</w:t>
            </w:r>
            <w:r>
              <w:rPr>
                <w:rStyle w:val="font11"/>
                <w:rFonts w:hAnsi="仿宋_GB2312" w:hint="default"/>
              </w:rPr>
              <w:t xml:space="preserve">  计</w:t>
            </w:r>
          </w:p>
        </w:tc>
        <w:tc>
          <w:tcPr>
            <w:tcW w:w="1032" w:type="dxa"/>
            <w:tcBorders>
              <w:top w:val="single" w:sz="4" w:space="0" w:color="000000"/>
              <w:left w:val="single" w:sz="4" w:space="0" w:color="000000"/>
              <w:bottom w:val="single" w:sz="12"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 xml:space="preserve">203.00 </w:t>
            </w:r>
          </w:p>
        </w:tc>
        <w:tc>
          <w:tcPr>
            <w:tcW w:w="996" w:type="dxa"/>
            <w:tcBorders>
              <w:top w:val="single" w:sz="4" w:space="0" w:color="000000"/>
              <w:left w:val="single" w:sz="4" w:space="0" w:color="000000"/>
              <w:bottom w:val="single" w:sz="12"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 xml:space="preserve">120.60 </w:t>
            </w:r>
          </w:p>
        </w:tc>
        <w:tc>
          <w:tcPr>
            <w:tcW w:w="1032" w:type="dxa"/>
            <w:tcBorders>
              <w:top w:val="single" w:sz="4" w:space="0" w:color="000000"/>
              <w:left w:val="single" w:sz="4" w:space="0" w:color="000000"/>
              <w:bottom w:val="single" w:sz="12"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 xml:space="preserve">200.00 </w:t>
            </w:r>
          </w:p>
        </w:tc>
        <w:tc>
          <w:tcPr>
            <w:tcW w:w="1068" w:type="dxa"/>
            <w:tcBorders>
              <w:top w:val="single" w:sz="4" w:space="0" w:color="000000"/>
              <w:left w:val="single" w:sz="4" w:space="0" w:color="000000"/>
              <w:bottom w:val="single" w:sz="12" w:space="0" w:color="000000"/>
              <w:right w:val="single" w:sz="4" w:space="0" w:color="000000"/>
            </w:tcBorders>
            <w:vAlign w:val="center"/>
          </w:tcPr>
          <w:p w:rsidR="00A91EDB" w:rsidRDefault="00E31F4D">
            <w:pPr>
              <w:widowControl/>
              <w:jc w:val="right"/>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 xml:space="preserve">82.12 </w:t>
            </w:r>
          </w:p>
        </w:tc>
        <w:tc>
          <w:tcPr>
            <w:tcW w:w="1032" w:type="dxa"/>
            <w:tcBorders>
              <w:top w:val="single" w:sz="4" w:space="0" w:color="000000"/>
              <w:left w:val="single" w:sz="4" w:space="0" w:color="000000"/>
              <w:bottom w:val="single" w:sz="12"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 xml:space="preserve">3.00 </w:t>
            </w:r>
          </w:p>
        </w:tc>
        <w:tc>
          <w:tcPr>
            <w:tcW w:w="976" w:type="dxa"/>
            <w:tcBorders>
              <w:top w:val="single" w:sz="4" w:space="0" w:color="000000"/>
              <w:left w:val="single" w:sz="4" w:space="0" w:color="000000"/>
              <w:bottom w:val="single" w:sz="12" w:space="0" w:color="000000"/>
              <w:right w:val="single" w:sz="4" w:space="0" w:color="000000"/>
            </w:tcBorders>
            <w:vAlign w:val="center"/>
          </w:tcPr>
          <w:p w:rsidR="00A91EDB" w:rsidRDefault="00E31F4D">
            <w:pPr>
              <w:widowControl/>
              <w:jc w:val="center"/>
              <w:textAlignment w:val="center"/>
              <w:rPr>
                <w:rFonts w:ascii="仿宋_GB2312" w:eastAsia="仿宋_GB2312" w:hAnsi="仿宋_GB2312" w:cs="仿宋_GB2312"/>
                <w:b/>
                <w:bCs/>
                <w:color w:val="000000"/>
                <w:szCs w:val="21"/>
              </w:rPr>
            </w:pPr>
            <w:r>
              <w:rPr>
                <w:rFonts w:ascii="仿宋_GB2312" w:eastAsia="仿宋_GB2312" w:hAnsi="仿宋_GB2312" w:cs="仿宋_GB2312" w:hint="eastAsia"/>
                <w:b/>
                <w:bCs/>
                <w:color w:val="000000"/>
                <w:kern w:val="0"/>
                <w:szCs w:val="21"/>
              </w:rPr>
              <w:t xml:space="preserve">38.48 </w:t>
            </w:r>
          </w:p>
        </w:tc>
        <w:tc>
          <w:tcPr>
            <w:tcW w:w="1015" w:type="dxa"/>
            <w:tcBorders>
              <w:top w:val="single" w:sz="4" w:space="0" w:color="000000"/>
              <w:left w:val="single" w:sz="4" w:space="0" w:color="000000"/>
              <w:bottom w:val="single" w:sz="12" w:space="0" w:color="000000"/>
              <w:right w:val="single" w:sz="12" w:space="0" w:color="000000"/>
            </w:tcBorders>
            <w:noWrap/>
            <w:vAlign w:val="center"/>
          </w:tcPr>
          <w:p w:rsidR="00A91EDB" w:rsidRDefault="00E31F4D">
            <w:pPr>
              <w:widowControl/>
              <w:jc w:val="right"/>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1.50%</w:t>
            </w:r>
          </w:p>
        </w:tc>
      </w:tr>
    </w:tbl>
    <w:p w:rsidR="00A91EDB" w:rsidRDefault="00E31F4D">
      <w:pPr>
        <w:keepNext/>
        <w:keepLines/>
        <w:adjustRightInd w:val="0"/>
        <w:snapToGrid w:val="0"/>
        <w:spacing w:line="580" w:lineRule="exact"/>
        <w:ind w:firstLineChars="200" w:firstLine="64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本年“三公经费”预算配置和上年基本相当；决算支出较上年增加38.48万元，主要是因为增加了公车购置费52.85万元，公务接待费和公车运行维护费支出均逐年降低。</w:t>
      </w:r>
    </w:p>
    <w:p w:rsidR="00A91EDB" w:rsidRDefault="00E31F4D" w:rsidP="004C22C5">
      <w:pPr>
        <w:pStyle w:val="2"/>
        <w:spacing w:line="580" w:lineRule="exact"/>
        <w:ind w:firstLineChars="200" w:firstLine="643"/>
        <w:rPr>
          <w:rFonts w:ascii="楷体" w:eastAsia="楷体" w:hAnsi="楷体" w:cs="楷体"/>
        </w:rPr>
      </w:pPr>
      <w:bookmarkStart w:id="132" w:name="_Toc8890"/>
      <w:bookmarkStart w:id="133" w:name="_Toc12627"/>
      <w:bookmarkStart w:id="134" w:name="_Toc24499"/>
      <w:bookmarkStart w:id="135" w:name="_Toc12113"/>
      <w:bookmarkStart w:id="136" w:name="_Toc14005"/>
      <w:bookmarkStart w:id="137" w:name="_Toc43020995"/>
      <w:bookmarkStart w:id="138" w:name="_Toc21927"/>
      <w:bookmarkStart w:id="139" w:name="_Toc22149"/>
      <w:bookmarkStart w:id="140" w:name="_Toc585430333"/>
      <w:bookmarkStart w:id="141" w:name="_Toc1251980387"/>
      <w:r>
        <w:rPr>
          <w:rFonts w:ascii="楷体" w:eastAsia="楷体" w:hAnsi="楷体" w:cs="楷体" w:hint="eastAsia"/>
        </w:rPr>
        <w:t>（五）政府采购</w:t>
      </w:r>
      <w:bookmarkEnd w:id="132"/>
      <w:bookmarkEnd w:id="133"/>
      <w:bookmarkEnd w:id="134"/>
      <w:bookmarkEnd w:id="135"/>
      <w:bookmarkEnd w:id="136"/>
      <w:bookmarkEnd w:id="137"/>
      <w:bookmarkEnd w:id="138"/>
      <w:bookmarkEnd w:id="139"/>
      <w:r>
        <w:rPr>
          <w:rFonts w:ascii="楷体" w:eastAsia="楷体" w:hAnsi="楷体" w:cs="楷体" w:hint="eastAsia"/>
        </w:rPr>
        <w:t>管理情况</w:t>
      </w:r>
      <w:bookmarkEnd w:id="140"/>
      <w:bookmarkEnd w:id="141"/>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202</w:t>
      </w:r>
      <w:r>
        <w:rPr>
          <w:rFonts w:ascii="仿宋_GB2312" w:eastAsia="仿宋_GB2312" w:hAnsi="仿宋_GB2312" w:cs="仿宋_GB2312" w:hint="eastAsia"/>
          <w:sz w:val="32"/>
          <w:szCs w:val="32"/>
        </w:rPr>
        <w:t>1年，我部进一步加强了政府采购管理，制定《政府采购内部控制制度》，进一步明确管理职责和分工，规范采购流程。全年采购合计金额9,511.14万元，其中集中目录以内的公开招标采购6批次3,869.96万元，集中目录以外的服务类分散采购69批次2,328.63万元，电子卖场采购378批次3,312.55</w:t>
      </w:r>
      <w:r>
        <w:rPr>
          <w:rFonts w:ascii="仿宋_GB2312" w:eastAsia="仿宋_GB2312" w:hAnsi="仿宋_GB2312" w:cs="仿宋_GB2312" w:hint="eastAsia"/>
          <w:sz w:val="32"/>
          <w:szCs w:val="32"/>
        </w:rPr>
        <w:lastRenderedPageBreak/>
        <w:t>万元。政府采购执行率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。政府采购程序符合管理要求。</w:t>
      </w:r>
    </w:p>
    <w:p w:rsidR="00A91EDB" w:rsidRDefault="00E31F4D" w:rsidP="004C22C5">
      <w:pPr>
        <w:pStyle w:val="1"/>
        <w:spacing w:line="580" w:lineRule="exact"/>
        <w:ind w:firstLineChars="200" w:firstLine="643"/>
        <w:rPr>
          <w:rFonts w:ascii="黑体" w:eastAsia="黑体" w:hAnsi="黑体" w:cs="黑体"/>
          <w:sz w:val="32"/>
          <w:szCs w:val="32"/>
        </w:rPr>
      </w:pPr>
      <w:bookmarkStart w:id="142" w:name="_Toc2105209489"/>
      <w:bookmarkStart w:id="143" w:name="_Toc496641631"/>
      <w:r>
        <w:rPr>
          <w:rFonts w:ascii="黑体" w:eastAsia="黑体" w:hAnsi="黑体" w:cs="黑体" w:hint="eastAsia"/>
          <w:sz w:val="32"/>
          <w:szCs w:val="32"/>
        </w:rPr>
        <w:t>三、政府性基金预算支出情况</w:t>
      </w:r>
      <w:bookmarkEnd w:id="142"/>
      <w:bookmarkEnd w:id="143"/>
    </w:p>
    <w:p w:rsidR="00A91EDB" w:rsidRDefault="00E31F4D" w:rsidP="004C22C5">
      <w:pPr>
        <w:pStyle w:val="2"/>
        <w:spacing w:line="580" w:lineRule="exact"/>
        <w:ind w:firstLineChars="200" w:firstLine="643"/>
        <w:rPr>
          <w:rFonts w:ascii="楷体" w:eastAsia="楷体" w:hAnsi="楷体" w:cs="楷体"/>
        </w:rPr>
      </w:pPr>
      <w:bookmarkStart w:id="144" w:name="_Toc2140272609"/>
      <w:bookmarkStart w:id="145" w:name="_Toc1943348433"/>
      <w:bookmarkStart w:id="146" w:name="_Toc15403"/>
      <w:bookmarkStart w:id="147" w:name="_Toc26266"/>
      <w:bookmarkStart w:id="148" w:name="_Toc19330"/>
      <w:bookmarkStart w:id="149" w:name="_Toc9876"/>
      <w:bookmarkStart w:id="150" w:name="_Toc11796"/>
      <w:bookmarkStart w:id="151" w:name="_Toc9398"/>
      <w:bookmarkStart w:id="152" w:name="_Toc19107"/>
      <w:bookmarkEnd w:id="125"/>
      <w:r>
        <w:rPr>
          <w:rFonts w:ascii="楷体" w:eastAsia="楷体" w:hAnsi="楷体" w:cs="楷体" w:hint="eastAsia"/>
        </w:rPr>
        <w:t>（一）专项资金基本情况</w:t>
      </w:r>
      <w:bookmarkEnd w:id="144"/>
      <w:bookmarkEnd w:id="145"/>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我部主管的“电影事业发展专项资金”为政府性基金，实施和管理依据为</w:t>
      </w:r>
      <w:r>
        <w:rPr>
          <w:rFonts w:ascii="仿宋_GB2312" w:eastAsia="仿宋_GB2312" w:hAnsi="仿宋_GB2312" w:cs="仿宋_GB2312" w:hint="eastAsia"/>
          <w:bCs/>
          <w:color w:val="000000"/>
          <w:sz w:val="32"/>
          <w:szCs w:val="32"/>
        </w:rPr>
        <w:t>《湖南省电影事业发展专项资金征收使用管理实施办法》（湘财教〔2016〕38号），2022年4月21日修订为《湖南省电影事业发展专项资金管理办法》（湘财文〔2022〕1号）</w:t>
      </w:r>
      <w:r>
        <w:rPr>
          <w:rFonts w:ascii="仿宋_GB2312" w:eastAsia="仿宋_GB2312" w:hAnsi="仿宋_GB2312" w:cs="仿宋_GB2312" w:hint="eastAsia"/>
          <w:bCs/>
          <w:sz w:val="32"/>
          <w:szCs w:val="32"/>
        </w:rPr>
        <w:t>，根据上年征缴入库的电影专项资金收入和实际支出需要编制年度预算，以收定支。</w:t>
      </w:r>
    </w:p>
    <w:p w:rsidR="00A91EDB" w:rsidRDefault="00E31F4D" w:rsidP="004C22C5">
      <w:pPr>
        <w:pStyle w:val="2"/>
        <w:spacing w:line="580" w:lineRule="exact"/>
        <w:ind w:firstLineChars="200" w:firstLine="643"/>
        <w:rPr>
          <w:rFonts w:ascii="楷体" w:eastAsia="楷体" w:hAnsi="楷体" w:cs="楷体"/>
        </w:rPr>
      </w:pPr>
      <w:bookmarkStart w:id="153" w:name="_Toc1299365326"/>
      <w:bookmarkStart w:id="154" w:name="_Toc1886068786"/>
      <w:r>
        <w:rPr>
          <w:rFonts w:ascii="楷体" w:eastAsia="楷体" w:hAnsi="楷体" w:cs="楷体" w:hint="eastAsia"/>
        </w:rPr>
        <w:t>（二）专项资金预算及投入方向</w:t>
      </w:r>
      <w:bookmarkEnd w:id="153"/>
      <w:bookmarkEnd w:id="154"/>
    </w:p>
    <w:tbl>
      <w:tblPr>
        <w:tblpPr w:leftFromText="180" w:rightFromText="180" w:vertAnchor="text" w:horzAnchor="page" w:tblpX="1691" w:tblpY="2885"/>
        <w:tblOverlap w:val="never"/>
        <w:tblW w:w="8397" w:type="dxa"/>
        <w:tblLayout w:type="fixed"/>
        <w:tblLook w:val="04A0"/>
      </w:tblPr>
      <w:tblGrid>
        <w:gridCol w:w="663"/>
        <w:gridCol w:w="3315"/>
        <w:gridCol w:w="1335"/>
        <w:gridCol w:w="1260"/>
        <w:gridCol w:w="1824"/>
      </w:tblGrid>
      <w:tr w:rsidR="00A91EDB">
        <w:trPr>
          <w:trHeight w:val="511"/>
        </w:trPr>
        <w:tc>
          <w:tcPr>
            <w:tcW w:w="663" w:type="dxa"/>
            <w:tcBorders>
              <w:top w:val="single" w:sz="12"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序号</w:t>
            </w:r>
          </w:p>
        </w:tc>
        <w:tc>
          <w:tcPr>
            <w:tcW w:w="3315"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类别</w:t>
            </w:r>
          </w:p>
        </w:tc>
        <w:tc>
          <w:tcPr>
            <w:tcW w:w="1335"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单位个数</w:t>
            </w:r>
          </w:p>
        </w:tc>
        <w:tc>
          <w:tcPr>
            <w:tcW w:w="1260" w:type="dxa"/>
            <w:tcBorders>
              <w:top w:val="single" w:sz="12"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 xml:space="preserve"> 预算金额 </w:t>
            </w:r>
          </w:p>
        </w:tc>
        <w:tc>
          <w:tcPr>
            <w:tcW w:w="1824" w:type="dxa"/>
            <w:tcBorders>
              <w:top w:val="single" w:sz="12" w:space="0" w:color="000000"/>
              <w:left w:val="single" w:sz="4" w:space="0" w:color="000000"/>
              <w:bottom w:val="single" w:sz="4" w:space="0" w:color="000000"/>
              <w:right w:val="single" w:sz="12" w:space="0" w:color="000000"/>
            </w:tcBorders>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占预算资金比例</w:t>
            </w:r>
          </w:p>
        </w:tc>
      </w:tr>
      <w:tr w:rsidR="00A91EDB">
        <w:trPr>
          <w:trHeight w:val="511"/>
        </w:trPr>
        <w:tc>
          <w:tcPr>
            <w:tcW w:w="663"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1</w:t>
            </w:r>
          </w:p>
        </w:tc>
        <w:tc>
          <w:tcPr>
            <w:tcW w:w="331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20" w:lineRule="exact"/>
              <w:jc w:val="lef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各市州票房排名前3名影院奖励</w:t>
            </w:r>
          </w:p>
        </w:tc>
        <w:tc>
          <w:tcPr>
            <w:tcW w:w="133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42</w:t>
            </w:r>
          </w:p>
        </w:tc>
        <w:tc>
          <w:tcPr>
            <w:tcW w:w="126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 210.00 </w:t>
            </w:r>
          </w:p>
        </w:tc>
        <w:tc>
          <w:tcPr>
            <w:tcW w:w="1824"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3.71%</w:t>
            </w:r>
          </w:p>
        </w:tc>
      </w:tr>
      <w:tr w:rsidR="00A91EDB">
        <w:trPr>
          <w:trHeight w:val="511"/>
        </w:trPr>
        <w:tc>
          <w:tcPr>
            <w:tcW w:w="663"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2</w:t>
            </w:r>
          </w:p>
        </w:tc>
        <w:tc>
          <w:tcPr>
            <w:tcW w:w="331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20" w:lineRule="exact"/>
              <w:jc w:val="lef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全省票房排名前30名影院奖励</w:t>
            </w:r>
          </w:p>
        </w:tc>
        <w:tc>
          <w:tcPr>
            <w:tcW w:w="133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30</w:t>
            </w:r>
          </w:p>
        </w:tc>
        <w:tc>
          <w:tcPr>
            <w:tcW w:w="126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 330.00 </w:t>
            </w:r>
          </w:p>
        </w:tc>
        <w:tc>
          <w:tcPr>
            <w:tcW w:w="1824"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5.83%</w:t>
            </w:r>
          </w:p>
        </w:tc>
      </w:tr>
      <w:tr w:rsidR="00A91EDB">
        <w:trPr>
          <w:trHeight w:val="511"/>
        </w:trPr>
        <w:tc>
          <w:tcPr>
            <w:tcW w:w="663"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3</w:t>
            </w:r>
          </w:p>
        </w:tc>
        <w:tc>
          <w:tcPr>
            <w:tcW w:w="331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20" w:lineRule="exact"/>
              <w:jc w:val="lef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放映国产影片成绩突出影院奖励</w:t>
            </w:r>
          </w:p>
        </w:tc>
        <w:tc>
          <w:tcPr>
            <w:tcW w:w="133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362</w:t>
            </w:r>
          </w:p>
        </w:tc>
        <w:tc>
          <w:tcPr>
            <w:tcW w:w="126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 1,705.00 </w:t>
            </w:r>
          </w:p>
        </w:tc>
        <w:tc>
          <w:tcPr>
            <w:tcW w:w="1824"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30.12%</w:t>
            </w:r>
          </w:p>
        </w:tc>
      </w:tr>
      <w:tr w:rsidR="00A91EDB">
        <w:trPr>
          <w:trHeight w:val="511"/>
        </w:trPr>
        <w:tc>
          <w:tcPr>
            <w:tcW w:w="663"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4</w:t>
            </w:r>
          </w:p>
        </w:tc>
        <w:tc>
          <w:tcPr>
            <w:tcW w:w="331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20" w:lineRule="exact"/>
              <w:jc w:val="lef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省级电影专项资金返还</w:t>
            </w:r>
          </w:p>
        </w:tc>
        <w:tc>
          <w:tcPr>
            <w:tcW w:w="133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454</w:t>
            </w:r>
          </w:p>
        </w:tc>
        <w:tc>
          <w:tcPr>
            <w:tcW w:w="126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 1,454.04 </w:t>
            </w:r>
          </w:p>
        </w:tc>
        <w:tc>
          <w:tcPr>
            <w:tcW w:w="1824"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25.69%</w:t>
            </w:r>
          </w:p>
        </w:tc>
      </w:tr>
      <w:tr w:rsidR="00A91EDB">
        <w:trPr>
          <w:trHeight w:val="511"/>
        </w:trPr>
        <w:tc>
          <w:tcPr>
            <w:tcW w:w="663"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5</w:t>
            </w:r>
          </w:p>
        </w:tc>
        <w:tc>
          <w:tcPr>
            <w:tcW w:w="331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20" w:lineRule="exact"/>
              <w:jc w:val="lef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乡镇影院建设试点资金</w:t>
            </w:r>
          </w:p>
        </w:tc>
        <w:tc>
          <w:tcPr>
            <w:tcW w:w="133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22</w:t>
            </w:r>
          </w:p>
        </w:tc>
        <w:tc>
          <w:tcPr>
            <w:tcW w:w="126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 -185.00 </w:t>
            </w:r>
          </w:p>
        </w:tc>
        <w:tc>
          <w:tcPr>
            <w:tcW w:w="1824"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-3.27%</w:t>
            </w:r>
          </w:p>
        </w:tc>
      </w:tr>
      <w:tr w:rsidR="00A91EDB">
        <w:trPr>
          <w:trHeight w:val="511"/>
        </w:trPr>
        <w:tc>
          <w:tcPr>
            <w:tcW w:w="663"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6</w:t>
            </w:r>
          </w:p>
        </w:tc>
        <w:tc>
          <w:tcPr>
            <w:tcW w:w="331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20" w:lineRule="exact"/>
              <w:jc w:val="lef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新建乡镇影城资助</w:t>
            </w:r>
          </w:p>
        </w:tc>
        <w:tc>
          <w:tcPr>
            <w:tcW w:w="133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1</w:t>
            </w:r>
          </w:p>
        </w:tc>
        <w:tc>
          <w:tcPr>
            <w:tcW w:w="126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 30.00 </w:t>
            </w:r>
          </w:p>
        </w:tc>
        <w:tc>
          <w:tcPr>
            <w:tcW w:w="1824"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0.53%</w:t>
            </w:r>
          </w:p>
        </w:tc>
      </w:tr>
      <w:tr w:rsidR="00A91EDB">
        <w:trPr>
          <w:trHeight w:val="511"/>
        </w:trPr>
        <w:tc>
          <w:tcPr>
            <w:tcW w:w="663"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7</w:t>
            </w:r>
          </w:p>
        </w:tc>
        <w:tc>
          <w:tcPr>
            <w:tcW w:w="331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20" w:lineRule="exact"/>
              <w:jc w:val="lef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影院使用先进技术设备资助</w:t>
            </w:r>
          </w:p>
        </w:tc>
        <w:tc>
          <w:tcPr>
            <w:tcW w:w="133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63</w:t>
            </w:r>
          </w:p>
        </w:tc>
        <w:tc>
          <w:tcPr>
            <w:tcW w:w="126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 1,470.00 </w:t>
            </w:r>
          </w:p>
        </w:tc>
        <w:tc>
          <w:tcPr>
            <w:tcW w:w="1824"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25.97%</w:t>
            </w:r>
          </w:p>
        </w:tc>
      </w:tr>
      <w:tr w:rsidR="00A91EDB">
        <w:trPr>
          <w:trHeight w:val="511"/>
        </w:trPr>
        <w:tc>
          <w:tcPr>
            <w:tcW w:w="663" w:type="dxa"/>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8</w:t>
            </w:r>
          </w:p>
        </w:tc>
        <w:tc>
          <w:tcPr>
            <w:tcW w:w="3315"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20" w:lineRule="exact"/>
              <w:jc w:val="lef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其他项目</w:t>
            </w:r>
          </w:p>
        </w:tc>
        <w:tc>
          <w:tcPr>
            <w:tcW w:w="1335"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4</w:t>
            </w:r>
          </w:p>
        </w:tc>
        <w:tc>
          <w:tcPr>
            <w:tcW w:w="1260" w:type="dxa"/>
            <w:tcBorders>
              <w:top w:val="single" w:sz="4"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20" w:lineRule="exact"/>
              <w:jc w:val="right"/>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 xml:space="preserve"> 646.96 </w:t>
            </w:r>
          </w:p>
        </w:tc>
        <w:tc>
          <w:tcPr>
            <w:tcW w:w="1824" w:type="dxa"/>
            <w:tcBorders>
              <w:top w:val="single" w:sz="4"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color w:val="000000"/>
                <w:sz w:val="22"/>
              </w:rPr>
            </w:pPr>
            <w:r>
              <w:rPr>
                <w:rFonts w:ascii="仿宋_GB2312" w:eastAsia="仿宋_GB2312" w:hAnsi="仿宋_GB2312" w:cs="仿宋_GB2312" w:hint="eastAsia"/>
                <w:color w:val="000000"/>
                <w:kern w:val="0"/>
                <w:sz w:val="22"/>
              </w:rPr>
              <w:t>11.43%</w:t>
            </w:r>
          </w:p>
        </w:tc>
      </w:tr>
      <w:tr w:rsidR="00A91EDB">
        <w:trPr>
          <w:trHeight w:val="511"/>
        </w:trPr>
        <w:tc>
          <w:tcPr>
            <w:tcW w:w="663" w:type="dxa"/>
            <w:tcBorders>
              <w:top w:val="single" w:sz="4" w:space="0" w:color="000000"/>
              <w:left w:val="single" w:sz="12" w:space="0" w:color="000000"/>
              <w:bottom w:val="single" w:sz="12" w:space="0" w:color="000000"/>
              <w:right w:val="single" w:sz="4" w:space="0" w:color="000000"/>
            </w:tcBorders>
            <w:noWrap/>
            <w:vAlign w:val="center"/>
          </w:tcPr>
          <w:p w:rsidR="00A91EDB" w:rsidRDefault="00A91EDB">
            <w:pPr>
              <w:adjustRightInd w:val="0"/>
              <w:snapToGrid w:val="0"/>
              <w:spacing w:line="220" w:lineRule="exact"/>
              <w:jc w:val="center"/>
              <w:rPr>
                <w:rFonts w:ascii="仿宋_GB2312" w:eastAsia="仿宋_GB2312" w:hAnsi="仿宋_GB2312" w:cs="仿宋_GB2312"/>
                <w:b/>
                <w:bCs/>
                <w:color w:val="000000"/>
                <w:sz w:val="22"/>
              </w:rPr>
            </w:pPr>
          </w:p>
        </w:tc>
        <w:tc>
          <w:tcPr>
            <w:tcW w:w="3315" w:type="dxa"/>
            <w:tcBorders>
              <w:top w:val="single" w:sz="4" w:space="0" w:color="000000"/>
              <w:left w:val="single" w:sz="4" w:space="0" w:color="000000"/>
              <w:bottom w:val="single" w:sz="12" w:space="0" w:color="000000"/>
              <w:right w:val="single" w:sz="4" w:space="0" w:color="000000"/>
            </w:tcBorders>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合计</w:t>
            </w:r>
          </w:p>
        </w:tc>
        <w:tc>
          <w:tcPr>
            <w:tcW w:w="1335" w:type="dxa"/>
            <w:tcBorders>
              <w:top w:val="single" w:sz="4" w:space="0" w:color="000000"/>
              <w:left w:val="single" w:sz="4" w:space="0" w:color="000000"/>
              <w:bottom w:val="single" w:sz="12" w:space="0" w:color="000000"/>
              <w:right w:val="single" w:sz="4" w:space="0" w:color="000000"/>
            </w:tcBorders>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 xml:space="preserve"> 486（剔除重复单位） </w:t>
            </w:r>
          </w:p>
        </w:tc>
        <w:tc>
          <w:tcPr>
            <w:tcW w:w="1260" w:type="dxa"/>
            <w:tcBorders>
              <w:top w:val="single" w:sz="4" w:space="0" w:color="000000"/>
              <w:left w:val="single" w:sz="4" w:space="0" w:color="000000"/>
              <w:bottom w:val="single" w:sz="12" w:space="0" w:color="000000"/>
              <w:right w:val="single" w:sz="4"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 xml:space="preserve"> 5,661.00 </w:t>
            </w:r>
          </w:p>
        </w:tc>
        <w:tc>
          <w:tcPr>
            <w:tcW w:w="1824" w:type="dxa"/>
            <w:tcBorders>
              <w:top w:val="single" w:sz="4" w:space="0" w:color="000000"/>
              <w:left w:val="single" w:sz="4" w:space="0" w:color="000000"/>
              <w:bottom w:val="single" w:sz="12" w:space="0" w:color="000000"/>
              <w:right w:val="single" w:sz="12" w:space="0" w:color="000000"/>
            </w:tcBorders>
            <w:noWrap/>
            <w:vAlign w:val="center"/>
          </w:tcPr>
          <w:p w:rsidR="00A91EDB" w:rsidRDefault="00E31F4D">
            <w:pPr>
              <w:widowControl/>
              <w:adjustRightInd w:val="0"/>
              <w:snapToGrid w:val="0"/>
              <w:spacing w:line="22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100%</w:t>
            </w:r>
          </w:p>
        </w:tc>
      </w:tr>
    </w:tbl>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按照管理办法要求，我部2021年省级电影专项资金预算5,700万元，实际预算安排5,661万元，共计投入486个项目单位，投入类型包括：影院奖励资金2,245万元，专项资金返还1,454.04万元，建设资助1,315万元和其他项目646.96万</w:t>
      </w:r>
      <w:r>
        <w:rPr>
          <w:rFonts w:ascii="仿宋_GB2312" w:eastAsia="仿宋_GB2312" w:hAnsi="仿宋_GB2312" w:cs="仿宋_GB2312" w:hint="eastAsia"/>
          <w:bCs/>
          <w:sz w:val="32"/>
          <w:szCs w:val="32"/>
        </w:rPr>
        <w:lastRenderedPageBreak/>
        <w:t>元。具体细分为以下8个投入方向：</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乡镇影院建设试点资金预算金额-185万元的原因为：我省是乡镇影院建设试点省，为促进乡镇影院建设，2019年省级电影专项资金对各市州上报的22家试点乡镇影院，提前下达资助资金275万元。2020年，受疫情影响，实际建成乡镇试点影院3家，应补足资助资金55万元，其他未建成的乡镇试点影院应收回预付资助资金240万元，故本次实际下达资金-185万元。</w:t>
      </w:r>
    </w:p>
    <w:p w:rsidR="00A91EDB" w:rsidRDefault="00E31F4D" w:rsidP="004C22C5">
      <w:pPr>
        <w:pStyle w:val="2"/>
        <w:ind w:firstLineChars="200" w:firstLine="643"/>
        <w:rPr>
          <w:rFonts w:ascii="楷体" w:eastAsia="楷体" w:hAnsi="楷体" w:cs="楷体"/>
        </w:rPr>
      </w:pPr>
      <w:bookmarkStart w:id="155" w:name="_Toc776855175"/>
      <w:bookmarkStart w:id="156" w:name="_Toc232330739"/>
      <w:r>
        <w:rPr>
          <w:rFonts w:ascii="楷体" w:eastAsia="楷体" w:hAnsi="楷体" w:cs="楷体" w:hint="eastAsia"/>
        </w:rPr>
        <w:t>（三）专项资金预算投入地市分布情况</w:t>
      </w:r>
      <w:bookmarkEnd w:id="155"/>
      <w:bookmarkEnd w:id="156"/>
    </w:p>
    <w:tbl>
      <w:tblPr>
        <w:tblW w:w="8755" w:type="dxa"/>
        <w:tblInd w:w="-28" w:type="dxa"/>
        <w:tblLayout w:type="fixed"/>
        <w:tblLook w:val="04A0"/>
      </w:tblPr>
      <w:tblGrid>
        <w:gridCol w:w="1132"/>
        <w:gridCol w:w="1213"/>
        <w:gridCol w:w="1119"/>
        <w:gridCol w:w="1091"/>
        <w:gridCol w:w="1104"/>
        <w:gridCol w:w="1050"/>
        <w:gridCol w:w="1227"/>
        <w:gridCol w:w="819"/>
      </w:tblGrid>
      <w:tr w:rsidR="00A91EDB">
        <w:trPr>
          <w:trHeight w:val="500"/>
        </w:trPr>
        <w:tc>
          <w:tcPr>
            <w:tcW w:w="1132" w:type="dxa"/>
            <w:tcBorders>
              <w:top w:val="single" w:sz="12"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地市名称</w:t>
            </w:r>
          </w:p>
        </w:tc>
        <w:tc>
          <w:tcPr>
            <w:tcW w:w="1213"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金额</w:t>
            </w:r>
          </w:p>
        </w:tc>
        <w:tc>
          <w:tcPr>
            <w:tcW w:w="1119"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地市名称</w:t>
            </w:r>
          </w:p>
        </w:tc>
        <w:tc>
          <w:tcPr>
            <w:tcW w:w="1091"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金额</w:t>
            </w:r>
          </w:p>
        </w:tc>
        <w:tc>
          <w:tcPr>
            <w:tcW w:w="1104"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地市名称</w:t>
            </w:r>
          </w:p>
        </w:tc>
        <w:tc>
          <w:tcPr>
            <w:tcW w:w="1050"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金额</w:t>
            </w:r>
          </w:p>
        </w:tc>
        <w:tc>
          <w:tcPr>
            <w:tcW w:w="1227" w:type="dxa"/>
            <w:tcBorders>
              <w:top w:val="single" w:sz="12" w:space="0" w:color="000000"/>
              <w:left w:val="single" w:sz="4" w:space="0" w:color="000000"/>
              <w:bottom w:val="single" w:sz="4" w:space="0" w:color="000000"/>
              <w:right w:val="single" w:sz="4" w:space="0" w:color="000000"/>
            </w:tcBorders>
            <w:noWrap/>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b/>
                <w:bCs/>
                <w:color w:val="000000"/>
                <w:sz w:val="22"/>
              </w:rPr>
            </w:pPr>
            <w:r>
              <w:rPr>
                <w:rFonts w:ascii="仿宋_GB2312" w:eastAsia="仿宋_GB2312" w:hAnsi="仿宋_GB2312" w:cs="仿宋_GB2312" w:hint="eastAsia"/>
                <w:b/>
                <w:bCs/>
                <w:color w:val="000000"/>
                <w:kern w:val="0"/>
                <w:sz w:val="22"/>
              </w:rPr>
              <w:t>地市名称</w:t>
            </w:r>
          </w:p>
        </w:tc>
        <w:tc>
          <w:tcPr>
            <w:tcW w:w="819" w:type="dxa"/>
            <w:tcBorders>
              <w:top w:val="single" w:sz="12" w:space="0" w:color="000000"/>
              <w:left w:val="single" w:sz="4" w:space="0" w:color="000000"/>
              <w:bottom w:val="single" w:sz="4" w:space="0" w:color="000000"/>
              <w:right w:val="single" w:sz="12" w:space="0" w:color="000000"/>
            </w:tcBorders>
            <w:noWrap/>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金额</w:t>
            </w:r>
          </w:p>
        </w:tc>
      </w:tr>
      <w:tr w:rsidR="00A91EDB">
        <w:trPr>
          <w:trHeight w:val="500"/>
        </w:trPr>
        <w:tc>
          <w:tcPr>
            <w:tcW w:w="1132"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长沙市</w:t>
            </w:r>
          </w:p>
        </w:tc>
        <w:tc>
          <w:tcPr>
            <w:tcW w:w="1213"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2,226.31</w:t>
            </w:r>
          </w:p>
        </w:tc>
        <w:tc>
          <w:tcPr>
            <w:tcW w:w="1119"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永州市</w:t>
            </w:r>
          </w:p>
        </w:tc>
        <w:tc>
          <w:tcPr>
            <w:tcW w:w="1091"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281.85</w:t>
            </w:r>
          </w:p>
        </w:tc>
        <w:tc>
          <w:tcPr>
            <w:tcW w:w="1104"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怀化市</w:t>
            </w:r>
          </w:p>
        </w:tc>
        <w:tc>
          <w:tcPr>
            <w:tcW w:w="1050"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216.39</w:t>
            </w:r>
          </w:p>
        </w:tc>
        <w:tc>
          <w:tcPr>
            <w:tcW w:w="1227"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湘西州</w:t>
            </w:r>
          </w:p>
        </w:tc>
        <w:tc>
          <w:tcPr>
            <w:tcW w:w="819" w:type="dxa"/>
            <w:tcBorders>
              <w:top w:val="single" w:sz="4" w:space="0" w:color="000000"/>
              <w:left w:val="single" w:sz="4" w:space="0" w:color="000000"/>
              <w:bottom w:val="single" w:sz="4" w:space="0" w:color="000000"/>
              <w:right w:val="single" w:sz="12"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46.41</w:t>
            </w:r>
          </w:p>
        </w:tc>
      </w:tr>
      <w:tr w:rsidR="00A91EDB">
        <w:trPr>
          <w:trHeight w:val="500"/>
        </w:trPr>
        <w:tc>
          <w:tcPr>
            <w:tcW w:w="1132"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衡阳市</w:t>
            </w:r>
          </w:p>
        </w:tc>
        <w:tc>
          <w:tcPr>
            <w:tcW w:w="1213"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425.78</w:t>
            </w:r>
          </w:p>
        </w:tc>
        <w:tc>
          <w:tcPr>
            <w:tcW w:w="1119"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岳阳市</w:t>
            </w:r>
          </w:p>
        </w:tc>
        <w:tc>
          <w:tcPr>
            <w:tcW w:w="1091"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255.99</w:t>
            </w:r>
          </w:p>
        </w:tc>
        <w:tc>
          <w:tcPr>
            <w:tcW w:w="1104"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湘潭市</w:t>
            </w:r>
          </w:p>
        </w:tc>
        <w:tc>
          <w:tcPr>
            <w:tcW w:w="1050"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214.40</w:t>
            </w:r>
          </w:p>
        </w:tc>
        <w:tc>
          <w:tcPr>
            <w:tcW w:w="1227"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张家界市</w:t>
            </w:r>
          </w:p>
        </w:tc>
        <w:tc>
          <w:tcPr>
            <w:tcW w:w="819" w:type="dxa"/>
            <w:tcBorders>
              <w:top w:val="single" w:sz="4" w:space="0" w:color="000000"/>
              <w:left w:val="single" w:sz="4" w:space="0" w:color="000000"/>
              <w:bottom w:val="single" w:sz="4" w:space="0" w:color="000000"/>
              <w:right w:val="single" w:sz="12"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29.43</w:t>
            </w:r>
          </w:p>
        </w:tc>
      </w:tr>
      <w:tr w:rsidR="00A91EDB">
        <w:trPr>
          <w:trHeight w:val="500"/>
        </w:trPr>
        <w:tc>
          <w:tcPr>
            <w:tcW w:w="1132"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株洲市</w:t>
            </w:r>
          </w:p>
        </w:tc>
        <w:tc>
          <w:tcPr>
            <w:tcW w:w="1213"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299.60</w:t>
            </w:r>
          </w:p>
        </w:tc>
        <w:tc>
          <w:tcPr>
            <w:tcW w:w="1119"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益阳市</w:t>
            </w:r>
          </w:p>
        </w:tc>
        <w:tc>
          <w:tcPr>
            <w:tcW w:w="1091"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232.39</w:t>
            </w:r>
          </w:p>
        </w:tc>
        <w:tc>
          <w:tcPr>
            <w:tcW w:w="1104"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邵阳市</w:t>
            </w:r>
          </w:p>
        </w:tc>
        <w:tc>
          <w:tcPr>
            <w:tcW w:w="1050"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149.41</w:t>
            </w:r>
          </w:p>
        </w:tc>
        <w:tc>
          <w:tcPr>
            <w:tcW w:w="1227" w:type="dxa"/>
            <w:vMerge w:val="restart"/>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省电影行业协会</w:t>
            </w:r>
          </w:p>
        </w:tc>
        <w:tc>
          <w:tcPr>
            <w:tcW w:w="819" w:type="dxa"/>
            <w:vMerge w:val="restart"/>
            <w:tcBorders>
              <w:top w:val="single" w:sz="4" w:space="0" w:color="000000"/>
              <w:left w:val="single" w:sz="4" w:space="0" w:color="000000"/>
              <w:bottom w:val="single" w:sz="4" w:space="0" w:color="000000"/>
              <w:right w:val="single" w:sz="12"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40.96</w:t>
            </w:r>
          </w:p>
        </w:tc>
      </w:tr>
      <w:tr w:rsidR="00A91EDB">
        <w:trPr>
          <w:trHeight w:val="500"/>
        </w:trPr>
        <w:tc>
          <w:tcPr>
            <w:tcW w:w="1132" w:type="dxa"/>
            <w:tcBorders>
              <w:top w:val="single" w:sz="4" w:space="0" w:color="000000"/>
              <w:left w:val="single" w:sz="12"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郴州市</w:t>
            </w:r>
          </w:p>
        </w:tc>
        <w:tc>
          <w:tcPr>
            <w:tcW w:w="1213"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296.30</w:t>
            </w:r>
          </w:p>
        </w:tc>
        <w:tc>
          <w:tcPr>
            <w:tcW w:w="1119"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常德市</w:t>
            </w:r>
          </w:p>
        </w:tc>
        <w:tc>
          <w:tcPr>
            <w:tcW w:w="1091"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226.91</w:t>
            </w:r>
          </w:p>
        </w:tc>
        <w:tc>
          <w:tcPr>
            <w:tcW w:w="1104"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娄底市</w:t>
            </w:r>
          </w:p>
        </w:tc>
        <w:tc>
          <w:tcPr>
            <w:tcW w:w="1050"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112.87</w:t>
            </w:r>
          </w:p>
        </w:tc>
        <w:tc>
          <w:tcPr>
            <w:tcW w:w="1227" w:type="dxa"/>
            <w:vMerge/>
            <w:tcBorders>
              <w:top w:val="single" w:sz="4" w:space="0" w:color="000000"/>
              <w:left w:val="single" w:sz="4" w:space="0" w:color="000000"/>
              <w:bottom w:val="single" w:sz="4" w:space="0" w:color="000000"/>
              <w:right w:val="single" w:sz="4" w:space="0" w:color="000000"/>
            </w:tcBorders>
            <w:vAlign w:val="center"/>
          </w:tcPr>
          <w:p w:rsidR="00A91EDB" w:rsidRDefault="00A91EDB">
            <w:pPr>
              <w:widowControl/>
              <w:adjustRightInd w:val="0"/>
              <w:snapToGrid w:val="0"/>
              <w:spacing w:line="280" w:lineRule="exact"/>
              <w:jc w:val="center"/>
              <w:rPr>
                <w:rFonts w:ascii="仿宋_GB2312" w:eastAsia="仿宋_GB2312" w:hAnsi="仿宋_GB2312" w:cs="仿宋_GB2312"/>
                <w:color w:val="000000"/>
                <w:sz w:val="24"/>
                <w:szCs w:val="24"/>
              </w:rPr>
            </w:pPr>
          </w:p>
        </w:tc>
        <w:tc>
          <w:tcPr>
            <w:tcW w:w="819" w:type="dxa"/>
            <w:vMerge/>
            <w:tcBorders>
              <w:top w:val="single" w:sz="4" w:space="0" w:color="000000"/>
              <w:left w:val="single" w:sz="4" w:space="0" w:color="000000"/>
              <w:bottom w:val="single" w:sz="4" w:space="0" w:color="000000"/>
              <w:right w:val="single" w:sz="12" w:space="0" w:color="000000"/>
            </w:tcBorders>
            <w:vAlign w:val="center"/>
          </w:tcPr>
          <w:p w:rsidR="00A91EDB" w:rsidRDefault="00A91EDB">
            <w:pPr>
              <w:widowControl/>
              <w:adjustRightInd w:val="0"/>
              <w:snapToGrid w:val="0"/>
              <w:spacing w:line="280" w:lineRule="exact"/>
              <w:jc w:val="center"/>
              <w:textAlignment w:val="center"/>
              <w:rPr>
                <w:rFonts w:ascii="仿宋_GB2312" w:eastAsia="仿宋_GB2312" w:hAnsi="仿宋_GB2312" w:cs="仿宋_GB2312"/>
                <w:color w:val="000000"/>
                <w:kern w:val="0"/>
                <w:sz w:val="24"/>
                <w:szCs w:val="24"/>
              </w:rPr>
            </w:pPr>
          </w:p>
        </w:tc>
      </w:tr>
      <w:tr w:rsidR="00A91EDB">
        <w:trPr>
          <w:trHeight w:val="500"/>
        </w:trPr>
        <w:tc>
          <w:tcPr>
            <w:tcW w:w="3464" w:type="dxa"/>
            <w:gridSpan w:val="3"/>
            <w:tcBorders>
              <w:top w:val="single" w:sz="4" w:space="0" w:color="000000"/>
              <w:left w:val="single" w:sz="12" w:space="0" w:color="000000"/>
              <w:bottom w:val="single" w:sz="4" w:space="0" w:color="000000"/>
              <w:right w:val="single" w:sz="4" w:space="0" w:color="000000"/>
            </w:tcBorders>
            <w:noWrap/>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0"/>
                <w:szCs w:val="20"/>
              </w:rPr>
            </w:pPr>
            <w:r>
              <w:rPr>
                <w:rFonts w:ascii="仿宋_GB2312" w:eastAsia="仿宋_GB2312" w:hAnsi="仿宋_GB2312" w:cs="仿宋_GB2312" w:hint="eastAsia"/>
                <w:color w:val="000000"/>
                <w:kern w:val="0"/>
                <w:sz w:val="24"/>
                <w:szCs w:val="24"/>
              </w:rPr>
              <w:t>湖南广播电视台</w:t>
            </w:r>
          </w:p>
        </w:tc>
        <w:tc>
          <w:tcPr>
            <w:tcW w:w="1091" w:type="dxa"/>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rPr>
              <w:t>590.00</w:t>
            </w:r>
          </w:p>
        </w:tc>
        <w:tc>
          <w:tcPr>
            <w:tcW w:w="3381" w:type="dxa"/>
            <w:gridSpan w:val="3"/>
            <w:tcBorders>
              <w:top w:val="single" w:sz="4" w:space="0" w:color="000000"/>
              <w:left w:val="single" w:sz="4" w:space="0" w:color="000000"/>
              <w:bottom w:val="single" w:sz="4" w:space="0" w:color="000000"/>
              <w:right w:val="single" w:sz="4"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sz w:val="20"/>
                <w:szCs w:val="20"/>
              </w:rPr>
            </w:pPr>
            <w:r>
              <w:rPr>
                <w:rFonts w:ascii="仿宋_GB2312" w:eastAsia="仿宋_GB2312" w:hAnsi="仿宋_GB2312" w:cs="仿宋_GB2312" w:hint="eastAsia"/>
                <w:color w:val="000000"/>
                <w:kern w:val="0"/>
                <w:sz w:val="24"/>
                <w:szCs w:val="24"/>
              </w:rPr>
              <w:t>省文联</w:t>
            </w:r>
          </w:p>
        </w:tc>
        <w:tc>
          <w:tcPr>
            <w:tcW w:w="819" w:type="dxa"/>
            <w:tcBorders>
              <w:top w:val="single" w:sz="4" w:space="0" w:color="000000"/>
              <w:left w:val="single" w:sz="4" w:space="0" w:color="000000"/>
              <w:bottom w:val="single" w:sz="4" w:space="0" w:color="000000"/>
              <w:right w:val="single" w:sz="12" w:space="0" w:color="000000"/>
            </w:tcBorders>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16.00</w:t>
            </w:r>
          </w:p>
        </w:tc>
      </w:tr>
      <w:tr w:rsidR="00A91EDB">
        <w:trPr>
          <w:trHeight w:val="500"/>
        </w:trPr>
        <w:tc>
          <w:tcPr>
            <w:tcW w:w="3464" w:type="dxa"/>
            <w:gridSpan w:val="3"/>
            <w:tcBorders>
              <w:top w:val="single" w:sz="4" w:space="0" w:color="000000"/>
              <w:left w:val="single" w:sz="12" w:space="0" w:color="000000"/>
              <w:bottom w:val="single" w:sz="12" w:space="0" w:color="000000"/>
              <w:right w:val="single" w:sz="4" w:space="0" w:color="000000"/>
            </w:tcBorders>
            <w:noWrap/>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合计</w:t>
            </w:r>
          </w:p>
        </w:tc>
        <w:tc>
          <w:tcPr>
            <w:tcW w:w="5291" w:type="dxa"/>
            <w:gridSpan w:val="5"/>
            <w:tcBorders>
              <w:top w:val="single" w:sz="4" w:space="0" w:color="000000"/>
              <w:left w:val="single" w:sz="4" w:space="0" w:color="000000"/>
              <w:bottom w:val="single" w:sz="12" w:space="0" w:color="000000"/>
              <w:right w:val="single" w:sz="12" w:space="0" w:color="000000"/>
            </w:tcBorders>
            <w:noWrap/>
            <w:vAlign w:val="center"/>
          </w:tcPr>
          <w:p w:rsidR="00A91EDB" w:rsidRDefault="00E31F4D">
            <w:pPr>
              <w:widowControl/>
              <w:adjustRightInd w:val="0"/>
              <w:snapToGrid w:val="0"/>
              <w:spacing w:line="280" w:lineRule="exact"/>
              <w:jc w:val="center"/>
              <w:textAlignment w:val="center"/>
              <w:rPr>
                <w:rFonts w:ascii="仿宋_GB2312" w:eastAsia="仿宋_GB2312" w:hAnsi="仿宋_GB2312" w:cs="仿宋_GB2312"/>
                <w:b/>
                <w:bCs/>
                <w:color w:val="000000"/>
                <w:sz w:val="24"/>
                <w:szCs w:val="24"/>
              </w:rPr>
            </w:pPr>
            <w:r>
              <w:rPr>
                <w:rFonts w:ascii="仿宋_GB2312" w:eastAsia="仿宋_GB2312" w:hAnsi="仿宋_GB2312" w:cs="仿宋_GB2312" w:hint="eastAsia"/>
                <w:b/>
                <w:bCs/>
                <w:color w:val="000000"/>
                <w:kern w:val="0"/>
                <w:sz w:val="24"/>
                <w:szCs w:val="24"/>
              </w:rPr>
              <w:t>5,661.00</w:t>
            </w:r>
          </w:p>
        </w:tc>
      </w:tr>
    </w:tbl>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预算安排最多的为长沙市，预算安排2,226.31万元，占预算总额的39.33%，主要为专项资金返还663.31万元、影院使用先进技术设备资助606万元、放映国产影片成绩突出影院奖励741万元、票房排名奖励216万元。</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安排资金在300-500万的地市1个，为衡阳市425.78万元，占预算总额的7.5%；</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安排资金在200-300万元之间的地市8个，合计安排金额2023.83万元，占预算总额的35.8%；</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安排资金在100-150万元之间的地市2个，合计安排金额</w:t>
      </w:r>
      <w:r>
        <w:rPr>
          <w:rFonts w:ascii="仿宋_GB2312" w:eastAsia="仿宋_GB2312" w:hAnsi="仿宋_GB2312" w:cs="仿宋_GB2312" w:hint="eastAsia"/>
          <w:bCs/>
          <w:sz w:val="32"/>
          <w:szCs w:val="32"/>
        </w:rPr>
        <w:lastRenderedPageBreak/>
        <w:t>262.28万元，占预算总额的4.6%；</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安排资金在50万元以下的地市2个，为湘西和张家界。</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省直单位预算安排646.96万元，主要用于资助重点影片拍摄、电影展、电影周、电影活动和征文、竞赛活动，资助全省影院票务软件巡查。</w:t>
      </w:r>
    </w:p>
    <w:p w:rsidR="00A91EDB" w:rsidRDefault="00E31F4D" w:rsidP="004C22C5">
      <w:pPr>
        <w:pStyle w:val="2"/>
        <w:spacing w:line="580" w:lineRule="exact"/>
        <w:ind w:firstLineChars="200" w:firstLine="643"/>
        <w:rPr>
          <w:rFonts w:ascii="楷体" w:eastAsia="楷体" w:hAnsi="楷体" w:cs="楷体"/>
        </w:rPr>
      </w:pPr>
      <w:bookmarkStart w:id="157" w:name="_Toc1160878740"/>
      <w:bookmarkStart w:id="158" w:name="_Toc1423508146"/>
      <w:r>
        <w:rPr>
          <w:rFonts w:ascii="楷体" w:eastAsia="楷体" w:hAnsi="楷体" w:cs="楷体" w:hint="eastAsia"/>
        </w:rPr>
        <w:t>（四）专项资金预算指标下达情况</w:t>
      </w:r>
      <w:bookmarkEnd w:id="157"/>
      <w:bookmarkEnd w:id="158"/>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本项目资金预算指标在2021年度内分两批下达，其中：</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2021年7月12日下达1,809.04万元，指标文号湘财文指[2021]24号，主要用于：对2020年度票房收入排名前列的影院进行奖励540万元，对2020年征收电影专项资金省级资金先征后返1,454.04万元，对乡镇影院建设试点进行资助-185万元。</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2021年12月16日下达3,851.96万元，指标文号湘财文指〔2021〕64号，主要用于：资助1家新建乡镇影院30万元，资助63家影院使用先进技术放映设备1,470万元；奖励360家放映国产影片成绩突出影院1,705万元；资助2部红色主旋律影片拍摄400万元；资助举办重点电影文化活动206万元；资助全省影院票务软件巡查40.96万元。</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以上资金，已全部下达至有关省直单位和各市州财政。</w:t>
      </w:r>
    </w:p>
    <w:p w:rsidR="00A91EDB" w:rsidRDefault="00E31F4D" w:rsidP="004C22C5">
      <w:pPr>
        <w:pStyle w:val="2"/>
        <w:spacing w:line="580" w:lineRule="exact"/>
        <w:ind w:firstLineChars="200" w:firstLine="643"/>
        <w:rPr>
          <w:rFonts w:ascii="楷体" w:eastAsia="楷体" w:hAnsi="楷体" w:cs="楷体"/>
        </w:rPr>
      </w:pPr>
      <w:bookmarkStart w:id="159" w:name="_Toc2100280579"/>
      <w:bookmarkStart w:id="160" w:name="_Toc1760499023"/>
      <w:r>
        <w:rPr>
          <w:rFonts w:ascii="楷体" w:eastAsia="楷体" w:hAnsi="楷体" w:cs="楷体" w:hint="eastAsia"/>
        </w:rPr>
        <w:t>（五）专项资金下拨项目单位到位情况</w:t>
      </w:r>
      <w:bookmarkEnd w:id="159"/>
      <w:bookmarkEnd w:id="160"/>
    </w:p>
    <w:p w:rsidR="00A91EDB" w:rsidRDefault="00E31F4D">
      <w:pPr>
        <w:pStyle w:val="a0"/>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截止本报告出具日，资金已基本拨付到具体项目单位，未发现挪用现象。</w:t>
      </w:r>
    </w:p>
    <w:p w:rsidR="00A91EDB" w:rsidRDefault="00E31F4D" w:rsidP="004C22C5">
      <w:pPr>
        <w:pStyle w:val="2"/>
        <w:spacing w:line="580" w:lineRule="exact"/>
        <w:ind w:firstLineChars="200" w:firstLine="643"/>
        <w:rPr>
          <w:rFonts w:ascii="楷体" w:eastAsia="楷体" w:hAnsi="楷体" w:cs="楷体"/>
        </w:rPr>
      </w:pPr>
      <w:bookmarkStart w:id="161" w:name="_Toc43020979"/>
      <w:bookmarkStart w:id="162" w:name="_Toc5777"/>
      <w:bookmarkStart w:id="163" w:name="_Toc15728"/>
      <w:bookmarkStart w:id="164" w:name="_Toc342519172"/>
      <w:bookmarkStart w:id="165" w:name="_Toc225861117"/>
      <w:bookmarkStart w:id="166" w:name="_Toc27578"/>
      <w:bookmarkStart w:id="167" w:name="_Toc19563"/>
      <w:bookmarkStart w:id="168" w:name="_Toc31145"/>
      <w:bookmarkStart w:id="169" w:name="_Toc22607"/>
      <w:bookmarkStart w:id="170" w:name="_Toc11663"/>
      <w:bookmarkEnd w:id="146"/>
      <w:bookmarkEnd w:id="147"/>
      <w:bookmarkEnd w:id="148"/>
      <w:bookmarkEnd w:id="149"/>
      <w:bookmarkEnd w:id="150"/>
      <w:bookmarkEnd w:id="151"/>
      <w:bookmarkEnd w:id="152"/>
      <w:r>
        <w:rPr>
          <w:rFonts w:ascii="楷体" w:eastAsia="楷体" w:hAnsi="楷体" w:cs="楷体" w:hint="eastAsia"/>
        </w:rPr>
        <w:t>（六）</w:t>
      </w:r>
      <w:bookmarkStart w:id="171" w:name="_Toc43020981"/>
      <w:bookmarkEnd w:id="161"/>
      <w:r>
        <w:rPr>
          <w:rFonts w:ascii="楷体" w:eastAsia="楷体" w:hAnsi="楷体" w:cs="楷体" w:hint="eastAsia"/>
        </w:rPr>
        <w:t>项目实施完成进度及资金使用情况</w:t>
      </w:r>
      <w:bookmarkEnd w:id="162"/>
      <w:bookmarkEnd w:id="163"/>
      <w:bookmarkEnd w:id="164"/>
      <w:bookmarkEnd w:id="165"/>
      <w:bookmarkEnd w:id="166"/>
      <w:bookmarkEnd w:id="167"/>
      <w:bookmarkEnd w:id="168"/>
      <w:bookmarkEnd w:id="169"/>
      <w:bookmarkEnd w:id="170"/>
      <w:bookmarkEnd w:id="171"/>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bookmarkStart w:id="172" w:name="_Toc209069395"/>
      <w:bookmarkStart w:id="173" w:name="_Toc213020775"/>
      <w:r>
        <w:rPr>
          <w:rFonts w:ascii="仿宋_GB2312" w:eastAsia="仿宋_GB2312" w:hAnsi="仿宋_GB2312" w:cs="仿宋_GB2312" w:hint="eastAsia"/>
          <w:bCs/>
          <w:sz w:val="32"/>
          <w:szCs w:val="32"/>
        </w:rPr>
        <w:t>除影院票务软件巡查、举办重点电影文化活动类项目以外，</w:t>
      </w:r>
      <w:r>
        <w:rPr>
          <w:rFonts w:ascii="仿宋_GB2312" w:eastAsia="仿宋_GB2312" w:hAnsi="仿宋_GB2312" w:cs="仿宋_GB2312" w:hint="eastAsia"/>
          <w:bCs/>
          <w:sz w:val="32"/>
          <w:szCs w:val="32"/>
        </w:rPr>
        <w:lastRenderedPageBreak/>
        <w:t>其他奖励和资助类项目实施全部完成，并形成了较好的产出绩效。专项资金使用严格做到了专款专用，预算执行率均为100%。具体如下：</w:t>
      </w:r>
    </w:p>
    <w:bookmarkEnd w:id="172"/>
    <w:bookmarkEnd w:id="173"/>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2020年电影专项资金先征后返1454.04万元：为对2020年全省456家影院缴纳省级电影专项资金，按照《关于印发&lt;应对新冠肺炎疫情影响促进电影业平稳健康发展的措施&gt;的通知》（湘影发〔2020〕1号）精神返还。</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（2）资助新建乡镇影院30万元：为对衡阳市衡南县楚湘国际影城的资助，该影院共4个厅，在2019年、2020年新建并正式营业，按照每个放映厅支持10万元最高不超过30万元资助。</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（3）资助影院使用先进技术放映设备1470万元：为对2019年、2020年安装使用先进技术放映设备的影院，按照取得设备成本的20%予以资助，每家资助最高不超过50万元。符合条件的影院有63家，资助1470万元。</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（4）奖励放映国产影片成绩突出影院1705万元：为对2020年1月1日至12月31日放映国产影片票房收入占总票房55%以上的影院分55%-60%、60%-66%、66%以上三档进行奖励，符合条件影院360家，奖励1705万元。</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5）各市州票房排名前3名影院奖励、全省票房排名前30名影院奖励合计540万元：为对2020年度全省票房前30名影院进行奖励。票房1-10名影院，每家奖励15万元；11-20名的奖励10万元/家；21-30名的奖励8万元/家。对市州票房前3名的影院进行奖励，每家影院奖励5万元。</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6）资助红色主旋律影片拍摄400万元：资助电影《大地颂歌》300万元，资助电影《何叔衡》100万元，共400万元，均用于了影片拍摄支出。《大地颂歌》于2020年10月开始筹备，2021年3月26日在全国上映，《何叔衡》于2021年12月24日举行首映式。</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（7）影院票务软件巡查工作资助40.96万元。计划2022年利用6个月时间对全省480家电影院开展巡查，因疫情影响，截止5月26日，完成186家影院巡查工作。</w:t>
      </w:r>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（8）潇湘红色电影展、俄罗斯电影周、电影知识竞赛等活动资助共206万元，</w:t>
      </w:r>
      <w:r>
        <w:rPr>
          <w:rFonts w:ascii="仿宋_GB2312" w:eastAsia="仿宋_GB2312" w:hAnsi="仿宋_GB2312" w:cs="仿宋_GB2312"/>
          <w:bCs/>
          <w:sz w:val="32"/>
          <w:szCs w:val="32"/>
        </w:rPr>
        <w:t>费用暂未支出，</w:t>
      </w:r>
      <w:r>
        <w:rPr>
          <w:rFonts w:ascii="仿宋_GB2312" w:eastAsia="仿宋_GB2312" w:hAnsi="仿宋_GB2312" w:cs="仿宋_GB2312" w:hint="eastAsia"/>
          <w:bCs/>
          <w:sz w:val="32"/>
          <w:szCs w:val="32"/>
        </w:rPr>
        <w:t>但</w:t>
      </w:r>
      <w:r>
        <w:rPr>
          <w:rFonts w:ascii="仿宋_GB2312" w:eastAsia="仿宋_GB2312" w:hAnsi="仿宋_GB2312" w:cs="仿宋_GB2312"/>
          <w:bCs/>
          <w:sz w:val="32"/>
          <w:szCs w:val="32"/>
        </w:rPr>
        <w:t>项目</w:t>
      </w:r>
      <w:r>
        <w:rPr>
          <w:rFonts w:ascii="仿宋_GB2312" w:eastAsia="仿宋_GB2312" w:hAnsi="仿宋_GB2312" w:cs="仿宋_GB2312" w:hint="eastAsia"/>
          <w:bCs/>
          <w:sz w:val="32"/>
          <w:szCs w:val="32"/>
        </w:rPr>
        <w:t>已全部完成，项目完成度10</w:t>
      </w:r>
      <w:r>
        <w:rPr>
          <w:rFonts w:ascii="仿宋_GB2312" w:eastAsia="仿宋_GB2312" w:hAnsi="仿宋_GB2312" w:cs="仿宋_GB2312"/>
          <w:bCs/>
          <w:sz w:val="32"/>
          <w:szCs w:val="32"/>
        </w:rPr>
        <w:t>0%。</w:t>
      </w:r>
    </w:p>
    <w:p w:rsidR="00A91EDB" w:rsidRDefault="00E31F4D">
      <w:pPr>
        <w:pStyle w:val="1"/>
        <w:adjustRightInd w:val="0"/>
        <w:snapToGrid w:val="0"/>
        <w:spacing w:line="580" w:lineRule="exact"/>
        <w:ind w:firstLineChars="200" w:firstLine="640"/>
        <w:rPr>
          <w:rFonts w:ascii="黑体" w:eastAsia="黑体" w:hAnsi="黑体" w:cs="黑体"/>
          <w:b w:val="0"/>
          <w:bCs w:val="0"/>
          <w:sz w:val="32"/>
          <w:szCs w:val="32"/>
        </w:rPr>
      </w:pPr>
      <w:bookmarkStart w:id="174" w:name="_Toc660820210"/>
      <w:bookmarkStart w:id="175" w:name="_Toc131918622"/>
      <w:bookmarkStart w:id="176" w:name="_Toc43020987"/>
      <w:bookmarkStart w:id="177" w:name="_Toc23639"/>
      <w:bookmarkStart w:id="178" w:name="_Toc18850"/>
      <w:bookmarkStart w:id="179" w:name="_Toc15165"/>
      <w:bookmarkStart w:id="180" w:name="_Toc11820"/>
      <w:bookmarkStart w:id="181" w:name="_Toc3499"/>
      <w:bookmarkStart w:id="182" w:name="_Toc19566"/>
      <w:bookmarkStart w:id="183" w:name="_Toc17214"/>
      <w:r>
        <w:rPr>
          <w:rFonts w:ascii="黑体" w:eastAsia="黑体" w:hAnsi="黑体" w:cs="黑体" w:hint="eastAsia"/>
          <w:b w:val="0"/>
          <w:bCs w:val="0"/>
          <w:sz w:val="32"/>
          <w:szCs w:val="32"/>
        </w:rPr>
        <w:t>四、国有资本经营预算支出情况</w:t>
      </w:r>
      <w:bookmarkEnd w:id="174"/>
      <w:bookmarkEnd w:id="175"/>
    </w:p>
    <w:p w:rsidR="00A91EDB" w:rsidRDefault="00E31F4D" w:rsidP="004C22C5">
      <w:pPr>
        <w:pStyle w:val="2"/>
        <w:spacing w:line="580" w:lineRule="exact"/>
        <w:ind w:firstLineChars="200" w:firstLine="643"/>
        <w:rPr>
          <w:rFonts w:ascii="楷体" w:eastAsia="楷体" w:hAnsi="楷体" w:cs="楷体"/>
        </w:rPr>
      </w:pPr>
      <w:bookmarkStart w:id="184" w:name="_Toc1133521444"/>
      <w:bookmarkStart w:id="185" w:name="_Toc1390059057"/>
      <w:r>
        <w:rPr>
          <w:rFonts w:ascii="楷体" w:eastAsia="楷体" w:hAnsi="楷体" w:cs="楷体" w:hint="eastAsia"/>
        </w:rPr>
        <w:t>（一）专项资金基本情况</w:t>
      </w:r>
      <w:bookmarkEnd w:id="184"/>
      <w:bookmarkEnd w:id="185"/>
    </w:p>
    <w:p w:rsidR="00A91EDB" w:rsidRDefault="00E31F4D">
      <w:pPr>
        <w:widowControl/>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2020年起，我部（省文资委）参与配合省财政厅开展省管国有文化企业国有资本经营预算支出安排有关工作，主要负责督促企业缴纳国有资本收益；会同省财政厅组织省管国有文化企业申报国有资本收益预算支出项目、汇总初审申报项目、组织专家评审会并提出支出建议。资金来源于省属文化企业上缴的国有资本收益，按上年度税后净利润额，扣除弥补以往年度亏损和提取法定公积金后，按20%比例上缴（其中应交收益500万元以下的免缴）。上缴部分的70%纳入本专项预算支出。</w:t>
      </w:r>
      <w:r>
        <w:rPr>
          <w:rFonts w:ascii="仿宋_GB2312" w:eastAsia="仿宋_GB2312" w:hAnsi="仿宋_GB2312" w:cs="仿宋_GB2312" w:hint="eastAsia"/>
          <w:sz w:val="32"/>
          <w:szCs w:val="32"/>
        </w:rPr>
        <w:t>本专项</w:t>
      </w:r>
      <w:r>
        <w:rPr>
          <w:rFonts w:ascii="仿宋_GB2312" w:eastAsia="仿宋_GB2312" w:hAnsi="仿宋_GB2312" w:cs="仿宋_GB2312" w:hint="eastAsia"/>
          <w:bCs/>
          <w:sz w:val="32"/>
          <w:szCs w:val="32"/>
        </w:rPr>
        <w:t>预算支出主要采取注册资本金注入的方式对省管国有文化企业的改革和发展进行支持。</w:t>
      </w:r>
    </w:p>
    <w:p w:rsidR="00A91EDB" w:rsidRDefault="00E31F4D" w:rsidP="004C22C5">
      <w:pPr>
        <w:pStyle w:val="2"/>
        <w:spacing w:line="580" w:lineRule="exact"/>
        <w:ind w:firstLineChars="200" w:firstLine="643"/>
        <w:rPr>
          <w:rFonts w:ascii="楷体" w:eastAsia="楷体" w:hAnsi="楷体" w:cs="楷体"/>
        </w:rPr>
      </w:pPr>
      <w:bookmarkStart w:id="186" w:name="_Toc1799036170"/>
      <w:bookmarkStart w:id="187" w:name="_Toc1784058104"/>
      <w:r>
        <w:rPr>
          <w:rFonts w:ascii="楷体" w:eastAsia="楷体" w:hAnsi="楷体" w:cs="楷体" w:hint="eastAsia"/>
        </w:rPr>
        <w:lastRenderedPageBreak/>
        <w:t>（二）专项资金申报及审批情况</w:t>
      </w:r>
      <w:bookmarkEnd w:id="186"/>
      <w:bookmarkEnd w:id="187"/>
    </w:p>
    <w:p w:rsidR="00A91EDB" w:rsidRDefault="00E31F4D">
      <w:pPr>
        <w:pStyle w:val="a0"/>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2021年，经省财政厅文化处核定，分两批核定国有资本经营预算支出项目资金合计</w:t>
      </w:r>
      <w:r>
        <w:rPr>
          <w:rFonts w:ascii="仿宋_GB2312" w:eastAsia="仿宋_GB2312" w:hAnsi="仿宋_GB2312" w:cs="仿宋_GB2312" w:hint="eastAsia"/>
          <w:sz w:val="32"/>
          <w:szCs w:val="32"/>
        </w:rPr>
        <w:t>23,337.00万元。</w:t>
      </w:r>
    </w:p>
    <w:p w:rsidR="00A91EDB" w:rsidRDefault="00E31F4D">
      <w:pPr>
        <w:pStyle w:val="a0"/>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根据核定的专项资金总额，</w:t>
      </w:r>
      <w:r>
        <w:rPr>
          <w:rFonts w:ascii="仿宋_GB2312" w:eastAsia="仿宋_GB2312" w:hAnsi="仿宋_GB2312" w:cs="仿宋_GB2312" w:hint="eastAsia"/>
          <w:bCs/>
          <w:sz w:val="32"/>
          <w:szCs w:val="32"/>
        </w:rPr>
        <w:t>省文资委于2020年9月、2021年8月分别下发国有资本经营预算支出项目申报通知（湘文资委函〔2020〕18号、〔2021〕10号），共收到5家省管文化企业申报的19个项目，申报金额共计5.13亿元。经两次现场考察和现场评审后，会同省财政厅最终审批确定</w:t>
      </w:r>
      <w:r>
        <w:rPr>
          <w:rFonts w:ascii="仿宋_GB2312" w:eastAsia="仿宋_GB2312" w:hAnsi="仿宋_GB2312" w:cs="仿宋_GB2312" w:hint="eastAsia"/>
          <w:sz w:val="32"/>
          <w:szCs w:val="32"/>
        </w:rPr>
        <w:t>重点支持11个专项。</w:t>
      </w:r>
    </w:p>
    <w:p w:rsidR="00A91EDB" w:rsidRDefault="00E31F4D" w:rsidP="004C22C5">
      <w:pPr>
        <w:pStyle w:val="2"/>
        <w:spacing w:line="580" w:lineRule="exact"/>
        <w:ind w:firstLineChars="200" w:firstLine="643"/>
        <w:rPr>
          <w:rFonts w:ascii="楷体" w:eastAsia="楷体" w:hAnsi="楷体" w:cs="楷体"/>
        </w:rPr>
      </w:pPr>
      <w:bookmarkStart w:id="188" w:name="_Toc400931680"/>
      <w:bookmarkStart w:id="189" w:name="_Toc161867983"/>
      <w:r>
        <w:rPr>
          <w:rFonts w:ascii="楷体" w:eastAsia="楷体" w:hAnsi="楷体" w:cs="楷体" w:hint="eastAsia"/>
        </w:rPr>
        <w:t>（三）专项资金指标下达及到位情况</w:t>
      </w:r>
      <w:bookmarkEnd w:id="188"/>
      <w:bookmarkEnd w:id="189"/>
    </w:p>
    <w:p w:rsidR="00A91EDB" w:rsidRDefault="00E31F4D">
      <w:pPr>
        <w:pStyle w:val="5"/>
        <w:spacing w:line="580" w:lineRule="exact"/>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2021年，该专项资金分两批下达：</w:t>
      </w:r>
    </w:p>
    <w:p w:rsidR="00A91EDB" w:rsidRDefault="00E31F4D">
      <w:pPr>
        <w:pStyle w:val="5"/>
        <w:spacing w:line="580" w:lineRule="exact"/>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2021年2月18日下达12,564万元，指标文号“</w:t>
      </w:r>
      <w:r>
        <w:rPr>
          <w:rFonts w:ascii="仿宋_GB2312" w:eastAsia="仿宋_GB2312" w:hAnsi="仿宋_GB2312" w:cs="仿宋_GB2312" w:hint="eastAsia"/>
          <w:color w:val="000000"/>
          <w:sz w:val="32"/>
          <w:szCs w:val="32"/>
        </w:rPr>
        <w:t>湘财预国文〔2021〕1号</w:t>
      </w:r>
      <w:r>
        <w:rPr>
          <w:rFonts w:ascii="仿宋_GB2312" w:eastAsia="仿宋_GB2312" w:hAnsi="仿宋_GB2312" w:cs="仿宋_GB2312" w:hint="eastAsia"/>
          <w:sz w:val="32"/>
          <w:szCs w:val="32"/>
        </w:rPr>
        <w:t>”，共安排7个项目。</w:t>
      </w:r>
    </w:p>
    <w:p w:rsidR="00A91EDB" w:rsidRDefault="00E31F4D">
      <w:pPr>
        <w:pStyle w:val="5"/>
        <w:spacing w:line="580" w:lineRule="exact"/>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2021年12月28日下达10,773万元，指标文号“</w:t>
      </w:r>
      <w:r>
        <w:rPr>
          <w:rFonts w:ascii="仿宋_GB2312" w:eastAsia="仿宋_GB2312" w:hAnsi="仿宋_GB2312" w:cs="仿宋_GB2312" w:hint="eastAsia"/>
          <w:color w:val="000000"/>
          <w:sz w:val="32"/>
          <w:szCs w:val="32"/>
        </w:rPr>
        <w:t>湘财文指〔2021〕69号）</w:t>
      </w:r>
      <w:r>
        <w:rPr>
          <w:rFonts w:ascii="仿宋_GB2312" w:eastAsia="仿宋_GB2312" w:hAnsi="仿宋_GB2312" w:cs="仿宋_GB2312" w:hint="eastAsia"/>
          <w:sz w:val="32"/>
          <w:szCs w:val="32"/>
        </w:rPr>
        <w:t>”，共安排4个项目。</w:t>
      </w:r>
    </w:p>
    <w:p w:rsidR="00A91EDB" w:rsidRDefault="00E31F4D">
      <w:pPr>
        <w:pStyle w:val="5"/>
        <w:spacing w:line="580" w:lineRule="exact"/>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两次共计安排11个项目。其中，出版控股集团安排3个项目，资金额度为18,537万元（不含调出到一般公共预算的1,793万元），占比79.43%；广播影视集团安排4个项目，资金额度2,800万元，占比12%；体育产业集团安排2个项目，资金额度1,100万元，占比4.71%；湖南日报报业集团安排1个项目，资金额度800万元，占比3.43%。</w:t>
      </w:r>
    </w:p>
    <w:p w:rsidR="00A91EDB" w:rsidRDefault="00E31F4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经自评，截止各项目单位自评报告日，以上预算资金均已拨付各项目单位，预算资金到位率100%。</w:t>
      </w:r>
      <w:r>
        <w:rPr>
          <w:rFonts w:hint="eastAsia"/>
          <w:sz w:val="32"/>
          <w:szCs w:val="32"/>
        </w:rPr>
        <w:t xml:space="preserve"> </w:t>
      </w:r>
    </w:p>
    <w:p w:rsidR="00A91EDB" w:rsidRDefault="00E31F4D" w:rsidP="004C22C5">
      <w:pPr>
        <w:pStyle w:val="2"/>
        <w:spacing w:line="580" w:lineRule="exact"/>
        <w:ind w:firstLineChars="200" w:firstLine="643"/>
        <w:rPr>
          <w:rFonts w:ascii="楷体" w:eastAsia="楷体" w:hAnsi="楷体" w:cs="楷体"/>
        </w:rPr>
      </w:pPr>
      <w:bookmarkStart w:id="190" w:name="_Toc648521828"/>
      <w:bookmarkStart w:id="191" w:name="_Toc1886011446"/>
      <w:r>
        <w:rPr>
          <w:rFonts w:ascii="楷体" w:eastAsia="楷体" w:hAnsi="楷体" w:cs="楷体" w:hint="eastAsia"/>
        </w:rPr>
        <w:lastRenderedPageBreak/>
        <w:t>（四）项目实施完成情况</w:t>
      </w:r>
      <w:bookmarkEnd w:id="190"/>
      <w:bookmarkEnd w:id="191"/>
    </w:p>
    <w:p w:rsidR="00A91EDB" w:rsidRDefault="00E31F4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经对各项目单位的自评报告进行审核、归纳、汇总，截止至2021年度，11个项目实施情况如下：</w:t>
      </w:r>
    </w:p>
    <w:p w:rsidR="00A91EDB" w:rsidRDefault="00E31F4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按计划完成年度建设目标的项目6个</w:t>
      </w:r>
      <w:r>
        <w:rPr>
          <w:rFonts w:ascii="仿宋_GB2312" w:eastAsia="仿宋_GB2312" w:hAnsi="仿宋_GB2312" w:cs="仿宋_GB2312" w:hint="eastAsia"/>
          <w:sz w:val="32"/>
          <w:szCs w:val="32"/>
        </w:rPr>
        <w:t>：“节目生产基地数据中心（一期）、新赛道—小芒电商平台、5G时代布局VR/AR等新生态产业领域项目、智能艺术剧院、湖南日报智媒体大数据平台建设项目、湖南省乡村教育振兴服务平台项目（一期）。项目资金计划投入率在90%以上，本项目资金到位及使用率100%。</w:t>
      </w:r>
    </w:p>
    <w:p w:rsidR="00A91EDB" w:rsidRDefault="00E31F4D">
      <w:pPr>
        <w:pStyle w:val="a0"/>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未完成年度建设目标的项目5个</w:t>
      </w:r>
      <w:r>
        <w:rPr>
          <w:rFonts w:ascii="仿宋_GB2312" w:eastAsia="仿宋_GB2312" w:hAnsi="仿宋_GB2312" w:cs="仿宋_GB2312" w:hint="eastAsia"/>
          <w:sz w:val="32"/>
          <w:szCs w:val="32"/>
        </w:rPr>
        <w:t>：全民体育直播短视频平台项目，计划2021年12月完成第一阶段，实际未按计划进度完成，预计2022年12月底前完成。</w:t>
      </w:r>
      <w:r>
        <w:rPr>
          <w:rFonts w:ascii="仿宋_GB2312" w:eastAsia="仿宋_GB2312" w:hAnsi="仿宋_GB2312" w:cs="仿宋_GB2312"/>
          <w:sz w:val="32"/>
          <w:szCs w:val="32"/>
        </w:rPr>
        <w:t>湖南省体育产业园项目</w:t>
      </w:r>
      <w:r>
        <w:rPr>
          <w:rFonts w:ascii="仿宋_GB2312" w:eastAsia="仿宋_GB2312" w:hAnsi="仿宋_GB2312" w:cs="仿宋_GB2312" w:hint="eastAsia"/>
          <w:sz w:val="32"/>
          <w:szCs w:val="32"/>
        </w:rPr>
        <w:t>，总部大楼原计划2021年12月封顶，现预计在2022年12月才能封顶。其他楼栋建设基本按计划完成。“马栏山数字医疗系统建设”项目，截止2021年12月已完成硬软件产品的开发；三维影像数据生成、二维医学影像数据三维重建等技术开发，但较项目建设计划存在滞后。潇湘晨报短视频平台及现代传播体系项目，晨视频APP于2021年10月29日上线，受疫情影响，完成第一阶段的工作，项目开发方无法驻场办公，前期产品调研、产品设计出现不同程度的延期，较计划滞后6个月。湖湘文化数字化平台（第一期），本项目计划投入1.62亿元，计划至2021年投入7,000万元，受资金紧张和疫情影响，实际项目进展未达预期，预期在2023年完成一期建设。</w:t>
      </w:r>
    </w:p>
    <w:p w:rsidR="00A91EDB" w:rsidRDefault="00E31F4D" w:rsidP="004C22C5">
      <w:pPr>
        <w:pStyle w:val="2"/>
        <w:spacing w:line="580" w:lineRule="exact"/>
        <w:ind w:firstLineChars="200" w:firstLine="643"/>
        <w:rPr>
          <w:rFonts w:ascii="楷体" w:eastAsia="楷体" w:hAnsi="楷体" w:cs="楷体"/>
        </w:rPr>
      </w:pPr>
      <w:bookmarkStart w:id="192" w:name="_Toc79589821"/>
      <w:bookmarkStart w:id="193" w:name="_Toc1384340551"/>
      <w:r>
        <w:rPr>
          <w:rFonts w:ascii="楷体" w:eastAsia="楷体" w:hAnsi="楷体" w:cs="楷体" w:hint="eastAsia"/>
        </w:rPr>
        <w:lastRenderedPageBreak/>
        <w:t>（五）项目投资计划及专项资金使用完成情况</w:t>
      </w:r>
      <w:bookmarkEnd w:id="192"/>
      <w:bookmarkEnd w:id="193"/>
    </w:p>
    <w:p w:rsidR="00A91EDB" w:rsidRDefault="00E31F4D" w:rsidP="004C22C5">
      <w:pPr>
        <w:pStyle w:val="3"/>
        <w:spacing w:line="580" w:lineRule="exact"/>
        <w:ind w:firstLineChars="200" w:firstLine="643"/>
        <w:rPr>
          <w:szCs w:val="32"/>
        </w:rPr>
      </w:pPr>
      <w:bookmarkStart w:id="194" w:name="_Toc1958957498"/>
      <w:bookmarkStart w:id="195" w:name="_Toc647534404"/>
      <w:r>
        <w:rPr>
          <w:rFonts w:hint="eastAsia"/>
          <w:szCs w:val="32"/>
        </w:rPr>
        <w:t>1.</w:t>
      </w:r>
      <w:r>
        <w:rPr>
          <w:rFonts w:hint="eastAsia"/>
          <w:szCs w:val="32"/>
        </w:rPr>
        <w:t>项目投资总额及当年投入完成情况</w:t>
      </w:r>
      <w:bookmarkEnd w:id="194"/>
      <w:bookmarkEnd w:id="195"/>
    </w:p>
    <w:p w:rsidR="00A91EDB" w:rsidRDefault="00E31F4D" w:rsidP="004C22C5">
      <w:pPr>
        <w:pStyle w:val="a0"/>
        <w:spacing w:after="0" w:line="580" w:lineRule="exact"/>
        <w:ind w:firstLineChars="200" w:firstLine="643"/>
        <w:rPr>
          <w:rFonts w:ascii="仿宋_GB2312" w:eastAsia="仿宋_GB2312" w:hAnsi="仿宋_GB2312" w:cs="仿宋_GB2312"/>
          <w:sz w:val="32"/>
          <w:szCs w:val="32"/>
          <w:lang w:val="zh-CN"/>
        </w:rPr>
      </w:pPr>
      <w:r>
        <w:rPr>
          <w:rFonts w:ascii="仿宋" w:eastAsia="仿宋" w:hAnsi="仿宋" w:hint="eastAsia"/>
          <w:b/>
          <w:bCs/>
          <w:sz w:val="32"/>
          <w:szCs w:val="32"/>
        </w:rPr>
        <w:t>项目投资总额投入率在90%以上的5个</w:t>
      </w:r>
      <w:r>
        <w:rPr>
          <w:rFonts w:ascii="仿宋" w:eastAsia="仿宋" w:hAnsi="仿宋" w:hint="eastAsia"/>
          <w:sz w:val="32"/>
          <w:szCs w:val="32"/>
        </w:rPr>
        <w:t>：</w:t>
      </w:r>
      <w:r>
        <w:rPr>
          <w:rFonts w:ascii="仿宋_GB2312" w:eastAsia="仿宋_GB2312" w:hint="eastAsia"/>
          <w:bCs/>
          <w:sz w:val="32"/>
          <w:szCs w:val="32"/>
        </w:rPr>
        <w:t>湖南日报智媒体大数据平台建设项目</w:t>
      </w:r>
      <w:r>
        <w:rPr>
          <w:rFonts w:ascii="仿宋_GB2312" w:eastAsia="仿宋_GB2312" w:hint="eastAsia"/>
          <w:b/>
          <w:sz w:val="32"/>
          <w:szCs w:val="32"/>
        </w:rPr>
        <w:t>、</w:t>
      </w:r>
      <w:r>
        <w:rPr>
          <w:rFonts w:ascii="仿宋_GB2312" w:eastAsia="仿宋_GB2312" w:hAnsi="仿宋_GB2312" w:cs="仿宋_GB2312" w:hint="eastAsia"/>
          <w:sz w:val="32"/>
          <w:szCs w:val="32"/>
          <w:lang w:val="zh-CN"/>
        </w:rPr>
        <w:t>5G时代布局VR/AR等新生态产业领域项目、</w:t>
      </w:r>
      <w:r>
        <w:rPr>
          <w:rFonts w:ascii="仿宋_GB2312" w:eastAsia="仿宋_GB2312" w:hAnsi="仿宋_GB2312" w:cs="仿宋_GB2312" w:hint="eastAsia"/>
          <w:sz w:val="32"/>
          <w:szCs w:val="32"/>
        </w:rPr>
        <w:t>新赛道—小芒电商平台、湖湘文化数字化平台（第一期）、智能艺术剧院。</w:t>
      </w:r>
    </w:p>
    <w:p w:rsidR="00A91EDB" w:rsidRDefault="00E31F4D" w:rsidP="004C22C5">
      <w:pPr>
        <w:spacing w:line="580" w:lineRule="exact"/>
        <w:ind w:firstLineChars="200" w:firstLine="598"/>
        <w:rPr>
          <w:rFonts w:ascii="仿宋_GB2312" w:eastAsia="仿宋_GB2312"/>
          <w:sz w:val="32"/>
          <w:szCs w:val="32"/>
        </w:rPr>
      </w:pPr>
      <w:r>
        <w:rPr>
          <w:rFonts w:ascii="仿宋" w:eastAsia="仿宋" w:hAnsi="仿宋" w:hint="eastAsia"/>
          <w:b/>
          <w:bCs/>
          <w:spacing w:val="-11"/>
          <w:sz w:val="32"/>
          <w:szCs w:val="32"/>
        </w:rPr>
        <w:t>项目投资总额投入率在70%以下的6个</w:t>
      </w:r>
      <w:r>
        <w:rPr>
          <w:rFonts w:ascii="仿宋" w:eastAsia="仿宋" w:hAnsi="仿宋" w:hint="eastAsia"/>
          <w:spacing w:val="-11"/>
          <w:sz w:val="32"/>
          <w:szCs w:val="32"/>
        </w:rPr>
        <w:t>：</w:t>
      </w:r>
      <w:r>
        <w:rPr>
          <w:rFonts w:ascii="仿宋_GB2312" w:eastAsia="仿宋_GB2312" w:hAnsi="仿宋_GB2312" w:cs="仿宋_GB2312" w:hint="eastAsia"/>
          <w:sz w:val="32"/>
          <w:szCs w:val="32"/>
        </w:rPr>
        <w:t>全民体育直播短视频平台，计划投资总额15,000万元，其中2021年计划投资3,000万元，实际完成投资2,058.68万元。年度投资进度完成率68.62%。</w:t>
      </w:r>
      <w:r>
        <w:rPr>
          <w:rFonts w:ascii="仿宋_GB2312" w:eastAsia="仿宋_GB2312" w:hAnsi="仿宋_GB2312" w:cs="仿宋_GB2312"/>
          <w:sz w:val="32"/>
          <w:szCs w:val="32"/>
        </w:rPr>
        <w:t>湖南省体育产业园项目</w:t>
      </w:r>
      <w:r>
        <w:rPr>
          <w:rFonts w:ascii="仿宋_GB2312" w:eastAsia="仿宋_GB2312" w:hAnsi="仿宋_GB2312" w:cs="仿宋_GB2312" w:hint="eastAsia"/>
          <w:sz w:val="32"/>
          <w:szCs w:val="32"/>
        </w:rPr>
        <w:t>，2021年计划完成工程建设投资6亿元，实际累计完成4.01亿元，年度投资完成率66.83%。“马栏山数字医疗系统建设”项目，计划总投资4,500万元，截止2021年完成投入851万元，投资进度完成18.91%。</w:t>
      </w:r>
      <w:r>
        <w:rPr>
          <w:rFonts w:ascii="仿宋_GB2312" w:eastAsia="仿宋_GB2312" w:hAnsi="仿宋_GB2312" w:cs="仿宋_GB2312"/>
          <w:sz w:val="32"/>
          <w:szCs w:val="32"/>
        </w:rPr>
        <w:t>潇湘晨报短视频平台及现代传播体系</w:t>
      </w:r>
      <w:r>
        <w:rPr>
          <w:rFonts w:ascii="仿宋_GB2312" w:eastAsia="仿宋_GB2312" w:hAnsi="仿宋_GB2312" w:cs="仿宋_GB2312" w:hint="eastAsia"/>
          <w:sz w:val="32"/>
          <w:szCs w:val="32"/>
        </w:rPr>
        <w:t>项目，计划2021年底累计完成投资34,057万元，实际完成4,075.68万元，累计投资完成率11.97%；本年计划投资16,974万元，实际完成投资3,192.01万元，年度投资完成率18.80%。湖南省乡村教育振兴服务平台项目（一期），计划2021年至2023年投资3亿元，本年计划投资2,760万元，实际投入资金544万元，当年投资计</w:t>
      </w:r>
      <w:r>
        <w:rPr>
          <w:rFonts w:ascii="仿宋_GB2312" w:eastAsia="仿宋_GB2312" w:hint="eastAsia"/>
          <w:sz w:val="32"/>
          <w:szCs w:val="32"/>
        </w:rPr>
        <w:t>划完成率19.71%</w:t>
      </w:r>
      <w:r>
        <w:rPr>
          <w:rFonts w:ascii="仿宋_GB2312" w:eastAsia="仿宋_GB2312" w:hint="eastAsia"/>
          <w:spacing w:val="-11"/>
          <w:sz w:val="32"/>
          <w:szCs w:val="32"/>
        </w:rPr>
        <w:t>。</w:t>
      </w:r>
      <w:r>
        <w:rPr>
          <w:rFonts w:ascii="仿宋_GB2312" w:eastAsia="仿宋_GB2312" w:hint="eastAsia"/>
          <w:sz w:val="32"/>
          <w:szCs w:val="32"/>
        </w:rPr>
        <w:t>湖湘文化数字化平台（第一期），计划投资7,000万元，累计实际投入资金1,113万元。投资计划完成率15.90%。</w:t>
      </w:r>
    </w:p>
    <w:p w:rsidR="00A91EDB" w:rsidRDefault="00E31F4D" w:rsidP="004C22C5">
      <w:pPr>
        <w:pStyle w:val="3"/>
        <w:spacing w:line="580" w:lineRule="exact"/>
        <w:ind w:firstLineChars="200" w:firstLine="643"/>
        <w:rPr>
          <w:szCs w:val="32"/>
        </w:rPr>
      </w:pPr>
      <w:bookmarkStart w:id="196" w:name="_Toc1336595063"/>
      <w:bookmarkStart w:id="197" w:name="_Toc1086067475"/>
      <w:r>
        <w:rPr>
          <w:rFonts w:hint="eastAsia"/>
          <w:szCs w:val="32"/>
        </w:rPr>
        <w:lastRenderedPageBreak/>
        <w:t>2.</w:t>
      </w:r>
      <w:r>
        <w:rPr>
          <w:rFonts w:hint="eastAsia"/>
          <w:szCs w:val="32"/>
        </w:rPr>
        <w:t>专项资金投入使用情况</w:t>
      </w:r>
      <w:bookmarkEnd w:id="196"/>
      <w:bookmarkEnd w:id="197"/>
    </w:p>
    <w:p w:rsidR="00A91EDB" w:rsidRDefault="00E31F4D">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经审核，11个项目中8个项目专项资金预算执行率100%，3个项目预算执行率低。具体为：</w:t>
      </w:r>
    </w:p>
    <w:p w:rsidR="00A91EDB" w:rsidRDefault="00E31F4D">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潇湘晨报短视频平台及现代传播体系项目，本年2月下达预算资金11,357万元（含一般公共财政预算拨款1,793万元），本年投资支出3192.01万元，专项资金预算执行率28.10%。</w:t>
      </w:r>
    </w:p>
    <w:p w:rsidR="00A91EDB" w:rsidRDefault="00E31F4D">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湖南省乡村教育振兴服务平台项目（一期），专项资金下达8,473万元，实际项目投入资金544万元，计划投资2,760万元，预算资金执行率6.42%。</w:t>
      </w:r>
    </w:p>
    <w:p w:rsidR="00A91EDB" w:rsidRDefault="00E31F4D">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湖湘文化数字化平台（第一期），本年专项资金500万元，投入使用326万元，预算执行率65.20%。</w:t>
      </w:r>
    </w:p>
    <w:p w:rsidR="00A91EDB" w:rsidRDefault="00E31F4D" w:rsidP="004C22C5">
      <w:pPr>
        <w:pStyle w:val="2"/>
        <w:spacing w:line="580" w:lineRule="exact"/>
        <w:ind w:firstLineChars="200" w:firstLine="643"/>
        <w:rPr>
          <w:rFonts w:ascii="楷体" w:eastAsia="楷体" w:hAnsi="楷体" w:cs="楷体"/>
        </w:rPr>
      </w:pPr>
      <w:bookmarkStart w:id="198" w:name="_Toc2044498862"/>
      <w:bookmarkStart w:id="199" w:name="_Toc1374293797"/>
      <w:r>
        <w:rPr>
          <w:rFonts w:ascii="楷体" w:eastAsia="楷体" w:hAnsi="楷体" w:cs="楷体" w:hint="eastAsia"/>
        </w:rPr>
        <w:t>（六）资金投入及完成情况偏离原因分析</w:t>
      </w:r>
      <w:bookmarkEnd w:id="198"/>
      <w:bookmarkEnd w:id="199"/>
    </w:p>
    <w:p w:rsidR="00A91EDB" w:rsidRDefault="00E31F4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部分项目资金投入和完成率偏低，主要原因为：一是新冠疫情在全国范围内不定期、不定点的反复爆发导致项目开发、运营受到较大影响，如项目研发人员无法自由流动，产品线下推广活动受阻、项目开工建设屡屡因疫情防控停滞不前等；二是项目普遍投资额度较大，项目建设周期较长，项目内容较为复杂，项目前期论证及方案设定需反复修改，项目建设推进相对较为谨慎；三是部分项目涉及与有关厅局或县市协同与共建，前期需要开展大量沟通协调工作；四是部分项目内容开发受到国家相关方针政策的约束，为防范政策风险，需等待政策明确后进行规模资金投入；五是4个项目资金在2021年末下达，时间相对滞后，影响项目进展及资金投入力度。</w:t>
      </w:r>
    </w:p>
    <w:p w:rsidR="00A91EDB" w:rsidRDefault="00E31F4D">
      <w:pPr>
        <w:pStyle w:val="1"/>
        <w:adjustRightInd w:val="0"/>
        <w:snapToGrid w:val="0"/>
        <w:spacing w:line="580" w:lineRule="exact"/>
        <w:ind w:firstLineChars="200" w:firstLine="640"/>
        <w:rPr>
          <w:rFonts w:ascii="黑体" w:eastAsia="黑体" w:hAnsi="黑体" w:cs="黑体"/>
          <w:b w:val="0"/>
          <w:bCs w:val="0"/>
          <w:sz w:val="32"/>
          <w:szCs w:val="32"/>
        </w:rPr>
      </w:pPr>
      <w:bookmarkStart w:id="200" w:name="_Toc1135033665"/>
      <w:bookmarkStart w:id="201" w:name="_Toc437374664"/>
      <w:r>
        <w:rPr>
          <w:rFonts w:ascii="黑体" w:eastAsia="黑体" w:hAnsi="黑体" w:cs="黑体" w:hint="eastAsia"/>
          <w:b w:val="0"/>
          <w:bCs w:val="0"/>
          <w:sz w:val="32"/>
          <w:szCs w:val="32"/>
        </w:rPr>
        <w:lastRenderedPageBreak/>
        <w:t>五、部门整体支出绩效情况</w:t>
      </w:r>
      <w:bookmarkEnd w:id="176"/>
      <w:bookmarkEnd w:id="177"/>
      <w:bookmarkEnd w:id="178"/>
      <w:bookmarkEnd w:id="179"/>
      <w:bookmarkEnd w:id="180"/>
      <w:bookmarkEnd w:id="181"/>
      <w:bookmarkEnd w:id="182"/>
      <w:bookmarkEnd w:id="183"/>
      <w:bookmarkEnd w:id="200"/>
      <w:bookmarkEnd w:id="201"/>
    </w:p>
    <w:p w:rsidR="00A91EDB" w:rsidRDefault="00E31F4D" w:rsidP="004C22C5">
      <w:pPr>
        <w:pStyle w:val="2"/>
        <w:spacing w:line="580" w:lineRule="exact"/>
        <w:ind w:firstLineChars="200" w:firstLine="643"/>
        <w:rPr>
          <w:rFonts w:ascii="楷体" w:eastAsia="楷体" w:hAnsi="楷体" w:cs="楷体"/>
        </w:rPr>
      </w:pPr>
      <w:bookmarkStart w:id="202" w:name="_Toc1027869366"/>
      <w:bookmarkStart w:id="203" w:name="_Toc30515"/>
      <w:bookmarkStart w:id="204" w:name="_Toc9948"/>
      <w:bookmarkStart w:id="205" w:name="_Toc26069"/>
      <w:bookmarkStart w:id="206" w:name="_Toc27859"/>
      <w:bookmarkStart w:id="207" w:name="_Toc3691"/>
      <w:bookmarkStart w:id="208" w:name="_Toc1835109438"/>
      <w:bookmarkStart w:id="209" w:name="_Toc27997"/>
      <w:bookmarkStart w:id="210" w:name="_Toc27612"/>
      <w:bookmarkStart w:id="211" w:name="_Toc43020988"/>
      <w:r>
        <w:rPr>
          <w:rFonts w:ascii="楷体" w:eastAsia="楷体" w:hAnsi="楷体" w:cs="楷体" w:hint="eastAsia"/>
        </w:rPr>
        <w:t>（一）整体支出绩效自评总体结果</w:t>
      </w:r>
      <w:bookmarkEnd w:id="202"/>
      <w:bookmarkEnd w:id="203"/>
      <w:bookmarkEnd w:id="204"/>
      <w:bookmarkEnd w:id="205"/>
      <w:bookmarkEnd w:id="206"/>
      <w:bookmarkEnd w:id="207"/>
      <w:bookmarkEnd w:id="208"/>
      <w:bookmarkEnd w:id="209"/>
      <w:bookmarkEnd w:id="210"/>
      <w:bookmarkEnd w:id="211"/>
    </w:p>
    <w:p w:rsidR="00A91EDB" w:rsidRDefault="00E31F4D">
      <w:pPr>
        <w:snapToGrid w:val="0"/>
        <w:spacing w:line="580" w:lineRule="exact"/>
        <w:ind w:firstLineChars="200" w:firstLine="640"/>
        <w:rPr>
          <w:rFonts w:ascii="仿宋_GB2312" w:eastAsia="仿宋_GB2312" w:hAnsi="仿宋_GB2312" w:cs="仿宋_GB2312"/>
          <w:color w:val="0000FF"/>
          <w:sz w:val="32"/>
          <w:szCs w:val="32"/>
        </w:rPr>
      </w:pPr>
      <w:r>
        <w:rPr>
          <w:rFonts w:ascii="仿宋_GB2312" w:eastAsia="仿宋_GB2312" w:hAnsi="仿宋" w:hint="eastAsia"/>
          <w:sz w:val="32"/>
          <w:szCs w:val="32"/>
        </w:rPr>
        <w:t>2021年，围绕年初制定的绩效目标，积极推动工作任务落实，</w:t>
      </w:r>
      <w:r>
        <w:rPr>
          <w:rFonts w:ascii="仿宋_GB2312" w:eastAsia="仿宋_GB2312" w:hAnsi="仿宋_GB2312" w:cs="仿宋_GB2312" w:hint="eastAsia"/>
          <w:sz w:val="32"/>
          <w:szCs w:val="32"/>
        </w:rPr>
        <w:t>较好地完成了年度各项工作，在维护意识形态领域安全，坚持正确舆论导向，建设社会主义核心价值体系，推动全省文化繁荣发展等方面取得了较好的效果</w:t>
      </w:r>
      <w:r>
        <w:rPr>
          <w:rFonts w:ascii="仿宋_GB2312" w:eastAsia="仿宋_GB2312" w:hAnsi="仿宋" w:hint="eastAsia"/>
          <w:sz w:val="32"/>
          <w:szCs w:val="32"/>
        </w:rPr>
        <w:t>。</w:t>
      </w:r>
      <w:r>
        <w:rPr>
          <w:rFonts w:ascii="仿宋_GB2312" w:eastAsia="仿宋_GB2312" w:hAnsi="仿宋_GB2312" w:cs="仿宋_GB2312" w:hint="eastAsia"/>
          <w:sz w:val="32"/>
          <w:szCs w:val="32"/>
        </w:rPr>
        <w:t>部门整体支出绩效自评评分95分，业务工作专项绩效自评分93.90分，电影发展专项资金自评分94.63分，省属国有文化企业国有资本经营预算支出项目自评分92.80分。</w:t>
      </w:r>
      <w:bookmarkStart w:id="212" w:name="_Toc17029"/>
      <w:bookmarkStart w:id="213" w:name="_Toc2310"/>
      <w:bookmarkStart w:id="214" w:name="_Toc18394"/>
      <w:bookmarkStart w:id="215" w:name="_Toc14386"/>
      <w:bookmarkStart w:id="216" w:name="_Toc14619"/>
      <w:bookmarkStart w:id="217" w:name="_Toc17667"/>
      <w:bookmarkStart w:id="218" w:name="_Toc15994"/>
      <w:bookmarkStart w:id="219" w:name="_Toc31175"/>
    </w:p>
    <w:p w:rsidR="00A91EDB" w:rsidRDefault="00E31F4D" w:rsidP="004C22C5">
      <w:pPr>
        <w:pStyle w:val="2"/>
        <w:spacing w:line="580" w:lineRule="exact"/>
        <w:ind w:firstLineChars="200" w:firstLine="643"/>
        <w:rPr>
          <w:rFonts w:ascii="楷体" w:eastAsia="楷体" w:hAnsi="楷体" w:cs="楷体"/>
        </w:rPr>
      </w:pPr>
      <w:bookmarkStart w:id="220" w:name="_Toc1608024926"/>
      <w:bookmarkStart w:id="221" w:name="_Toc1338259773"/>
      <w:r>
        <w:rPr>
          <w:rFonts w:ascii="楷体" w:eastAsia="楷体" w:hAnsi="楷体" w:cs="楷体" w:hint="eastAsia"/>
        </w:rPr>
        <w:t>（二）整体支出行政效能</w:t>
      </w:r>
      <w:bookmarkEnd w:id="220"/>
      <w:bookmarkEnd w:id="221"/>
    </w:p>
    <w:p w:rsidR="00A91EDB" w:rsidRDefault="00E31F4D" w:rsidP="004C22C5">
      <w:pPr>
        <w:pStyle w:val="3"/>
        <w:spacing w:line="580" w:lineRule="exact"/>
        <w:ind w:firstLineChars="200" w:firstLine="643"/>
        <w:rPr>
          <w:szCs w:val="32"/>
        </w:rPr>
      </w:pPr>
      <w:bookmarkStart w:id="222" w:name="_Toc225143554"/>
      <w:bookmarkStart w:id="223" w:name="_Toc1739365073"/>
      <w:r>
        <w:rPr>
          <w:rFonts w:hint="eastAsia"/>
          <w:szCs w:val="32"/>
        </w:rPr>
        <w:t>1.</w:t>
      </w:r>
      <w:r>
        <w:rPr>
          <w:rFonts w:hint="eastAsia"/>
          <w:szCs w:val="32"/>
        </w:rPr>
        <w:t>项目资金统筹规划不断加强</w:t>
      </w:r>
      <w:bookmarkEnd w:id="222"/>
      <w:bookmarkEnd w:id="223"/>
    </w:p>
    <w:p w:rsidR="00A91EDB" w:rsidRDefault="00E31F4D">
      <w:pPr>
        <w:overflowPunct w:val="0"/>
        <w:adjustRightInd w:val="0"/>
        <w:spacing w:line="580" w:lineRule="exact"/>
        <w:ind w:firstLineChars="200" w:firstLine="640"/>
        <w:rPr>
          <w:rFonts w:ascii="仿宋_GB2312" w:eastAsia="仿宋_GB2312" w:hAnsi="仿宋"/>
          <w:sz w:val="32"/>
          <w:szCs w:val="32"/>
        </w:rPr>
      </w:pPr>
      <w:r>
        <w:rPr>
          <w:rFonts w:ascii="仿宋_GB2312" w:eastAsia="仿宋_GB2312" w:hAnsi="仿宋_GB2312" w:cs="仿宋_GB2312" w:hint="eastAsia"/>
          <w:sz w:val="32"/>
          <w:szCs w:val="32"/>
        </w:rPr>
        <w:t>对标中央和省委过“紧日子”的要求，按照突出重点、集中力量办大事、“勤俭办一切事”的原则，大力压减不必要的项目支出，切实做到科学安排预算，把钱用在刀刃上。</w:t>
      </w:r>
      <w:r>
        <w:rPr>
          <w:rFonts w:ascii="仿宋_GB2312" w:eastAsia="仿宋_GB2312" w:hAnsi="仿宋" w:hint="eastAsia"/>
          <w:sz w:val="32"/>
          <w:szCs w:val="32"/>
        </w:rPr>
        <w:t>全面梳理部机关牵头开展的建党百年系列活动等重大项目，统筹各类资金、争取财政支持，做好资金保障。2021年，除文化事业发展专项资金外，统筹文化产业发展专项资金5800万元，协调省财政厅追加4342万元，用于补充保障年度重点文化事业项目。</w:t>
      </w:r>
    </w:p>
    <w:p w:rsidR="00A91EDB" w:rsidRDefault="00E31F4D" w:rsidP="004C22C5">
      <w:pPr>
        <w:pStyle w:val="3"/>
        <w:spacing w:line="580" w:lineRule="exact"/>
        <w:ind w:firstLineChars="200" w:firstLine="643"/>
        <w:rPr>
          <w:szCs w:val="32"/>
        </w:rPr>
      </w:pPr>
      <w:bookmarkStart w:id="224" w:name="_Toc317990814"/>
      <w:bookmarkStart w:id="225" w:name="_Toc1437302858"/>
      <w:r>
        <w:rPr>
          <w:rFonts w:hint="eastAsia"/>
          <w:szCs w:val="32"/>
        </w:rPr>
        <w:t>2.</w:t>
      </w:r>
      <w:r>
        <w:rPr>
          <w:rFonts w:hint="eastAsia"/>
          <w:szCs w:val="32"/>
        </w:rPr>
        <w:t>全面预算绩效管理持续推进</w:t>
      </w:r>
      <w:bookmarkEnd w:id="224"/>
      <w:bookmarkEnd w:id="225"/>
    </w:p>
    <w:p w:rsidR="00A91EDB" w:rsidRDefault="00E31F4D">
      <w:pPr>
        <w:snapToGrid w:val="0"/>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省财政厅关于全面实施预算绩效管理的要求，不断强化绩效意识，全面推进预算绩效管理。组织各业务处室和二级预算单位认真编制预算，科学合理设置年初绩效目标；扎实开展整体支出、文化产业专项资金绩效自评、年中绩效监控等工</w:t>
      </w:r>
      <w:r>
        <w:rPr>
          <w:rFonts w:ascii="仿宋_GB2312" w:eastAsia="仿宋_GB2312" w:hAnsi="仿宋" w:hint="eastAsia"/>
          <w:sz w:val="32"/>
          <w:szCs w:val="32"/>
        </w:rPr>
        <w:lastRenderedPageBreak/>
        <w:t>作，配合完成文化事业发展专项资金财政评价，各项工作得到省财政厅的肯定，被评选为预算绩效管理工作先进单位。</w:t>
      </w:r>
    </w:p>
    <w:p w:rsidR="00A91EDB" w:rsidRDefault="00E31F4D" w:rsidP="004C22C5">
      <w:pPr>
        <w:pStyle w:val="3"/>
        <w:spacing w:line="580" w:lineRule="exact"/>
        <w:ind w:firstLineChars="200" w:firstLine="643"/>
        <w:rPr>
          <w:szCs w:val="32"/>
        </w:rPr>
      </w:pPr>
      <w:bookmarkStart w:id="226" w:name="_Toc2059677699"/>
      <w:bookmarkStart w:id="227" w:name="_Toc1652505088"/>
      <w:r>
        <w:rPr>
          <w:rFonts w:hint="eastAsia"/>
          <w:szCs w:val="32"/>
        </w:rPr>
        <w:t>3.</w:t>
      </w:r>
      <w:r>
        <w:rPr>
          <w:rFonts w:hint="eastAsia"/>
          <w:szCs w:val="32"/>
        </w:rPr>
        <w:t>内部控制制度不断完善</w:t>
      </w:r>
      <w:bookmarkEnd w:id="226"/>
      <w:bookmarkEnd w:id="227"/>
    </w:p>
    <w:p w:rsidR="00A91EDB" w:rsidRDefault="00E31F4D">
      <w:pPr>
        <w:snapToGrid w:val="0"/>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制定《政府采购管理内部控制制度（试行）》，加强采购流程管理，采购限额标准以上或集中采购目录以内的采购项目（货物、服务、工程），由业务处室会同办公室研究采购计划，严格按照财政部门规定，履行政府采购程序。政府采购限额标准以下的采购项目，严格执行湖南省电子卖场有关规定在卖场进行采购。 </w:t>
      </w:r>
    </w:p>
    <w:p w:rsidR="00A91EDB" w:rsidRDefault="00E31F4D">
      <w:pPr>
        <w:snapToGrid w:val="0"/>
        <w:spacing w:line="580" w:lineRule="exact"/>
        <w:ind w:firstLineChars="200" w:firstLine="640"/>
        <w:outlineLvl w:val="0"/>
        <w:rPr>
          <w:rFonts w:ascii="仿宋_GB2312" w:eastAsia="仿宋_GB2312" w:hAnsi="仿宋"/>
          <w:b/>
          <w:bCs/>
          <w:sz w:val="32"/>
          <w:szCs w:val="32"/>
        </w:rPr>
      </w:pPr>
      <w:bookmarkStart w:id="228" w:name="_Toc1085507063"/>
      <w:bookmarkStart w:id="229" w:name="_Toc1056336312"/>
      <w:r>
        <w:rPr>
          <w:rFonts w:ascii="仿宋_GB2312" w:eastAsia="仿宋_GB2312" w:hAnsi="仿宋" w:hint="eastAsia"/>
          <w:b/>
          <w:bCs/>
          <w:sz w:val="32"/>
          <w:szCs w:val="32"/>
        </w:rPr>
        <w:t>4.日常财务管理工作不断规范</w:t>
      </w:r>
      <w:bookmarkEnd w:id="228"/>
      <w:bookmarkEnd w:id="229"/>
    </w:p>
    <w:p w:rsidR="00A91EDB" w:rsidRDefault="00E31F4D">
      <w:pPr>
        <w:snapToGrid w:val="0"/>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严格财务审核和监督职责，全年经费支出无重大不合规事项；资金支付、财务核算、预决算公开、固定资产报表上报等日常财务工作井然有序。固定资产年度报表编制工作被省财政厅通报表扬。贯彻落实财政过紧日子的各项要求，努力建设节约型机关，2021年，经严格评审，部办公室被省机关事务管理局评为“节约型机关建设先进集体”。</w:t>
      </w:r>
    </w:p>
    <w:p w:rsidR="00A91EDB" w:rsidRDefault="00E31F4D" w:rsidP="004C22C5">
      <w:pPr>
        <w:pStyle w:val="2"/>
        <w:spacing w:line="580" w:lineRule="exact"/>
        <w:ind w:firstLineChars="200" w:firstLine="643"/>
        <w:rPr>
          <w:rFonts w:ascii="楷体" w:eastAsia="楷体" w:hAnsi="楷体" w:cs="楷体"/>
        </w:rPr>
      </w:pPr>
      <w:bookmarkStart w:id="230" w:name="_Toc1726365744"/>
      <w:bookmarkStart w:id="231" w:name="_Toc214166558"/>
      <w:r>
        <w:rPr>
          <w:rFonts w:ascii="楷体" w:eastAsia="楷体" w:hAnsi="楷体" w:cs="楷体" w:hint="eastAsia"/>
        </w:rPr>
        <w:t>（三）整体支出主要绩效</w:t>
      </w:r>
      <w:bookmarkEnd w:id="212"/>
      <w:bookmarkEnd w:id="213"/>
      <w:bookmarkEnd w:id="214"/>
      <w:bookmarkEnd w:id="215"/>
      <w:bookmarkEnd w:id="216"/>
      <w:bookmarkEnd w:id="217"/>
      <w:bookmarkEnd w:id="218"/>
      <w:bookmarkEnd w:id="219"/>
      <w:r>
        <w:rPr>
          <w:rFonts w:ascii="楷体" w:eastAsia="楷体" w:hAnsi="楷体" w:cs="楷体" w:hint="eastAsia"/>
        </w:rPr>
        <w:t>产出</w:t>
      </w:r>
      <w:bookmarkEnd w:id="230"/>
      <w:bookmarkEnd w:id="231"/>
    </w:p>
    <w:p w:rsidR="00A91EDB" w:rsidRDefault="00E31F4D" w:rsidP="004C22C5">
      <w:pPr>
        <w:pStyle w:val="3"/>
        <w:spacing w:line="580" w:lineRule="exact"/>
        <w:ind w:firstLineChars="200" w:firstLine="618"/>
        <w:rPr>
          <w:spacing w:val="-6"/>
          <w:szCs w:val="32"/>
        </w:rPr>
      </w:pPr>
      <w:bookmarkStart w:id="232" w:name="_Toc171710464"/>
      <w:bookmarkStart w:id="233" w:name="_Toc912591443"/>
      <w:bookmarkStart w:id="234" w:name="_Toc24356"/>
      <w:bookmarkStart w:id="235" w:name="_Toc16826"/>
      <w:bookmarkStart w:id="236" w:name="_Toc20921"/>
      <w:bookmarkStart w:id="237" w:name="_Toc16386"/>
      <w:bookmarkStart w:id="238" w:name="_Toc43020991"/>
      <w:bookmarkStart w:id="239" w:name="_Toc4225"/>
      <w:bookmarkStart w:id="240" w:name="_Toc18182"/>
      <w:bookmarkStart w:id="241" w:name="_Toc32228"/>
      <w:r>
        <w:rPr>
          <w:rFonts w:hint="eastAsia"/>
          <w:spacing w:val="-6"/>
          <w:szCs w:val="32"/>
        </w:rPr>
        <w:t>1.</w:t>
      </w:r>
      <w:r>
        <w:rPr>
          <w:rFonts w:hint="eastAsia"/>
          <w:spacing w:val="-6"/>
          <w:szCs w:val="32"/>
        </w:rPr>
        <w:t>宣传贯彻习近平新时代中国特色社会主义思想不断深入</w:t>
      </w:r>
      <w:bookmarkEnd w:id="232"/>
      <w:bookmarkEnd w:id="233"/>
    </w:p>
    <w:p w:rsidR="00A91EDB" w:rsidRDefault="00E31F4D">
      <w:pPr>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（1）深化理论学习。</w:t>
      </w:r>
      <w:r>
        <w:rPr>
          <w:rFonts w:ascii="仿宋_GB2312" w:eastAsia="仿宋_GB2312" w:hint="eastAsia"/>
          <w:color w:val="000000"/>
          <w:sz w:val="32"/>
          <w:szCs w:val="32"/>
        </w:rPr>
        <w:t>加强和改进中心组学习服务,组织省委理论学习中心组15次集体学习。指导省直和各市州委理论学习中心组开展习近平总书记“七一”重要讲话、党的十九届六中全会、省第十二次党代会精神学习,对市县两级理论学习中心组学习开展巡听旁听。</w:t>
      </w:r>
    </w:p>
    <w:p w:rsidR="00A91EDB" w:rsidRDefault="00E31F4D">
      <w:pPr>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（2）组织宣传宣讲。</w:t>
      </w:r>
      <w:r>
        <w:rPr>
          <w:rFonts w:ascii="仿宋_GB2312" w:eastAsia="仿宋_GB2312" w:hint="eastAsia"/>
          <w:color w:val="000000"/>
          <w:sz w:val="32"/>
          <w:szCs w:val="32"/>
        </w:rPr>
        <w:t>策划推出《小康之大》《选择》《学</w:t>
      </w:r>
      <w:r>
        <w:rPr>
          <w:rFonts w:ascii="仿宋_GB2312" w:eastAsia="仿宋_GB2312" w:hint="eastAsia"/>
          <w:color w:val="000000"/>
          <w:sz w:val="32"/>
          <w:szCs w:val="32"/>
        </w:rPr>
        <w:lastRenderedPageBreak/>
        <w:t>讲话  六堂课》等电视理论片,进一步打造党的理论大众化湖南现象。推出《湖南为什么这样红》等17篇“宁心”署名文章,其中6篇被学习强国首页转载。围绕学习宣传贯彻习近平总书记“七一”重要讲话精神、党的十九届六中全会和省第十二次党代会精神,组建省市县宣讲团,开展集中宣讲2500余场、微宣讲7.8万余场,现场受众600多万人。</w:t>
      </w:r>
    </w:p>
    <w:p w:rsidR="00A91EDB" w:rsidRDefault="00E31F4D">
      <w:pPr>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（3）深入研究阐释。</w:t>
      </w:r>
      <w:r>
        <w:rPr>
          <w:rFonts w:ascii="仿宋_GB2312" w:eastAsia="仿宋_GB2312" w:hint="eastAsia"/>
          <w:color w:val="000000"/>
          <w:sz w:val="32"/>
          <w:szCs w:val="32"/>
        </w:rPr>
        <w:t>6个项目在研究阐释党的十九届五中全会精神国家社科基金重大项目中立项,居全国第四位,为历年来重大研究专项立项最好成绩。在省社科基金中确立新思想研究阐释项目89个、建党百年研究项目35个。推动“培育世界一流湘版科技期刊建设工程(2021-2022年)”25</w:t>
      </w:r>
      <w:r>
        <w:rPr>
          <w:rFonts w:ascii="仿宋_GB2312" w:eastAsia="仿宋_GB2312" w:hint="eastAsia"/>
          <w:color w:val="000000"/>
          <w:spacing w:val="-6"/>
          <w:sz w:val="32"/>
          <w:szCs w:val="32"/>
        </w:rPr>
        <w:t>个项目立项实施,我省在全国学术期刊座谈会上作典型发言。</w:t>
      </w:r>
    </w:p>
    <w:p w:rsidR="00A91EDB" w:rsidRDefault="00E31F4D" w:rsidP="004C22C5">
      <w:pPr>
        <w:pStyle w:val="3"/>
        <w:spacing w:line="580" w:lineRule="exact"/>
        <w:ind w:firstLineChars="200" w:firstLine="643"/>
        <w:rPr>
          <w:szCs w:val="32"/>
        </w:rPr>
      </w:pPr>
      <w:bookmarkStart w:id="242" w:name="_Toc1445750118"/>
      <w:bookmarkStart w:id="243" w:name="_Toc1937315362"/>
      <w:r>
        <w:rPr>
          <w:rFonts w:hint="eastAsia"/>
          <w:szCs w:val="32"/>
        </w:rPr>
        <w:t>2.</w:t>
      </w:r>
      <w:r>
        <w:rPr>
          <w:rFonts w:hint="eastAsia"/>
          <w:szCs w:val="32"/>
        </w:rPr>
        <w:t>建党百年系列庆祝活动展示湖南担当、体现湖南特色</w:t>
      </w:r>
      <w:bookmarkEnd w:id="242"/>
      <w:bookmarkEnd w:id="243"/>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（1）浓墨重彩组织新闻宣传。</w:t>
      </w:r>
      <w:r>
        <w:rPr>
          <w:rFonts w:ascii="仿宋_GB2312" w:eastAsia="仿宋_GB2312" w:hint="eastAsia"/>
          <w:color w:val="000000"/>
          <w:sz w:val="32"/>
          <w:szCs w:val="32"/>
        </w:rPr>
        <w:t>协调新华社、人民日报、中央广播电视总台、光明日报等央媒推</w:t>
      </w:r>
      <w:r>
        <w:rPr>
          <w:rFonts w:ascii="仿宋_GB2312" w:eastAsia="仿宋_GB2312" w:hint="eastAsia"/>
          <w:color w:val="000000"/>
          <w:spacing w:val="-4"/>
          <w:sz w:val="32"/>
          <w:szCs w:val="32"/>
        </w:rPr>
        <w:t>出以“奋斗百年路、启航新征程”为主题的湖南特刊整版18个,刊发“新思想引领新征程·红</w:t>
      </w:r>
      <w:r>
        <w:rPr>
          <w:rFonts w:ascii="仿宋_GB2312" w:eastAsia="仿宋_GB2312" w:hint="eastAsia"/>
          <w:color w:val="000000"/>
          <w:sz w:val="32"/>
          <w:szCs w:val="32"/>
        </w:rPr>
        <w:t>色足迹”专栏头版头条7篇。组织湖南日报、湖南卫视、红网重点推出《党史上的今天》《湖湘潮·百年颂》《百年大党·风华正茂》等专题专栏200余个。深入开展“红色足迹”“击水中流”“情牵红土地”等主题报道。举行庆祝建党百年系列新闻发布会8场,其中2场以省委名义发布。</w:t>
      </w:r>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（2）广泛热烈开展社会宣传。</w:t>
      </w:r>
      <w:r>
        <w:rPr>
          <w:rFonts w:ascii="仿宋_GB2312" w:eastAsia="仿宋_GB2312" w:hint="eastAsia"/>
          <w:color w:val="000000"/>
          <w:sz w:val="32"/>
          <w:szCs w:val="32"/>
        </w:rPr>
        <w:t>对标中央庆祝活动方案,牵头制定我省庆祝活动总体方案。组织召开湖南省庆祝中国共产党成立100周年座谈会。扎实开展“永远跟党走”群众性主题</w:t>
      </w:r>
      <w:r>
        <w:rPr>
          <w:rFonts w:ascii="仿宋_GB2312" w:eastAsia="仿宋_GB2312" w:hint="eastAsia"/>
          <w:color w:val="000000"/>
          <w:sz w:val="32"/>
          <w:szCs w:val="32"/>
        </w:rPr>
        <w:lastRenderedPageBreak/>
        <w:t>宣传教育活动,举办“精准扶贫·三湘巨变”脱贫攻坚大型成就展和新时代湖南优秀共产党人风采展。</w:t>
      </w:r>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（3）精益求精抓好文艺宣传。</w:t>
      </w:r>
      <w:r>
        <w:rPr>
          <w:rFonts w:ascii="仿宋_GB2312" w:eastAsia="仿宋_GB2312" w:hint="eastAsia"/>
          <w:color w:val="000000"/>
          <w:sz w:val="32"/>
          <w:szCs w:val="32"/>
        </w:rPr>
        <w:t>聚焦重大主题,推出电视剧《百炼成钢》《理想照耀中国》、舞台剧《热血当歌》《向警予》《半条红军被》《忠诚之路》、电影《英雄若兰》《金家堤之恋》《何叔衡》、图书《中国轨道》《革命诗画》等文艺精品。民族歌剧《英·雄》等11部作品入选全国庆祝建党百年“百年百部”舞台艺术精品创作工程。“百团百角唱百年”湖南省文艺院团竞演活动吸引全省700多家文艺院团、12000余名演员参与,新创节目454个;“百年百部”舞台艺术精品剧目集中展演活动深受好评;“百年正青春”庆祝中国共产党成立100周年文艺晚会出新出彩。</w:t>
      </w:r>
    </w:p>
    <w:p w:rsidR="00A91EDB" w:rsidRDefault="00E31F4D" w:rsidP="004C22C5">
      <w:pPr>
        <w:pStyle w:val="3"/>
        <w:spacing w:line="580" w:lineRule="exact"/>
        <w:ind w:firstLineChars="200" w:firstLine="643"/>
        <w:rPr>
          <w:szCs w:val="32"/>
        </w:rPr>
      </w:pPr>
      <w:bookmarkStart w:id="244" w:name="_Toc2010111980"/>
      <w:bookmarkStart w:id="245" w:name="_Toc1793188724"/>
      <w:r>
        <w:rPr>
          <w:rFonts w:hint="eastAsia"/>
          <w:szCs w:val="32"/>
        </w:rPr>
        <w:t>3.</w:t>
      </w:r>
      <w:r>
        <w:rPr>
          <w:rFonts w:hint="eastAsia"/>
          <w:szCs w:val="32"/>
        </w:rPr>
        <w:t>党史学习教育走在前头作出表率</w:t>
      </w:r>
      <w:bookmarkEnd w:id="244"/>
      <w:bookmarkEnd w:id="245"/>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（1）突出抓学习。</w:t>
      </w:r>
      <w:r>
        <w:rPr>
          <w:rFonts w:ascii="仿宋_GB2312" w:eastAsia="仿宋_GB2312" w:hint="eastAsia"/>
          <w:color w:val="000000"/>
          <w:sz w:val="32"/>
          <w:szCs w:val="32"/>
        </w:rPr>
        <w:t>省委理论学习中心组贯通明理、增信、崇德、力行,先后开展4次现场学习。举办省级领导干部学习贯彻习近平总书记“七一”重要讲话精神专题读书班。做好党史学习教育重点图书发行使用工作,4本指定书目发行1309万册,居全国第五位,“七一”讲话单行本发行275万册,居全国第一位。组织开展“百舸争流  千帆竞发”党史学习教育百年千题党史知识竞赛、庆祝建党百年理论征文、党史学习教育读书会等学习活动。</w:t>
      </w:r>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（2）突出抓宣传。</w:t>
      </w:r>
      <w:r>
        <w:rPr>
          <w:rFonts w:ascii="仿宋_GB2312" w:eastAsia="仿宋_GB2312" w:hint="eastAsia"/>
          <w:color w:val="000000"/>
          <w:sz w:val="32"/>
          <w:szCs w:val="32"/>
        </w:rPr>
        <w:t>持续办好学党史、悟思想、办实事、开新局等融媒体专栏,精心组织“我为群众办实事”、党的十九届六中全会等主题宣传。中央主要媒体累计刊发湖南党史学习教</w:t>
      </w:r>
      <w:r>
        <w:rPr>
          <w:rFonts w:ascii="仿宋_GB2312" w:eastAsia="仿宋_GB2312" w:hint="eastAsia"/>
          <w:color w:val="000000"/>
          <w:sz w:val="32"/>
          <w:szCs w:val="32"/>
        </w:rPr>
        <w:lastRenderedPageBreak/>
        <w:t>育原创重点报道600余篇(条),省级主流媒体推出主题报道7300余篇,中央党史学习教育领导小组办公室简报50次推介我省经验做法。</w:t>
      </w:r>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（3）突出抓实践。</w:t>
      </w:r>
      <w:r>
        <w:rPr>
          <w:rFonts w:ascii="仿宋_GB2312" w:eastAsia="仿宋_GB2312" w:hint="eastAsia"/>
          <w:color w:val="000000"/>
          <w:sz w:val="32"/>
          <w:szCs w:val="32"/>
        </w:rPr>
        <w:t>出台省委理论学习中心组成员党史学习教育基层联点工作方案,全省10大重点民生项目和省委理论学习中心组成员带头领办的28件重点民生实事全部办结。统筹宣传文化系统各单位开展乡村振兴联点帮扶,《安化调查</w:t>
      </w:r>
      <w:r>
        <w:rPr>
          <w:rFonts w:ascii="宋体" w:hAnsi="宋体" w:hint="eastAsia"/>
          <w:color w:val="000000"/>
          <w:spacing w:val="-20"/>
          <w:sz w:val="32"/>
          <w:szCs w:val="32"/>
        </w:rPr>
        <w:t>——</w:t>
      </w:r>
      <w:r>
        <w:rPr>
          <w:rFonts w:ascii="仿宋_GB2312" w:eastAsia="仿宋_GB2312" w:hint="eastAsia"/>
          <w:color w:val="000000"/>
          <w:sz w:val="32"/>
          <w:szCs w:val="32"/>
        </w:rPr>
        <w:t>脱贫攻坚与乡村振兴有效衔接调查报告》获省委领导批示肯定。组织开展“迎接党代会谱写新篇章”建言献策活动,征集到意见建议17.4万余条,1000多条意见建议纳入到各地各单位“我为群众办实事”的工作实践。</w:t>
      </w:r>
    </w:p>
    <w:p w:rsidR="00A91EDB" w:rsidRDefault="00E31F4D" w:rsidP="004C22C5">
      <w:pPr>
        <w:pStyle w:val="3"/>
        <w:spacing w:line="580" w:lineRule="exact"/>
        <w:ind w:firstLineChars="200" w:firstLine="643"/>
        <w:rPr>
          <w:szCs w:val="32"/>
        </w:rPr>
      </w:pPr>
      <w:bookmarkStart w:id="246" w:name="_Toc1765284394"/>
      <w:bookmarkStart w:id="247" w:name="_Toc854779766"/>
      <w:r>
        <w:rPr>
          <w:rFonts w:hint="eastAsia"/>
          <w:szCs w:val="32"/>
        </w:rPr>
        <w:t>4.</w:t>
      </w:r>
      <w:r>
        <w:rPr>
          <w:rFonts w:hint="eastAsia"/>
          <w:szCs w:val="32"/>
        </w:rPr>
        <w:t>建设社会主义现代化新湖南舆论环境向上向好</w:t>
      </w:r>
      <w:bookmarkEnd w:id="246"/>
      <w:bookmarkEnd w:id="247"/>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（1）加强重大宣传报道。</w:t>
      </w:r>
      <w:r>
        <w:rPr>
          <w:rFonts w:ascii="仿宋_GB2312" w:eastAsia="仿宋_GB2312" w:hint="eastAsia"/>
          <w:color w:val="000000"/>
          <w:sz w:val="32"/>
          <w:szCs w:val="32"/>
        </w:rPr>
        <w:t>高质量完成全国两会和中央经济工作会议宣传报道。聚焦中央环保督查、政法队伍教育整顿、全面建成小康社会、依法治省、乡村振兴等重点工作组织宣传报道。在第三十一届中国新闻奖评选中,全省17件作品获奖,其中一等奖3件、二等奖6件、三等奖8件,获奖总数居全国各省区市第一。</w:t>
      </w:r>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（2）深度推进媒体融合。</w:t>
      </w:r>
      <w:r>
        <w:rPr>
          <w:rFonts w:ascii="仿宋_GB2312" w:eastAsia="仿宋_GB2312" w:hint="eastAsia"/>
          <w:color w:val="000000"/>
          <w:sz w:val="32"/>
          <w:szCs w:val="32"/>
        </w:rPr>
        <w:t>出台加快媒体深度融合发展的实施方案。风芒、晨视频上线运行,新湖南云、红网云省级技术平台和123家县级融媒体中心全部建成并通过验收,红网网络辟谣工作入选中组部“三个100”案例。坚持移动优先,加强新媒体内容生产,新媒体作品生产制作发布的速度、频次和质量效率大幅提升,《誓言无声》《时小刻说党史》等一批新媒体产品影响</w:t>
      </w:r>
      <w:r>
        <w:rPr>
          <w:rFonts w:ascii="仿宋_GB2312" w:eastAsia="仿宋_GB2312" w:hint="eastAsia"/>
          <w:color w:val="000000"/>
          <w:sz w:val="32"/>
          <w:szCs w:val="32"/>
        </w:rPr>
        <w:lastRenderedPageBreak/>
        <w:t>广泛。</w:t>
      </w:r>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（3）精心组织对外宣传。</w:t>
      </w:r>
      <w:r>
        <w:rPr>
          <w:rFonts w:ascii="仿宋_GB2312" w:eastAsia="仿宋_GB2312" w:hint="eastAsia"/>
          <w:color w:val="000000"/>
          <w:sz w:val="32"/>
          <w:szCs w:val="32"/>
        </w:rPr>
        <w:t>“四海同春·2021全球华侨华人春晚”网络点击量达3亿,被中宣部评为全国“春节文化走出去”优秀项目。认真做好第二届中非经贸博览会、亚洲博鳌论坛经安大会、湘台会、港洽周等活动的对外宣传。</w:t>
      </w:r>
    </w:p>
    <w:p w:rsidR="00A91EDB" w:rsidRDefault="00E31F4D" w:rsidP="004C22C5">
      <w:pPr>
        <w:pStyle w:val="3"/>
        <w:spacing w:line="580" w:lineRule="exact"/>
        <w:ind w:firstLineChars="200" w:firstLine="643"/>
        <w:rPr>
          <w:szCs w:val="32"/>
        </w:rPr>
      </w:pPr>
      <w:bookmarkStart w:id="248" w:name="_Toc2031180451"/>
      <w:bookmarkStart w:id="249" w:name="_Toc1041812101"/>
      <w:r>
        <w:rPr>
          <w:rFonts w:hint="eastAsia"/>
          <w:szCs w:val="32"/>
        </w:rPr>
        <w:t>5.</w:t>
      </w:r>
      <w:r>
        <w:rPr>
          <w:rFonts w:hint="eastAsia"/>
          <w:szCs w:val="32"/>
        </w:rPr>
        <w:t>社会主义核心价值观建设持续深化</w:t>
      </w:r>
      <w:bookmarkEnd w:id="248"/>
      <w:bookmarkEnd w:id="249"/>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（1）积极传承红色基因。</w:t>
      </w:r>
      <w:r>
        <w:rPr>
          <w:rFonts w:ascii="仿宋_GB2312" w:eastAsia="仿宋_GB2312" w:hint="eastAsia"/>
          <w:color w:val="000000"/>
          <w:sz w:val="32"/>
          <w:szCs w:val="32"/>
        </w:rPr>
        <w:t>深入贯彻落实《新时代爱国主义教育实施纲要》,抓好红色资源保护利用。精心打造潇湘红色故事汇等红色文化弘扬传播品牌。抓好爱国主义教育基地建设,新增十八洞村等全国爱国主义教育示范基地9个,总数达38个,居各省区市第一位,命名省级爱教基地33个。</w:t>
      </w:r>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（2）加强公民道德建设。</w:t>
      </w:r>
      <w:r>
        <w:rPr>
          <w:rFonts w:ascii="仿宋_GB2312" w:eastAsia="仿宋_GB2312" w:hint="eastAsia"/>
          <w:color w:val="000000"/>
          <w:sz w:val="32"/>
          <w:szCs w:val="32"/>
        </w:rPr>
        <w:t>出台加强和改进新时代思想政治工作责任清单。开展先进模范学习宣传活动,刘习明、艾爱国、黄诗燕3人获评全国道德模范,黄厚瑜、徐金娥等7人获提名奖,45人荣登中国好人榜,评选湖南省道德模范50人(组)、湖南好人247人(组)。抓好未成年人思想道德建设,在全省中小学校开展“扣好人生第一粒扣子·传承红色基因”“光影育人”等教育实践活动,持续办好“我是接班人”网络大课堂。推动农村移风易俗,组织文化科技卫生“三下乡”活动。</w:t>
      </w:r>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（3）提升城乡文明程度。</w:t>
      </w:r>
      <w:r>
        <w:rPr>
          <w:rFonts w:ascii="仿宋_GB2312" w:eastAsia="仿宋_GB2312" w:hint="eastAsia"/>
          <w:color w:val="000000"/>
          <w:sz w:val="32"/>
          <w:szCs w:val="32"/>
        </w:rPr>
        <w:t>组织开展全域全员全程全面文明创建专题调研,形成开展文明城市全域创建指导意见。衡阳市、邵阳市、益阳市、永州市4个地级市和长沙县等14个县(市)被评为2021—2023年创建周期全国文明城市提名城市,提名总数居全国第七位。</w:t>
      </w:r>
    </w:p>
    <w:p w:rsidR="00A91EDB" w:rsidRDefault="00E31F4D" w:rsidP="004C22C5">
      <w:pPr>
        <w:pStyle w:val="3"/>
        <w:spacing w:line="580" w:lineRule="exact"/>
        <w:ind w:firstLineChars="200" w:firstLine="643"/>
        <w:rPr>
          <w:szCs w:val="32"/>
        </w:rPr>
      </w:pPr>
      <w:bookmarkStart w:id="250" w:name="_Toc142346707"/>
      <w:bookmarkStart w:id="251" w:name="_Toc1967837822"/>
      <w:r>
        <w:rPr>
          <w:rFonts w:hint="eastAsia"/>
          <w:szCs w:val="32"/>
        </w:rPr>
        <w:lastRenderedPageBreak/>
        <w:t>6.</w:t>
      </w:r>
      <w:r>
        <w:rPr>
          <w:rFonts w:hint="eastAsia"/>
          <w:szCs w:val="32"/>
        </w:rPr>
        <w:t>文化强省建设迈出新步伐</w:t>
      </w:r>
      <w:bookmarkEnd w:id="250"/>
      <w:bookmarkEnd w:id="251"/>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（1）抓好文艺精品创作生产。</w:t>
      </w:r>
      <w:r>
        <w:rPr>
          <w:rFonts w:ascii="仿宋_GB2312" w:eastAsia="仿宋_GB2312" w:hint="eastAsia"/>
          <w:color w:val="000000"/>
          <w:sz w:val="32"/>
          <w:szCs w:val="32"/>
        </w:rPr>
        <w:t>加强文艺创作规划引导,策划推出一批文艺精品,电影《父母的城市生活》入围第八届丝绸之路国际电影节金丝路奖,《大地颂歌》荣获第十七届中美电影节年度最佳纪录电影金天使奖,花鼓戏《蔡坤山耕田》获曹禺剧本奖,</w:t>
      </w:r>
      <w:r>
        <w:rPr>
          <w:rFonts w:ascii="仿宋_GB2312" w:eastAsia="仿宋_GB2312" w:hint="eastAsia"/>
          <w:color w:val="000000"/>
          <w:spacing w:val="-11"/>
          <w:sz w:val="32"/>
          <w:szCs w:val="32"/>
        </w:rPr>
        <w:t>现代京剧《向警予》主演张璇获梅花奖。</w:t>
      </w:r>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（2）切实提升公共文化服务水平。</w:t>
      </w:r>
      <w:r>
        <w:rPr>
          <w:rFonts w:ascii="仿宋_GB2312" w:eastAsia="仿宋_GB2312" w:hint="eastAsia"/>
          <w:color w:val="000000"/>
          <w:sz w:val="32"/>
          <w:szCs w:val="32"/>
        </w:rPr>
        <w:t>推动公共文化服务标准化体系建设,编制湖南省“十四五”文化改革、新闻出版、电影发展规划。深入实施文化惠民工程,开展“雅韵三湘”“欢乐潇湘”和送戏曲进万村、书香湖南、新时代乡村阅读季等文化惠民活动,举办第七届湖南艺术节。持续推进农家书屋建设,为11943家农家书屋补充图书189万册。推进城市和乡镇影院建设,组织开展湘观影等电影主题活动。</w:t>
      </w:r>
    </w:p>
    <w:p w:rsidR="00A91EDB" w:rsidRDefault="00E31F4D">
      <w:pPr>
        <w:adjustRightInd w:val="0"/>
        <w:snapToGrid w:val="0"/>
        <w:spacing w:line="580" w:lineRule="exact"/>
        <w:ind w:firstLineChars="200" w:firstLine="640"/>
        <w:rPr>
          <w:rFonts w:ascii="仿宋_GB2312" w:eastAsia="仿宋_GB2312" w:hAnsi="仿宋"/>
          <w:sz w:val="32"/>
          <w:szCs w:val="32"/>
        </w:rPr>
      </w:pPr>
      <w:r>
        <w:rPr>
          <w:rFonts w:ascii="仿宋_GB2312" w:eastAsia="仿宋_GB2312" w:hAnsi="仿宋" w:hint="eastAsia"/>
          <w:b/>
          <w:bCs/>
          <w:sz w:val="32"/>
          <w:szCs w:val="32"/>
        </w:rPr>
        <w:t>（3）大力推进文化改革发展。</w:t>
      </w:r>
      <w:r>
        <w:rPr>
          <w:rFonts w:ascii="仿宋_GB2312" w:eastAsia="仿宋_GB2312" w:hint="eastAsia"/>
          <w:color w:val="000000"/>
          <w:sz w:val="32"/>
          <w:szCs w:val="32"/>
        </w:rPr>
        <w:t>出台深化国有文艺院团改革的实施意见,完善落实省管国有文化企业一企一策社会效益量化考核制度。出台关于进一步支持马栏山视频文创产业园发展若干政策,举办2021马栏山版权保护与创新论坛,</w:t>
      </w:r>
      <w:r>
        <w:rPr>
          <w:rFonts w:ascii="仿宋_GB2312" w:eastAsia="仿宋_GB2312" w:hAnsi="仿宋" w:hint="eastAsia"/>
          <w:sz w:val="32"/>
          <w:szCs w:val="32"/>
        </w:rPr>
        <w:t>推动马栏山视频文创产业园成功创建国家版权示范园区。</w:t>
      </w:r>
    </w:p>
    <w:p w:rsidR="00A91EDB" w:rsidRDefault="00E31F4D">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Ansi="仿宋" w:hint="eastAsia"/>
          <w:b/>
          <w:bCs/>
          <w:sz w:val="32"/>
          <w:szCs w:val="32"/>
        </w:rPr>
        <w:t>（4）创新推动文旅融合。</w:t>
      </w:r>
      <w:r>
        <w:rPr>
          <w:rFonts w:ascii="仿宋_GB2312" w:eastAsia="仿宋_GB2312" w:hint="eastAsia"/>
          <w:color w:val="000000"/>
          <w:sz w:val="32"/>
          <w:szCs w:val="32"/>
        </w:rPr>
        <w:t>编制“十四五”文化和旅游发展规划,出台进一步激发文化和旅游消费潜力的若干措施。深化湘鄂赣三省文旅合作,组建旅游合作发展大联盟。</w:t>
      </w:r>
    </w:p>
    <w:p w:rsidR="00A91EDB" w:rsidRDefault="00E31F4D" w:rsidP="004C22C5">
      <w:pPr>
        <w:pStyle w:val="2"/>
        <w:spacing w:line="580" w:lineRule="exact"/>
        <w:ind w:firstLineChars="200" w:firstLine="643"/>
        <w:rPr>
          <w:rFonts w:ascii="楷体" w:eastAsia="楷体" w:hAnsi="楷体" w:cs="楷体"/>
        </w:rPr>
      </w:pPr>
      <w:bookmarkStart w:id="252" w:name="_Toc847568727"/>
      <w:bookmarkStart w:id="253" w:name="_Toc1561149180"/>
      <w:bookmarkStart w:id="254" w:name="_Toc43020989"/>
      <w:bookmarkStart w:id="255" w:name="_Toc6083"/>
      <w:bookmarkStart w:id="256" w:name="_Toc25399"/>
      <w:bookmarkStart w:id="257" w:name="_Toc28330"/>
      <w:bookmarkStart w:id="258" w:name="_Toc43020996"/>
      <w:bookmarkStart w:id="259" w:name="_Toc25573"/>
      <w:bookmarkStart w:id="260" w:name="_Toc13089"/>
      <w:bookmarkStart w:id="261" w:name="_Toc213"/>
      <w:bookmarkStart w:id="262" w:name="_Toc20271"/>
      <w:bookmarkEnd w:id="234"/>
      <w:bookmarkEnd w:id="235"/>
      <w:bookmarkEnd w:id="236"/>
      <w:bookmarkEnd w:id="237"/>
      <w:bookmarkEnd w:id="238"/>
      <w:bookmarkEnd w:id="239"/>
      <w:bookmarkEnd w:id="240"/>
      <w:bookmarkEnd w:id="241"/>
      <w:r>
        <w:rPr>
          <w:rFonts w:ascii="楷体" w:eastAsia="楷体" w:hAnsi="楷体" w:cs="楷体" w:hint="eastAsia"/>
        </w:rPr>
        <w:t>（四）政府性基金预算支出绩效产出</w:t>
      </w:r>
      <w:bookmarkEnd w:id="252"/>
      <w:bookmarkEnd w:id="253"/>
    </w:p>
    <w:p w:rsidR="00A91EDB" w:rsidRDefault="00E31F4D" w:rsidP="004C22C5">
      <w:pPr>
        <w:pStyle w:val="3"/>
        <w:spacing w:line="580" w:lineRule="exact"/>
        <w:ind w:firstLineChars="200" w:firstLine="643"/>
        <w:rPr>
          <w:szCs w:val="32"/>
        </w:rPr>
      </w:pPr>
      <w:bookmarkStart w:id="263" w:name="_Toc1769765589"/>
      <w:bookmarkStart w:id="264" w:name="_Toc193693779"/>
      <w:r>
        <w:rPr>
          <w:rFonts w:hint="eastAsia"/>
          <w:szCs w:val="32"/>
        </w:rPr>
        <w:t>1.</w:t>
      </w:r>
      <w:r>
        <w:rPr>
          <w:rFonts w:hint="eastAsia"/>
          <w:szCs w:val="32"/>
        </w:rPr>
        <w:t>重点电影文化活动产出数量和质量超预期</w:t>
      </w:r>
      <w:bookmarkEnd w:id="263"/>
      <w:bookmarkEnd w:id="264"/>
    </w:p>
    <w:p w:rsidR="00A91EDB" w:rsidRDefault="00E31F4D">
      <w:pPr>
        <w:pStyle w:val="a0"/>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组织</w:t>
      </w:r>
      <w:r>
        <w:rPr>
          <w:rFonts w:ascii="仿宋_GB2312" w:eastAsia="仿宋_GB2312" w:hAnsi="仿宋_GB2312" w:cs="仿宋_GB2312"/>
          <w:sz w:val="32"/>
          <w:szCs w:val="32"/>
        </w:rPr>
        <w:t>“湘观影”</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“光影铸魂”</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“光影育人”影评征文</w:t>
      </w:r>
      <w:r>
        <w:rPr>
          <w:rFonts w:ascii="仿宋_GB2312" w:eastAsia="仿宋_GB2312" w:hAnsi="仿宋_GB2312" w:cs="仿宋_GB2312" w:hint="eastAsia"/>
          <w:sz w:val="32"/>
          <w:szCs w:val="32"/>
        </w:rPr>
        <w:t>、</w:t>
      </w:r>
      <w:r>
        <w:rPr>
          <w:rFonts w:ascii="仿宋_GB2312" w:eastAsia="仿宋_GB2312" w:hAnsi="仿宋_GB2312" w:cs="仿宋_GB2312"/>
          <w:sz w:val="32"/>
          <w:szCs w:val="32"/>
        </w:rPr>
        <w:lastRenderedPageBreak/>
        <w:t>“电影知识竞赛”</w:t>
      </w:r>
      <w:r>
        <w:rPr>
          <w:rFonts w:ascii="仿宋_GB2312" w:eastAsia="仿宋_GB2312" w:hAnsi="仿宋_GB2312" w:cs="仿宋_GB2312" w:hint="eastAsia"/>
          <w:sz w:val="32"/>
          <w:szCs w:val="32"/>
        </w:rPr>
        <w:t>等系列重要</w:t>
      </w:r>
      <w:r>
        <w:rPr>
          <w:rFonts w:ascii="仿宋_GB2312" w:eastAsia="仿宋_GB2312" w:hAnsi="仿宋_GB2312" w:cs="仿宋_GB2312"/>
          <w:sz w:val="32"/>
          <w:szCs w:val="32"/>
        </w:rPr>
        <w:t>活动</w:t>
      </w:r>
      <w:r>
        <w:rPr>
          <w:rFonts w:ascii="仿宋_GB2312" w:eastAsia="仿宋_GB2312" w:hAnsi="仿宋_GB2312" w:cs="仿宋_GB2312" w:hint="eastAsia"/>
          <w:sz w:val="32"/>
          <w:szCs w:val="32"/>
        </w:rPr>
        <w:t>，在</w:t>
      </w:r>
      <w:r>
        <w:rPr>
          <w:rFonts w:ascii="仿宋_GB2312" w:eastAsia="仿宋_GB2312" w:hAnsi="仿宋_GB2312" w:cs="仿宋_GB2312"/>
          <w:sz w:val="32"/>
          <w:szCs w:val="32"/>
        </w:rPr>
        <w:t>培育电影文化，推动电影产业健康繁荣发展</w:t>
      </w:r>
      <w:r>
        <w:rPr>
          <w:rFonts w:ascii="仿宋_GB2312" w:eastAsia="仿宋_GB2312" w:hAnsi="仿宋_GB2312" w:cs="仿宋_GB2312" w:hint="eastAsia"/>
          <w:sz w:val="32"/>
          <w:szCs w:val="32"/>
        </w:rPr>
        <w:t>方面起到了积极作用。党史知识竞赛活动</w:t>
      </w:r>
      <w:r>
        <w:rPr>
          <w:rFonts w:ascii="仿宋_GB2312" w:eastAsia="仿宋_GB2312" w:hAnsi="仿宋_GB2312" w:cs="仿宋_GB2312"/>
          <w:sz w:val="32"/>
          <w:szCs w:val="32"/>
        </w:rPr>
        <w:t>线上参与答题人数超5万人</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“影院经理说电影活动”采访观众超500人</w:t>
      </w:r>
      <w:r>
        <w:rPr>
          <w:rFonts w:ascii="仿宋_GB2312" w:eastAsia="仿宋_GB2312" w:hAnsi="仿宋_GB2312" w:cs="仿宋_GB2312" w:hint="eastAsia"/>
          <w:sz w:val="32"/>
          <w:szCs w:val="32"/>
        </w:rPr>
        <w:t>次；“2021俄罗斯电影周”活动观影人数总计1972人次，各平台共计发布推文49篇，阅读量239875次，点赞数3491 次，《卓娅》、《最后的前线》等6部俄罗斯电影佳作市场反响热烈。“潇湘红色电影展”在全省300多家影城举行，共展映100余部经典红色影片，在省内掀起了红色观影热潮。</w:t>
      </w:r>
    </w:p>
    <w:p w:rsidR="00A91EDB" w:rsidRDefault="00E31F4D" w:rsidP="004C22C5">
      <w:pPr>
        <w:pStyle w:val="3"/>
        <w:spacing w:line="580" w:lineRule="exact"/>
        <w:ind w:firstLineChars="200" w:firstLine="643"/>
        <w:rPr>
          <w:szCs w:val="32"/>
        </w:rPr>
      </w:pPr>
      <w:bookmarkStart w:id="265" w:name="_Toc919201883"/>
      <w:bookmarkStart w:id="266" w:name="_Toc52684913"/>
      <w:r>
        <w:rPr>
          <w:rFonts w:hint="eastAsia"/>
          <w:szCs w:val="32"/>
        </w:rPr>
        <w:t>2.</w:t>
      </w:r>
      <w:r>
        <w:rPr>
          <w:rFonts w:hint="eastAsia"/>
          <w:szCs w:val="32"/>
        </w:rPr>
        <w:t>资助影片播出斩获佳绩，社会效益超预期</w:t>
      </w:r>
      <w:bookmarkEnd w:id="265"/>
      <w:bookmarkEnd w:id="266"/>
    </w:p>
    <w:p w:rsidR="00A91EDB" w:rsidRDefault="00E31F4D">
      <w:pPr>
        <w:pStyle w:val="a0"/>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电影《大地颂歌》2021年3月26日在全国上映</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截至2022年2月28日，共计观影人次为72236人，票房累计达303.1万元。在国内50余家各类影视平台</w:t>
      </w:r>
      <w:r>
        <w:rPr>
          <w:rFonts w:ascii="仿宋_GB2312" w:eastAsia="仿宋_GB2312" w:hAnsi="仿宋_GB2312" w:cs="仿宋_GB2312" w:hint="eastAsia"/>
          <w:sz w:val="32"/>
          <w:szCs w:val="32"/>
        </w:rPr>
        <w:t>和</w:t>
      </w:r>
      <w:r>
        <w:rPr>
          <w:rFonts w:ascii="仿宋_GB2312" w:eastAsia="仿宋_GB2312" w:hAnsi="仿宋_GB2312" w:cs="仿宋_GB2312"/>
          <w:sz w:val="32"/>
          <w:szCs w:val="32"/>
        </w:rPr>
        <w:t>美国数十家电视播出平台播出，并于2022年1月26日在老挝公映</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各类平台上的全部观众人数已达到800万人次以上。2021年第十七届中美电影节上，电影《大地颂歌》斩获“年度最佳纪录电影”奖。电影《何叔衡》于2021年12月24日举行首映式，被列入湖南省2021年第二批“光影铸魂”电影党课推荐影片。</w:t>
      </w:r>
    </w:p>
    <w:p w:rsidR="00A91EDB" w:rsidRDefault="00E31F4D" w:rsidP="004C22C5">
      <w:pPr>
        <w:pStyle w:val="3"/>
        <w:spacing w:line="580" w:lineRule="exact"/>
        <w:ind w:firstLineChars="200" w:firstLine="643"/>
        <w:rPr>
          <w:szCs w:val="32"/>
        </w:rPr>
      </w:pPr>
      <w:bookmarkStart w:id="267" w:name="_Toc123593225"/>
      <w:bookmarkStart w:id="268" w:name="_Toc574544272"/>
      <w:r>
        <w:rPr>
          <w:rFonts w:hint="eastAsia"/>
          <w:szCs w:val="32"/>
        </w:rPr>
        <w:t>3.</w:t>
      </w:r>
      <w:r>
        <w:rPr>
          <w:rFonts w:hint="eastAsia"/>
          <w:szCs w:val="32"/>
        </w:rPr>
        <w:t>影院奖励和资助抵御疫情，助力影视经济成效显著</w:t>
      </w:r>
      <w:bookmarkEnd w:id="267"/>
      <w:bookmarkEnd w:id="268"/>
    </w:p>
    <w:p w:rsidR="00A91EDB" w:rsidRDefault="00E31F4D">
      <w:pPr>
        <w:pStyle w:val="a0"/>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受新冠疫情冲击，影院经济受到重大影响，部分地市影院在部分月份甚至阶段性停业。为帮助影院应对疫情冲击，支持电影行业发展，省级电影专项资金继续实施先征后返政策，同时通过奖励放映国产影片优秀影院、资助影院建设，给各影院注入资金支持的同时加强信心，有效推动了电影产业</w:t>
      </w:r>
      <w:r>
        <w:rPr>
          <w:rFonts w:ascii="仿宋_GB2312" w:eastAsia="仿宋_GB2312" w:hAnsi="仿宋_GB2312" w:cs="仿宋_GB2312" w:hint="eastAsia"/>
          <w:sz w:val="32"/>
          <w:szCs w:val="32"/>
        </w:rPr>
        <w:lastRenderedPageBreak/>
        <w:t>健康有序发展。经统计，2021年，全省各地市影院实现票房总收入为15.46亿元，实现国产影片票房收入为13.51万元，国产影片占总票房比率达到了87.39%。全年观影人次为4415.02万人次，国产影片观影人次为3771.99万人次，国产影片占总人次比率为85.44%。</w:t>
      </w:r>
    </w:p>
    <w:p w:rsidR="00A91EDB" w:rsidRDefault="00E31F4D" w:rsidP="004C22C5">
      <w:pPr>
        <w:pStyle w:val="2"/>
        <w:spacing w:line="580" w:lineRule="exact"/>
        <w:ind w:firstLineChars="200" w:firstLine="643"/>
        <w:rPr>
          <w:rFonts w:ascii="楷体" w:eastAsia="楷体" w:hAnsi="楷体" w:cs="楷体"/>
        </w:rPr>
      </w:pPr>
      <w:bookmarkStart w:id="269" w:name="_Toc1722562521"/>
      <w:bookmarkStart w:id="270" w:name="_Toc1954192803"/>
      <w:r>
        <w:rPr>
          <w:rFonts w:ascii="楷体" w:eastAsia="楷体" w:hAnsi="楷体" w:cs="楷体" w:hint="eastAsia"/>
        </w:rPr>
        <w:t>（五）国有资本经营预算支出绩效产出</w:t>
      </w:r>
      <w:bookmarkEnd w:id="269"/>
      <w:bookmarkEnd w:id="270"/>
    </w:p>
    <w:p w:rsidR="00A91EDB" w:rsidRDefault="00E31F4D">
      <w:pPr>
        <w:pStyle w:val="a0"/>
        <w:adjustRightInd w:val="0"/>
        <w:snapToGrid w:val="0"/>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w:t>
      </w:r>
      <w:r>
        <w:rPr>
          <w:rFonts w:ascii="仿宋_GB2312" w:eastAsia="仿宋_GB2312" w:hAnsi="仿宋_GB2312" w:cs="仿宋_GB2312" w:hint="eastAsia"/>
          <w:color w:val="000000"/>
          <w:kern w:val="0"/>
          <w:sz w:val="32"/>
          <w:szCs w:val="32"/>
        </w:rPr>
        <w:t>虽遭到疫情影响，</w:t>
      </w:r>
      <w:r>
        <w:rPr>
          <w:rFonts w:ascii="仿宋_GB2312" w:eastAsia="仿宋_GB2312" w:hAnsi="仿宋_GB2312" w:cs="仿宋_GB2312" w:hint="eastAsia"/>
          <w:sz w:val="32"/>
          <w:szCs w:val="32"/>
        </w:rPr>
        <w:t>通过专项资金的投入，</w:t>
      </w:r>
      <w:r>
        <w:rPr>
          <w:rFonts w:ascii="仿宋_GB2312" w:eastAsia="仿宋_GB2312" w:hAnsi="宋体" w:cs="仿宋_GB2312" w:hint="eastAsia"/>
          <w:color w:val="000000"/>
          <w:kern w:val="0"/>
          <w:sz w:val="32"/>
          <w:szCs w:val="32"/>
        </w:rPr>
        <w:t>在支持省管国有文化企业聚焦主责主业，完善市场化经营机制，优化企业经济结构布局调整，加快产业转型升级，切实增强竞争力、创新力、控制力、影响力和抗风险能力方面仍然发挥了重大作用。具体产出情况如下。</w:t>
      </w:r>
    </w:p>
    <w:p w:rsidR="00A91EDB" w:rsidRDefault="00E31F4D" w:rsidP="004C22C5">
      <w:pPr>
        <w:pStyle w:val="3"/>
        <w:spacing w:line="580" w:lineRule="exact"/>
        <w:ind w:firstLineChars="200" w:firstLine="643"/>
        <w:rPr>
          <w:szCs w:val="32"/>
        </w:rPr>
      </w:pPr>
      <w:bookmarkStart w:id="271" w:name="_Toc278546030"/>
      <w:bookmarkStart w:id="272" w:name="_Toc1261721055"/>
      <w:r>
        <w:rPr>
          <w:rFonts w:hint="eastAsia"/>
          <w:szCs w:val="32"/>
        </w:rPr>
        <w:t>1.</w:t>
      </w:r>
      <w:r>
        <w:rPr>
          <w:rFonts w:hint="eastAsia"/>
          <w:szCs w:val="32"/>
        </w:rPr>
        <w:t>有效推动了产业转型升级</w:t>
      </w:r>
      <w:bookmarkEnd w:id="271"/>
      <w:bookmarkEnd w:id="272"/>
    </w:p>
    <w:p w:rsidR="00A91EDB" w:rsidRDefault="00E31F4D">
      <w:pPr>
        <w:adjustRightInd w:val="0"/>
        <w:snapToGrid w:val="0"/>
        <w:spacing w:line="580" w:lineRule="exact"/>
        <w:ind w:firstLineChars="200" w:firstLine="640"/>
        <w:rPr>
          <w:rFonts w:ascii="仿宋_GB2312" w:eastAsia="仿宋_GB2312" w:hAnsi="仿宋_GB2312" w:cs="仿宋_GB2312"/>
          <w:b/>
          <w:bCs/>
          <w:color w:val="000000"/>
          <w:kern w:val="0"/>
          <w:sz w:val="32"/>
          <w:szCs w:val="32"/>
        </w:rPr>
      </w:pPr>
      <w:r>
        <w:rPr>
          <w:rFonts w:ascii="仿宋_GB2312" w:eastAsia="仿宋_GB2312" w:hAnsi="仿宋_GB2312" w:cs="仿宋_GB2312" w:hint="eastAsia"/>
          <w:color w:val="000000"/>
          <w:kern w:val="0"/>
          <w:sz w:val="32"/>
          <w:szCs w:val="32"/>
        </w:rPr>
        <w:t>马栏山数字医疗系统建设项目成功的打造了“1个 平台”、“1个中心”、“1套TOC、3套TOB产品”的数字医疗体系产业孵化核心。5G远程医疗系统解决方案获评国家广电总局智慧广电“生态建设类入围项目”，并获评工信部“绽放”杯二等奖。该项目建成后将大大推进远程医疗发展，服务国计民生，解决老百姓看病难的问题。</w:t>
      </w:r>
      <w:r>
        <w:rPr>
          <w:rFonts w:ascii="仿宋_GB2312" w:eastAsia="仿宋_GB2312" w:hAnsi="仿宋_GB2312" w:cs="仿宋_GB2312" w:hint="eastAsia"/>
          <w:sz w:val="32"/>
          <w:szCs w:val="32"/>
        </w:rPr>
        <w:t>新赛道—小芒电商平台项目“小芒”APP在2021年1月1日上线，安卓、IOS、PC端均可访问。已获得2项软著。另有4项专利，1项软著已申请受理。DAU峰值126万，实现了较好的社会效益和经济效益。</w:t>
      </w:r>
    </w:p>
    <w:p w:rsidR="00A91EDB" w:rsidRDefault="00E31F4D" w:rsidP="004C22C5">
      <w:pPr>
        <w:pStyle w:val="3"/>
        <w:spacing w:line="580" w:lineRule="exact"/>
        <w:ind w:firstLineChars="200" w:firstLine="643"/>
        <w:rPr>
          <w:szCs w:val="32"/>
        </w:rPr>
      </w:pPr>
      <w:bookmarkStart w:id="273" w:name="_Toc787565047"/>
      <w:bookmarkStart w:id="274" w:name="_Toc332662620"/>
      <w:r>
        <w:rPr>
          <w:rFonts w:hint="eastAsia"/>
          <w:szCs w:val="32"/>
        </w:rPr>
        <w:t>2.</w:t>
      </w:r>
      <w:r>
        <w:rPr>
          <w:rFonts w:hint="eastAsia"/>
          <w:szCs w:val="32"/>
        </w:rPr>
        <w:t>有效落实了国家重大文化战略</w:t>
      </w:r>
      <w:bookmarkEnd w:id="273"/>
      <w:bookmarkEnd w:id="274"/>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湖南省乡村教育振兴服务平台项目（一期），</w:t>
      </w:r>
      <w:r>
        <w:rPr>
          <w:rFonts w:ascii="仿宋_GB2312" w:eastAsia="仿宋_GB2312" w:hAnsi="仿宋_GB2312" w:cs="仿宋_GB2312" w:hint="eastAsia"/>
          <w:bCs/>
          <w:sz w:val="32"/>
          <w:szCs w:val="32"/>
        </w:rPr>
        <w:t>2021年9月已</w:t>
      </w:r>
      <w:r>
        <w:rPr>
          <w:rFonts w:ascii="仿宋_GB2312" w:eastAsia="仿宋_GB2312" w:hAnsi="仿宋_GB2312" w:cs="仿宋_GB2312" w:hint="eastAsia"/>
          <w:sz w:val="32"/>
          <w:szCs w:val="32"/>
        </w:rPr>
        <w:t>完成产品研发建设以及产品在益阳区域试点工作。</w:t>
      </w:r>
      <w:r>
        <w:rPr>
          <w:rFonts w:ascii="仿宋_GB2312" w:eastAsia="仿宋_GB2312" w:hAnsi="仿宋_GB2312" w:cs="仿宋_GB2312" w:hint="eastAsia"/>
          <w:bCs/>
          <w:sz w:val="32"/>
          <w:szCs w:val="32"/>
        </w:rPr>
        <w:t>软件平台</w:t>
      </w:r>
      <w:r>
        <w:rPr>
          <w:rFonts w:ascii="仿宋_GB2312" w:eastAsia="仿宋_GB2312" w:hAnsi="仿宋_GB2312" w:cs="仿宋_GB2312" w:hint="eastAsia"/>
          <w:bCs/>
          <w:sz w:val="32"/>
          <w:szCs w:val="32"/>
        </w:rPr>
        <w:lastRenderedPageBreak/>
        <w:t>在用教师人数超500名，覆盖超150所学校。名师直播课服务已完成超50课时的课程输出，直播课及衍生录播课服务在用教师人数超100名，服务近100所学校。已上传课件、教案、习题、音视频、动画等多种资源超7500套。</w:t>
      </w:r>
      <w:r>
        <w:rPr>
          <w:rFonts w:ascii="仿宋_GB2312" w:eastAsia="仿宋_GB2312" w:hAnsi="仿宋_GB2312" w:cs="仿宋_GB2312" w:hint="eastAsia"/>
          <w:sz w:val="32"/>
          <w:szCs w:val="32"/>
        </w:rPr>
        <w:t>项目建成后，将以“一堂好课”为核心，围绕“帮老师备好课”“帮老师上好课”两大目标，为教师赋能，为课堂提质，为乡村教育振兴打造有影响力的“湖南样板”，成为乡村文化振兴的重要组成内容。湖南省体育产业园项目涵盖</w:t>
      </w:r>
      <w:r>
        <w:rPr>
          <w:rFonts w:ascii="仿宋_GB2312" w:eastAsia="仿宋_GB2312" w:hAnsi="仿宋_GB2312" w:cs="仿宋_GB2312" w:hint="eastAsia"/>
          <w:sz w:val="32"/>
          <w:szCs w:val="32"/>
          <w:lang w:val="zh-CN"/>
        </w:rPr>
        <w:t>“体</w:t>
      </w:r>
      <w:r>
        <w:rPr>
          <w:rFonts w:ascii="仿宋_GB2312" w:eastAsia="仿宋_GB2312" w:hAnsi="仿宋_GB2312" w:cs="仿宋_GB2312" w:hint="eastAsia"/>
          <w:sz w:val="32"/>
          <w:szCs w:val="32"/>
        </w:rPr>
        <w:t>育制造业总部基地+体育服务业大本营+体育产业孵化基地+体育健身”四大功能，建成后将成为中南片区首屈一指的城市体育服务综合体和体育产业聚集区。项目投产后，预计可实现年产值120亿元，年上缴税费2.5亿元，新增1000个就业岗位，形成可持续发展的体育产业生态圈。</w:t>
      </w:r>
    </w:p>
    <w:p w:rsidR="00A91EDB" w:rsidRDefault="00E31F4D" w:rsidP="004C22C5">
      <w:pPr>
        <w:pStyle w:val="3"/>
        <w:spacing w:line="580" w:lineRule="exact"/>
        <w:ind w:firstLineChars="200" w:firstLine="643"/>
        <w:rPr>
          <w:szCs w:val="32"/>
        </w:rPr>
      </w:pPr>
      <w:bookmarkStart w:id="275" w:name="_Toc710859530"/>
      <w:bookmarkStart w:id="276" w:name="_Toc1067721228"/>
      <w:r>
        <w:rPr>
          <w:rFonts w:hint="eastAsia"/>
          <w:szCs w:val="32"/>
        </w:rPr>
        <w:t>3.</w:t>
      </w:r>
      <w:r>
        <w:rPr>
          <w:rFonts w:hint="eastAsia"/>
          <w:szCs w:val="32"/>
        </w:rPr>
        <w:t>有效促进了媒体深度融合</w:t>
      </w:r>
      <w:bookmarkEnd w:id="275"/>
      <w:bookmarkEnd w:id="276"/>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湖南日报智媒体大数据平台建设项目，</w:t>
      </w:r>
      <w:r>
        <w:rPr>
          <w:rFonts w:ascii="仿宋_GB2312" w:eastAsia="仿宋_GB2312" w:hAnsi="仿宋_GB2312" w:cs="仿宋_GB2312" w:hint="eastAsia"/>
          <w:sz w:val="32"/>
          <w:szCs w:val="32"/>
        </w:rPr>
        <w:t>全省69家区县已入驻“新湖南云”的县级融媒体中心，已激活采编播管人员账号2410个，累计发布稿件65.33万篇，累计浏览量4744.23万，累计访客869.2万。“中央厨房”系统运行良好，目前已有湖南日报等9家主流媒体入驻。融媒体大数据资源库汇聚存储互联网媒体数据约12亿条；全媒体资源库成品资源数据存储了湖南日报创刊至今出版的所有稿件及版面。项目为湖南日报早日建设成为新闻主业领先、传播手段先进、产业形态丰富，综合实力的新型主流媒体夯实了基础。</w:t>
      </w:r>
      <w:r>
        <w:rPr>
          <w:rFonts w:ascii="仿宋_GB2312" w:eastAsia="仿宋_GB2312" w:hAnsi="仿宋_GB2312" w:cs="仿宋_GB2312" w:hint="eastAsia"/>
          <w:color w:val="000000"/>
          <w:kern w:val="0"/>
          <w:sz w:val="32"/>
          <w:szCs w:val="32"/>
        </w:rPr>
        <w:t>潇湘晨报短视频平台及现代传播体系项目的</w:t>
      </w:r>
      <w:r>
        <w:rPr>
          <w:rFonts w:ascii="仿宋_GB2312" w:eastAsia="仿宋_GB2312" w:hAnsi="仿宋_GB2312" w:cs="仿宋_GB2312" w:hint="eastAsia"/>
          <w:sz w:val="32"/>
          <w:szCs w:val="32"/>
          <w:lang w:val="zh-CN"/>
        </w:rPr>
        <w:t>晨视频APP在2021年</w:t>
      </w:r>
      <w:r>
        <w:rPr>
          <w:rFonts w:ascii="仿宋_GB2312" w:eastAsia="仿宋_GB2312" w:hAnsi="仿宋_GB2312" w:cs="仿宋_GB2312" w:hint="eastAsia"/>
          <w:sz w:val="32"/>
          <w:szCs w:val="32"/>
        </w:rPr>
        <w:t>9月</w:t>
      </w:r>
      <w:r>
        <w:rPr>
          <w:rFonts w:ascii="仿宋_GB2312" w:eastAsia="仿宋_GB2312" w:hAnsi="仿宋_GB2312" w:cs="仿宋_GB2312" w:hint="eastAsia"/>
          <w:sz w:val="32"/>
          <w:szCs w:val="32"/>
          <w:lang w:val="zh-CN"/>
        </w:rPr>
        <w:t>上线，年度内晨视</w:t>
      </w:r>
      <w:r>
        <w:rPr>
          <w:rFonts w:ascii="仿宋_GB2312" w:eastAsia="仿宋_GB2312" w:hAnsi="仿宋_GB2312" w:cs="仿宋_GB2312" w:hint="eastAsia"/>
          <w:sz w:val="32"/>
          <w:szCs w:val="32"/>
          <w:lang w:val="zh-CN"/>
        </w:rPr>
        <w:lastRenderedPageBreak/>
        <w:t>频APP在各大应用市场的下载量突破69万，日均播放量达18万次，</w:t>
      </w:r>
      <w:r>
        <w:rPr>
          <w:rFonts w:ascii="仿宋_GB2312" w:eastAsia="仿宋_GB2312" w:hAnsi="仿宋_GB2312" w:cs="仿宋_GB2312" w:hint="eastAsia"/>
          <w:bCs/>
          <w:sz w:val="32"/>
          <w:szCs w:val="32"/>
        </w:rPr>
        <w:t>入驻各类机构账号69个，覆盖汽车、美食、医疗、教育、房产、图书等多个领域。目前动态内容池中的精品内容数量已突破5000条，每日更新量高达1000多条。</w:t>
      </w:r>
      <w:r>
        <w:rPr>
          <w:rFonts w:ascii="仿宋_GB2312" w:eastAsia="仿宋_GB2312" w:hAnsi="仿宋_GB2312" w:cs="仿宋_GB2312" w:hint="eastAsia"/>
          <w:sz w:val="32"/>
          <w:szCs w:val="32"/>
          <w:lang w:val="zh-CN"/>
        </w:rPr>
        <w:t>目前拥有100多个传播渠道，全网全渠道总粉丝量超6000万。随着项目不断发展，受疫情影响的行业逐渐复苏，广告收益与MCN运营收益都将实现跨越式增长。</w:t>
      </w:r>
    </w:p>
    <w:p w:rsidR="00A91EDB" w:rsidRDefault="00E31F4D">
      <w:pPr>
        <w:pStyle w:val="1"/>
        <w:adjustRightInd w:val="0"/>
        <w:snapToGrid w:val="0"/>
        <w:spacing w:line="580" w:lineRule="exact"/>
        <w:ind w:firstLineChars="200" w:firstLine="640"/>
        <w:rPr>
          <w:rFonts w:ascii="黑体" w:eastAsia="黑体" w:hAnsi="黑体" w:cs="黑体"/>
          <w:b w:val="0"/>
          <w:sz w:val="32"/>
          <w:szCs w:val="32"/>
        </w:rPr>
      </w:pPr>
      <w:bookmarkStart w:id="277" w:name="_Toc29352"/>
      <w:bookmarkStart w:id="278" w:name="_Toc22918"/>
      <w:bookmarkStart w:id="279" w:name="_Toc825"/>
      <w:bookmarkStart w:id="280" w:name="_Toc22229"/>
      <w:bookmarkStart w:id="281" w:name="_Toc1922541265"/>
      <w:bookmarkStart w:id="282" w:name="_Toc43021009"/>
      <w:bookmarkStart w:id="283" w:name="_Toc25769"/>
      <w:bookmarkStart w:id="284" w:name="_Toc410464652"/>
      <w:bookmarkStart w:id="285" w:name="_Toc5952"/>
      <w:bookmarkStart w:id="286" w:name="_Toc3319"/>
      <w:bookmarkEnd w:id="254"/>
      <w:bookmarkEnd w:id="255"/>
      <w:bookmarkEnd w:id="256"/>
      <w:bookmarkEnd w:id="257"/>
      <w:bookmarkEnd w:id="258"/>
      <w:bookmarkEnd w:id="259"/>
      <w:bookmarkEnd w:id="260"/>
      <w:bookmarkEnd w:id="261"/>
      <w:bookmarkEnd w:id="262"/>
      <w:r>
        <w:rPr>
          <w:rFonts w:ascii="黑体" w:eastAsia="黑体" w:hAnsi="黑体" w:cs="黑体" w:hint="eastAsia"/>
          <w:b w:val="0"/>
          <w:sz w:val="32"/>
          <w:szCs w:val="32"/>
        </w:rPr>
        <w:t>六、存在的主要问题</w:t>
      </w:r>
      <w:bookmarkEnd w:id="277"/>
      <w:bookmarkEnd w:id="278"/>
      <w:bookmarkEnd w:id="279"/>
      <w:bookmarkEnd w:id="280"/>
      <w:bookmarkEnd w:id="281"/>
      <w:bookmarkEnd w:id="282"/>
      <w:bookmarkEnd w:id="283"/>
      <w:bookmarkEnd w:id="284"/>
      <w:bookmarkEnd w:id="285"/>
      <w:bookmarkEnd w:id="286"/>
    </w:p>
    <w:p w:rsidR="00A91EDB" w:rsidRDefault="00E31F4D" w:rsidP="004C22C5">
      <w:pPr>
        <w:pStyle w:val="2"/>
        <w:spacing w:line="580" w:lineRule="exact"/>
        <w:ind w:firstLineChars="200" w:firstLine="643"/>
        <w:rPr>
          <w:rFonts w:ascii="楷体" w:eastAsia="楷体" w:hAnsi="楷体" w:cs="楷体"/>
        </w:rPr>
      </w:pPr>
      <w:bookmarkStart w:id="287" w:name="_Toc43021010"/>
      <w:bookmarkStart w:id="288" w:name="_Toc3142"/>
      <w:bookmarkStart w:id="289" w:name="_Toc14453"/>
      <w:bookmarkStart w:id="290" w:name="_Toc26719"/>
      <w:bookmarkStart w:id="291" w:name="_Toc17014"/>
      <w:bookmarkStart w:id="292" w:name="_Toc8151"/>
      <w:bookmarkStart w:id="293" w:name="_Toc23669"/>
      <w:bookmarkStart w:id="294" w:name="_Toc28395"/>
      <w:bookmarkStart w:id="295" w:name="_Toc1722721677"/>
      <w:bookmarkStart w:id="296" w:name="_Toc1921086491"/>
      <w:r>
        <w:rPr>
          <w:rFonts w:ascii="楷体" w:eastAsia="楷体" w:hAnsi="楷体" w:cs="楷体" w:hint="eastAsia"/>
        </w:rPr>
        <w:t>（一）</w:t>
      </w:r>
      <w:bookmarkEnd w:id="287"/>
      <w:r>
        <w:rPr>
          <w:rFonts w:ascii="楷体" w:eastAsia="楷体" w:hAnsi="楷体" w:cs="楷体" w:hint="eastAsia"/>
        </w:rPr>
        <w:t>整体支出预算管理</w:t>
      </w:r>
      <w:bookmarkEnd w:id="288"/>
      <w:bookmarkEnd w:id="289"/>
      <w:bookmarkEnd w:id="290"/>
      <w:bookmarkEnd w:id="291"/>
      <w:bookmarkEnd w:id="292"/>
      <w:bookmarkEnd w:id="293"/>
      <w:bookmarkEnd w:id="294"/>
      <w:r>
        <w:rPr>
          <w:rFonts w:ascii="楷体" w:eastAsia="楷体" w:hAnsi="楷体" w:cs="楷体" w:hint="eastAsia"/>
        </w:rPr>
        <w:t>方面</w:t>
      </w:r>
      <w:bookmarkEnd w:id="295"/>
      <w:bookmarkEnd w:id="296"/>
    </w:p>
    <w:p w:rsidR="00A91EDB" w:rsidRDefault="00E31F4D" w:rsidP="004C22C5">
      <w:pPr>
        <w:pStyle w:val="3"/>
        <w:spacing w:line="580" w:lineRule="exact"/>
        <w:ind w:firstLineChars="200" w:firstLine="643"/>
        <w:rPr>
          <w:szCs w:val="32"/>
        </w:rPr>
      </w:pPr>
      <w:bookmarkStart w:id="297" w:name="_Toc14867"/>
      <w:bookmarkStart w:id="298" w:name="_Toc13036"/>
      <w:bookmarkStart w:id="299" w:name="_Toc32624"/>
      <w:bookmarkStart w:id="300" w:name="_Toc5319"/>
      <w:bookmarkStart w:id="301" w:name="_Toc14975"/>
      <w:bookmarkStart w:id="302" w:name="_Toc7642"/>
      <w:bookmarkStart w:id="303" w:name="_Toc20011"/>
      <w:bookmarkStart w:id="304" w:name="_Toc362412052"/>
      <w:bookmarkStart w:id="305" w:name="_Toc704295684"/>
      <w:r>
        <w:rPr>
          <w:szCs w:val="32"/>
        </w:rPr>
        <w:t>1.</w:t>
      </w:r>
      <w:r>
        <w:rPr>
          <w:rFonts w:hint="eastAsia"/>
          <w:szCs w:val="32"/>
        </w:rPr>
        <w:t>年初预算编制</w:t>
      </w:r>
      <w:bookmarkEnd w:id="297"/>
      <w:bookmarkEnd w:id="298"/>
      <w:bookmarkEnd w:id="299"/>
      <w:bookmarkEnd w:id="300"/>
      <w:bookmarkEnd w:id="301"/>
      <w:bookmarkEnd w:id="302"/>
      <w:bookmarkEnd w:id="303"/>
      <w:r>
        <w:rPr>
          <w:rFonts w:hint="eastAsia"/>
          <w:szCs w:val="32"/>
        </w:rPr>
        <w:t>需要进一步精准</w:t>
      </w:r>
      <w:bookmarkEnd w:id="304"/>
      <w:bookmarkEnd w:id="305"/>
    </w:p>
    <w:p w:rsidR="00A91EDB" w:rsidRDefault="00E31F4D">
      <w:pPr>
        <w:pStyle w:val="a0"/>
        <w:adjustRightInd w:val="0"/>
        <w:snapToGrid w:val="0"/>
        <w:spacing w:after="0"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本年基本支出金额合计993.09万元,资金结余率16.90%。其中:人员经费合计结余880.64万元(基本工资及津补贴合计结余136.60万元，其他工资福利支出结余57.94万元，五险一金结余56.07万元，在职和离退休人员奖金结余601.22万元，对个人和家庭的补助结余合计28.82万元)</w:t>
      </w:r>
      <w:r>
        <w:rPr>
          <w:rFonts w:ascii="仿宋_GB2312" w:eastAsia="仿宋_GB2312" w:hAnsi="仿宋" w:cs="仿宋" w:hint="eastAsia"/>
          <w:kern w:val="0"/>
          <w:sz w:val="32"/>
          <w:szCs w:val="32"/>
        </w:rPr>
        <w:t>培训费、其他交通费用等公用经费合计结余112.46万元。</w:t>
      </w:r>
      <w:r>
        <w:rPr>
          <w:rFonts w:ascii="仿宋_GB2312" w:eastAsia="仿宋_GB2312" w:hAnsi="仿宋_GB2312" w:cs="仿宋_GB2312" w:hint="eastAsia"/>
          <w:sz w:val="32"/>
          <w:szCs w:val="32"/>
        </w:rPr>
        <w:t>本年项目支出预算执行率85.89%，其中</w:t>
      </w:r>
      <w:r>
        <w:rPr>
          <w:rFonts w:ascii="仿宋_GB2312" w:eastAsia="仿宋_GB2312" w:hAnsi="仿宋_GB2312" w:cs="仿宋_GB2312"/>
          <w:sz w:val="32"/>
          <w:szCs w:val="32"/>
        </w:rPr>
        <w:t>预算执行率在80%以下</w:t>
      </w:r>
      <w:r>
        <w:rPr>
          <w:rFonts w:ascii="仿宋_GB2312" w:eastAsia="仿宋_GB2312" w:hAnsi="仿宋_GB2312" w:cs="仿宋_GB2312" w:hint="eastAsia"/>
          <w:sz w:val="32"/>
          <w:szCs w:val="32"/>
        </w:rPr>
        <w:t>的</w:t>
      </w:r>
      <w:r>
        <w:rPr>
          <w:rFonts w:ascii="仿宋_GB2312" w:eastAsia="仿宋_GB2312" w:hAnsi="仿宋_GB2312" w:cs="仿宋_GB2312"/>
          <w:sz w:val="32"/>
          <w:szCs w:val="32"/>
        </w:rPr>
        <w:t>专项14个</w:t>
      </w:r>
      <w:r>
        <w:rPr>
          <w:rFonts w:ascii="仿宋_GB2312" w:eastAsia="仿宋_GB2312" w:hAnsi="仿宋_GB2312" w:cs="仿宋_GB2312" w:hint="eastAsia"/>
          <w:sz w:val="32"/>
          <w:szCs w:val="32"/>
        </w:rPr>
        <w:t>，4个专项经费支出预算执行率为0</w:t>
      </w:r>
      <w:r>
        <w:rPr>
          <w:rFonts w:ascii="仿宋_GB2312" w:eastAsia="仿宋_GB2312" w:hAnsi="仿宋_GB2312" w:cs="仿宋_GB2312"/>
          <w:sz w:val="32"/>
          <w:szCs w:val="32"/>
        </w:rPr>
        <w:t>。</w:t>
      </w:r>
      <w:bookmarkStart w:id="306" w:name="_Toc16859"/>
      <w:bookmarkStart w:id="307" w:name="_Toc23414"/>
      <w:bookmarkStart w:id="308" w:name="_Toc19677"/>
      <w:bookmarkStart w:id="309" w:name="_Toc12848"/>
      <w:bookmarkStart w:id="310" w:name="_Toc1079"/>
      <w:bookmarkStart w:id="311" w:name="_Toc18217"/>
      <w:bookmarkStart w:id="312" w:name="_Toc16609"/>
      <w:r>
        <w:rPr>
          <w:rFonts w:ascii="仿宋_GB2312" w:eastAsia="仿宋_GB2312" w:hAnsi="仿宋" w:cs="仿宋" w:hint="eastAsia"/>
          <w:sz w:val="32"/>
          <w:szCs w:val="32"/>
        </w:rPr>
        <w:t>剔除全省统一调整奖金发放方式导致大额结余的因素外，其他人员经费、公用经费和项目经费的结余反映预算编制精准性有待提高。</w:t>
      </w:r>
    </w:p>
    <w:p w:rsidR="00A91EDB" w:rsidRDefault="00E31F4D" w:rsidP="004C22C5">
      <w:pPr>
        <w:pStyle w:val="3"/>
        <w:spacing w:line="580" w:lineRule="exact"/>
        <w:ind w:firstLineChars="200" w:firstLine="643"/>
        <w:rPr>
          <w:szCs w:val="32"/>
        </w:rPr>
      </w:pPr>
      <w:bookmarkStart w:id="313" w:name="_Toc811396333"/>
      <w:bookmarkStart w:id="314" w:name="_Toc2084409248"/>
      <w:r>
        <w:rPr>
          <w:rFonts w:hint="eastAsia"/>
          <w:szCs w:val="32"/>
        </w:rPr>
        <w:t>2</w:t>
      </w:r>
      <w:r>
        <w:rPr>
          <w:szCs w:val="32"/>
        </w:rPr>
        <w:t>.</w:t>
      </w:r>
      <w:bookmarkEnd w:id="306"/>
      <w:bookmarkEnd w:id="307"/>
      <w:bookmarkEnd w:id="308"/>
      <w:bookmarkEnd w:id="309"/>
      <w:bookmarkEnd w:id="310"/>
      <w:bookmarkEnd w:id="311"/>
      <w:bookmarkEnd w:id="312"/>
      <w:r>
        <w:rPr>
          <w:rFonts w:hint="eastAsia"/>
          <w:szCs w:val="32"/>
        </w:rPr>
        <w:t>预算执行“前松后紧”现象未明显改善</w:t>
      </w:r>
      <w:bookmarkEnd w:id="313"/>
      <w:bookmarkEnd w:id="314"/>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sz w:val="32"/>
          <w:szCs w:val="32"/>
        </w:rPr>
        <w:t>2021年，我部项目支出预算执行率85.89%，但资金支付主要集中在第四季度，前三季度预算执行率不足40</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。经分析，主要原因为：一是部分业务处室工作前期计划性不强，节奏不</w:t>
      </w:r>
      <w:r>
        <w:rPr>
          <w:rFonts w:ascii="仿宋_GB2312" w:eastAsia="仿宋_GB2312" w:hAnsi="仿宋_GB2312" w:cs="仿宋_GB2312" w:hint="eastAsia"/>
          <w:sz w:val="32"/>
          <w:szCs w:val="32"/>
        </w:rPr>
        <w:lastRenderedPageBreak/>
        <w:t>紧，尽管财务部门三令五申、积极督促，每年从9月份开始按月进行预算执行分析、通报、跟踪，但是未能彻底完善。二是部分工作要求执行政府采购程序，或需要验收后支付，履行程序需花费较长时间。三是</w:t>
      </w:r>
      <w:r>
        <w:rPr>
          <w:rFonts w:ascii="仿宋_GB2312" w:eastAsia="仿宋_GB2312" w:hAnsi="仿宋_GB2312" w:cs="仿宋_GB2312" w:hint="eastAsia"/>
          <w:bCs/>
          <w:sz w:val="32"/>
          <w:szCs w:val="32"/>
        </w:rPr>
        <w:t>部分工作的开展按计划只能在年底实施，无法提前开展和支付，如道德模范帮扶项目。</w:t>
      </w:r>
    </w:p>
    <w:p w:rsidR="00A91EDB" w:rsidRDefault="00E31F4D" w:rsidP="004C22C5">
      <w:pPr>
        <w:pStyle w:val="3"/>
        <w:spacing w:line="580" w:lineRule="exact"/>
        <w:ind w:firstLineChars="200" w:firstLine="643"/>
        <w:rPr>
          <w:szCs w:val="32"/>
        </w:rPr>
      </w:pPr>
      <w:bookmarkStart w:id="315" w:name="_Toc32004"/>
      <w:bookmarkStart w:id="316" w:name="_Toc27538"/>
      <w:bookmarkStart w:id="317" w:name="_Toc13383"/>
      <w:bookmarkStart w:id="318" w:name="_Toc12508"/>
      <w:bookmarkStart w:id="319" w:name="_Toc15425"/>
      <w:bookmarkStart w:id="320" w:name="_Toc1963"/>
      <w:bookmarkStart w:id="321" w:name="_Toc30524"/>
      <w:bookmarkStart w:id="322" w:name="_Toc1461249475"/>
      <w:bookmarkStart w:id="323" w:name="_Toc422124671"/>
      <w:r>
        <w:rPr>
          <w:rFonts w:hint="eastAsia"/>
          <w:szCs w:val="32"/>
        </w:rPr>
        <w:t>3</w:t>
      </w:r>
      <w:r>
        <w:rPr>
          <w:szCs w:val="32"/>
        </w:rPr>
        <w:t>.</w:t>
      </w:r>
      <w:r>
        <w:rPr>
          <w:rFonts w:hint="eastAsia"/>
          <w:szCs w:val="32"/>
        </w:rPr>
        <w:t>预算绩效管理</w:t>
      </w:r>
      <w:bookmarkEnd w:id="315"/>
      <w:bookmarkEnd w:id="316"/>
      <w:bookmarkEnd w:id="317"/>
      <w:bookmarkEnd w:id="318"/>
      <w:bookmarkEnd w:id="319"/>
      <w:bookmarkEnd w:id="320"/>
      <w:bookmarkEnd w:id="321"/>
      <w:r>
        <w:rPr>
          <w:rFonts w:hint="eastAsia"/>
          <w:szCs w:val="32"/>
        </w:rPr>
        <w:t>水平有待进一步提高</w:t>
      </w:r>
      <w:bookmarkEnd w:id="322"/>
      <w:bookmarkEnd w:id="323"/>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目前我部单位预算编制和绩效评价工作由办公室牵头负责</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相关业务处室参与配合。但实际工作中，部分业务部门对预算管理认识和重视程度不够，对</w:t>
      </w:r>
      <w:r>
        <w:rPr>
          <w:rFonts w:ascii="仿宋_GB2312" w:eastAsia="仿宋_GB2312" w:hAnsi="仿宋_GB2312" w:cs="仿宋_GB2312" w:hint="eastAsia"/>
          <w:sz w:val="32"/>
          <w:szCs w:val="32"/>
        </w:rPr>
        <w:t>项目资金的绩效</w:t>
      </w:r>
      <w:r>
        <w:rPr>
          <w:rFonts w:ascii="仿宋_GB2312" w:eastAsia="仿宋_GB2312" w:hAnsi="仿宋_GB2312" w:cs="仿宋_GB2312" w:hint="eastAsia"/>
          <w:bCs/>
          <w:sz w:val="32"/>
          <w:szCs w:val="32"/>
        </w:rPr>
        <w:t>工作缺乏认真细致的规划和调查论证</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导致预算绩效目标和绩效指标的设置不够科学合理，目标设定比较笼统</w:t>
      </w:r>
      <w:r>
        <w:rPr>
          <w:rFonts w:ascii="仿宋_GB2312" w:eastAsia="仿宋_GB2312" w:hAnsi="仿宋_GB2312" w:cs="仿宋_GB2312"/>
          <w:bCs/>
          <w:sz w:val="32"/>
          <w:szCs w:val="32"/>
        </w:rPr>
        <w:t>,</w:t>
      </w:r>
      <w:r>
        <w:rPr>
          <w:rFonts w:ascii="仿宋_GB2312" w:eastAsia="仿宋_GB2312" w:hAnsi="仿宋_GB2312" w:cs="仿宋_GB2312" w:hint="eastAsia"/>
          <w:sz w:val="32"/>
          <w:szCs w:val="32"/>
        </w:rPr>
        <w:t>不够精细。其次，</w:t>
      </w:r>
      <w:r>
        <w:rPr>
          <w:rFonts w:ascii="仿宋_GB2312" w:eastAsia="仿宋_GB2312" w:hAnsi="仿宋_GB2312" w:cs="仿宋_GB2312" w:hint="eastAsia"/>
          <w:bCs/>
          <w:sz w:val="32"/>
          <w:szCs w:val="32"/>
        </w:rPr>
        <w:t>尚未建立切实可行的绩效评价指标体系，安排业务项目资金时考虑工作需要较多，没有严格运用绩效评价结果，未真正发挥绩效考核的约束作用。</w:t>
      </w:r>
    </w:p>
    <w:p w:rsidR="00A91EDB" w:rsidRDefault="00E31F4D" w:rsidP="004C22C5">
      <w:pPr>
        <w:pStyle w:val="2"/>
        <w:spacing w:line="580" w:lineRule="exact"/>
        <w:ind w:firstLineChars="200" w:firstLine="643"/>
        <w:rPr>
          <w:rFonts w:ascii="楷体" w:eastAsia="楷体" w:hAnsi="楷体" w:cs="楷体"/>
        </w:rPr>
      </w:pPr>
      <w:bookmarkStart w:id="324" w:name="_Toc3280"/>
      <w:bookmarkStart w:id="325" w:name="_Toc15616"/>
      <w:bookmarkStart w:id="326" w:name="_Toc29557"/>
      <w:bookmarkStart w:id="327" w:name="_Toc8589"/>
      <w:bookmarkStart w:id="328" w:name="_Toc15542"/>
      <w:bookmarkStart w:id="329" w:name="_Toc31659"/>
      <w:bookmarkStart w:id="330" w:name="_Toc43021014"/>
      <w:bookmarkStart w:id="331" w:name="_Toc11500"/>
      <w:bookmarkStart w:id="332" w:name="_Toc442001873"/>
      <w:bookmarkStart w:id="333" w:name="_Toc2088636235"/>
      <w:r>
        <w:rPr>
          <w:rFonts w:ascii="楷体" w:eastAsia="楷体" w:hAnsi="楷体" w:cs="楷体" w:hint="eastAsia"/>
        </w:rPr>
        <w:t>（二）政府性基金预算支出管理</w:t>
      </w:r>
      <w:bookmarkEnd w:id="324"/>
      <w:bookmarkEnd w:id="325"/>
      <w:bookmarkEnd w:id="326"/>
      <w:bookmarkEnd w:id="327"/>
      <w:bookmarkEnd w:id="328"/>
      <w:bookmarkEnd w:id="329"/>
      <w:bookmarkEnd w:id="330"/>
      <w:bookmarkEnd w:id="331"/>
      <w:r>
        <w:rPr>
          <w:rFonts w:ascii="楷体" w:eastAsia="楷体" w:hAnsi="楷体" w:cs="楷体" w:hint="eastAsia"/>
        </w:rPr>
        <w:t>方面</w:t>
      </w:r>
      <w:bookmarkEnd w:id="332"/>
      <w:bookmarkEnd w:id="333"/>
    </w:p>
    <w:p w:rsidR="00A91EDB" w:rsidRDefault="00E31F4D" w:rsidP="004C22C5">
      <w:pPr>
        <w:pStyle w:val="3"/>
        <w:spacing w:line="580" w:lineRule="exact"/>
        <w:ind w:firstLineChars="200" w:firstLine="643"/>
        <w:rPr>
          <w:szCs w:val="32"/>
        </w:rPr>
      </w:pPr>
      <w:bookmarkStart w:id="334" w:name="_Toc1458930737"/>
      <w:bookmarkStart w:id="335" w:name="_Toc1895883099"/>
      <w:bookmarkStart w:id="336" w:name="_Toc18170"/>
      <w:bookmarkStart w:id="337" w:name="_Toc43021015"/>
      <w:bookmarkStart w:id="338" w:name="_Toc20494"/>
      <w:bookmarkStart w:id="339" w:name="_Toc10538"/>
      <w:bookmarkStart w:id="340" w:name="_Toc28132"/>
      <w:bookmarkStart w:id="341" w:name="_Toc27337"/>
      <w:bookmarkStart w:id="342" w:name="_Toc8210"/>
      <w:bookmarkStart w:id="343" w:name="_Toc30367"/>
      <w:r>
        <w:rPr>
          <w:szCs w:val="32"/>
        </w:rPr>
        <w:t>1.</w:t>
      </w:r>
      <w:r>
        <w:rPr>
          <w:rFonts w:hint="eastAsia"/>
          <w:szCs w:val="32"/>
        </w:rPr>
        <w:t>部分资金下达时间晚</w:t>
      </w:r>
      <w:bookmarkEnd w:id="334"/>
      <w:bookmarkEnd w:id="335"/>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经自查，2021年电影专项资金分7月和12月两批下达，时间较为滞后。因为拨付流程办理需要时间，年末国库系统资金集中支付，拨付办理速度相对缓慢，个别项目收到资金时间较晚，影响了财政资金使用效率。</w:t>
      </w:r>
    </w:p>
    <w:p w:rsidR="00A91EDB" w:rsidRDefault="00E31F4D" w:rsidP="004C22C5">
      <w:pPr>
        <w:pStyle w:val="3"/>
        <w:spacing w:line="580" w:lineRule="exact"/>
        <w:ind w:firstLineChars="200" w:firstLine="643"/>
        <w:rPr>
          <w:szCs w:val="32"/>
        </w:rPr>
      </w:pPr>
      <w:bookmarkStart w:id="344" w:name="_Toc1758719735"/>
      <w:bookmarkStart w:id="345" w:name="_Toc399833302"/>
      <w:r>
        <w:rPr>
          <w:rFonts w:hint="eastAsia"/>
          <w:szCs w:val="32"/>
        </w:rPr>
        <w:t>2.</w:t>
      </w:r>
      <w:r>
        <w:rPr>
          <w:rFonts w:hint="eastAsia"/>
          <w:szCs w:val="32"/>
        </w:rPr>
        <w:t>乡镇影院建设试点建成率未达到预期目标</w:t>
      </w:r>
      <w:bookmarkEnd w:id="344"/>
      <w:bookmarkEnd w:id="345"/>
    </w:p>
    <w:p w:rsidR="00A91EDB" w:rsidRDefault="00E31F4D">
      <w:pPr>
        <w:adjustRightInd w:val="0"/>
        <w:snapToGrid w:val="0"/>
        <w:spacing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因乡镇影院建设正常扶持力度大，2019年建设乡镇影院申报积极性很高，但受疫情影响，行业不景气，部分影院投资撤离，导致乡镇建设进展缓慢，造成验收合格仅4家，合格率</w:t>
      </w:r>
      <w:r>
        <w:rPr>
          <w:rFonts w:ascii="仿宋_GB2312" w:eastAsia="仿宋_GB2312" w:hAnsi="仿宋_GB2312" w:cs="仿宋_GB2312" w:hint="eastAsia"/>
          <w:bCs/>
          <w:sz w:val="32"/>
          <w:szCs w:val="32"/>
        </w:rPr>
        <w:lastRenderedPageBreak/>
        <w:t>18.18%，未能达到预期目标。</w:t>
      </w:r>
    </w:p>
    <w:p w:rsidR="00A91EDB" w:rsidRDefault="00E31F4D" w:rsidP="004C22C5">
      <w:pPr>
        <w:pStyle w:val="2"/>
        <w:spacing w:line="580" w:lineRule="exact"/>
        <w:ind w:firstLineChars="200" w:firstLine="643"/>
        <w:rPr>
          <w:rFonts w:ascii="楷体" w:eastAsia="楷体" w:hAnsi="楷体" w:cs="楷体"/>
        </w:rPr>
      </w:pPr>
      <w:bookmarkStart w:id="346" w:name="_Toc339017088"/>
      <w:bookmarkStart w:id="347" w:name="_Toc1315446385"/>
      <w:bookmarkEnd w:id="336"/>
      <w:bookmarkEnd w:id="337"/>
      <w:bookmarkEnd w:id="338"/>
      <w:bookmarkEnd w:id="339"/>
      <w:bookmarkEnd w:id="340"/>
      <w:bookmarkEnd w:id="341"/>
      <w:bookmarkEnd w:id="342"/>
      <w:bookmarkEnd w:id="343"/>
      <w:r>
        <w:rPr>
          <w:rFonts w:ascii="楷体" w:eastAsia="楷体" w:hAnsi="楷体" w:cs="楷体" w:hint="eastAsia"/>
        </w:rPr>
        <w:t>（三）国有资本经营预算支出管理方面</w:t>
      </w:r>
      <w:bookmarkEnd w:id="346"/>
      <w:bookmarkEnd w:id="347"/>
    </w:p>
    <w:p w:rsidR="00A91EDB" w:rsidRDefault="00E31F4D" w:rsidP="004C22C5">
      <w:pPr>
        <w:pStyle w:val="3"/>
        <w:spacing w:line="580" w:lineRule="exact"/>
        <w:ind w:firstLineChars="200" w:firstLine="643"/>
        <w:rPr>
          <w:szCs w:val="32"/>
        </w:rPr>
      </w:pPr>
      <w:bookmarkStart w:id="348" w:name="_Toc883433116"/>
      <w:bookmarkStart w:id="349" w:name="_Toc1896305401"/>
      <w:r>
        <w:rPr>
          <w:rFonts w:hint="eastAsia"/>
          <w:szCs w:val="32"/>
        </w:rPr>
        <w:t>1.</w:t>
      </w:r>
      <w:r>
        <w:rPr>
          <w:rFonts w:hint="eastAsia"/>
          <w:szCs w:val="32"/>
        </w:rPr>
        <w:t>资金申报和下达时间存在滞后</w:t>
      </w:r>
      <w:bookmarkEnd w:id="348"/>
      <w:bookmarkEnd w:id="349"/>
    </w:p>
    <w:p w:rsidR="00A91EDB" w:rsidRDefault="00E31F4D">
      <w:pPr>
        <w:pStyle w:val="a0"/>
        <w:adjustRightInd w:val="0"/>
        <w:snapToGrid w:val="0"/>
        <w:spacing w:after="0"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2021年度省级国有资本经营预算支出分两次申报和下达,两次下达时间分别为2021年2月和12月末，时间较为滞后，一定程度上影响了项目资金投入力度和项目实施进度。</w:t>
      </w:r>
    </w:p>
    <w:p w:rsidR="00A91EDB" w:rsidRDefault="00E31F4D" w:rsidP="004C22C5">
      <w:pPr>
        <w:pStyle w:val="3"/>
        <w:spacing w:line="580" w:lineRule="exact"/>
        <w:ind w:firstLineChars="200" w:firstLine="643"/>
        <w:rPr>
          <w:szCs w:val="32"/>
        </w:rPr>
      </w:pPr>
      <w:bookmarkStart w:id="350" w:name="_Toc1446345525"/>
      <w:bookmarkStart w:id="351" w:name="_Toc1427702669"/>
      <w:r>
        <w:rPr>
          <w:rFonts w:hint="eastAsia"/>
          <w:szCs w:val="32"/>
        </w:rPr>
        <w:t>2.</w:t>
      </w:r>
      <w:r>
        <w:rPr>
          <w:rFonts w:hint="eastAsia"/>
          <w:szCs w:val="32"/>
        </w:rPr>
        <w:t>企业项目管理机制不健全</w:t>
      </w:r>
      <w:bookmarkEnd w:id="350"/>
      <w:bookmarkEnd w:id="351"/>
    </w:p>
    <w:p w:rsidR="00A91EDB" w:rsidRDefault="00E31F4D">
      <w:pPr>
        <w:pStyle w:val="5"/>
        <w:adjustRightInd w:val="0"/>
        <w:snapToGrid w:val="0"/>
        <w:spacing w:line="580" w:lineRule="exact"/>
        <w:ind w:leftChars="0" w:left="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企业尚未建立完善成熟的项目储备库，部分申报项目质量不高，项目愿景和目标设定过于宏大，实际落地操作性不强，绩效目标设置针对性不强。二是企业存在对项目“重申报、轻管理”的现象。资金拨付后没有及时办理资本金注入工商变更登记，而是放入资金公积，并未及时转增为注册资本，因此没有真实反映国家投入。三是部分项目承担单位主体研究方向发生了变更，影响了项目的实施进度。</w:t>
      </w:r>
    </w:p>
    <w:p w:rsidR="00A91EDB" w:rsidRDefault="00E31F4D" w:rsidP="004C22C5">
      <w:pPr>
        <w:pStyle w:val="3"/>
        <w:spacing w:line="580" w:lineRule="exact"/>
        <w:ind w:firstLineChars="200" w:firstLine="643"/>
        <w:rPr>
          <w:szCs w:val="32"/>
        </w:rPr>
      </w:pPr>
      <w:bookmarkStart w:id="352" w:name="_Toc1677276861"/>
      <w:bookmarkStart w:id="353" w:name="_Toc775987663"/>
      <w:r>
        <w:rPr>
          <w:rFonts w:hint="eastAsia"/>
          <w:szCs w:val="32"/>
        </w:rPr>
        <w:t>3.</w:t>
      </w:r>
      <w:r>
        <w:rPr>
          <w:rFonts w:hint="eastAsia"/>
          <w:szCs w:val="32"/>
        </w:rPr>
        <w:t>部分项目实施进度较慢，绩效产出未达预期</w:t>
      </w:r>
      <w:bookmarkEnd w:id="352"/>
      <w:bookmarkEnd w:id="353"/>
    </w:p>
    <w:p w:rsidR="00A91EDB" w:rsidRDefault="00E31F4D">
      <w:pPr>
        <w:pStyle w:val="5"/>
        <w:adjustRightInd w:val="0"/>
        <w:snapToGrid w:val="0"/>
        <w:spacing w:line="580" w:lineRule="exact"/>
        <w:ind w:leftChars="0" w:left="0" w:firstLineChars="200" w:firstLine="640"/>
        <w:rPr>
          <w:rFonts w:ascii="仿宋" w:eastAsia="仿宋" w:hAnsi="仿宋"/>
          <w:b/>
          <w:sz w:val="32"/>
          <w:szCs w:val="32"/>
        </w:rPr>
      </w:pPr>
      <w:r>
        <w:rPr>
          <w:rFonts w:ascii="仿宋_GB2312" w:eastAsia="仿宋_GB2312" w:hAnsi="仿宋_GB2312" w:cs="仿宋_GB2312" w:hint="eastAsia"/>
          <w:kern w:val="0"/>
          <w:sz w:val="32"/>
          <w:szCs w:val="32"/>
        </w:rPr>
        <w:t>因疫情、项目方案优化、前期沟通不到位等问题，部分项目的实施进度较慢，未达到预期。如：潇湘晨报短视频平台及现代传播体系项目，项目中标方研发力量均在北京，受疫情防控影响，产品研发及调研工作被迫延期，大量线下活动也无法推广，整体进度低于预期目标，2021年度投资支出3192.01万元，本年预算执行率为28.10%。湖南省乡村教育振兴服务平台项目，按照实施计划，2021年底应实施投资2760万元，因项目方案扩容优化、前期与省直厅局、市县沟通和教育部政策等原因，实际投入仅为544万元，项目资金投入率低，未能充</w:t>
      </w:r>
      <w:r>
        <w:rPr>
          <w:rFonts w:ascii="仿宋_GB2312" w:eastAsia="仿宋_GB2312" w:hAnsi="仿宋_GB2312" w:cs="仿宋_GB2312" w:hint="eastAsia"/>
          <w:kern w:val="0"/>
          <w:sz w:val="32"/>
          <w:szCs w:val="32"/>
        </w:rPr>
        <w:lastRenderedPageBreak/>
        <w:t>分发挥使用效益。</w:t>
      </w:r>
    </w:p>
    <w:p w:rsidR="00A91EDB" w:rsidRDefault="00E31F4D" w:rsidP="004C22C5">
      <w:pPr>
        <w:pStyle w:val="3"/>
        <w:spacing w:line="580" w:lineRule="exact"/>
        <w:ind w:firstLineChars="200" w:firstLine="643"/>
        <w:rPr>
          <w:szCs w:val="32"/>
        </w:rPr>
      </w:pPr>
      <w:bookmarkStart w:id="354" w:name="_Toc1108576670"/>
      <w:bookmarkStart w:id="355" w:name="_Toc1488186826"/>
      <w:r>
        <w:rPr>
          <w:rFonts w:hint="eastAsia"/>
          <w:szCs w:val="32"/>
        </w:rPr>
        <w:t>4.</w:t>
      </w:r>
      <w:r>
        <w:rPr>
          <w:rFonts w:hint="eastAsia"/>
          <w:szCs w:val="32"/>
        </w:rPr>
        <w:t>项目绩效评价方式有待改进</w:t>
      </w:r>
      <w:bookmarkEnd w:id="354"/>
      <w:bookmarkEnd w:id="355"/>
    </w:p>
    <w:p w:rsidR="00A91EDB" w:rsidRDefault="00E31F4D">
      <w:pPr>
        <w:adjustRightInd w:val="0"/>
        <w:snapToGrid w:val="0"/>
        <w:spacing w:line="580" w:lineRule="exact"/>
        <w:ind w:firstLineChars="200" w:firstLine="640"/>
        <w:rPr>
          <w:rFonts w:ascii="仿宋_GB2312" w:eastAsia="仿宋_GB2312" w:hAnsi="仿宋_GB2312" w:cs="仿宋_GB2312"/>
          <w:kern w:val="0"/>
          <w:sz w:val="32"/>
          <w:szCs w:val="32"/>
        </w:rPr>
      </w:pPr>
      <w:bookmarkStart w:id="356" w:name="_Toc736164735"/>
      <w:bookmarkStart w:id="357" w:name="_Toc43021019"/>
      <w:bookmarkStart w:id="358" w:name="_Toc3257"/>
      <w:bookmarkStart w:id="359" w:name="_Toc14528"/>
      <w:bookmarkStart w:id="360" w:name="_Toc10198"/>
      <w:bookmarkStart w:id="361" w:name="_Toc25789"/>
      <w:bookmarkStart w:id="362" w:name="_Toc9209"/>
      <w:bookmarkStart w:id="363" w:name="_Toc17618"/>
      <w:bookmarkStart w:id="364" w:name="_Toc21540"/>
      <w:r>
        <w:rPr>
          <w:rFonts w:ascii="仿宋_GB2312" w:eastAsia="仿宋_GB2312" w:hAnsi="仿宋_GB2312" w:cs="仿宋_GB2312" w:hint="eastAsia"/>
          <w:kern w:val="0"/>
          <w:sz w:val="32"/>
          <w:szCs w:val="32"/>
        </w:rPr>
        <w:t>因2021年是省文资委承担省级国有资本经营预算支出项目申报、评审及提出建议草案的第一年，未严格、细致地对企业申报项目的绩效目标作出要求，绩效评价工作仍需完善。目前的监管方式是仅对上年度专项资金安排的项目进行绩效评价，国有资本经营预算支出项目投资额较大，跨度时间较长，内容较为复杂，因此在进行本年度绩效评价时，尚有项目未建设完成或无法体现绩效目标，这些项目在第一年</w:t>
      </w:r>
      <w:r>
        <w:rPr>
          <w:rFonts w:ascii="仿宋_GB2312" w:eastAsia="仿宋_GB2312" w:hAnsi="仿宋_GB2312" w:cs="仿宋_GB2312" w:hint="eastAsia"/>
          <w:spacing w:val="-11"/>
          <w:kern w:val="0"/>
          <w:sz w:val="32"/>
          <w:szCs w:val="32"/>
        </w:rPr>
        <w:t>甚至第二年的绩效评价结果均不理想，绩效评价方式有待改善。</w:t>
      </w:r>
      <w:bookmarkEnd w:id="356"/>
    </w:p>
    <w:p w:rsidR="00A91EDB" w:rsidRDefault="00E31F4D" w:rsidP="004C22C5">
      <w:pPr>
        <w:pStyle w:val="1"/>
        <w:spacing w:line="580" w:lineRule="exact"/>
        <w:ind w:firstLineChars="200" w:firstLine="643"/>
        <w:rPr>
          <w:sz w:val="32"/>
          <w:szCs w:val="32"/>
        </w:rPr>
      </w:pPr>
      <w:bookmarkStart w:id="365" w:name="_Toc1745693483"/>
      <w:bookmarkStart w:id="366" w:name="_Toc688181714"/>
      <w:r>
        <w:rPr>
          <w:rFonts w:hint="eastAsia"/>
          <w:sz w:val="32"/>
          <w:szCs w:val="32"/>
        </w:rPr>
        <w:t>七、下一步改进措施</w:t>
      </w:r>
      <w:bookmarkEnd w:id="357"/>
      <w:bookmarkEnd w:id="358"/>
      <w:bookmarkEnd w:id="359"/>
      <w:bookmarkEnd w:id="360"/>
      <w:bookmarkEnd w:id="361"/>
      <w:bookmarkEnd w:id="362"/>
      <w:bookmarkEnd w:id="363"/>
      <w:bookmarkEnd w:id="364"/>
      <w:bookmarkEnd w:id="365"/>
      <w:bookmarkEnd w:id="366"/>
    </w:p>
    <w:p w:rsidR="00A91EDB" w:rsidRDefault="00E31F4D" w:rsidP="004C22C5">
      <w:pPr>
        <w:pStyle w:val="2"/>
        <w:spacing w:line="580" w:lineRule="exact"/>
        <w:ind w:firstLineChars="200" w:firstLine="643"/>
        <w:rPr>
          <w:rFonts w:ascii="楷体" w:eastAsia="楷体" w:hAnsi="楷体" w:cs="楷体"/>
        </w:rPr>
      </w:pPr>
      <w:bookmarkStart w:id="367" w:name="_Toc10592"/>
      <w:bookmarkStart w:id="368" w:name="_Toc21321"/>
      <w:bookmarkStart w:id="369" w:name="_Toc19692"/>
      <w:bookmarkStart w:id="370" w:name="_Toc43021020"/>
      <w:bookmarkStart w:id="371" w:name="_Toc5764"/>
      <w:bookmarkStart w:id="372" w:name="_Toc21574"/>
      <w:bookmarkStart w:id="373" w:name="_Toc16405"/>
      <w:bookmarkStart w:id="374" w:name="_Toc32293"/>
      <w:bookmarkStart w:id="375" w:name="_Toc1182298302"/>
      <w:bookmarkStart w:id="376" w:name="_Toc426210242"/>
      <w:r>
        <w:rPr>
          <w:rFonts w:ascii="楷体" w:eastAsia="楷体" w:hAnsi="楷体" w:cs="楷体" w:hint="eastAsia"/>
        </w:rPr>
        <w:t>（一）整体支出预算及绩效管理</w:t>
      </w:r>
      <w:bookmarkEnd w:id="367"/>
      <w:bookmarkEnd w:id="368"/>
      <w:bookmarkEnd w:id="369"/>
      <w:bookmarkEnd w:id="370"/>
      <w:bookmarkEnd w:id="371"/>
      <w:bookmarkEnd w:id="372"/>
      <w:bookmarkEnd w:id="373"/>
      <w:bookmarkEnd w:id="374"/>
      <w:r>
        <w:rPr>
          <w:rFonts w:ascii="楷体" w:eastAsia="楷体" w:hAnsi="楷体" w:cs="楷体" w:hint="eastAsia"/>
        </w:rPr>
        <w:t>方面</w:t>
      </w:r>
      <w:bookmarkEnd w:id="375"/>
      <w:bookmarkEnd w:id="376"/>
    </w:p>
    <w:p w:rsidR="00A91EDB" w:rsidRDefault="00E31F4D" w:rsidP="004C22C5">
      <w:pPr>
        <w:pStyle w:val="3"/>
        <w:spacing w:line="580" w:lineRule="exact"/>
        <w:ind w:firstLineChars="200" w:firstLine="643"/>
        <w:rPr>
          <w:szCs w:val="32"/>
        </w:rPr>
      </w:pPr>
      <w:bookmarkStart w:id="377" w:name="_Toc43021021"/>
      <w:bookmarkStart w:id="378" w:name="_Toc120"/>
      <w:bookmarkStart w:id="379" w:name="_Toc12092"/>
      <w:bookmarkStart w:id="380" w:name="_Toc26146"/>
      <w:bookmarkStart w:id="381" w:name="_Toc17429334"/>
      <w:bookmarkStart w:id="382" w:name="_Toc28000"/>
      <w:bookmarkStart w:id="383" w:name="_Toc32753"/>
      <w:bookmarkStart w:id="384" w:name="_Toc25835"/>
      <w:bookmarkStart w:id="385" w:name="_Toc315046831"/>
      <w:bookmarkStart w:id="386" w:name="_Toc25303"/>
      <w:r>
        <w:rPr>
          <w:szCs w:val="32"/>
        </w:rPr>
        <w:t>1.</w:t>
      </w:r>
      <w:r>
        <w:rPr>
          <w:rFonts w:hint="eastAsia"/>
          <w:szCs w:val="32"/>
        </w:rPr>
        <w:t>进一步加强预算管理</w:t>
      </w:r>
      <w:bookmarkEnd w:id="377"/>
      <w:bookmarkEnd w:id="378"/>
      <w:bookmarkEnd w:id="379"/>
      <w:bookmarkEnd w:id="380"/>
      <w:bookmarkEnd w:id="381"/>
      <w:bookmarkEnd w:id="382"/>
      <w:bookmarkEnd w:id="383"/>
      <w:bookmarkEnd w:id="384"/>
      <w:bookmarkEnd w:id="385"/>
      <w:bookmarkEnd w:id="386"/>
    </w:p>
    <w:p w:rsidR="00A91EDB" w:rsidRDefault="00E31F4D">
      <w:pPr>
        <w:overflowPunct w:val="0"/>
        <w:adjustRightInd w:val="0"/>
        <w:snapToGrid w:val="0"/>
        <w:spacing w:line="580" w:lineRule="exact"/>
        <w:ind w:firstLineChars="200" w:firstLine="640"/>
        <w:rPr>
          <w:rFonts w:ascii="仿宋_GB2312" w:eastAsia="仿宋_GB2312" w:hAnsi="仿宋_GB2312" w:cs="仿宋_GB2312"/>
          <w:bCs/>
          <w:sz w:val="32"/>
          <w:szCs w:val="32"/>
        </w:rPr>
      </w:pPr>
      <w:bookmarkStart w:id="387" w:name="_Toc18391"/>
      <w:bookmarkStart w:id="388" w:name="_Toc3746"/>
      <w:bookmarkStart w:id="389" w:name="_Toc29163"/>
      <w:bookmarkStart w:id="390" w:name="_Toc18617"/>
      <w:bookmarkStart w:id="391" w:name="_Toc31527"/>
      <w:bookmarkStart w:id="392" w:name="_Toc11191"/>
      <w:bookmarkStart w:id="393" w:name="_Toc43021022"/>
      <w:bookmarkStart w:id="394" w:name="_Toc6737"/>
      <w:r>
        <w:rPr>
          <w:rFonts w:ascii="仿宋_GB2312" w:eastAsia="仿宋_GB2312" w:hAnsi="仿宋_GB2312" w:cs="仿宋_GB2312" w:hint="eastAsia"/>
          <w:bCs/>
          <w:sz w:val="32"/>
          <w:szCs w:val="32"/>
        </w:rPr>
        <w:t>一是尽早开展下一年度的宣传工作要点的拟定工作，及时上报领导审核审批审定，做到预算编制有据可依，切合宣传工作要点。二是在要点确定后，第一时间进行预算经费的对照和梳理，确实因要点确定滞后导致的预算存在相对较大的偏离时，及时和财政沟通，履行预算调整申报审批手续。三是进一步提高各业务处室的预算管理意识，实事求是、全</w:t>
      </w:r>
      <w:r>
        <w:rPr>
          <w:rFonts w:ascii="仿宋_GB2312" w:eastAsia="仿宋_GB2312" w:hAnsi="仿宋_GB2312" w:cs="仿宋_GB2312" w:hint="eastAsia"/>
          <w:bCs/>
          <w:spacing w:val="-11"/>
          <w:sz w:val="32"/>
          <w:szCs w:val="32"/>
        </w:rPr>
        <w:t>面细致地进行预算编制，进一步提高预算编制的全面性、精准性。</w:t>
      </w:r>
    </w:p>
    <w:p w:rsidR="00A91EDB" w:rsidRDefault="00E31F4D" w:rsidP="004C22C5">
      <w:pPr>
        <w:pStyle w:val="3"/>
        <w:spacing w:line="580" w:lineRule="exact"/>
        <w:ind w:firstLineChars="200" w:firstLine="643"/>
        <w:rPr>
          <w:szCs w:val="32"/>
        </w:rPr>
      </w:pPr>
      <w:bookmarkStart w:id="395" w:name="_Toc859892179"/>
      <w:bookmarkStart w:id="396" w:name="_Toc1959860041"/>
      <w:r>
        <w:rPr>
          <w:szCs w:val="32"/>
        </w:rPr>
        <w:t>2.</w:t>
      </w:r>
      <w:bookmarkEnd w:id="387"/>
      <w:bookmarkEnd w:id="388"/>
      <w:bookmarkEnd w:id="389"/>
      <w:bookmarkEnd w:id="390"/>
      <w:bookmarkEnd w:id="391"/>
      <w:bookmarkEnd w:id="392"/>
      <w:bookmarkEnd w:id="393"/>
      <w:bookmarkEnd w:id="394"/>
      <w:r>
        <w:rPr>
          <w:rFonts w:hint="eastAsia"/>
          <w:szCs w:val="32"/>
        </w:rPr>
        <w:t>进一步强化绩效管理</w:t>
      </w:r>
      <w:bookmarkEnd w:id="395"/>
      <w:bookmarkEnd w:id="396"/>
    </w:p>
    <w:p w:rsidR="00A91EDB" w:rsidRDefault="00E31F4D">
      <w:pPr>
        <w:overflowPunct w:val="0"/>
        <w:adjustRightInd w:val="0"/>
        <w:snapToGrid w:val="0"/>
        <w:spacing w:line="580" w:lineRule="exact"/>
        <w:ind w:firstLineChars="200" w:firstLine="640"/>
        <w:rPr>
          <w:rFonts w:ascii="仿宋_GB2312" w:eastAsia="仿宋_GB2312" w:hAnsi="仿宋_GB2312" w:cs="仿宋_GB2312"/>
          <w:bCs/>
          <w:sz w:val="32"/>
          <w:szCs w:val="32"/>
        </w:rPr>
      </w:pPr>
      <w:bookmarkStart w:id="397" w:name="_Toc28167"/>
      <w:bookmarkStart w:id="398" w:name="_Toc17529"/>
      <w:bookmarkStart w:id="399" w:name="_Toc13498"/>
      <w:bookmarkStart w:id="400" w:name="_Toc5381"/>
      <w:bookmarkStart w:id="401" w:name="_Toc926"/>
      <w:bookmarkStart w:id="402" w:name="_Toc18083"/>
      <w:bookmarkStart w:id="403" w:name="_Toc43021024"/>
      <w:bookmarkStart w:id="404" w:name="_Toc20864"/>
      <w:r>
        <w:rPr>
          <w:rFonts w:ascii="仿宋_GB2312" w:eastAsia="仿宋_GB2312" w:hAnsi="仿宋_GB2312" w:cs="仿宋_GB2312" w:hint="eastAsia"/>
          <w:bCs/>
          <w:sz w:val="32"/>
          <w:szCs w:val="32"/>
        </w:rPr>
        <w:t>一是强化预算绩效管理理念，将预算绩效理念贯穿预算编制、执行全过程，根据业务性质，科学合理设定项目绩效指标。二是进一步加强预算执行跟踪、督促力度，按季度进行预算执</w:t>
      </w:r>
      <w:r>
        <w:rPr>
          <w:rFonts w:ascii="仿宋_GB2312" w:eastAsia="仿宋_GB2312" w:hAnsi="仿宋_GB2312" w:cs="仿宋_GB2312" w:hint="eastAsia"/>
          <w:bCs/>
          <w:sz w:val="32"/>
          <w:szCs w:val="32"/>
        </w:rPr>
        <w:lastRenderedPageBreak/>
        <w:t>行进度的分析和通报，四季度按月督促各业务处室加快项目工作的开展和资金的投入、支付。三是加强和完善对业务部门的绩效考核，将预算执行和绩效评价结果纳入处室的考核指标，倒逼部门预算执行和绩效评价工作质量和效率的提高。</w:t>
      </w:r>
    </w:p>
    <w:p w:rsidR="00A91EDB" w:rsidRDefault="00E31F4D" w:rsidP="004C22C5">
      <w:pPr>
        <w:pStyle w:val="2"/>
        <w:spacing w:line="580" w:lineRule="exact"/>
        <w:ind w:firstLineChars="200" w:firstLine="643"/>
        <w:rPr>
          <w:rFonts w:ascii="楷体" w:eastAsia="楷体" w:hAnsi="楷体" w:cs="楷体"/>
        </w:rPr>
      </w:pPr>
      <w:bookmarkStart w:id="405" w:name="_Toc2094889745"/>
      <w:bookmarkStart w:id="406" w:name="_Toc216041956"/>
      <w:r>
        <w:rPr>
          <w:rFonts w:ascii="楷体" w:eastAsia="楷体" w:hAnsi="楷体" w:cs="楷体" w:hint="eastAsia"/>
        </w:rPr>
        <w:t>（二）政府性基金预算支出管理方面</w:t>
      </w:r>
      <w:bookmarkEnd w:id="405"/>
      <w:bookmarkEnd w:id="406"/>
    </w:p>
    <w:p w:rsidR="00A91EDB" w:rsidRDefault="00E31F4D" w:rsidP="004C22C5">
      <w:pPr>
        <w:pStyle w:val="3"/>
        <w:spacing w:line="580" w:lineRule="exact"/>
        <w:ind w:firstLineChars="200" w:firstLine="643"/>
        <w:rPr>
          <w:szCs w:val="32"/>
        </w:rPr>
      </w:pPr>
      <w:bookmarkStart w:id="407" w:name="_Toc1463179452"/>
      <w:bookmarkStart w:id="408" w:name="_Toc177675164"/>
      <w:r>
        <w:rPr>
          <w:rFonts w:hint="eastAsia"/>
          <w:szCs w:val="32"/>
        </w:rPr>
        <w:t>1.</w:t>
      </w:r>
      <w:r>
        <w:rPr>
          <w:rFonts w:hint="eastAsia"/>
          <w:szCs w:val="32"/>
        </w:rPr>
        <w:t>加强专资申报工作</w:t>
      </w:r>
      <w:bookmarkEnd w:id="407"/>
      <w:bookmarkEnd w:id="408"/>
    </w:p>
    <w:p w:rsidR="00A91EDB" w:rsidRDefault="00E31F4D">
      <w:pPr>
        <w:pStyle w:val="a0"/>
        <w:spacing w:after="0"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针对专项资金申报和下达滞后问题，将采取以下措施进行改善：一是加强专项资金的申报工作，尽早与财政确定专项资金年度预算，明确年度资金投入范围和方向，尽早组织资金申报。二是预算指标下达后，及时通知各市州和相关电影主管部门，及时协调办理专项资金支付程序，确保专项资金及时到位，提升项目资金的使用时效。</w:t>
      </w:r>
    </w:p>
    <w:p w:rsidR="00A91EDB" w:rsidRDefault="00E31F4D" w:rsidP="004C22C5">
      <w:pPr>
        <w:pStyle w:val="3"/>
        <w:spacing w:line="580" w:lineRule="exact"/>
        <w:ind w:firstLineChars="200" w:firstLine="643"/>
        <w:rPr>
          <w:szCs w:val="32"/>
        </w:rPr>
      </w:pPr>
      <w:bookmarkStart w:id="409" w:name="_Toc1605565117"/>
      <w:bookmarkStart w:id="410" w:name="_Toc477692925"/>
      <w:r>
        <w:rPr>
          <w:rFonts w:hint="eastAsia"/>
          <w:szCs w:val="32"/>
        </w:rPr>
        <w:t>2.</w:t>
      </w:r>
      <w:r>
        <w:rPr>
          <w:rFonts w:hint="eastAsia"/>
          <w:szCs w:val="32"/>
        </w:rPr>
        <w:t>加大乡镇影院建设推进力度</w:t>
      </w:r>
      <w:bookmarkEnd w:id="409"/>
      <w:bookmarkEnd w:id="410"/>
    </w:p>
    <w:p w:rsidR="00A91EDB" w:rsidRDefault="00E31F4D">
      <w:pPr>
        <w:pStyle w:val="a0"/>
        <w:spacing w:after="0" w:line="58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继续要求各市州电影主管部门，加大对乡镇影院建设的推进力度，加快其建设步伐。对在建中的乡镇影院，加大对影院的建设跟踪、督促和整改工作，加大影院加入城市主流电影院线、办理播放密匙、办理电影放映许可证等相关电影放映手续办理力度，全面完善影院的建设工作。</w:t>
      </w:r>
    </w:p>
    <w:p w:rsidR="00A91EDB" w:rsidRDefault="00E31F4D" w:rsidP="004C22C5">
      <w:pPr>
        <w:pStyle w:val="3"/>
        <w:spacing w:line="580" w:lineRule="exact"/>
        <w:ind w:firstLineChars="200" w:firstLine="643"/>
        <w:rPr>
          <w:szCs w:val="32"/>
        </w:rPr>
      </w:pPr>
      <w:bookmarkStart w:id="411" w:name="_Toc802185863"/>
      <w:bookmarkStart w:id="412" w:name="_Toc1257854057"/>
      <w:r>
        <w:rPr>
          <w:rFonts w:hint="eastAsia"/>
          <w:szCs w:val="32"/>
        </w:rPr>
        <w:t>3.</w:t>
      </w:r>
      <w:r>
        <w:rPr>
          <w:rFonts w:hint="eastAsia"/>
          <w:szCs w:val="32"/>
        </w:rPr>
        <w:t>加强政策的引导和宣传</w:t>
      </w:r>
      <w:bookmarkEnd w:id="411"/>
      <w:bookmarkEnd w:id="412"/>
    </w:p>
    <w:p w:rsidR="00A91EDB" w:rsidRDefault="00E31F4D">
      <w:pPr>
        <w:widowControl/>
        <w:spacing w:line="5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方面加强供给端的支持和服务力度。一是加强国家促进电影发展的政策举措宣传，引导和促进企业家加大电影院的投资兴建，优化美化环境，提升服务品质，打造高精尖影院，多发展乡镇影院。二是进一步加大影院先进技术装备改造支持力度，鼓励电影院参与人民院线、艺术院线影片放映。</w:t>
      </w:r>
    </w:p>
    <w:p w:rsidR="00A91EDB" w:rsidRDefault="00E31F4D">
      <w:pPr>
        <w:pStyle w:val="a0"/>
        <w:spacing w:after="0" w:line="5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另一方面加强需求端的引导和宣传力度。一是促进电影消费，开展好“湘观影”“光影铸魂”“光影育人”等活动，推动各市州通过发放文化消费劵、观影优惠券等形式，将观影作为文化惠民活动的重要内容。二是加强电影宣传。做好重要档期电影资讯宣传，电影文化活动等。</w:t>
      </w:r>
    </w:p>
    <w:p w:rsidR="00A91EDB" w:rsidRDefault="00E31F4D" w:rsidP="004C22C5">
      <w:pPr>
        <w:pStyle w:val="2"/>
        <w:spacing w:line="580" w:lineRule="exact"/>
        <w:ind w:firstLineChars="200" w:firstLine="643"/>
        <w:rPr>
          <w:rFonts w:ascii="楷体" w:eastAsia="楷体" w:hAnsi="楷体" w:cs="楷体"/>
        </w:rPr>
      </w:pPr>
      <w:bookmarkStart w:id="413" w:name="_Toc1346876255"/>
      <w:bookmarkStart w:id="414" w:name="_Toc2145512986"/>
      <w:r>
        <w:rPr>
          <w:rFonts w:ascii="楷体" w:eastAsia="楷体" w:hAnsi="楷体" w:cs="楷体" w:hint="eastAsia"/>
        </w:rPr>
        <w:t>（三）国有资本经营预算支出管理方面</w:t>
      </w:r>
      <w:bookmarkStart w:id="415" w:name="_Toc18091"/>
      <w:bookmarkStart w:id="416" w:name="_Toc32336"/>
      <w:bookmarkStart w:id="417" w:name="_Toc4530"/>
      <w:bookmarkStart w:id="418" w:name="_Toc15169"/>
      <w:bookmarkStart w:id="419" w:name="_Toc28523"/>
      <w:bookmarkStart w:id="420" w:name="_Toc11891"/>
      <w:bookmarkStart w:id="421" w:name="_Toc11620"/>
      <w:bookmarkStart w:id="422" w:name="_Toc43021030"/>
      <w:bookmarkEnd w:id="397"/>
      <w:bookmarkEnd w:id="398"/>
      <w:bookmarkEnd w:id="399"/>
      <w:bookmarkEnd w:id="400"/>
      <w:bookmarkEnd w:id="401"/>
      <w:bookmarkEnd w:id="402"/>
      <w:bookmarkEnd w:id="403"/>
      <w:bookmarkEnd w:id="404"/>
      <w:bookmarkEnd w:id="413"/>
      <w:bookmarkEnd w:id="414"/>
    </w:p>
    <w:p w:rsidR="00A91EDB" w:rsidRDefault="00E31F4D" w:rsidP="004C22C5">
      <w:pPr>
        <w:pStyle w:val="3"/>
        <w:spacing w:line="580" w:lineRule="exact"/>
        <w:ind w:firstLineChars="200" w:firstLine="643"/>
        <w:rPr>
          <w:szCs w:val="32"/>
        </w:rPr>
      </w:pPr>
      <w:bookmarkStart w:id="423" w:name="_Toc2038842105"/>
      <w:bookmarkStart w:id="424" w:name="_Toc1747911825"/>
      <w:r>
        <w:rPr>
          <w:rFonts w:hint="eastAsia"/>
          <w:szCs w:val="32"/>
        </w:rPr>
        <w:t>1.</w:t>
      </w:r>
      <w:r>
        <w:rPr>
          <w:rFonts w:hint="eastAsia"/>
          <w:szCs w:val="32"/>
        </w:rPr>
        <w:t>加快项目申报及资金下达</w:t>
      </w:r>
      <w:bookmarkEnd w:id="423"/>
      <w:bookmarkEnd w:id="424"/>
    </w:p>
    <w:p w:rsidR="00A91EDB" w:rsidRDefault="00E31F4D">
      <w:pPr>
        <w:pStyle w:val="a0"/>
        <w:adjustRightInd w:val="0"/>
        <w:snapToGrid w:val="0"/>
        <w:spacing w:after="0" w:line="58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严格按照国有资本经营预算支出要求，尽早启动国有资本经营预算支出项目申报，加快项目的汇总审核、现场考察、项目评审等程序，尽早完成资金下达，使国有资本经营预算资金更快更好地发挥作用。</w:t>
      </w:r>
    </w:p>
    <w:p w:rsidR="00A91EDB" w:rsidRDefault="00E31F4D" w:rsidP="004C22C5">
      <w:pPr>
        <w:pStyle w:val="3"/>
        <w:spacing w:line="580" w:lineRule="exact"/>
        <w:ind w:firstLineChars="200" w:firstLine="643"/>
        <w:rPr>
          <w:szCs w:val="32"/>
        </w:rPr>
      </w:pPr>
      <w:bookmarkStart w:id="425" w:name="_Toc29384"/>
      <w:bookmarkStart w:id="426" w:name="_Toc11456"/>
      <w:bookmarkStart w:id="427" w:name="_Toc6332"/>
      <w:bookmarkStart w:id="428" w:name="_Toc15028"/>
      <w:bookmarkStart w:id="429" w:name="_Toc3503"/>
      <w:bookmarkStart w:id="430" w:name="_Toc27957"/>
      <w:bookmarkStart w:id="431" w:name="_Toc8759"/>
      <w:bookmarkStart w:id="432" w:name="_Toc4459"/>
      <w:bookmarkStart w:id="433" w:name="_Toc1649754590"/>
      <w:bookmarkStart w:id="434" w:name="_Toc11192"/>
      <w:bookmarkStart w:id="435" w:name="_Toc1451547837"/>
      <w:bookmarkStart w:id="436" w:name="_Toc16290"/>
      <w:bookmarkEnd w:id="425"/>
      <w:bookmarkEnd w:id="426"/>
      <w:bookmarkEnd w:id="427"/>
      <w:bookmarkEnd w:id="428"/>
      <w:bookmarkEnd w:id="429"/>
      <w:bookmarkEnd w:id="430"/>
      <w:bookmarkEnd w:id="431"/>
      <w:bookmarkEnd w:id="432"/>
      <w:r>
        <w:rPr>
          <w:rFonts w:hint="eastAsia"/>
          <w:szCs w:val="32"/>
        </w:rPr>
        <w:t>2.</w:t>
      </w:r>
      <w:r>
        <w:rPr>
          <w:rFonts w:hint="eastAsia"/>
          <w:szCs w:val="32"/>
        </w:rPr>
        <w:t>加强项目申报审核审批管理</w:t>
      </w:r>
      <w:bookmarkEnd w:id="433"/>
      <w:bookmarkEnd w:id="434"/>
      <w:bookmarkEnd w:id="435"/>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进一步提升项目申报评审的科学化、规范化水平，切实完善企业项目备选库、评审专家库等各项工作。进一步明确省管文化企业集团审核推荐责任，</w:t>
      </w:r>
      <w:r>
        <w:rPr>
          <w:rFonts w:ascii="仿宋_GB2312" w:eastAsia="仿宋_GB2312" w:hAnsi="仿宋_GB2312" w:cs="仿宋_GB2312" w:hint="eastAsia"/>
          <w:color w:val="000000"/>
          <w:kern w:val="0"/>
          <w:sz w:val="32"/>
          <w:szCs w:val="32"/>
        </w:rPr>
        <w:t>采取实地考察等方式对申报项目进行前置审核，组织专家进行评审并出具评审意见，确保专项资金安全、科学、合理安排。</w:t>
      </w:r>
    </w:p>
    <w:p w:rsidR="00A91EDB" w:rsidRDefault="00E31F4D" w:rsidP="004C22C5">
      <w:pPr>
        <w:pStyle w:val="3"/>
        <w:spacing w:line="580" w:lineRule="exact"/>
        <w:ind w:firstLineChars="200" w:firstLine="643"/>
        <w:rPr>
          <w:szCs w:val="32"/>
        </w:rPr>
      </w:pPr>
      <w:bookmarkStart w:id="437" w:name="_Toc20936"/>
      <w:bookmarkStart w:id="438" w:name="_Toc50714251"/>
      <w:bookmarkStart w:id="439" w:name="_Toc969158196"/>
      <w:r>
        <w:rPr>
          <w:rFonts w:hint="eastAsia"/>
          <w:szCs w:val="32"/>
        </w:rPr>
        <w:t>3.</w:t>
      </w:r>
      <w:r>
        <w:rPr>
          <w:rFonts w:hint="eastAsia"/>
          <w:szCs w:val="32"/>
        </w:rPr>
        <w:t>加强项目资金的后续监管和评价</w:t>
      </w:r>
      <w:bookmarkEnd w:id="437"/>
      <w:bookmarkEnd w:id="438"/>
      <w:bookmarkEnd w:id="439"/>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要求获得项目资金支持的文化企业定期调度、及时上报项目实施进展及资金投入情况，对项目实施进度明显滞后的项目，及时进行预警。强化省管文化企业对项目实施的过程监管，要求集团本部明确负责部门和人员，定期到项目单位进行督查，对项目实施和资金使用定期进行跟踪监督和绩效评价，</w:t>
      </w:r>
      <w:r>
        <w:rPr>
          <w:rFonts w:ascii="仿宋_GB2312" w:eastAsia="仿宋_GB2312" w:hAnsi="仿宋_GB2312" w:cs="仿宋_GB2312" w:hint="eastAsia"/>
          <w:kern w:val="0"/>
          <w:sz w:val="32"/>
          <w:szCs w:val="32"/>
        </w:rPr>
        <w:t>督促项目单位进行整改，完成注册资本金变更。</w:t>
      </w:r>
      <w:r>
        <w:rPr>
          <w:rFonts w:ascii="仿宋_GB2312" w:eastAsia="仿宋_GB2312" w:hAnsi="仿宋_GB2312" w:cs="仿宋_GB2312" w:hint="eastAsia"/>
          <w:sz w:val="32"/>
          <w:szCs w:val="32"/>
        </w:rPr>
        <w:t>确保项目有序实施和</w:t>
      </w:r>
      <w:r>
        <w:rPr>
          <w:rFonts w:ascii="仿宋_GB2312" w:eastAsia="仿宋_GB2312" w:hAnsi="仿宋_GB2312" w:cs="仿宋_GB2312" w:hint="eastAsia"/>
          <w:sz w:val="32"/>
          <w:szCs w:val="32"/>
        </w:rPr>
        <w:lastRenderedPageBreak/>
        <w:t>专项资金使用规范。</w:t>
      </w:r>
      <w:bookmarkStart w:id="440" w:name="_Toc31778"/>
    </w:p>
    <w:p w:rsidR="00A91EDB" w:rsidRDefault="00E31F4D" w:rsidP="004C22C5">
      <w:pPr>
        <w:pStyle w:val="3"/>
        <w:spacing w:line="580" w:lineRule="exact"/>
        <w:ind w:firstLineChars="200" w:firstLine="643"/>
        <w:rPr>
          <w:szCs w:val="32"/>
        </w:rPr>
      </w:pPr>
      <w:bookmarkStart w:id="441" w:name="_Toc519630060"/>
      <w:bookmarkStart w:id="442" w:name="_Toc465902730"/>
      <w:r>
        <w:rPr>
          <w:rFonts w:hint="eastAsia"/>
          <w:szCs w:val="32"/>
        </w:rPr>
        <w:t>4.</w:t>
      </w:r>
      <w:r>
        <w:rPr>
          <w:rFonts w:hint="eastAsia"/>
          <w:szCs w:val="32"/>
        </w:rPr>
        <w:t>加强绩效评价结果的运用</w:t>
      </w:r>
      <w:bookmarkEnd w:id="440"/>
      <w:bookmarkEnd w:id="441"/>
      <w:bookmarkEnd w:id="442"/>
    </w:p>
    <w:p w:rsidR="00A91EDB" w:rsidRDefault="00E31F4D">
      <w:pPr>
        <w:adjustRightInd w:val="0"/>
        <w:snapToGrid w:val="0"/>
        <w:spacing w:line="58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sz w:val="32"/>
          <w:szCs w:val="32"/>
        </w:rPr>
        <w:t>建立项目绩效考评工作结果反馈和运用机制，一是抓好问题反馈整改。及时下发绩效评价结果通报，将评价结果及时反馈到各项目实施单位和项目主管单位，提出明确的整改要求和时限。二是</w:t>
      </w:r>
      <w:r>
        <w:rPr>
          <w:rFonts w:ascii="仿宋_GB2312" w:eastAsia="仿宋_GB2312" w:hAnsi="仿宋_GB2312" w:cs="仿宋_GB2312" w:hint="eastAsia"/>
          <w:kern w:val="1"/>
          <w:sz w:val="32"/>
          <w:szCs w:val="32"/>
        </w:rPr>
        <w:t>落实项目绩效考评工作结果反馈和运用机制，把绩效评价结果作为后续资金安排的重要参考依据，增强资金使用单位的绩效理念，切实强化资金使用管理，不断提高专项资金的使用效益。</w:t>
      </w:r>
      <w:bookmarkEnd w:id="436"/>
      <w:r>
        <w:rPr>
          <w:rFonts w:ascii="仿宋_GB2312" w:eastAsia="仿宋_GB2312" w:hAnsi="仿宋_GB2312" w:cs="仿宋_GB2312" w:hint="eastAsia"/>
          <w:kern w:val="1"/>
          <w:sz w:val="32"/>
          <w:szCs w:val="32"/>
        </w:rPr>
        <w:t xml:space="preserve"> </w:t>
      </w:r>
    </w:p>
    <w:p w:rsidR="00A91EDB" w:rsidRDefault="00E31F4D" w:rsidP="004C22C5">
      <w:pPr>
        <w:pStyle w:val="1"/>
        <w:spacing w:line="580" w:lineRule="exact"/>
        <w:ind w:firstLineChars="200" w:firstLine="643"/>
        <w:rPr>
          <w:rFonts w:ascii="黑体" w:eastAsia="黑体" w:hAnsi="黑体" w:cs="黑体"/>
          <w:sz w:val="32"/>
          <w:szCs w:val="32"/>
        </w:rPr>
      </w:pPr>
      <w:bookmarkStart w:id="443" w:name="_Toc1773347815"/>
      <w:bookmarkStart w:id="444" w:name="_Toc1258256992"/>
      <w:r>
        <w:rPr>
          <w:rFonts w:ascii="黑体" w:eastAsia="黑体" w:hAnsi="黑体" w:cs="黑体" w:hint="eastAsia"/>
          <w:sz w:val="32"/>
          <w:szCs w:val="32"/>
        </w:rPr>
        <w:t>八、绩效自评结果拟应用和公开情况</w:t>
      </w:r>
      <w:bookmarkEnd w:id="415"/>
      <w:bookmarkEnd w:id="416"/>
      <w:bookmarkEnd w:id="417"/>
      <w:bookmarkEnd w:id="418"/>
      <w:bookmarkEnd w:id="419"/>
      <w:bookmarkEnd w:id="420"/>
      <w:bookmarkEnd w:id="421"/>
      <w:bookmarkEnd w:id="422"/>
      <w:bookmarkEnd w:id="443"/>
      <w:bookmarkEnd w:id="444"/>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通知要求，我部将在6月20日前，联系省财政厅相关处室，代为公开本绩效报告，接受社会监督。同时将本次评价中发现的问题及时反馈各业务处室、各项目单位，评价结果作为我部改进预算管理和安排下年度项目资金预算的重要依据。</w:t>
      </w:r>
    </w:p>
    <w:p w:rsidR="00A91EDB" w:rsidRDefault="00A91EDB">
      <w:pPr>
        <w:adjustRightInd w:val="0"/>
        <w:snapToGrid w:val="0"/>
        <w:spacing w:line="580" w:lineRule="exact"/>
        <w:ind w:firstLineChars="200" w:firstLine="640"/>
        <w:rPr>
          <w:rFonts w:ascii="仿宋_GB2312" w:eastAsia="仿宋_GB2312" w:hAnsi="仿宋_GB2312" w:cs="仿宋_GB2312"/>
          <w:sz w:val="32"/>
          <w:szCs w:val="32"/>
        </w:rPr>
      </w:pPr>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bookmarkStart w:id="445" w:name="_Toc1582355387_WPSOffice_Level2"/>
      <w:bookmarkStart w:id="446" w:name="_Toc1786195302_WPSOffice_Level2"/>
      <w:bookmarkStart w:id="447" w:name="_Toc671820800_WPSOffice_Level2"/>
      <w:r>
        <w:rPr>
          <w:rFonts w:ascii="仿宋_GB2312" w:eastAsia="仿宋_GB2312" w:hAnsi="仿宋_GB2312" w:cs="仿宋_GB2312" w:hint="eastAsia"/>
          <w:sz w:val="32"/>
          <w:szCs w:val="32"/>
        </w:rPr>
        <w:t>1.部门整体支出绩效评价基础数据表</w:t>
      </w:r>
      <w:bookmarkEnd w:id="445"/>
      <w:bookmarkEnd w:id="446"/>
      <w:bookmarkEnd w:id="447"/>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bookmarkStart w:id="448" w:name="_Toc1027668879_WPSOffice_Level2"/>
      <w:bookmarkStart w:id="449" w:name="_Toc1949152186_WPSOffice_Level2"/>
      <w:bookmarkStart w:id="450" w:name="_Toc178186135_WPSOffice_Level2"/>
      <w:r>
        <w:rPr>
          <w:rFonts w:ascii="仿宋_GB2312" w:eastAsia="仿宋_GB2312" w:hAnsi="仿宋_GB2312" w:cs="仿宋_GB2312" w:hint="eastAsia"/>
          <w:sz w:val="32"/>
          <w:szCs w:val="32"/>
        </w:rPr>
        <w:t>2.部门整体支出绩效自评表</w:t>
      </w:r>
      <w:bookmarkEnd w:id="448"/>
      <w:bookmarkEnd w:id="449"/>
      <w:bookmarkEnd w:id="450"/>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bookmarkStart w:id="451" w:name="_Toc1012208906_WPSOffice_Level2"/>
      <w:bookmarkStart w:id="452" w:name="_Toc592550199_WPSOffice_Level2"/>
      <w:bookmarkStart w:id="453" w:name="_Toc1873450818_WPSOffice_Level2"/>
      <w:r>
        <w:rPr>
          <w:rFonts w:ascii="仿宋_GB2312" w:eastAsia="仿宋_GB2312" w:hAnsi="仿宋_GB2312" w:cs="仿宋_GB2312" w:hint="eastAsia"/>
          <w:sz w:val="32"/>
          <w:szCs w:val="32"/>
        </w:rPr>
        <w:t>3.项目支出绩效自评表</w:t>
      </w:r>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4.政府性基金预算</w:t>
      </w:r>
      <w:bookmarkEnd w:id="451"/>
      <w:bookmarkEnd w:id="452"/>
      <w:bookmarkEnd w:id="453"/>
      <w:r>
        <w:rPr>
          <w:rFonts w:ascii="仿宋_GB2312" w:eastAsia="仿宋_GB2312" w:hAnsi="仿宋_GB2312" w:cs="仿宋_GB2312" w:hint="eastAsia"/>
          <w:sz w:val="32"/>
          <w:szCs w:val="32"/>
        </w:rPr>
        <w:t>支出情况表</w:t>
      </w:r>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bookmarkStart w:id="454" w:name="_Toc1228983398_WPSOffice_Level2"/>
      <w:bookmarkStart w:id="455" w:name="_Toc460245444_WPSOffice_Level2"/>
      <w:bookmarkStart w:id="456" w:name="_Toc299051499_WPSOffice_Level2"/>
      <w:r>
        <w:rPr>
          <w:rFonts w:ascii="仿宋_GB2312" w:eastAsia="仿宋_GB2312" w:hAnsi="仿宋_GB2312" w:cs="仿宋_GB2312" w:hint="eastAsia"/>
          <w:sz w:val="32"/>
          <w:szCs w:val="32"/>
        </w:rPr>
        <w:t>5.国有资本经营预算支出</w:t>
      </w:r>
      <w:bookmarkStart w:id="457" w:name="_Toc1018058356_WPSOffice_Level2"/>
      <w:bookmarkStart w:id="458" w:name="_Toc919535201_WPSOffice_Level2"/>
      <w:bookmarkStart w:id="459" w:name="_Toc273453701_WPSOffice_Level2"/>
      <w:bookmarkEnd w:id="454"/>
      <w:bookmarkEnd w:id="455"/>
      <w:bookmarkEnd w:id="456"/>
      <w:r>
        <w:rPr>
          <w:rFonts w:ascii="仿宋_GB2312" w:eastAsia="仿宋_GB2312" w:hAnsi="仿宋_GB2312" w:cs="仿宋_GB2312" w:hint="eastAsia"/>
          <w:sz w:val="32"/>
          <w:szCs w:val="32"/>
        </w:rPr>
        <w:t>情况表</w:t>
      </w:r>
    </w:p>
    <w:p w:rsidR="00A91EDB" w:rsidRDefault="00E31F4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bookmarkStart w:id="460" w:name="_Toc745327667_WPSOffice_Level2"/>
      <w:bookmarkStart w:id="461" w:name="_Toc1892723355_WPSOffice_Level2"/>
      <w:bookmarkStart w:id="462" w:name="_Toc1916540974_WPSOffice_Level2"/>
      <w:bookmarkEnd w:id="457"/>
      <w:bookmarkEnd w:id="458"/>
      <w:bookmarkEnd w:id="459"/>
      <w:r>
        <w:rPr>
          <w:rFonts w:ascii="仿宋_GB2312" w:eastAsia="仿宋_GB2312" w:hAnsi="仿宋_GB2312" w:cs="仿宋_GB2312" w:hint="eastAsia"/>
          <w:sz w:val="32"/>
          <w:szCs w:val="32"/>
        </w:rPr>
        <w:t>相关佐证资料</w:t>
      </w:r>
      <w:bookmarkEnd w:id="460"/>
      <w:bookmarkEnd w:id="461"/>
      <w:bookmarkEnd w:id="462"/>
    </w:p>
    <w:p w:rsidR="00A91EDB" w:rsidRDefault="00A91EDB">
      <w:pPr>
        <w:adjustRightInd w:val="0"/>
        <w:snapToGrid w:val="0"/>
        <w:spacing w:line="580" w:lineRule="exact"/>
        <w:ind w:firstLineChars="200" w:firstLine="640"/>
        <w:rPr>
          <w:rFonts w:ascii="仿宋_GB2312" w:eastAsia="仿宋_GB2312" w:hAnsi="仿宋_GB2312" w:cs="仿宋_GB2312"/>
          <w:sz w:val="32"/>
          <w:szCs w:val="32"/>
        </w:rPr>
      </w:pPr>
    </w:p>
    <w:p w:rsidR="00A91EDB" w:rsidRDefault="00E31F4D">
      <w:pPr>
        <w:adjustRightInd w:val="0"/>
        <w:snapToGrid w:val="0"/>
        <w:spacing w:line="580" w:lineRule="exact"/>
        <w:ind w:firstLineChars="1800" w:firstLine="5760"/>
        <w:rPr>
          <w:rFonts w:ascii="仿宋_GB2312" w:eastAsia="仿宋_GB2312" w:hAnsi="仿宋_GB2312" w:cs="仿宋_GB2312"/>
          <w:sz w:val="32"/>
          <w:szCs w:val="32"/>
        </w:rPr>
      </w:pPr>
      <w:r>
        <w:rPr>
          <w:rFonts w:ascii="仿宋_GB2312" w:eastAsia="仿宋_GB2312" w:hAnsi="仿宋_GB2312" w:cs="仿宋_GB2312" w:hint="eastAsia"/>
          <w:sz w:val="32"/>
          <w:szCs w:val="32"/>
        </w:rPr>
        <w:t>中共湖南省委宣传部</w:t>
      </w:r>
    </w:p>
    <w:p w:rsidR="00A91EDB" w:rsidRDefault="00E31F4D">
      <w:pPr>
        <w:overflowPunct w:val="0"/>
        <w:adjustRightInd w:val="0"/>
        <w:snapToGrid w:val="0"/>
        <w:spacing w:line="580" w:lineRule="exact"/>
        <w:ind w:firstLineChars="200" w:firstLine="640"/>
        <w:jc w:val="center"/>
        <w:outlineLvl w:val="0"/>
        <w:rPr>
          <w:rFonts w:ascii="宋体" w:hAnsi="宋体" w:cs="黑体"/>
          <w:color w:val="000000"/>
          <w:kern w:val="0"/>
          <w:sz w:val="32"/>
          <w:szCs w:val="32"/>
        </w:rPr>
      </w:pPr>
      <w:bookmarkStart w:id="463" w:name="_Toc6683"/>
      <w:bookmarkStart w:id="464" w:name="_Toc26823"/>
      <w:bookmarkStart w:id="465" w:name="_Toc648"/>
      <w:bookmarkStart w:id="466" w:name="_Toc21801"/>
      <w:bookmarkStart w:id="467" w:name="_Toc10278"/>
      <w:bookmarkStart w:id="468" w:name="_Toc6"/>
      <w:bookmarkStart w:id="469" w:name="_Toc22861"/>
      <w:r>
        <w:rPr>
          <w:rFonts w:ascii="仿宋_GB2312" w:eastAsia="仿宋_GB2312" w:hAnsi="仿宋_GB2312" w:cs="仿宋_GB2312" w:hint="eastAsia"/>
          <w:sz w:val="32"/>
          <w:szCs w:val="32"/>
        </w:rPr>
        <w:lastRenderedPageBreak/>
        <w:t xml:space="preserve">                                </w:t>
      </w:r>
      <w:bookmarkStart w:id="470" w:name="_Toc13495"/>
      <w:r>
        <w:rPr>
          <w:rFonts w:ascii="仿宋_GB2312" w:eastAsia="仿宋_GB2312" w:hAnsi="仿宋_GB2312" w:cs="仿宋_GB2312" w:hint="eastAsia"/>
          <w:sz w:val="32"/>
          <w:szCs w:val="32"/>
        </w:rPr>
        <w:t xml:space="preserve"> 2022年5月30日</w:t>
      </w:r>
      <w:bookmarkEnd w:id="463"/>
      <w:bookmarkEnd w:id="464"/>
      <w:bookmarkEnd w:id="465"/>
      <w:bookmarkEnd w:id="466"/>
      <w:bookmarkEnd w:id="467"/>
      <w:bookmarkEnd w:id="468"/>
      <w:bookmarkEnd w:id="469"/>
      <w:bookmarkEnd w:id="470"/>
    </w:p>
    <w:sectPr w:rsidR="00A91EDB" w:rsidSect="00A91EDB">
      <w:pgSz w:w="11906" w:h="16838"/>
      <w:pgMar w:top="1418" w:right="1588" w:bottom="1418" w:left="1588"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391" w:rsidRDefault="00A75391" w:rsidP="00A91EDB">
      <w:r>
        <w:separator/>
      </w:r>
    </w:p>
  </w:endnote>
  <w:endnote w:type="continuationSeparator" w:id="0">
    <w:p w:rsidR="00A75391" w:rsidRDefault="00A75391" w:rsidP="00A91E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_GBK">
    <w:altName w:val="微软雅黑"/>
    <w:charset w:val="86"/>
    <w:family w:val="script"/>
    <w:pitch w:val="default"/>
    <w:sig w:usb0="00000000" w:usb1="080E0000" w:usb2="00000000" w:usb3="00000000" w:csb0="00040000" w:csb1="00000000"/>
  </w:font>
  <w:font w:name="楷体_GB2312">
    <w:altName w:val="微软雅黑"/>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汉仪大宋简">
    <w:altName w:val="微软雅黑"/>
    <w:charset w:val="86"/>
    <w:family w:val="modern"/>
    <w:pitch w:val="default"/>
    <w:sig w:usb0="00000000" w:usb1="080E0800" w:usb2="00000002" w:usb3="00000000" w:csb0="00040000" w:csb1="00000000"/>
  </w:font>
  <w:font w:name="CESI楷体-GB2312">
    <w:altName w:val="微软雅黑"/>
    <w:charset w:val="86"/>
    <w:family w:val="auto"/>
    <w:pitch w:val="default"/>
    <w:sig w:usb0="00000000" w:usb1="184F6CF8" w:usb2="00000012"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EDB" w:rsidRDefault="00C13FBD">
    <w:pPr>
      <w:pStyle w:val="a6"/>
    </w:pPr>
    <w:r>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61312;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vF7+8kBAACZAwAADgAAAGRycy9lMm9Eb2MueG1srVPNjtMwEL4j8Q6W&#10;79TZI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NeUOG5x4OefP86//px/fydv&#10;sj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C8Xv7yQEAAJkDAAAOAAAAAAAAAAEAIAAAAB4BAABkcnMvZTJvRG9j&#10;LnhtbFBLBQYAAAAABgAGAFkBAABZBQAAAAA=&#10;" filled="f" stroked="f">
          <v:textbox style="mso-fit-shape-to-text:t" inset="0,0,0,0">
            <w:txbxContent>
              <w:p w:rsidR="00A91EDB" w:rsidRDefault="00C13FBD">
                <w:pPr>
                  <w:pStyle w:val="a6"/>
                </w:pPr>
                <w:r>
                  <w:fldChar w:fldCharType="begin"/>
                </w:r>
                <w:r w:rsidR="00E31F4D">
                  <w:instrText xml:space="preserve"> PAGE  \* MERGEFORMAT </w:instrText>
                </w:r>
                <w:r>
                  <w:fldChar w:fldCharType="separate"/>
                </w:r>
                <w:r w:rsidR="006B56CD">
                  <w:rPr>
                    <w:noProof/>
                  </w:rPr>
                  <w:t>3</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EDB" w:rsidRDefault="00C13FBD">
    <w:pPr>
      <w:pStyle w:val="a6"/>
      <w:jc w:val="center"/>
      <w:rPr>
        <w:rFonts w:ascii="宋体" w:hAnsi="宋体" w:cs="宋体"/>
        <w:sz w:val="24"/>
        <w:szCs w:val="24"/>
      </w:rPr>
    </w:pPr>
    <w:r w:rsidRPr="00C13FBD">
      <w:rPr>
        <w:sz w:val="24"/>
      </w:rPr>
      <w:pict>
        <v:shapetype id="_x0000_t202" coordsize="21600,21600" o:spt="202" path="m,l,21600r21600,l21600,xe">
          <v:stroke joinstyle="miter"/>
          <v:path gradientshapeok="t" o:connecttype="rect"/>
        </v:shapetype>
        <v:shape id="文本框 6" o:spid="_x0000_s4100" type="#_x0000_t202" style="position:absolute;left:0;text-align:left;margin-left:0;margin-top:0;width:2in;height:2in;z-index:251662336;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tUyEMkBAACZAwAADgAAAGRycy9lMm9Eb2MueG1srVPNjtMwEL4j8Q6W&#10;79TZC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W1TIQyQEAAJkDAAAOAAAAAAAAAAEAIAAAAB4BAABkcnMvZTJvRG9j&#10;LnhtbFBLBQYAAAAABgAGAFkBAABZBQAAAAA=&#10;" filled="f" stroked="f">
          <v:textbox style="mso-fit-shape-to-text:t" inset="0,0,0,0">
            <w:txbxContent>
              <w:p w:rsidR="00A91EDB" w:rsidRDefault="00C13FBD">
                <w:pPr>
                  <w:pStyle w:val="a6"/>
                  <w:jc w:val="center"/>
                </w:pPr>
                <w:r>
                  <w:rPr>
                    <w:rFonts w:ascii="宋体" w:hAnsi="宋体" w:cs="宋体" w:hint="eastAsia"/>
                    <w:sz w:val="24"/>
                    <w:szCs w:val="24"/>
                  </w:rPr>
                  <w:fldChar w:fldCharType="begin"/>
                </w:r>
                <w:r w:rsidR="00E31F4D">
                  <w:rPr>
                    <w:rFonts w:ascii="宋体" w:hAnsi="宋体" w:cs="宋体" w:hint="eastAsia"/>
                    <w:sz w:val="24"/>
                    <w:szCs w:val="24"/>
                  </w:rPr>
                  <w:instrText xml:space="preserve"> PAGE   \* MERGEFORMAT </w:instrText>
                </w:r>
                <w:r>
                  <w:rPr>
                    <w:rFonts w:ascii="宋体" w:hAnsi="宋体" w:cs="宋体" w:hint="eastAsia"/>
                    <w:sz w:val="24"/>
                    <w:szCs w:val="24"/>
                  </w:rPr>
                  <w:fldChar w:fldCharType="separate"/>
                </w:r>
                <w:r w:rsidR="006B56CD" w:rsidRPr="006B56CD">
                  <w:rPr>
                    <w:rFonts w:ascii="宋体" w:hAnsi="宋体" w:cs="宋体"/>
                    <w:noProof/>
                    <w:sz w:val="24"/>
                    <w:szCs w:val="24"/>
                    <w:lang w:val="zh-CN"/>
                  </w:rPr>
                  <w:t>16</w:t>
                </w:r>
                <w:r>
                  <w:rPr>
                    <w:rFonts w:ascii="宋体" w:hAnsi="宋体" w:cs="宋体" w:hint="eastAsia"/>
                    <w:sz w:val="24"/>
                    <w:szCs w:val="24"/>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EDB" w:rsidRDefault="00C13FBD">
    <w:pPr>
      <w:pStyle w:val="a6"/>
      <w:framePr w:wrap="around" w:vAnchor="text" w:hAnchor="margin" w:xAlign="center" w:y="1"/>
      <w:rPr>
        <w:rStyle w:val="a8"/>
      </w:rPr>
    </w:pPr>
    <w:r>
      <w:rPr>
        <w:rStyle w:val="a8"/>
      </w:rPr>
      <w:fldChar w:fldCharType="begin"/>
    </w:r>
    <w:r w:rsidR="00E31F4D">
      <w:rPr>
        <w:rStyle w:val="a8"/>
      </w:rPr>
      <w:instrText xml:space="preserve">PAGE  </w:instrText>
    </w:r>
    <w:r>
      <w:rPr>
        <w:rStyle w:val="a8"/>
      </w:rPr>
      <w:fldChar w:fldCharType="end"/>
    </w:r>
  </w:p>
  <w:p w:rsidR="00A91EDB" w:rsidRDefault="00A91EDB">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EDB" w:rsidRDefault="00C13FBD">
    <w:pPr>
      <w:pStyle w:val="a6"/>
    </w:pPr>
    <w:r>
      <w:pict>
        <v:shapetype id="_x0000_t202" coordsize="21600,21600" o:spt="202" path="m,l,21600r21600,l21600,xe">
          <v:stroke joinstyle="miter"/>
          <v:path gradientshapeok="t" o:connecttype="rect"/>
        </v:shapetype>
        <v:shape id="文本框 7" o:spid="_x0000_s4099" type="#_x0000_t202" style="position:absolute;margin-left:0;margin-top:0;width:2in;height:2in;z-index:25166336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rOFJ8kBAACZAwAADgAAAGRycy9lMm9Eb2MueG1srVPNjtMwEL4j8Q6W&#10;79TZSkA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NeUOG5x4OefP86//px/fyd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ms4UnyQEAAJkDAAAOAAAAAAAAAAEAIAAAAB4BAABkcnMvZTJvRG9j&#10;LnhtbFBLBQYAAAAABgAGAFkBAABZBQAAAAA=&#10;" filled="f" stroked="f">
          <v:textbox style="mso-fit-shape-to-text:t" inset="0,0,0,0">
            <w:txbxContent>
              <w:p w:rsidR="00A91EDB" w:rsidRDefault="00C13FBD">
                <w:pPr>
                  <w:pStyle w:val="a6"/>
                  <w:rPr>
                    <w:rFonts w:ascii="宋体" w:hAnsi="宋体" w:cs="宋体"/>
                    <w:sz w:val="24"/>
                    <w:szCs w:val="24"/>
                  </w:rPr>
                </w:pPr>
                <w:r>
                  <w:rPr>
                    <w:rFonts w:ascii="宋体" w:hAnsi="宋体" w:cs="宋体" w:hint="eastAsia"/>
                    <w:sz w:val="24"/>
                    <w:szCs w:val="24"/>
                  </w:rPr>
                  <w:fldChar w:fldCharType="begin"/>
                </w:r>
                <w:r w:rsidR="00E31F4D">
                  <w:rPr>
                    <w:rFonts w:ascii="宋体" w:hAnsi="宋体" w:cs="宋体" w:hint="eastAsia"/>
                    <w:sz w:val="24"/>
                    <w:szCs w:val="24"/>
                  </w:rPr>
                  <w:instrText xml:space="preserve"> PAGE  \* MERGEFORMAT </w:instrText>
                </w:r>
                <w:r>
                  <w:rPr>
                    <w:rFonts w:ascii="宋体" w:hAnsi="宋体" w:cs="宋体" w:hint="eastAsia"/>
                    <w:sz w:val="24"/>
                    <w:szCs w:val="24"/>
                  </w:rPr>
                  <w:fldChar w:fldCharType="separate"/>
                </w:r>
                <w:r w:rsidR="006B56CD">
                  <w:rPr>
                    <w:rFonts w:ascii="宋体" w:hAnsi="宋体" w:cs="宋体"/>
                    <w:noProof/>
                    <w:sz w:val="24"/>
                    <w:szCs w:val="24"/>
                  </w:rPr>
                  <w:t>18</w:t>
                </w:r>
                <w:r>
                  <w:rPr>
                    <w:rFonts w:ascii="宋体" w:hAnsi="宋体" w:cs="宋体" w:hint="eastAsia"/>
                    <w:sz w:val="24"/>
                    <w:szCs w:val="24"/>
                  </w:rPr>
                  <w:fldChar w:fldCharType="end"/>
                </w:r>
              </w:p>
            </w:txbxContent>
          </v:textbox>
          <w10:wrap anchorx="margin"/>
        </v:shape>
      </w:pict>
    </w:r>
    <w:r>
      <w:pict>
        <v:shape id="文本框 3" o:spid="_x0000_s4098"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Pwn/8kBAACZAwAADgAAAGRycy9lMm9Eb2MueG1srVPNjtMwEL4j8Q6W&#10;79Rpk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I6&#10;29MHqLHrIWBfGu78kFunPGAyqx5UtPmNegjW0dzz1Vw5JCLyR+vVel1hSWBtPiAOe/w8REhvpbck&#10;Bw2NeHvFVH56D2lsnVvyNOfvtTGY57VxfyUQM2dY5j5yzFEa9sNEfO/bM+rp8eIb6nDPKTHvHPqa&#10;d2QO4hzs5+AYoj50SG1ZeEG4PSYkUbjlCSPsNBhvrKibtiuvxJ/n0vX4R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Y/Cf/yQEAAJkDAAAOAAAAAAAAAAEAIAAAAB4BAABkcnMvZTJvRG9j&#10;LnhtbFBLBQYAAAAABgAGAFkBAABZBQAAAAA=&#10;" filled="f" stroked="f">
          <v:textbox style="mso-fit-shape-to-text:t" inset="0,0,0,0">
            <w:txbxContent>
              <w:p w:rsidR="00A91EDB" w:rsidRDefault="00A91EDB">
                <w:pPr>
                  <w:pStyle w:val="a6"/>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EDB" w:rsidRDefault="00C13FBD">
    <w:pPr>
      <w:pStyle w:val="a6"/>
    </w:pPr>
    <w:r>
      <w:pict>
        <v:shapetype id="_x0000_t202" coordsize="21600,21600" o:spt="202" path="m,l,21600r21600,l21600,xe">
          <v:stroke joinstyle="miter"/>
          <v:path gradientshapeok="t" o:connecttype="rect"/>
        </v:shapetype>
        <v:shape id="文本框 4" o:spid="_x0000_s4097"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EOzyskBAACZAwAADgAAAGRycy9lMm9Eb2MueG1srVPNjtMwEL4j8Q6W&#10;79Rph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0BUljlsc+OX7t8uPX5efX8nr&#10;3J4+QI1ZDwHz0nDnB1ya2Q/ozKoHFW3+oh6CcWzu+dpcOSQi8qP1ar2uMCQwNl8Qnz0+DxHSW+kt&#10;yUZDI06vNJWf3kMaU+eUXM35e21MmaBxfzkQM3tY5j5yzFYa9sMkaO/bM+rpcfANdbjnlJh3Dvua&#10;d2Q24mzsZ+MYoj50SG1ZeEG4PSYkUbjlCiPsVBgnVtRN25VX4s97yXr8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MQ7PKyQEAAJkDAAAOAAAAAAAAAAEAIAAAAB4BAABkcnMvZTJvRG9j&#10;LnhtbFBLBQYAAAAABgAGAFkBAABZBQAAAAA=&#10;" filled="f" stroked="f">
          <v:textbox style="mso-fit-shape-to-text:t" inset="0,0,0,0">
            <w:txbxContent>
              <w:p w:rsidR="00A91EDB" w:rsidRDefault="00C13FBD">
                <w:pPr>
                  <w:pStyle w:val="a6"/>
                  <w:rPr>
                    <w:rStyle w:val="a8"/>
                    <w:rFonts w:ascii="宋体" w:hAnsi="宋体" w:cs="宋体"/>
                    <w:sz w:val="24"/>
                    <w:szCs w:val="24"/>
                  </w:rPr>
                </w:pPr>
                <w:r>
                  <w:rPr>
                    <w:rStyle w:val="a8"/>
                    <w:rFonts w:ascii="宋体" w:hAnsi="宋体" w:cs="宋体" w:hint="eastAsia"/>
                    <w:sz w:val="24"/>
                    <w:szCs w:val="24"/>
                  </w:rPr>
                  <w:fldChar w:fldCharType="begin"/>
                </w:r>
                <w:r w:rsidR="00E31F4D">
                  <w:rPr>
                    <w:rStyle w:val="a8"/>
                    <w:rFonts w:ascii="宋体" w:hAnsi="宋体" w:cs="宋体" w:hint="eastAsia"/>
                    <w:sz w:val="24"/>
                    <w:szCs w:val="24"/>
                  </w:rPr>
                  <w:instrText xml:space="preserve">PAGE  </w:instrText>
                </w:r>
                <w:r>
                  <w:rPr>
                    <w:rStyle w:val="a8"/>
                    <w:rFonts w:ascii="宋体" w:hAnsi="宋体" w:cs="宋体" w:hint="eastAsia"/>
                    <w:sz w:val="24"/>
                    <w:szCs w:val="24"/>
                  </w:rPr>
                  <w:fldChar w:fldCharType="separate"/>
                </w:r>
                <w:r w:rsidR="006B56CD">
                  <w:rPr>
                    <w:rStyle w:val="a8"/>
                    <w:rFonts w:ascii="宋体" w:hAnsi="宋体" w:cs="宋体"/>
                    <w:noProof/>
                    <w:sz w:val="24"/>
                    <w:szCs w:val="24"/>
                  </w:rPr>
                  <w:t>75</w:t>
                </w:r>
                <w:r>
                  <w:rPr>
                    <w:rStyle w:val="a8"/>
                    <w:rFonts w:ascii="宋体" w:hAnsi="宋体" w:cs="宋体" w:hint="eastAsia"/>
                    <w:sz w:val="24"/>
                    <w:szCs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391" w:rsidRDefault="00A75391" w:rsidP="00A91EDB">
      <w:r>
        <w:separator/>
      </w:r>
    </w:p>
  </w:footnote>
  <w:footnote w:type="continuationSeparator" w:id="0">
    <w:p w:rsidR="00A75391" w:rsidRDefault="00A75391" w:rsidP="00A91E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EDB" w:rsidRDefault="00A91EDB">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12290"/>
    <o:shapelayout v:ext="edit">
      <o:idmap v:ext="edit" data="1,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506F9"/>
    <w:rsid w:val="A08B1D78"/>
    <w:rsid w:val="B4FFECCD"/>
    <w:rsid w:val="B6BE62C8"/>
    <w:rsid w:val="B7FFE5F5"/>
    <w:rsid w:val="BBF79515"/>
    <w:rsid w:val="BDDF6554"/>
    <w:rsid w:val="BEFD6F80"/>
    <w:rsid w:val="BF7667EB"/>
    <w:rsid w:val="BFDBD006"/>
    <w:rsid w:val="BFDFF5FF"/>
    <w:rsid w:val="C52FFCF1"/>
    <w:rsid w:val="CEF77BD4"/>
    <w:rsid w:val="CF3C0F8B"/>
    <w:rsid w:val="CF7EBCE6"/>
    <w:rsid w:val="CFFAB7D2"/>
    <w:rsid w:val="DAF90628"/>
    <w:rsid w:val="DBFC3193"/>
    <w:rsid w:val="DCFE7A6B"/>
    <w:rsid w:val="DD4F269F"/>
    <w:rsid w:val="DD71CD6F"/>
    <w:rsid w:val="DDA97EC1"/>
    <w:rsid w:val="DDF243B9"/>
    <w:rsid w:val="DFBFFD21"/>
    <w:rsid w:val="DFC795A9"/>
    <w:rsid w:val="DFDE7D5F"/>
    <w:rsid w:val="DFFB5CE3"/>
    <w:rsid w:val="DFFFBCFB"/>
    <w:rsid w:val="E2EF4560"/>
    <w:rsid w:val="E7E7F7AE"/>
    <w:rsid w:val="EF30E33C"/>
    <w:rsid w:val="EFC7CABF"/>
    <w:rsid w:val="EFE79128"/>
    <w:rsid w:val="EFED1FD7"/>
    <w:rsid w:val="EFF5233F"/>
    <w:rsid w:val="EFFB1B66"/>
    <w:rsid w:val="EFFFAE9F"/>
    <w:rsid w:val="F27DFBE5"/>
    <w:rsid w:val="F2FFD0F4"/>
    <w:rsid w:val="F6750750"/>
    <w:rsid w:val="F6DF3004"/>
    <w:rsid w:val="F71B911E"/>
    <w:rsid w:val="F9AD89C1"/>
    <w:rsid w:val="FADEBC8F"/>
    <w:rsid w:val="FB7B22A0"/>
    <w:rsid w:val="FB7CDF12"/>
    <w:rsid w:val="FBF7EFED"/>
    <w:rsid w:val="FCFFD7DB"/>
    <w:rsid w:val="FD96B925"/>
    <w:rsid w:val="FDC30EB1"/>
    <w:rsid w:val="FDE7D43A"/>
    <w:rsid w:val="FDF7CE95"/>
    <w:rsid w:val="FE67A45E"/>
    <w:rsid w:val="FEED2135"/>
    <w:rsid w:val="FFFB54D5"/>
    <w:rsid w:val="FFFFD189"/>
    <w:rsid w:val="00013292"/>
    <w:rsid w:val="0002229B"/>
    <w:rsid w:val="000273BD"/>
    <w:rsid w:val="00031D2E"/>
    <w:rsid w:val="000415B7"/>
    <w:rsid w:val="00041E3F"/>
    <w:rsid w:val="000459C6"/>
    <w:rsid w:val="00046D55"/>
    <w:rsid w:val="00055DAA"/>
    <w:rsid w:val="00061F7B"/>
    <w:rsid w:val="000658A3"/>
    <w:rsid w:val="00074155"/>
    <w:rsid w:val="00085A57"/>
    <w:rsid w:val="000A3F69"/>
    <w:rsid w:val="000B1904"/>
    <w:rsid w:val="000B648D"/>
    <w:rsid w:val="00103957"/>
    <w:rsid w:val="00120D90"/>
    <w:rsid w:val="00145734"/>
    <w:rsid w:val="00152C6D"/>
    <w:rsid w:val="00162D39"/>
    <w:rsid w:val="001678BD"/>
    <w:rsid w:val="0017302E"/>
    <w:rsid w:val="00183241"/>
    <w:rsid w:val="0018379F"/>
    <w:rsid w:val="001918C7"/>
    <w:rsid w:val="001A226C"/>
    <w:rsid w:val="001A67DB"/>
    <w:rsid w:val="001C3C29"/>
    <w:rsid w:val="001C675B"/>
    <w:rsid w:val="001D51E5"/>
    <w:rsid w:val="001E080D"/>
    <w:rsid w:val="001E53D0"/>
    <w:rsid w:val="001F0C3B"/>
    <w:rsid w:val="002003A6"/>
    <w:rsid w:val="00202C82"/>
    <w:rsid w:val="00214427"/>
    <w:rsid w:val="00226CB7"/>
    <w:rsid w:val="00235EC3"/>
    <w:rsid w:val="00244CD6"/>
    <w:rsid w:val="00252AEF"/>
    <w:rsid w:val="00261502"/>
    <w:rsid w:val="00264552"/>
    <w:rsid w:val="00264EF9"/>
    <w:rsid w:val="00265724"/>
    <w:rsid w:val="002659CF"/>
    <w:rsid w:val="0027215F"/>
    <w:rsid w:val="0027426B"/>
    <w:rsid w:val="0027448E"/>
    <w:rsid w:val="002A601E"/>
    <w:rsid w:val="002B24DB"/>
    <w:rsid w:val="002D5B65"/>
    <w:rsid w:val="002D76B9"/>
    <w:rsid w:val="002E0A30"/>
    <w:rsid w:val="003130C4"/>
    <w:rsid w:val="00316C4B"/>
    <w:rsid w:val="0032192B"/>
    <w:rsid w:val="003268BD"/>
    <w:rsid w:val="00341404"/>
    <w:rsid w:val="003479BD"/>
    <w:rsid w:val="00355FE8"/>
    <w:rsid w:val="00361BFA"/>
    <w:rsid w:val="00363A36"/>
    <w:rsid w:val="003643B2"/>
    <w:rsid w:val="0037197D"/>
    <w:rsid w:val="00372638"/>
    <w:rsid w:val="003768D5"/>
    <w:rsid w:val="00383A54"/>
    <w:rsid w:val="00394AB4"/>
    <w:rsid w:val="003B1771"/>
    <w:rsid w:val="003C26DE"/>
    <w:rsid w:val="003C47E6"/>
    <w:rsid w:val="003C4FC2"/>
    <w:rsid w:val="003D6C4A"/>
    <w:rsid w:val="003F1295"/>
    <w:rsid w:val="003F2DD6"/>
    <w:rsid w:val="00403E75"/>
    <w:rsid w:val="004052B0"/>
    <w:rsid w:val="00416E61"/>
    <w:rsid w:val="004209EF"/>
    <w:rsid w:val="0042790C"/>
    <w:rsid w:val="00444035"/>
    <w:rsid w:val="004506F9"/>
    <w:rsid w:val="004717A2"/>
    <w:rsid w:val="004739FB"/>
    <w:rsid w:val="00473DF3"/>
    <w:rsid w:val="00485E1A"/>
    <w:rsid w:val="00487911"/>
    <w:rsid w:val="004902AE"/>
    <w:rsid w:val="00491741"/>
    <w:rsid w:val="004B504F"/>
    <w:rsid w:val="004C22C5"/>
    <w:rsid w:val="004D60A4"/>
    <w:rsid w:val="004F3D10"/>
    <w:rsid w:val="00500E5F"/>
    <w:rsid w:val="005122EF"/>
    <w:rsid w:val="0051441A"/>
    <w:rsid w:val="005161D1"/>
    <w:rsid w:val="00517C33"/>
    <w:rsid w:val="00521A70"/>
    <w:rsid w:val="00523644"/>
    <w:rsid w:val="0054069E"/>
    <w:rsid w:val="00544866"/>
    <w:rsid w:val="00554029"/>
    <w:rsid w:val="00574A18"/>
    <w:rsid w:val="005767CC"/>
    <w:rsid w:val="0058258D"/>
    <w:rsid w:val="00590C9D"/>
    <w:rsid w:val="00590D9F"/>
    <w:rsid w:val="00595D26"/>
    <w:rsid w:val="005A48F7"/>
    <w:rsid w:val="005A4D5F"/>
    <w:rsid w:val="005A74E6"/>
    <w:rsid w:val="005B404E"/>
    <w:rsid w:val="005C4B39"/>
    <w:rsid w:val="005D2A22"/>
    <w:rsid w:val="005D4D55"/>
    <w:rsid w:val="005D4E22"/>
    <w:rsid w:val="005E0A98"/>
    <w:rsid w:val="005E2CFB"/>
    <w:rsid w:val="005E7F9A"/>
    <w:rsid w:val="005F2AD7"/>
    <w:rsid w:val="005F3D1C"/>
    <w:rsid w:val="00602D7D"/>
    <w:rsid w:val="0062378F"/>
    <w:rsid w:val="00625D97"/>
    <w:rsid w:val="00631611"/>
    <w:rsid w:val="00641842"/>
    <w:rsid w:val="006476EE"/>
    <w:rsid w:val="00651EEC"/>
    <w:rsid w:val="006656C2"/>
    <w:rsid w:val="00686673"/>
    <w:rsid w:val="00691E8C"/>
    <w:rsid w:val="006A22C4"/>
    <w:rsid w:val="006A271B"/>
    <w:rsid w:val="006A351B"/>
    <w:rsid w:val="006B0422"/>
    <w:rsid w:val="006B56CD"/>
    <w:rsid w:val="006C0CCA"/>
    <w:rsid w:val="006C1B53"/>
    <w:rsid w:val="006C4A61"/>
    <w:rsid w:val="006D4812"/>
    <w:rsid w:val="006D7730"/>
    <w:rsid w:val="006E5284"/>
    <w:rsid w:val="006F3EB5"/>
    <w:rsid w:val="00702E34"/>
    <w:rsid w:val="00702E72"/>
    <w:rsid w:val="00704395"/>
    <w:rsid w:val="00717621"/>
    <w:rsid w:val="00720FF1"/>
    <w:rsid w:val="007218F7"/>
    <w:rsid w:val="00727A53"/>
    <w:rsid w:val="00731DFE"/>
    <w:rsid w:val="00733E13"/>
    <w:rsid w:val="00736B25"/>
    <w:rsid w:val="00751A13"/>
    <w:rsid w:val="0078245F"/>
    <w:rsid w:val="00787B42"/>
    <w:rsid w:val="00792592"/>
    <w:rsid w:val="007A026A"/>
    <w:rsid w:val="007B0218"/>
    <w:rsid w:val="007C4539"/>
    <w:rsid w:val="007D67AD"/>
    <w:rsid w:val="007E0240"/>
    <w:rsid w:val="007E6DD2"/>
    <w:rsid w:val="007F3657"/>
    <w:rsid w:val="00810377"/>
    <w:rsid w:val="00811BD3"/>
    <w:rsid w:val="00812ED5"/>
    <w:rsid w:val="00813E60"/>
    <w:rsid w:val="00814AEC"/>
    <w:rsid w:val="0081767D"/>
    <w:rsid w:val="008202D5"/>
    <w:rsid w:val="008277D9"/>
    <w:rsid w:val="0084478C"/>
    <w:rsid w:val="00853A30"/>
    <w:rsid w:val="0086638C"/>
    <w:rsid w:val="008818D8"/>
    <w:rsid w:val="008A2AED"/>
    <w:rsid w:val="008A3E8D"/>
    <w:rsid w:val="008A6AE2"/>
    <w:rsid w:val="008C3311"/>
    <w:rsid w:val="008C67EA"/>
    <w:rsid w:val="008C7A67"/>
    <w:rsid w:val="008E207D"/>
    <w:rsid w:val="008F4122"/>
    <w:rsid w:val="008F5CEC"/>
    <w:rsid w:val="009072C3"/>
    <w:rsid w:val="00914697"/>
    <w:rsid w:val="00917A55"/>
    <w:rsid w:val="009237C4"/>
    <w:rsid w:val="00944C48"/>
    <w:rsid w:val="00950252"/>
    <w:rsid w:val="00950D6C"/>
    <w:rsid w:val="009660D0"/>
    <w:rsid w:val="00967F5D"/>
    <w:rsid w:val="009A0F95"/>
    <w:rsid w:val="009A50E2"/>
    <w:rsid w:val="009B3ADF"/>
    <w:rsid w:val="009C3B52"/>
    <w:rsid w:val="009C61CD"/>
    <w:rsid w:val="009E24AA"/>
    <w:rsid w:val="009E6817"/>
    <w:rsid w:val="009E6E9A"/>
    <w:rsid w:val="00A01D2B"/>
    <w:rsid w:val="00A1117A"/>
    <w:rsid w:val="00A117ED"/>
    <w:rsid w:val="00A1627D"/>
    <w:rsid w:val="00A21D4F"/>
    <w:rsid w:val="00A22D93"/>
    <w:rsid w:val="00A36A75"/>
    <w:rsid w:val="00A42218"/>
    <w:rsid w:val="00A661FA"/>
    <w:rsid w:val="00A70249"/>
    <w:rsid w:val="00A70B02"/>
    <w:rsid w:val="00A71D9F"/>
    <w:rsid w:val="00A74041"/>
    <w:rsid w:val="00A75391"/>
    <w:rsid w:val="00A80A01"/>
    <w:rsid w:val="00A84447"/>
    <w:rsid w:val="00A91EDB"/>
    <w:rsid w:val="00A92E9F"/>
    <w:rsid w:val="00A94FEB"/>
    <w:rsid w:val="00AD44DF"/>
    <w:rsid w:val="00AD5816"/>
    <w:rsid w:val="00B00C43"/>
    <w:rsid w:val="00B04CC9"/>
    <w:rsid w:val="00B205F4"/>
    <w:rsid w:val="00B33BEA"/>
    <w:rsid w:val="00B57C9F"/>
    <w:rsid w:val="00B63572"/>
    <w:rsid w:val="00B638B9"/>
    <w:rsid w:val="00B72C31"/>
    <w:rsid w:val="00B76D29"/>
    <w:rsid w:val="00B845B3"/>
    <w:rsid w:val="00B85D8B"/>
    <w:rsid w:val="00BA0474"/>
    <w:rsid w:val="00BA3723"/>
    <w:rsid w:val="00BB0C04"/>
    <w:rsid w:val="00BB2135"/>
    <w:rsid w:val="00BB4208"/>
    <w:rsid w:val="00BB4A40"/>
    <w:rsid w:val="00BB7FE6"/>
    <w:rsid w:val="00BC73E3"/>
    <w:rsid w:val="00BD6C3E"/>
    <w:rsid w:val="00BE3674"/>
    <w:rsid w:val="00BE6455"/>
    <w:rsid w:val="00C043CA"/>
    <w:rsid w:val="00C10681"/>
    <w:rsid w:val="00C13FBD"/>
    <w:rsid w:val="00C17104"/>
    <w:rsid w:val="00C22AAA"/>
    <w:rsid w:val="00C3049A"/>
    <w:rsid w:val="00C31B1E"/>
    <w:rsid w:val="00C73B17"/>
    <w:rsid w:val="00C75030"/>
    <w:rsid w:val="00C77645"/>
    <w:rsid w:val="00C77BC9"/>
    <w:rsid w:val="00CA6BB0"/>
    <w:rsid w:val="00CB2550"/>
    <w:rsid w:val="00CB6767"/>
    <w:rsid w:val="00CC70B0"/>
    <w:rsid w:val="00CE04C3"/>
    <w:rsid w:val="00CE76A0"/>
    <w:rsid w:val="00CF5FC7"/>
    <w:rsid w:val="00D015AB"/>
    <w:rsid w:val="00D0345F"/>
    <w:rsid w:val="00D148C6"/>
    <w:rsid w:val="00D17A8A"/>
    <w:rsid w:val="00D415BA"/>
    <w:rsid w:val="00D57A75"/>
    <w:rsid w:val="00D644EE"/>
    <w:rsid w:val="00D959F9"/>
    <w:rsid w:val="00DA0031"/>
    <w:rsid w:val="00DD06FF"/>
    <w:rsid w:val="00DD5FE9"/>
    <w:rsid w:val="00DF22B2"/>
    <w:rsid w:val="00E00C7A"/>
    <w:rsid w:val="00E020E1"/>
    <w:rsid w:val="00E149B3"/>
    <w:rsid w:val="00E31F4D"/>
    <w:rsid w:val="00E37D6C"/>
    <w:rsid w:val="00E46F48"/>
    <w:rsid w:val="00E501F7"/>
    <w:rsid w:val="00E55B68"/>
    <w:rsid w:val="00E67BE6"/>
    <w:rsid w:val="00E71B6A"/>
    <w:rsid w:val="00E72DEF"/>
    <w:rsid w:val="00E75BC9"/>
    <w:rsid w:val="00E76ACB"/>
    <w:rsid w:val="00E8683C"/>
    <w:rsid w:val="00EA2B72"/>
    <w:rsid w:val="00EA5A4D"/>
    <w:rsid w:val="00EA66F6"/>
    <w:rsid w:val="00EB0302"/>
    <w:rsid w:val="00EE4F1D"/>
    <w:rsid w:val="00F00B50"/>
    <w:rsid w:val="00F41706"/>
    <w:rsid w:val="00F41E7D"/>
    <w:rsid w:val="00F42258"/>
    <w:rsid w:val="00F67128"/>
    <w:rsid w:val="00F74360"/>
    <w:rsid w:val="00F80F6C"/>
    <w:rsid w:val="00FB462F"/>
    <w:rsid w:val="00FB79AF"/>
    <w:rsid w:val="00FE16FA"/>
    <w:rsid w:val="00FE328A"/>
    <w:rsid w:val="00FE6269"/>
    <w:rsid w:val="00FF0A04"/>
    <w:rsid w:val="00FF5CD6"/>
    <w:rsid w:val="137B1AD4"/>
    <w:rsid w:val="18FEE8E6"/>
    <w:rsid w:val="19D474D9"/>
    <w:rsid w:val="1BCFC868"/>
    <w:rsid w:val="23E019F0"/>
    <w:rsid w:val="277BFB08"/>
    <w:rsid w:val="2EF7EB0D"/>
    <w:rsid w:val="2FFCECA9"/>
    <w:rsid w:val="32100E53"/>
    <w:rsid w:val="37F6B733"/>
    <w:rsid w:val="37F7371B"/>
    <w:rsid w:val="37FF2F88"/>
    <w:rsid w:val="39F6560D"/>
    <w:rsid w:val="3A56125D"/>
    <w:rsid w:val="3B17B76E"/>
    <w:rsid w:val="3DDFD831"/>
    <w:rsid w:val="45FB2FEC"/>
    <w:rsid w:val="46FAF6EB"/>
    <w:rsid w:val="4E214559"/>
    <w:rsid w:val="4FB7D2B4"/>
    <w:rsid w:val="539F7252"/>
    <w:rsid w:val="57B75A16"/>
    <w:rsid w:val="5DFC7D53"/>
    <w:rsid w:val="5EB50F18"/>
    <w:rsid w:val="5F541FF5"/>
    <w:rsid w:val="5FF7CA51"/>
    <w:rsid w:val="63BD86D3"/>
    <w:rsid w:val="67D78EF8"/>
    <w:rsid w:val="69F9B1B7"/>
    <w:rsid w:val="6F79CA9E"/>
    <w:rsid w:val="6FBFEC58"/>
    <w:rsid w:val="6FF15505"/>
    <w:rsid w:val="6FFF1BE2"/>
    <w:rsid w:val="73FF8E2B"/>
    <w:rsid w:val="754E067C"/>
    <w:rsid w:val="777C6EBB"/>
    <w:rsid w:val="77BE5CA0"/>
    <w:rsid w:val="79EA9D51"/>
    <w:rsid w:val="7A7F7661"/>
    <w:rsid w:val="7B5D99E6"/>
    <w:rsid w:val="7BE7CE9C"/>
    <w:rsid w:val="7BEF2633"/>
    <w:rsid w:val="7CFDF689"/>
    <w:rsid w:val="7D7EBAB9"/>
    <w:rsid w:val="7DB2FD0E"/>
    <w:rsid w:val="7E0E4019"/>
    <w:rsid w:val="7E4FD8C0"/>
    <w:rsid w:val="7EF3F2E8"/>
    <w:rsid w:val="7F77938A"/>
    <w:rsid w:val="7FCBFB4E"/>
    <w:rsid w:val="7FD36529"/>
    <w:rsid w:val="7FEF9170"/>
    <w:rsid w:val="7FFB62E1"/>
    <w:rsid w:val="7FFE3C36"/>
    <w:rsid w:val="7FFF93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nhideWhenUsed="0" w:qFormat="1"/>
    <w:lsdException w:name="toc 2" w:semiHidden="0" w:unhideWhenUsed="0" w:qFormat="1"/>
    <w:lsdException w:name="toc 3" w:semiHidden="0" w:unhideWhenUsed="0" w:qFormat="1"/>
    <w:lsdException w:name="toc 4" w:uiPriority="39"/>
    <w:lsdException w:name="toc 5" w:semiHidden="0" w:uiPriority="39" w:qFormat="1"/>
    <w:lsdException w:name="toc 6" w:uiPriority="39"/>
    <w:lsdException w:name="toc 7" w:uiPriority="39"/>
    <w:lsdException w:name="toc 8" w:uiPriority="39"/>
    <w:lsdException w:name="toc 9" w:uiPriority="39"/>
    <w:lsdException w:name="annotation text" w:semiHidden="0" w:unhideWhenUsed="0" w:qFormat="1"/>
    <w:lsdException w:name="header" w:semiHidden="0" w:qFormat="1"/>
    <w:lsdException w:name="footer" w:semiHidden="0" w:qFormat="1"/>
    <w:lsdException w:name="caption" w:uiPriority="35" w:qFormat="1"/>
    <w:lsdException w:name="page number" w:semiHidden="0" w:unhideWhenUsed="0" w:qFormat="1"/>
    <w:lsdException w:name="Title" w:semiHidden="0" w:uiPriority="10" w:unhideWhenUsed="0" w:qFormat="1"/>
    <w:lsdException w:name="Default Paragraph Font" w:semiHidden="0" w:uiPriority="1"/>
    <w:lsdException w:name="Body Text" w:semiHidden="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91EDB"/>
    <w:pPr>
      <w:widowControl w:val="0"/>
      <w:jc w:val="both"/>
    </w:pPr>
    <w:rPr>
      <w:kern w:val="2"/>
      <w:sz w:val="21"/>
      <w:szCs w:val="22"/>
    </w:rPr>
  </w:style>
  <w:style w:type="paragraph" w:styleId="1">
    <w:name w:val="heading 1"/>
    <w:basedOn w:val="a"/>
    <w:next w:val="a"/>
    <w:link w:val="1Char"/>
    <w:uiPriority w:val="99"/>
    <w:qFormat/>
    <w:rsid w:val="00A91EDB"/>
    <w:pPr>
      <w:keepNext/>
      <w:keepLines/>
      <w:spacing w:line="576" w:lineRule="auto"/>
      <w:outlineLvl w:val="0"/>
    </w:pPr>
    <w:rPr>
      <w:b/>
      <w:bCs/>
      <w:kern w:val="44"/>
      <w:sz w:val="44"/>
      <w:szCs w:val="44"/>
    </w:rPr>
  </w:style>
  <w:style w:type="paragraph" w:styleId="2">
    <w:name w:val="heading 2"/>
    <w:basedOn w:val="a"/>
    <w:next w:val="a"/>
    <w:link w:val="2Char"/>
    <w:uiPriority w:val="99"/>
    <w:qFormat/>
    <w:rsid w:val="00A91EDB"/>
    <w:pPr>
      <w:keepNext/>
      <w:keepLines/>
      <w:spacing w:line="413" w:lineRule="auto"/>
      <w:outlineLvl w:val="1"/>
    </w:pPr>
    <w:rPr>
      <w:rFonts w:ascii="Cambria" w:hAnsi="Cambria"/>
      <w:b/>
      <w:bCs/>
      <w:kern w:val="0"/>
      <w:sz w:val="32"/>
      <w:szCs w:val="32"/>
    </w:rPr>
  </w:style>
  <w:style w:type="paragraph" w:styleId="3">
    <w:name w:val="heading 3"/>
    <w:basedOn w:val="a"/>
    <w:next w:val="a"/>
    <w:link w:val="3Char"/>
    <w:uiPriority w:val="99"/>
    <w:qFormat/>
    <w:rsid w:val="00A91EDB"/>
    <w:pPr>
      <w:keepNext/>
      <w:keepLines/>
      <w:spacing w:line="413" w:lineRule="auto"/>
      <w:outlineLvl w:val="2"/>
    </w:pPr>
    <w:rPr>
      <w:b/>
      <w:kern w:val="0"/>
      <w:sz w:val="32"/>
      <w:szCs w:val="20"/>
    </w:rPr>
  </w:style>
  <w:style w:type="paragraph" w:styleId="4">
    <w:name w:val="heading 4"/>
    <w:basedOn w:val="a"/>
    <w:next w:val="a"/>
    <w:link w:val="4Char"/>
    <w:uiPriority w:val="99"/>
    <w:qFormat/>
    <w:rsid w:val="00A91EDB"/>
    <w:pPr>
      <w:keepNext/>
      <w:keepLines/>
      <w:spacing w:line="372" w:lineRule="auto"/>
      <w:outlineLvl w:val="3"/>
    </w:pPr>
    <w:rPr>
      <w:rFonts w:ascii="Cambria" w:hAnsi="Cambria"/>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5"/>
    <w:link w:val="Char"/>
    <w:uiPriority w:val="99"/>
    <w:qFormat/>
    <w:rsid w:val="00A91EDB"/>
    <w:pPr>
      <w:spacing w:after="120"/>
    </w:pPr>
    <w:rPr>
      <w:szCs w:val="24"/>
    </w:rPr>
  </w:style>
  <w:style w:type="paragraph" w:styleId="5">
    <w:name w:val="toc 5"/>
    <w:basedOn w:val="a"/>
    <w:next w:val="a"/>
    <w:uiPriority w:val="39"/>
    <w:unhideWhenUsed/>
    <w:qFormat/>
    <w:rsid w:val="00A91EDB"/>
    <w:pPr>
      <w:ind w:leftChars="800" w:left="1680"/>
    </w:pPr>
  </w:style>
  <w:style w:type="paragraph" w:styleId="a4">
    <w:name w:val="annotation text"/>
    <w:basedOn w:val="a"/>
    <w:link w:val="Char0"/>
    <w:uiPriority w:val="99"/>
    <w:qFormat/>
    <w:rsid w:val="00A91EDB"/>
    <w:pPr>
      <w:jc w:val="left"/>
    </w:pPr>
    <w:rPr>
      <w:kern w:val="0"/>
      <w:sz w:val="20"/>
      <w:szCs w:val="24"/>
    </w:rPr>
  </w:style>
  <w:style w:type="paragraph" w:styleId="30">
    <w:name w:val="toc 3"/>
    <w:basedOn w:val="a"/>
    <w:next w:val="a"/>
    <w:uiPriority w:val="99"/>
    <w:qFormat/>
    <w:rsid w:val="00A91EDB"/>
    <w:pPr>
      <w:ind w:leftChars="400" w:left="840"/>
    </w:pPr>
    <w:rPr>
      <w:szCs w:val="24"/>
    </w:rPr>
  </w:style>
  <w:style w:type="paragraph" w:styleId="a5">
    <w:name w:val="Balloon Text"/>
    <w:basedOn w:val="a"/>
    <w:link w:val="Char1"/>
    <w:uiPriority w:val="99"/>
    <w:unhideWhenUsed/>
    <w:rsid w:val="00A91EDB"/>
    <w:rPr>
      <w:sz w:val="18"/>
      <w:szCs w:val="18"/>
    </w:rPr>
  </w:style>
  <w:style w:type="paragraph" w:styleId="a6">
    <w:name w:val="footer"/>
    <w:basedOn w:val="a"/>
    <w:link w:val="Char2"/>
    <w:uiPriority w:val="99"/>
    <w:unhideWhenUsed/>
    <w:qFormat/>
    <w:rsid w:val="00A91EDB"/>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A91EDB"/>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rsid w:val="00A91EDB"/>
    <w:rPr>
      <w:szCs w:val="24"/>
    </w:rPr>
  </w:style>
  <w:style w:type="paragraph" w:styleId="20">
    <w:name w:val="toc 2"/>
    <w:basedOn w:val="a"/>
    <w:next w:val="a"/>
    <w:uiPriority w:val="99"/>
    <w:qFormat/>
    <w:rsid w:val="00A91EDB"/>
    <w:pPr>
      <w:ind w:leftChars="200" w:left="420"/>
    </w:pPr>
    <w:rPr>
      <w:szCs w:val="24"/>
    </w:rPr>
  </w:style>
  <w:style w:type="character" w:styleId="a8">
    <w:name w:val="page number"/>
    <w:basedOn w:val="a1"/>
    <w:uiPriority w:val="99"/>
    <w:qFormat/>
    <w:rsid w:val="00A91EDB"/>
    <w:rPr>
      <w:rFonts w:cs="Times New Roman"/>
    </w:rPr>
  </w:style>
  <w:style w:type="character" w:styleId="a9">
    <w:name w:val="Emphasis"/>
    <w:basedOn w:val="a1"/>
    <w:uiPriority w:val="20"/>
    <w:qFormat/>
    <w:rsid w:val="00A91EDB"/>
    <w:rPr>
      <w:i/>
    </w:rPr>
  </w:style>
  <w:style w:type="character" w:styleId="aa">
    <w:name w:val="Hyperlink"/>
    <w:basedOn w:val="a1"/>
    <w:uiPriority w:val="99"/>
    <w:qFormat/>
    <w:rsid w:val="00A91EDB"/>
    <w:rPr>
      <w:rFonts w:cs="Times New Roman"/>
      <w:color w:val="0563C1"/>
      <w:u w:val="single"/>
    </w:rPr>
  </w:style>
  <w:style w:type="character" w:customStyle="1" w:styleId="Char">
    <w:name w:val="正文文本 Char"/>
    <w:basedOn w:val="a1"/>
    <w:link w:val="a0"/>
    <w:uiPriority w:val="99"/>
    <w:qFormat/>
    <w:rsid w:val="00A91EDB"/>
    <w:rPr>
      <w:rFonts w:ascii="Times New Roman" w:hAnsi="Times New Roman"/>
      <w:kern w:val="2"/>
      <w:sz w:val="21"/>
      <w:szCs w:val="24"/>
    </w:rPr>
  </w:style>
  <w:style w:type="character" w:customStyle="1" w:styleId="1Char">
    <w:name w:val="标题 1 Char"/>
    <w:basedOn w:val="a1"/>
    <w:link w:val="1"/>
    <w:uiPriority w:val="99"/>
    <w:qFormat/>
    <w:rsid w:val="00A91EDB"/>
    <w:rPr>
      <w:rFonts w:ascii="Times New Roman" w:hAnsi="Times New Roman"/>
      <w:b/>
      <w:bCs/>
      <w:kern w:val="44"/>
      <w:sz w:val="44"/>
      <w:szCs w:val="44"/>
    </w:rPr>
  </w:style>
  <w:style w:type="character" w:customStyle="1" w:styleId="2Char">
    <w:name w:val="标题 2 Char"/>
    <w:basedOn w:val="a1"/>
    <w:link w:val="2"/>
    <w:uiPriority w:val="99"/>
    <w:qFormat/>
    <w:rsid w:val="00A91EDB"/>
    <w:rPr>
      <w:rFonts w:ascii="Cambria" w:hAnsi="Cambria"/>
      <w:b/>
      <w:bCs/>
      <w:sz w:val="32"/>
      <w:szCs w:val="32"/>
    </w:rPr>
  </w:style>
  <w:style w:type="character" w:customStyle="1" w:styleId="3Char">
    <w:name w:val="标题 3 Char"/>
    <w:basedOn w:val="a1"/>
    <w:link w:val="3"/>
    <w:uiPriority w:val="99"/>
    <w:qFormat/>
    <w:rsid w:val="00A91EDB"/>
    <w:rPr>
      <w:rFonts w:ascii="Times New Roman" w:hAnsi="Times New Roman"/>
      <w:b/>
      <w:sz w:val="32"/>
    </w:rPr>
  </w:style>
  <w:style w:type="character" w:customStyle="1" w:styleId="4Char">
    <w:name w:val="标题 4 Char"/>
    <w:basedOn w:val="a1"/>
    <w:link w:val="4"/>
    <w:uiPriority w:val="99"/>
    <w:qFormat/>
    <w:rsid w:val="00A91EDB"/>
    <w:rPr>
      <w:rFonts w:ascii="Cambria" w:hAnsi="Cambria"/>
      <w:b/>
      <w:bCs/>
      <w:sz w:val="28"/>
      <w:szCs w:val="28"/>
    </w:rPr>
  </w:style>
  <w:style w:type="character" w:customStyle="1" w:styleId="Char0">
    <w:name w:val="批注文字 Char"/>
    <w:basedOn w:val="a1"/>
    <w:link w:val="a4"/>
    <w:uiPriority w:val="99"/>
    <w:qFormat/>
    <w:rsid w:val="00A91EDB"/>
    <w:rPr>
      <w:rFonts w:ascii="Times New Roman" w:hAnsi="Times New Roman"/>
      <w:szCs w:val="24"/>
    </w:rPr>
  </w:style>
  <w:style w:type="character" w:customStyle="1" w:styleId="Char1">
    <w:name w:val="批注框文本 Char"/>
    <w:basedOn w:val="a1"/>
    <w:link w:val="a5"/>
    <w:uiPriority w:val="99"/>
    <w:semiHidden/>
    <w:rsid w:val="00A91EDB"/>
    <w:rPr>
      <w:sz w:val="18"/>
      <w:szCs w:val="18"/>
    </w:rPr>
  </w:style>
  <w:style w:type="character" w:customStyle="1" w:styleId="Char2">
    <w:name w:val="页脚 Char"/>
    <w:basedOn w:val="a1"/>
    <w:link w:val="a6"/>
    <w:uiPriority w:val="99"/>
    <w:qFormat/>
    <w:rsid w:val="00A91EDB"/>
    <w:rPr>
      <w:sz w:val="18"/>
      <w:szCs w:val="18"/>
    </w:rPr>
  </w:style>
  <w:style w:type="character" w:customStyle="1" w:styleId="Char3">
    <w:name w:val="页眉 Char"/>
    <w:basedOn w:val="a1"/>
    <w:link w:val="a7"/>
    <w:uiPriority w:val="99"/>
    <w:qFormat/>
    <w:rsid w:val="00A91EDB"/>
    <w:rPr>
      <w:sz w:val="18"/>
      <w:szCs w:val="18"/>
    </w:rPr>
  </w:style>
  <w:style w:type="paragraph" w:customStyle="1" w:styleId="Default">
    <w:name w:val="Default"/>
    <w:rsid w:val="00A91EDB"/>
    <w:pPr>
      <w:widowControl w:val="0"/>
      <w:autoSpaceDE w:val="0"/>
      <w:autoSpaceDN w:val="0"/>
      <w:adjustRightInd w:val="0"/>
    </w:pPr>
    <w:rPr>
      <w:rFonts w:ascii="黑体" w:eastAsia="黑体" w:cs="黑体"/>
      <w:color w:val="000000"/>
      <w:sz w:val="24"/>
      <w:szCs w:val="24"/>
    </w:rPr>
  </w:style>
  <w:style w:type="paragraph" w:styleId="ab">
    <w:name w:val="List Paragraph"/>
    <w:basedOn w:val="a"/>
    <w:uiPriority w:val="34"/>
    <w:qFormat/>
    <w:rsid w:val="00A91EDB"/>
    <w:pPr>
      <w:ind w:firstLineChars="200" w:firstLine="420"/>
    </w:pPr>
  </w:style>
  <w:style w:type="paragraph" w:customStyle="1" w:styleId="21">
    <w:name w:val="样式2"/>
    <w:basedOn w:val="10"/>
    <w:uiPriority w:val="99"/>
    <w:qFormat/>
    <w:rsid w:val="00A91EDB"/>
    <w:rPr>
      <w:sz w:val="30"/>
      <w:szCs w:val="30"/>
    </w:rPr>
  </w:style>
  <w:style w:type="paragraph" w:customStyle="1" w:styleId="WPSOffice1">
    <w:name w:val="WPSOffice手动目录 1"/>
    <w:uiPriority w:val="99"/>
    <w:qFormat/>
    <w:rsid w:val="00A91EDB"/>
  </w:style>
  <w:style w:type="paragraph" w:customStyle="1" w:styleId="WPSOffice2">
    <w:name w:val="WPSOffice手动目录 2"/>
    <w:uiPriority w:val="99"/>
    <w:qFormat/>
    <w:rsid w:val="00A91EDB"/>
    <w:pPr>
      <w:ind w:leftChars="200" w:left="200"/>
    </w:pPr>
  </w:style>
  <w:style w:type="paragraph" w:customStyle="1" w:styleId="WPSOffice3">
    <w:name w:val="WPSOffice手动目录 3"/>
    <w:uiPriority w:val="99"/>
    <w:qFormat/>
    <w:rsid w:val="00A91EDB"/>
    <w:pPr>
      <w:ind w:leftChars="400" w:left="400"/>
    </w:pPr>
  </w:style>
  <w:style w:type="character" w:customStyle="1" w:styleId="font11">
    <w:name w:val="font11"/>
    <w:basedOn w:val="a1"/>
    <w:qFormat/>
    <w:rsid w:val="00A91EDB"/>
    <w:rPr>
      <w:rFonts w:ascii="仿宋_GB2312" w:eastAsia="仿宋_GB2312" w:cs="仿宋_GB2312" w:hint="eastAsia"/>
      <w:b/>
      <w:bCs/>
      <w:color w:val="000000"/>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78</Pages>
  <Words>6533</Words>
  <Characters>37239</Characters>
  <Application>Microsoft Office Word</Application>
  <DocSecurity>0</DocSecurity>
  <Lines>310</Lines>
  <Paragraphs>87</Paragraphs>
  <ScaleCrop>false</ScaleCrop>
  <Company/>
  <LinksUpToDate>false</LinksUpToDate>
  <CharactersWithSpaces>43685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Administrator</cp:lastModifiedBy>
  <cp:revision>12</cp:revision>
  <cp:lastPrinted>2022-09-01T11:27:00Z</cp:lastPrinted>
  <dcterms:created xsi:type="dcterms:W3CDTF">2021-08-16T03:09:00Z</dcterms:created>
  <dcterms:modified xsi:type="dcterms:W3CDTF">2023-09-26T07:45:00Z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21E5C956370649C9960C1313A04AADD4</vt:lpwstr>
  </property>
</Properties>
</file>