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3" w:line="180" w:lineRule="auto"/>
        <w:ind w:firstLine="104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pacing w:val="-2"/>
          <w:sz w:val="44"/>
          <w:szCs w:val="44"/>
        </w:rPr>
        <w:t>2023</w:t>
      </w:r>
      <w:r>
        <w:rPr>
          <w:rFonts w:hint="default" w:ascii="Times New Roman" w:hAnsi="Times New Roman" w:eastAsia="方正小标宋简体" w:cs="Times New Roman"/>
          <w:spacing w:val="22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年湖南省人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民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医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院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单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位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预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算</w:t>
      </w:r>
    </w:p>
    <w:p>
      <w:pPr>
        <w:spacing w:line="465" w:lineRule="auto"/>
        <w:rPr>
          <w:rFonts w:ascii="Malgun Gothic"/>
          <w:sz w:val="21"/>
        </w:rPr>
      </w:pPr>
    </w:p>
    <w:p>
      <w:pPr>
        <w:spacing w:before="105" w:line="187" w:lineRule="auto"/>
        <w:ind w:firstLine="382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7"/>
          <w:sz w:val="32"/>
          <w:szCs w:val="32"/>
        </w:rPr>
        <w:t>目</w:t>
      </w:r>
      <w:r>
        <w:rPr>
          <w:rFonts w:ascii="黑体" w:hAnsi="黑体" w:eastAsia="黑体" w:cs="黑体"/>
          <w:spacing w:val="16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27"/>
          <w:sz w:val="32"/>
          <w:szCs w:val="32"/>
        </w:rPr>
        <w:t>录</w:t>
      </w:r>
    </w:p>
    <w:p>
      <w:pPr>
        <w:spacing w:line="281" w:lineRule="auto"/>
        <w:rPr>
          <w:rFonts w:ascii="Malgun Gothic"/>
          <w:sz w:val="21"/>
        </w:rPr>
      </w:pPr>
    </w:p>
    <w:p>
      <w:pPr>
        <w:spacing w:line="282" w:lineRule="auto"/>
        <w:rPr>
          <w:rFonts w:ascii="Malgun Gothic"/>
          <w:sz w:val="21"/>
        </w:rPr>
      </w:pPr>
    </w:p>
    <w:p>
      <w:pPr>
        <w:spacing w:before="104" w:line="641" w:lineRule="exact"/>
        <w:ind w:firstLine="68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position w:val="2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第一部分</w:t>
      </w:r>
      <w:r>
        <w:rPr>
          <w:rFonts w:ascii="仿宋" w:hAnsi="仿宋" w:eastAsia="仿宋" w:cs="仿宋"/>
          <w:spacing w:val="10"/>
          <w:position w:val="2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position w:val="23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7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position w:val="2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年单位预算说明</w:t>
      </w:r>
    </w:p>
    <w:p>
      <w:pPr>
        <w:spacing w:line="204" w:lineRule="auto"/>
        <w:ind w:firstLine="68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第二部分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年单位预算表</w:t>
      </w:r>
    </w:p>
    <w:p>
      <w:pPr>
        <w:spacing w:before="284" w:line="183" w:lineRule="auto"/>
        <w:ind w:firstLine="69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1</w:t>
      </w:r>
      <w:r>
        <w:rPr>
          <w:rFonts w:ascii="Times New Roman" w:hAnsi="Times New Roman" w:eastAsia="Times New Roman" w:cs="Times New Roman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、收支总表</w:t>
      </w:r>
    </w:p>
    <w:p>
      <w:pPr>
        <w:spacing w:before="323" w:line="183" w:lineRule="auto"/>
        <w:ind w:firstLine="66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2</w:t>
      </w:r>
      <w:r>
        <w:rPr>
          <w:rFonts w:ascii="Times New Roman" w:hAnsi="Times New Roman" w:eastAsia="Times New Roman" w:cs="Times New Roman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、收入总表</w:t>
      </w:r>
    </w:p>
    <w:p>
      <w:pPr>
        <w:spacing w:before="324" w:line="183" w:lineRule="auto"/>
        <w:ind w:firstLine="66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9"/>
          <w:sz w:val="32"/>
          <w:szCs w:val="32"/>
        </w:rPr>
        <w:t>3</w:t>
      </w:r>
      <w:r>
        <w:rPr>
          <w:rFonts w:ascii="Times New Roman" w:hAnsi="Times New Roman" w:eastAsia="Times New Roman" w:cs="Times New Roman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、支出总表</w:t>
      </w:r>
    </w:p>
    <w:p>
      <w:pPr>
        <w:spacing w:before="321" w:line="183" w:lineRule="auto"/>
        <w:ind w:firstLine="66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4</w:t>
      </w:r>
      <w:r>
        <w:rPr>
          <w:rFonts w:ascii="Times New Roman" w:hAnsi="Times New Roman" w:eastAsia="Times New Roman" w:cs="Times New Roman"/>
          <w:spacing w:val="-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、支出预算分类汇总表（按政府预算经济分类）</w:t>
      </w:r>
    </w:p>
    <w:p>
      <w:pPr>
        <w:spacing w:before="324" w:line="183" w:lineRule="auto"/>
        <w:ind w:firstLine="67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5</w:t>
      </w:r>
      <w:r>
        <w:rPr>
          <w:rFonts w:ascii="Times New Roman" w:hAnsi="Times New Roman" w:eastAsia="Times New Roman" w:cs="Times New Roman"/>
          <w:spacing w:val="-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、支出预算分类汇总表（按部门预算经济分类）</w:t>
      </w:r>
    </w:p>
    <w:p>
      <w:pPr>
        <w:spacing w:before="323" w:line="183" w:lineRule="auto"/>
        <w:ind w:firstLine="668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6</w:t>
      </w:r>
      <w:r>
        <w:rPr>
          <w:rFonts w:ascii="Times New Roman" w:hAnsi="Times New Roman" w:eastAsia="Times New Roman" w:cs="Times New Roman"/>
          <w:spacing w:val="-3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、财政拨款收支总表</w:t>
      </w:r>
    </w:p>
    <w:p>
      <w:pPr>
        <w:spacing w:before="321" w:line="183" w:lineRule="auto"/>
        <w:ind w:firstLine="666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7</w:t>
      </w:r>
      <w:r>
        <w:rPr>
          <w:rFonts w:ascii="Times New Roman" w:hAnsi="Times New Roman" w:eastAsia="Times New Roman" w:cs="Times New Roman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、一般公共预算支出表</w:t>
      </w:r>
    </w:p>
    <w:p>
      <w:pPr>
        <w:spacing w:before="324" w:line="641" w:lineRule="exact"/>
        <w:ind w:firstLine="674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position w:val="23"/>
          <w:sz w:val="32"/>
          <w:szCs w:val="32"/>
        </w:rPr>
        <w:t>8</w:t>
      </w:r>
      <w:r>
        <w:rPr>
          <w:rFonts w:ascii="仿宋" w:hAnsi="仿宋" w:eastAsia="仿宋" w:cs="仿宋"/>
          <w:spacing w:val="-6"/>
          <w:position w:val="23"/>
          <w:sz w:val="32"/>
          <w:szCs w:val="32"/>
        </w:rPr>
        <w:t>、一般公共预算基本支出表</w:t>
      </w:r>
      <w:r>
        <w:rPr>
          <w:rFonts w:ascii="Times New Roman" w:hAnsi="Times New Roman" w:eastAsia="Times New Roman" w:cs="Times New Roman"/>
          <w:spacing w:val="-6"/>
          <w:position w:val="23"/>
          <w:sz w:val="32"/>
          <w:szCs w:val="32"/>
        </w:rPr>
        <w:t>-</w:t>
      </w:r>
      <w:r>
        <w:rPr>
          <w:rFonts w:ascii="仿宋" w:hAnsi="仿宋" w:eastAsia="仿宋" w:cs="仿宋"/>
          <w:spacing w:val="-6"/>
          <w:position w:val="23"/>
          <w:sz w:val="32"/>
          <w:szCs w:val="32"/>
        </w:rPr>
        <w:t>人员经费（工资福利支出）</w:t>
      </w:r>
    </w:p>
    <w:p>
      <w:pPr>
        <w:spacing w:line="204" w:lineRule="auto"/>
        <w:ind w:firstLine="1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（按政府预算经济分类）</w:t>
      </w:r>
    </w:p>
    <w:p>
      <w:pPr>
        <w:spacing w:before="285" w:line="183" w:lineRule="auto"/>
        <w:ind w:firstLine="66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9</w:t>
      </w:r>
      <w:r>
        <w:rPr>
          <w:rFonts w:ascii="仿宋" w:hAnsi="仿宋" w:eastAsia="仿宋" w:cs="仿宋"/>
          <w:spacing w:val="-6"/>
          <w:sz w:val="32"/>
          <w:szCs w:val="32"/>
        </w:rPr>
        <w:t>、一般公共预算基本支出表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-</w:t>
      </w:r>
      <w:r>
        <w:rPr>
          <w:rFonts w:ascii="仿宋" w:hAnsi="仿宋" w:eastAsia="仿宋" w:cs="仿宋"/>
          <w:spacing w:val="-6"/>
          <w:sz w:val="32"/>
          <w:szCs w:val="32"/>
        </w:rPr>
        <w:t>人员经费（工资福利支出）</w:t>
      </w:r>
    </w:p>
    <w:p>
      <w:pPr>
        <w:spacing w:before="323" w:line="183" w:lineRule="auto"/>
        <w:ind w:firstLine="1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（按部门预算经济分类）</w:t>
      </w:r>
    </w:p>
    <w:p>
      <w:pPr>
        <w:spacing w:before="325" w:line="368" w:lineRule="auto"/>
        <w:ind w:left="53" w:right="158" w:firstLine="638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10</w:t>
      </w:r>
      <w:r>
        <w:rPr>
          <w:rFonts w:ascii="仿宋" w:hAnsi="仿宋" w:eastAsia="仿宋" w:cs="仿宋"/>
          <w:spacing w:val="-7"/>
          <w:sz w:val="32"/>
          <w:szCs w:val="32"/>
        </w:rPr>
        <w:t>、一般公共预算基本支出表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-</w:t>
      </w:r>
      <w:r>
        <w:rPr>
          <w:rFonts w:ascii="仿宋" w:hAnsi="仿宋" w:eastAsia="仿宋" w:cs="仿宋"/>
          <w:spacing w:val="-7"/>
          <w:sz w:val="32"/>
          <w:szCs w:val="32"/>
        </w:rPr>
        <w:t>人员经费（对个人和家庭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的补助</w:t>
      </w:r>
      <w:r>
        <w:rPr>
          <w:rFonts w:ascii="仿宋" w:hAnsi="仿宋" w:eastAsia="仿宋" w:cs="仿宋"/>
          <w:spacing w:val="-140"/>
          <w:sz w:val="32"/>
          <w:szCs w:val="32"/>
        </w:rPr>
        <w:t>）（</w:t>
      </w:r>
      <w:r>
        <w:rPr>
          <w:rFonts w:ascii="仿宋" w:hAnsi="仿宋" w:eastAsia="仿宋" w:cs="仿宋"/>
          <w:spacing w:val="6"/>
          <w:sz w:val="32"/>
          <w:szCs w:val="32"/>
        </w:rPr>
        <w:t>按政府预算经济分类）</w:t>
      </w:r>
    </w:p>
    <w:p>
      <w:pPr>
        <w:spacing w:before="1" w:line="370" w:lineRule="auto"/>
        <w:ind w:left="53" w:right="158" w:firstLine="638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11</w:t>
      </w:r>
      <w:r>
        <w:rPr>
          <w:rFonts w:ascii="仿宋" w:hAnsi="仿宋" w:eastAsia="仿宋" w:cs="仿宋"/>
          <w:spacing w:val="-7"/>
          <w:sz w:val="32"/>
          <w:szCs w:val="32"/>
        </w:rPr>
        <w:t>、一般公共预算基本支出表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-</w:t>
      </w:r>
      <w:r>
        <w:rPr>
          <w:rFonts w:ascii="仿宋" w:hAnsi="仿宋" w:eastAsia="仿宋" w:cs="仿宋"/>
          <w:spacing w:val="-7"/>
          <w:sz w:val="32"/>
          <w:szCs w:val="32"/>
        </w:rPr>
        <w:t>人员经费（对个人和家庭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的补助</w:t>
      </w:r>
      <w:r>
        <w:rPr>
          <w:rFonts w:ascii="仿宋" w:hAnsi="仿宋" w:eastAsia="仿宋" w:cs="仿宋"/>
          <w:spacing w:val="-140"/>
          <w:sz w:val="32"/>
          <w:szCs w:val="32"/>
        </w:rPr>
        <w:t>）（</w:t>
      </w:r>
      <w:r>
        <w:rPr>
          <w:rFonts w:ascii="仿宋" w:hAnsi="仿宋" w:eastAsia="仿宋" w:cs="仿宋"/>
          <w:spacing w:val="6"/>
          <w:sz w:val="32"/>
          <w:szCs w:val="32"/>
        </w:rPr>
        <w:t>按部门预算经济分类）</w:t>
      </w:r>
    </w:p>
    <w:p>
      <w:pPr>
        <w:sectPr>
          <w:pgSz w:w="11906" w:h="16839"/>
          <w:pgMar w:top="1431" w:right="1640" w:bottom="0" w:left="1785" w:header="0" w:footer="0" w:gutter="0"/>
          <w:cols w:space="720" w:num="1"/>
        </w:sectPr>
      </w:pPr>
    </w:p>
    <w:p>
      <w:pPr>
        <w:spacing w:before="248" w:line="641" w:lineRule="exact"/>
        <w:ind w:firstLine="69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7"/>
          <w:position w:val="23"/>
          <w:sz w:val="32"/>
          <w:szCs w:val="32"/>
        </w:rPr>
        <w:t>12</w:t>
      </w:r>
      <w:r>
        <w:rPr>
          <w:rFonts w:ascii="仿宋" w:hAnsi="仿宋" w:eastAsia="仿宋" w:cs="仿宋"/>
          <w:spacing w:val="-7"/>
          <w:position w:val="23"/>
          <w:sz w:val="32"/>
          <w:szCs w:val="32"/>
        </w:rPr>
        <w:t>、一般公共预算基本支出表</w:t>
      </w:r>
      <w:r>
        <w:rPr>
          <w:rFonts w:ascii="Times New Roman" w:hAnsi="Times New Roman" w:eastAsia="Times New Roman" w:cs="Times New Roman"/>
          <w:spacing w:val="-7"/>
          <w:position w:val="23"/>
          <w:sz w:val="32"/>
          <w:szCs w:val="32"/>
        </w:rPr>
        <w:t>-</w:t>
      </w:r>
      <w:r>
        <w:rPr>
          <w:rFonts w:ascii="仿宋" w:hAnsi="仿宋" w:eastAsia="仿宋" w:cs="仿宋"/>
          <w:spacing w:val="-7"/>
          <w:position w:val="23"/>
          <w:sz w:val="32"/>
          <w:szCs w:val="32"/>
        </w:rPr>
        <w:t>公用经费（商品和服务支</w:t>
      </w:r>
    </w:p>
    <w:p>
      <w:pPr>
        <w:spacing w:line="204" w:lineRule="auto"/>
        <w:ind w:firstLine="6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7"/>
          <w:sz w:val="32"/>
          <w:szCs w:val="32"/>
        </w:rPr>
        <w:t>出</w:t>
      </w:r>
      <w:r>
        <w:rPr>
          <w:rFonts w:ascii="仿宋" w:hAnsi="仿宋" w:eastAsia="仿宋" w:cs="仿宋"/>
          <w:spacing w:val="-142"/>
          <w:w w:val="98"/>
          <w:sz w:val="32"/>
          <w:szCs w:val="32"/>
        </w:rPr>
        <w:t>）（</w:t>
      </w:r>
      <w:r>
        <w:rPr>
          <w:rFonts w:ascii="仿宋" w:hAnsi="仿宋" w:eastAsia="仿宋" w:cs="仿宋"/>
          <w:spacing w:val="7"/>
          <w:sz w:val="32"/>
          <w:szCs w:val="32"/>
        </w:rPr>
        <w:t>按政府预算经济分类）</w:t>
      </w:r>
    </w:p>
    <w:p>
      <w:pPr>
        <w:spacing w:before="288" w:line="368" w:lineRule="auto"/>
        <w:ind w:left="67" w:right="13" w:firstLine="624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13</w:t>
      </w:r>
      <w:r>
        <w:rPr>
          <w:rFonts w:ascii="仿宋" w:hAnsi="仿宋" w:eastAsia="仿宋" w:cs="仿宋"/>
          <w:spacing w:val="-7"/>
          <w:sz w:val="32"/>
          <w:szCs w:val="32"/>
        </w:rPr>
        <w:t>、一般公共预算基本支出表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-</w:t>
      </w:r>
      <w:r>
        <w:rPr>
          <w:rFonts w:ascii="仿宋" w:hAnsi="仿宋" w:eastAsia="仿宋" w:cs="仿宋"/>
          <w:spacing w:val="-7"/>
          <w:sz w:val="32"/>
          <w:szCs w:val="32"/>
        </w:rPr>
        <w:t>公用经费（商品和服务支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7"/>
          <w:sz w:val="32"/>
          <w:szCs w:val="32"/>
        </w:rPr>
        <w:t>出</w:t>
      </w:r>
      <w:r>
        <w:rPr>
          <w:rFonts w:ascii="仿宋" w:hAnsi="仿宋" w:eastAsia="仿宋" w:cs="仿宋"/>
          <w:spacing w:val="-142"/>
          <w:w w:val="98"/>
          <w:sz w:val="32"/>
          <w:szCs w:val="32"/>
        </w:rPr>
        <w:t>）（</w:t>
      </w:r>
      <w:r>
        <w:rPr>
          <w:rFonts w:ascii="仿宋" w:hAnsi="仿宋" w:eastAsia="仿宋" w:cs="仿宋"/>
          <w:spacing w:val="7"/>
          <w:sz w:val="32"/>
          <w:szCs w:val="32"/>
        </w:rPr>
        <w:t>按部门预算经济分类）</w:t>
      </w:r>
    </w:p>
    <w:p>
      <w:pPr>
        <w:spacing w:before="1" w:line="202" w:lineRule="auto"/>
        <w:ind w:firstLine="69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14</w:t>
      </w:r>
      <w:r>
        <w:rPr>
          <w:rFonts w:ascii="Times New Roman" w:hAnsi="Times New Roman" w:eastAsia="Times New Roman" w:cs="Times New Roman"/>
          <w:spacing w:val="-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、一般公共预算</w:t>
      </w: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“</w:t>
      </w:r>
      <w:r>
        <w:rPr>
          <w:rFonts w:ascii="仿宋" w:hAnsi="仿宋" w:eastAsia="仿宋" w:cs="仿宋"/>
          <w:spacing w:val="-5"/>
          <w:sz w:val="32"/>
          <w:szCs w:val="32"/>
        </w:rPr>
        <w:t>三公</w:t>
      </w: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”</w:t>
      </w:r>
      <w:r>
        <w:rPr>
          <w:rFonts w:ascii="仿宋" w:hAnsi="仿宋" w:eastAsia="仿宋" w:cs="仿宋"/>
          <w:spacing w:val="-5"/>
          <w:sz w:val="32"/>
          <w:szCs w:val="32"/>
        </w:rPr>
        <w:t>经费支出表</w:t>
      </w:r>
    </w:p>
    <w:p>
      <w:pPr>
        <w:spacing w:before="291" w:line="183" w:lineRule="auto"/>
        <w:ind w:firstLine="69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15</w:t>
      </w:r>
      <w:r>
        <w:rPr>
          <w:rFonts w:ascii="Times New Roman" w:hAnsi="Times New Roman" w:eastAsia="Times New Roman" w:cs="Times New Roman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、政府性基金预算支出表</w:t>
      </w:r>
    </w:p>
    <w:p>
      <w:pPr>
        <w:spacing w:before="320" w:line="641" w:lineRule="exact"/>
        <w:ind w:firstLine="69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position w:val="23"/>
          <w:sz w:val="32"/>
          <w:szCs w:val="32"/>
        </w:rPr>
        <w:t>16</w:t>
      </w:r>
      <w:r>
        <w:rPr>
          <w:rFonts w:ascii="Times New Roman" w:hAnsi="Times New Roman" w:eastAsia="Times New Roman" w:cs="Times New Roman"/>
          <w:spacing w:val="-34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position w:val="23"/>
          <w:sz w:val="32"/>
          <w:szCs w:val="32"/>
        </w:rPr>
        <w:t>、政府性基金预算支出分类汇总表（按政府预算经济</w:t>
      </w:r>
    </w:p>
    <w:p>
      <w:pPr>
        <w:spacing w:line="204" w:lineRule="auto"/>
        <w:ind w:firstLine="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分类）</w:t>
      </w:r>
    </w:p>
    <w:p>
      <w:pPr>
        <w:spacing w:before="288" w:line="368" w:lineRule="auto"/>
        <w:ind w:left="29" w:right="16" w:firstLine="663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17</w:t>
      </w:r>
      <w:r>
        <w:rPr>
          <w:rFonts w:ascii="Times New Roman" w:hAnsi="Times New Roman" w:eastAsia="Times New Roman" w:cs="Times New Roman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、政府性基金预算支出分类汇总表（按部门预算经济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分类）</w:t>
      </w:r>
    </w:p>
    <w:p>
      <w:pPr>
        <w:spacing w:before="2" w:line="202" w:lineRule="auto"/>
        <w:ind w:firstLine="69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18</w:t>
      </w:r>
      <w:r>
        <w:rPr>
          <w:rFonts w:ascii="Times New Roman" w:hAnsi="Times New Roman" w:eastAsia="Times New Roman" w:cs="Times New Roman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、国有资本经营预算支出表</w:t>
      </w:r>
    </w:p>
    <w:p>
      <w:pPr>
        <w:spacing w:before="291" w:line="183" w:lineRule="auto"/>
        <w:ind w:firstLine="69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19</w:t>
      </w:r>
      <w:r>
        <w:rPr>
          <w:rFonts w:ascii="Times New Roman" w:hAnsi="Times New Roman" w:eastAsia="Times New Roman" w:cs="Times New Roman"/>
          <w:spacing w:val="-4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、财政专户管理资金预算支出表</w:t>
      </w:r>
    </w:p>
    <w:p>
      <w:pPr>
        <w:spacing w:before="322" w:line="183" w:lineRule="auto"/>
        <w:ind w:firstLine="66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20</w:t>
      </w:r>
      <w:r>
        <w:rPr>
          <w:rFonts w:ascii="Times New Roman" w:hAnsi="Times New Roman" w:eastAsia="Times New Roman" w:cs="Times New Roman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、省级专项资金预算汇总表</w:t>
      </w:r>
    </w:p>
    <w:p>
      <w:pPr>
        <w:spacing w:before="323" w:line="183" w:lineRule="auto"/>
        <w:ind w:firstLine="66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21</w:t>
      </w:r>
      <w:r>
        <w:rPr>
          <w:rFonts w:ascii="Times New Roman" w:hAnsi="Times New Roman" w:eastAsia="Times New Roman" w:cs="Times New Roman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、省级专项资金绩效目标表</w:t>
      </w:r>
    </w:p>
    <w:p>
      <w:pPr>
        <w:spacing w:before="324" w:line="183" w:lineRule="auto"/>
        <w:ind w:firstLine="66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22</w:t>
      </w:r>
      <w:r>
        <w:rPr>
          <w:rFonts w:ascii="Times New Roman" w:hAnsi="Times New Roman" w:eastAsia="Times New Roman" w:cs="Times New Roman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、其他项目支出绩效目标表</w:t>
      </w:r>
    </w:p>
    <w:p>
      <w:pPr>
        <w:spacing w:before="321" w:line="183" w:lineRule="auto"/>
        <w:ind w:firstLine="66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23</w:t>
      </w:r>
      <w:r>
        <w:rPr>
          <w:rFonts w:ascii="Times New Roman" w:hAnsi="Times New Roman" w:eastAsia="Times New Roman" w:cs="Times New Roman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、部门整体支出绩效目标表</w:t>
      </w:r>
    </w:p>
    <w:p>
      <w:pPr>
        <w:spacing w:before="322" w:line="370" w:lineRule="auto"/>
        <w:ind w:left="38" w:right="14" w:firstLine="6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注：</w:t>
      </w:r>
      <w:r>
        <w:rPr>
          <w:rFonts w:ascii="仿宋" w:hAnsi="仿宋" w:eastAsia="仿宋" w:cs="仿宋"/>
          <w:spacing w:val="1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以上部门预算报表中，空表表示本单位无相关收支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情况。</w:t>
      </w:r>
    </w:p>
    <w:p>
      <w:p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211" w:line="180" w:lineRule="auto"/>
        <w:ind w:firstLine="1698"/>
        <w:rPr>
          <w:rFonts w:ascii="Malgun Gothic" w:hAnsi="Malgun Gothic" w:eastAsia="Malgun Gothic" w:cs="Malgun Gothic"/>
          <w:sz w:val="36"/>
          <w:szCs w:val="36"/>
        </w:rPr>
      </w:pPr>
      <w:r>
        <w:rPr>
          <w:rFonts w:ascii="Malgun Gothic" w:hAnsi="Malgun Gothic" w:eastAsia="Malgun Gothic" w:cs="Malgun Gothic"/>
          <w:spacing w:val="-2"/>
          <w:sz w:val="36"/>
          <w:szCs w:val="36"/>
        </w:rPr>
        <w:t>第一部分</w:t>
      </w:r>
      <w:r>
        <w:rPr>
          <w:rFonts w:ascii="Malgun Gothic" w:hAnsi="Malgun Gothic" w:eastAsia="Malgun Gothic" w:cs="Malgun Gothic"/>
          <w:spacing w:val="67"/>
          <w:sz w:val="36"/>
          <w:szCs w:val="36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6"/>
          <w:szCs w:val="36"/>
        </w:rPr>
        <w:t>2023</w:t>
      </w:r>
      <w:r>
        <w:rPr>
          <w:rFonts w:ascii="Times New Roman" w:hAnsi="Times New Roman" w:eastAsia="Times New Roman" w:cs="Times New Roman"/>
          <w:spacing w:val="10"/>
          <w:sz w:val="36"/>
          <w:szCs w:val="36"/>
        </w:rPr>
        <w:t xml:space="preserve"> </w:t>
      </w:r>
      <w:r>
        <w:rPr>
          <w:rFonts w:ascii="Malgun Gothic" w:hAnsi="Malgun Gothic" w:eastAsia="Malgun Gothic" w:cs="Malgun Gothic"/>
          <w:spacing w:val="-2"/>
          <w:sz w:val="36"/>
          <w:szCs w:val="36"/>
        </w:rPr>
        <w:t>年</w:t>
      </w:r>
      <w:r>
        <w:rPr>
          <w:rFonts w:ascii="Microsoft JhengHei" w:hAnsi="Microsoft JhengHei" w:eastAsia="Microsoft JhengHei" w:cs="Microsoft JhengHei"/>
          <w:spacing w:val="-2"/>
          <w:sz w:val="36"/>
          <w:szCs w:val="36"/>
        </w:rPr>
        <w:t>单</w:t>
      </w:r>
      <w:r>
        <w:rPr>
          <w:rFonts w:ascii="Malgun Gothic" w:hAnsi="Malgun Gothic" w:eastAsia="Malgun Gothic" w:cs="Malgun Gothic"/>
          <w:spacing w:val="-2"/>
          <w:sz w:val="36"/>
          <w:szCs w:val="36"/>
        </w:rPr>
        <w:t>位</w:t>
      </w:r>
      <w:r>
        <w:rPr>
          <w:rFonts w:ascii="Microsoft JhengHei" w:hAnsi="Microsoft JhengHei" w:eastAsia="Microsoft JhengHei" w:cs="Microsoft JhengHei"/>
          <w:spacing w:val="-2"/>
          <w:sz w:val="36"/>
          <w:szCs w:val="36"/>
        </w:rPr>
        <w:t>预</w:t>
      </w:r>
      <w:r>
        <w:rPr>
          <w:rFonts w:ascii="Malgun Gothic" w:hAnsi="Malgun Gothic" w:eastAsia="Malgun Gothic" w:cs="Malgun Gothic"/>
          <w:spacing w:val="-2"/>
          <w:sz w:val="36"/>
          <w:szCs w:val="36"/>
        </w:rPr>
        <w:t>算</w:t>
      </w:r>
      <w:r>
        <w:rPr>
          <w:rFonts w:ascii="Microsoft JhengHei" w:hAnsi="Microsoft JhengHei" w:eastAsia="Microsoft JhengHei" w:cs="Microsoft JhengHei"/>
          <w:spacing w:val="-2"/>
          <w:sz w:val="36"/>
          <w:szCs w:val="36"/>
        </w:rPr>
        <w:t>说</w:t>
      </w:r>
      <w:r>
        <w:rPr>
          <w:rFonts w:ascii="Malgun Gothic" w:hAnsi="Malgun Gothic" w:eastAsia="Malgun Gothic" w:cs="Malgun Gothic"/>
          <w:spacing w:val="-2"/>
          <w:sz w:val="36"/>
          <w:szCs w:val="36"/>
        </w:rPr>
        <w:t>明</w:t>
      </w:r>
    </w:p>
    <w:p>
      <w:pPr>
        <w:spacing w:line="244" w:lineRule="auto"/>
        <w:rPr>
          <w:rFonts w:ascii="Malgun Gothic"/>
          <w:sz w:val="21"/>
        </w:rPr>
      </w:pPr>
    </w:p>
    <w:p>
      <w:pPr>
        <w:spacing w:line="245" w:lineRule="auto"/>
        <w:rPr>
          <w:rFonts w:ascii="Malgun Gothic"/>
          <w:sz w:val="21"/>
        </w:rPr>
      </w:pPr>
    </w:p>
    <w:p>
      <w:pPr>
        <w:spacing w:before="105" w:line="187" w:lineRule="auto"/>
        <w:ind w:firstLine="65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一、单位基本概况</w:t>
      </w:r>
    </w:p>
    <w:p>
      <w:pPr>
        <w:spacing w:before="316" w:line="183" w:lineRule="auto"/>
        <w:ind w:firstLine="640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pacing w:val="-10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84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0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一）职能职责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 、贯彻落实新时期我国卫生与健康工作方针，坚持公 益性，保障人民群众健康，推动医院各方面工作健康发展。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 、为人民群众提供医疗保健、疾病预防、健康教育、 健康科普等医疗和一定的公共卫生服务。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 、承担院校医学教育、毕业后医学教育（含住院医师 规范化培训、专科医师规范化培训） 和继续医学教育，不断 提升医学人才能力素质和工作水平。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4 、开展临床医学和基础医学研究，推动医学科技成果 转化。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5 、按照省人民政府和有关部门批准的范围开展对外技 术交流和国际合作。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6 、按照省人民政府和有关部门批准的范围开展涉外医 疗服务，承担重大活动医疗保障任务，承担突发公共事件的 医疗卫生救助。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7 、根据规划和需求，经省人民政府和有关部门批准， 可与社会力量合作举办新的非营利性医疗机构或在人才、管理、服务、技术、品牌等方面建立协议合作关系。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8 、经省人民政府和有关部门批准，与相关医疗机构组 成医联体或医共体，推动形成基层首诊、双向转诊、急慢分 治、上下联动的分级诊疗模式。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9 、开展援疆援藏、援外、对 口帮扶、送医下乡等健康 扶贫和志愿者服务工作。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10 、承担上级党委和政府交办的其他事项。</w:t>
      </w:r>
    </w:p>
    <w:p>
      <w:pPr>
        <w:spacing w:before="358" w:line="183" w:lineRule="auto"/>
        <w:ind w:firstLine="640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pacing w:val="-9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91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9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二）机构设置</w:t>
      </w:r>
    </w:p>
    <w:p>
      <w:pPr>
        <w:spacing w:before="3" w:line="359" w:lineRule="auto"/>
        <w:ind w:left="34" w:right="102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内设机构设置。根据省编办规定，我院内设 20  个行政职能科室，包括：党委办公室、院办公室、人力资源 部、医务部、护理部、科研部、教学部、门诊部、保健医学 部、社会医学部、医疗保险部、医学设备部、应急医学部、老年医学部、国际医疗部、信息中心、财务部、后勤服务部、 保卫部、离退休工作办公室。并按有关规定和章程设置了监审部和工会。</w:t>
      </w:r>
    </w:p>
    <w:p>
      <w:pPr>
        <w:spacing w:before="3" w:line="359" w:lineRule="auto"/>
        <w:ind w:left="34" w:right="102" w:firstLine="633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二、预算单位构成</w:t>
      </w:r>
    </w:p>
    <w:p>
      <w:pPr>
        <w:widowControl/>
        <w:numPr>
          <w:ilvl w:val="0"/>
          <w:numId w:val="0"/>
        </w:numPr>
        <w:spacing w:line="6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湖南省人民医院（湖南师范大学附属第一医院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ascii="仿宋" w:hAnsi="仿宋" w:eastAsia="仿宋" w:cs="仿宋"/>
          <w:sz w:val="32"/>
          <w:szCs w:val="32"/>
        </w:rPr>
        <w:t>2023年部门预算汇总公开单位构成包括：湖南省人民医院（湖南师范大学附属第一医院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ascii="仿宋" w:hAnsi="仿宋" w:eastAsia="仿宋" w:cs="仿宋"/>
          <w:sz w:val="32"/>
          <w:szCs w:val="32"/>
        </w:rPr>
        <w:t>单位本级。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本单位无下属预算单位。</w:t>
      </w:r>
    </w:p>
    <w:p>
      <w:pPr>
        <w:spacing w:before="82" w:line="187" w:lineRule="auto"/>
        <w:ind w:firstLine="658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  <w:lang w:eastAsia="zh-CN"/>
        </w:rPr>
        <w:t>三</w:t>
      </w:r>
      <w:r>
        <w:rPr>
          <w:rFonts w:ascii="黑体" w:hAnsi="黑体" w:eastAsia="黑体" w:cs="黑体"/>
          <w:spacing w:val="-2"/>
          <w:sz w:val="32"/>
          <w:szCs w:val="32"/>
        </w:rPr>
        <w:t>、单位收支总体情况</w:t>
      </w:r>
    </w:p>
    <w:p>
      <w:pPr>
        <w:spacing w:before="230" w:line="361" w:lineRule="auto"/>
        <w:ind w:left="34" w:right="13" w:firstLine="620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14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78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4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一）收入预算：</w:t>
      </w:r>
      <w:r>
        <w:rPr>
          <w:rFonts w:ascii="楷体" w:hAnsi="楷体" w:eastAsia="楷体" w:cs="楷体"/>
          <w:spacing w:val="7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包括一般公共预算、政府性基金、国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有资本经营预算等财政拨款收入，以及经营收入、事业收入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等单位资金。</w:t>
      </w:r>
      <w:r>
        <w:rPr>
          <w:rFonts w:ascii="Times New Roman" w:hAnsi="Times New Roman" w:eastAsia="Times New Roman" w:cs="Times New Roman"/>
          <w:spacing w:val="-12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27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年本单位收入预算</w:t>
      </w:r>
      <w:r>
        <w:rPr>
          <w:rFonts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32"/>
          <w:szCs w:val="32"/>
        </w:rPr>
        <w:t>466,000.22</w:t>
      </w:r>
      <w:r>
        <w:rPr>
          <w:rFonts w:ascii="Times New Roman" w:hAnsi="Times New Roman" w:eastAsia="Times New Roman" w:cs="Times New Roman"/>
          <w:spacing w:val="2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万元，其中，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一般公共预算拨款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32"/>
          <w:szCs w:val="32"/>
        </w:rPr>
        <w:t>9,548.93</w:t>
      </w:r>
      <w:r>
        <w:rPr>
          <w:rFonts w:ascii="Times New Roman" w:hAnsi="Times New Roman" w:eastAsia="Times New Roman" w:cs="Times New Roman"/>
          <w:spacing w:val="2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万元，事业收入</w:t>
      </w:r>
      <w:r>
        <w:rPr>
          <w:rFonts w:ascii="仿宋" w:hAnsi="仿宋" w:eastAsia="仿宋" w:cs="仿宋"/>
          <w:spacing w:val="-78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32"/>
          <w:szCs w:val="32"/>
        </w:rPr>
        <w:t>449,300.00</w:t>
      </w:r>
      <w:r>
        <w:rPr>
          <w:rFonts w:ascii="Times New Roman" w:hAnsi="Times New Roman" w:eastAsia="Times New Roman" w:cs="Times New Roman"/>
          <w:spacing w:val="25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万元，</w:t>
      </w:r>
    </w:p>
    <w:p>
      <w:pPr>
        <w:sectPr>
          <w:pgSz w:w="11906" w:h="16839"/>
          <w:pgMar w:top="1431" w:right="1697" w:bottom="0" w:left="1785" w:header="0" w:footer="0" w:gutter="0"/>
          <w:cols w:space="720" w:num="1"/>
        </w:sectPr>
      </w:pPr>
    </w:p>
    <w:p>
      <w:pPr>
        <w:spacing w:before="164" w:line="360" w:lineRule="auto"/>
        <w:ind w:left="35" w:right="24" w:hanging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其他收入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3,520.00</w:t>
      </w:r>
      <w:r>
        <w:rPr>
          <w:rFonts w:ascii="Times New Roman" w:hAnsi="Times New Roman" w:eastAsia="Times New Roman" w:cs="Times New Roman"/>
          <w:spacing w:val="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万元，上年结转结余</w:t>
      </w:r>
      <w:r>
        <w:rPr>
          <w:rFonts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3,631.29</w:t>
      </w:r>
      <w:r>
        <w:rPr>
          <w:rFonts w:ascii="Times New Roman" w:hAnsi="Times New Roman" w:eastAsia="Times New Roman" w:cs="Times New Roman"/>
          <w:spacing w:val="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万元。收入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较去年减少</w:t>
      </w:r>
      <w:r>
        <w:rPr>
          <w:rFonts w:ascii="仿宋" w:hAnsi="仿宋" w:eastAsia="仿宋" w:cs="仿宋"/>
          <w:spacing w:val="-2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10,789.38</w:t>
      </w:r>
      <w:r>
        <w:rPr>
          <w:rFonts w:ascii="Times New Roman" w:hAnsi="Times New Roman" w:eastAsia="Times New Roman" w:cs="Times New Roman"/>
          <w:spacing w:val="3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万元，主要是事业收入减少。</w:t>
      </w:r>
    </w:p>
    <w:p>
      <w:pPr>
        <w:spacing w:before="85" w:line="369" w:lineRule="auto"/>
        <w:ind w:left="37" w:right="22" w:firstLine="602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1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91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二）支出预算：</w:t>
      </w:r>
      <w:r>
        <w:rPr>
          <w:rFonts w:ascii="楷体" w:hAnsi="楷体" w:eastAsia="楷体" w:cs="楷体"/>
          <w:spacing w:val="40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年本单位支出预算</w:t>
      </w:r>
      <w:r>
        <w:rPr>
          <w:rFonts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466,000.22</w:t>
      </w:r>
      <w:r>
        <w:rPr>
          <w:rFonts w:ascii="Times New Roman" w:hAnsi="Times New Roman" w:eastAsia="Times New Roman" w:cs="Times New Roman"/>
          <w:spacing w:val="28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元，其中，一般公共卫生服务支出</w:t>
      </w:r>
      <w:r>
        <w:rPr>
          <w:rFonts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5</w:t>
      </w:r>
      <w:r>
        <w:rPr>
          <w:rFonts w:ascii="Times New Roman" w:hAnsi="Times New Roman" w:eastAsia="Times New Roman" w:cs="Times New Roman"/>
          <w:spacing w:val="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万元，科学技术</w:t>
      </w:r>
      <w:r>
        <w:rPr>
          <w:rFonts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864.81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万元，卫生健康支出</w:t>
      </w:r>
      <w:r>
        <w:rPr>
          <w:rFonts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465.</w:t>
      </w:r>
      <w:r>
        <w:rPr>
          <w:rFonts w:ascii="Times New Roman" w:hAnsi="Times New Roman" w:eastAsia="Times New Roman" w:cs="Times New Roman"/>
          <w:spacing w:val="-4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130.41</w:t>
      </w:r>
      <w:r>
        <w:rPr>
          <w:rFonts w:ascii="Times New Roman" w:hAnsi="Times New Roman" w:eastAsia="Times New Roman" w:cs="Times New Roman"/>
          <w:spacing w:val="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万元。支出较去年减少</w:t>
      </w:r>
    </w:p>
    <w:p>
      <w:pPr>
        <w:spacing w:before="1" w:line="204" w:lineRule="auto"/>
        <w:ind w:firstLine="5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10,789.38</w:t>
      </w:r>
      <w:r>
        <w:rPr>
          <w:rFonts w:ascii="Times New Roman" w:hAnsi="Times New Roman" w:eastAsia="Times New Roman" w:cs="Times New Roman"/>
          <w:spacing w:val="37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万元，主要卫生健康支出较上年减少。</w:t>
      </w:r>
    </w:p>
    <w:p>
      <w:pPr>
        <w:spacing w:before="284" w:line="187" w:lineRule="auto"/>
        <w:ind w:firstLine="69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  <w:lang w:eastAsia="zh-CN"/>
        </w:rPr>
        <w:t>四</w:t>
      </w:r>
      <w:r>
        <w:rPr>
          <w:rFonts w:ascii="黑体" w:hAnsi="黑体" w:eastAsia="黑体" w:cs="黑体"/>
          <w:spacing w:val="-2"/>
          <w:sz w:val="32"/>
          <w:szCs w:val="32"/>
        </w:rPr>
        <w:t>、一般公共预算拨款支出</w:t>
      </w:r>
    </w:p>
    <w:p>
      <w:pPr>
        <w:spacing w:before="318" w:line="188" w:lineRule="auto"/>
        <w:ind w:firstLine="68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3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年本单位一般公共预算拨款支出预算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13,</w:t>
      </w:r>
      <w:r>
        <w:rPr>
          <w:rFonts w:ascii="Times New Roman" w:hAnsi="Times New Roman" w:eastAsia="Times New Roman" w:cs="Times New Roman"/>
          <w:spacing w:val="-4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180.22</w:t>
      </w:r>
      <w:r>
        <w:rPr>
          <w:rFonts w:ascii="Times New Roman" w:hAnsi="Times New Roman" w:eastAsia="Times New Roman" w:cs="Times New Roman"/>
          <w:spacing w:val="2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</w:t>
      </w:r>
    </w:p>
    <w:p>
      <w:pPr>
        <w:spacing w:before="252" w:line="370" w:lineRule="auto"/>
        <w:ind w:left="30" w:right="64" w:firstLine="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元，其中，一般公共服务支出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5</w:t>
      </w:r>
      <w:r>
        <w:rPr>
          <w:rFonts w:ascii="Times New Roman" w:hAnsi="Times New Roman" w:eastAsia="Times New Roman" w:cs="Times New Roman"/>
          <w:spacing w:val="3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万元，</w:t>
      </w:r>
      <w:r>
        <w:rPr>
          <w:rFonts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占</w:t>
      </w:r>
      <w:r>
        <w:rPr>
          <w:rFonts w:ascii="仿宋" w:hAnsi="仿宋" w:eastAsia="仿宋" w:cs="仿宋"/>
          <w:spacing w:val="-69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0.04%</w:t>
      </w:r>
      <w:r>
        <w:rPr>
          <w:rFonts w:ascii="仿宋" w:hAnsi="仿宋" w:eastAsia="仿宋" w:cs="仿宋"/>
          <w:spacing w:val="-6"/>
          <w:sz w:val="32"/>
          <w:szCs w:val="32"/>
        </w:rPr>
        <w:t>，一般科学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技术支出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864.81</w:t>
      </w:r>
      <w:r>
        <w:rPr>
          <w:rFonts w:ascii="Times New Roman" w:hAnsi="Times New Roman" w:eastAsia="Times New Roman" w:cs="Times New Roman"/>
          <w:spacing w:val="30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万元，</w:t>
      </w:r>
      <w:r>
        <w:rPr>
          <w:rFonts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占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6.56%</w:t>
      </w:r>
      <w:r>
        <w:rPr>
          <w:rFonts w:ascii="仿宋" w:hAnsi="仿宋" w:eastAsia="仿宋" w:cs="仿宋"/>
          <w:spacing w:val="-6"/>
          <w:sz w:val="32"/>
          <w:szCs w:val="32"/>
        </w:rPr>
        <w:t>；卫生健康支出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12,310.41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6"/>
          <w:sz w:val="32"/>
          <w:szCs w:val="32"/>
        </w:rPr>
        <w:t>万元，</w:t>
      </w:r>
      <w:r>
        <w:rPr>
          <w:rFonts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占</w:t>
      </w:r>
      <w:r>
        <w:rPr>
          <w:rFonts w:ascii="仿宋" w:hAnsi="仿宋" w:eastAsia="仿宋" w:cs="仿宋"/>
          <w:spacing w:val="-66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93.40%</w:t>
      </w:r>
      <w:r>
        <w:rPr>
          <w:rFonts w:ascii="仿宋" w:hAnsi="仿宋" w:eastAsia="仿宋" w:cs="仿宋"/>
          <w:spacing w:val="-6"/>
          <w:sz w:val="32"/>
          <w:szCs w:val="32"/>
        </w:rPr>
        <w:t>。具体安排情况如下：</w:t>
      </w:r>
    </w:p>
    <w:p>
      <w:pPr>
        <w:spacing w:before="55" w:line="369" w:lineRule="auto"/>
        <w:ind w:left="44" w:right="22" w:firstLine="629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14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76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4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一）基本支出：</w:t>
      </w:r>
      <w:r>
        <w:rPr>
          <w:rFonts w:ascii="Times New Roman" w:hAnsi="Times New Roman" w:eastAsia="Times New Roman" w:cs="Times New Roman"/>
          <w:spacing w:val="-14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年本单位基本支出预算数</w:t>
      </w:r>
      <w:r>
        <w:rPr>
          <w:rFonts w:ascii="仿宋" w:hAnsi="仿宋" w:eastAsia="仿宋" w:cs="仿宋"/>
          <w:spacing w:val="-80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32"/>
          <w:szCs w:val="32"/>
        </w:rPr>
        <w:t>8,554.93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万元，主要是为保障单位机构正常运转、完成日常工作任务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而发生的各项支出，包括用于基本工资等人员经费。</w:t>
      </w:r>
    </w:p>
    <w:p>
      <w:pPr>
        <w:spacing w:before="3" w:line="369" w:lineRule="auto"/>
        <w:ind w:left="23" w:firstLine="649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12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71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2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二）项目支出：</w:t>
      </w:r>
      <w:r>
        <w:rPr>
          <w:rFonts w:ascii="楷体" w:hAnsi="楷体" w:eastAsia="楷体" w:cs="楷体"/>
          <w:spacing w:val="52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年本单位项目支出预算</w:t>
      </w:r>
      <w:r>
        <w:rPr>
          <w:rFonts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32"/>
          <w:szCs w:val="32"/>
        </w:rPr>
        <w:t>4,625.29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万元，主要是本单位为完成特定行政工作任务或事业发展目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标而发生的支出，包括有关事业发展专项、专项业务费、基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本建设支出等，其中：</w:t>
      </w:r>
      <w:r>
        <w:rPr>
          <w:rFonts w:ascii="仿宋" w:hAnsi="仿宋" w:eastAsia="仿宋" w:cs="仿宋"/>
          <w:spacing w:val="8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一般公共服务支出</w:t>
      </w:r>
      <w:r>
        <w:rPr>
          <w:rFonts w:ascii="仿宋" w:hAnsi="仿宋" w:eastAsia="仿宋" w:cs="仿宋"/>
          <w:spacing w:val="-6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32"/>
          <w:szCs w:val="32"/>
        </w:rPr>
        <w:t>5.00</w:t>
      </w:r>
      <w:r>
        <w:rPr>
          <w:rFonts w:ascii="Times New Roman" w:hAnsi="Times New Roman" w:eastAsia="Times New Roman" w:cs="Times New Roman"/>
          <w:spacing w:val="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万元，主要用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于其他市场监督管理事务方面；</w:t>
      </w:r>
      <w:r>
        <w:rPr>
          <w:rFonts w:ascii="仿宋" w:hAnsi="仿宋" w:eastAsia="仿宋" w:cs="仿宋"/>
          <w:spacing w:val="8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科学技术支出</w:t>
      </w:r>
      <w:r>
        <w:rPr>
          <w:rFonts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864.81</w:t>
      </w:r>
      <w:r>
        <w:rPr>
          <w:rFonts w:ascii="Times New Roman" w:hAnsi="Times New Roman" w:eastAsia="Times New Roman" w:cs="Times New Roman"/>
          <w:spacing w:val="30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万元，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主要用于科学技术基础研究、技术研究与开发、科技条件与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服务、科学技术普及、科技重大项目等方面；卫生健康支出</w:t>
      </w:r>
    </w:p>
    <w:p>
      <w:pPr>
        <w:sectPr>
          <w:pgSz w:w="11906" w:h="16839"/>
          <w:pgMar w:top="1431" w:right="1778" w:bottom="0" w:left="1785" w:header="0" w:footer="0" w:gutter="0"/>
          <w:cols w:space="720" w:num="1"/>
        </w:sectPr>
      </w:pPr>
    </w:p>
    <w:p>
      <w:pPr>
        <w:spacing w:before="249" w:line="367" w:lineRule="auto"/>
        <w:ind w:left="63" w:right="322" w:hanging="36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3,755.48</w:t>
      </w:r>
      <w:r>
        <w:rPr>
          <w:rFonts w:ascii="Times New Roman" w:hAnsi="Times New Roman" w:eastAsia="Times New Roman" w:cs="Times New Roman"/>
          <w:spacing w:val="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万元，主要用于公立医院支出、公共卫生支出、中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医（</w:t>
      </w:r>
      <w:r>
        <w:rPr>
          <w:rFonts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民族医）</w:t>
      </w:r>
      <w:r>
        <w:rPr>
          <w:rFonts w:ascii="仿宋" w:hAnsi="仿宋" w:eastAsia="仿宋" w:cs="仿宋"/>
          <w:spacing w:val="-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药专项及其他卫生健康支出。</w:t>
      </w:r>
    </w:p>
    <w:p>
      <w:pPr>
        <w:spacing w:before="6" w:line="199" w:lineRule="auto"/>
        <w:ind w:firstLine="70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eastAsia="zh-CN"/>
        </w:rPr>
        <w:t>五</w:t>
      </w:r>
      <w:r>
        <w:rPr>
          <w:rFonts w:ascii="黑体" w:hAnsi="黑体" w:eastAsia="黑体" w:cs="黑体"/>
          <w:spacing w:val="-3"/>
          <w:sz w:val="32"/>
          <w:szCs w:val="32"/>
        </w:rPr>
        <w:t>、政府性基金预算支出</w:t>
      </w:r>
    </w:p>
    <w:p>
      <w:pPr>
        <w:spacing w:before="294" w:line="183" w:lineRule="auto"/>
        <w:ind w:firstLine="68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3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年本单位无政府性基金安排的支出，较上年无变动。</w:t>
      </w:r>
    </w:p>
    <w:p>
      <w:pPr>
        <w:spacing w:before="322" w:line="187" w:lineRule="auto"/>
        <w:ind w:firstLine="69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  <w:lang w:eastAsia="zh-CN"/>
        </w:rPr>
        <w:t>六</w:t>
      </w:r>
      <w:r>
        <w:rPr>
          <w:rFonts w:ascii="黑体" w:hAnsi="黑体" w:eastAsia="黑体" w:cs="黑体"/>
          <w:spacing w:val="-2"/>
          <w:sz w:val="32"/>
          <w:szCs w:val="32"/>
        </w:rPr>
        <w:t>、其他重要事项的情况说明</w:t>
      </w:r>
    </w:p>
    <w:p>
      <w:pPr>
        <w:spacing w:before="319" w:line="368" w:lineRule="auto"/>
        <w:ind w:left="29" w:right="257" w:firstLine="644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8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85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8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一）机关运行经费：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年本单位无一般公共预算拨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款机关运行经费支出，较上年无变动。</w:t>
      </w:r>
    </w:p>
    <w:p>
      <w:pPr>
        <w:spacing w:before="2" w:line="641" w:lineRule="exact"/>
        <w:ind w:firstLine="673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15"/>
          <w:position w:val="2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74"/>
          <w:position w:val="23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5"/>
          <w:position w:val="2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</w:t>
      </w:r>
      <w:r>
        <w:rPr>
          <w:rFonts w:ascii="Times New Roman" w:hAnsi="Times New Roman" w:eastAsia="Times New Roman" w:cs="Times New Roman"/>
          <w:b/>
          <w:bCs/>
          <w:spacing w:val="-15"/>
          <w:position w:val="23"/>
          <w:sz w:val="32"/>
          <w:szCs w:val="32"/>
        </w:rPr>
        <w:t>“</w:t>
      </w:r>
      <w:r>
        <w:rPr>
          <w:rFonts w:ascii="楷体" w:hAnsi="楷体" w:eastAsia="楷体" w:cs="楷体"/>
          <w:spacing w:val="-15"/>
          <w:position w:val="2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三公</w:t>
      </w:r>
      <w:r>
        <w:rPr>
          <w:rFonts w:ascii="Times New Roman" w:hAnsi="Times New Roman" w:eastAsia="Times New Roman" w:cs="Times New Roman"/>
          <w:b/>
          <w:bCs/>
          <w:spacing w:val="-15"/>
          <w:position w:val="23"/>
          <w:sz w:val="32"/>
          <w:szCs w:val="32"/>
        </w:rPr>
        <w:t>”</w:t>
      </w:r>
      <w:r>
        <w:rPr>
          <w:rFonts w:ascii="楷体" w:hAnsi="楷体" w:eastAsia="楷体" w:cs="楷体"/>
          <w:spacing w:val="-15"/>
          <w:position w:val="2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经费预算：</w:t>
      </w:r>
      <w:r>
        <w:rPr>
          <w:rFonts w:ascii="楷体" w:hAnsi="楷体" w:eastAsia="楷体" w:cs="楷体"/>
          <w:spacing w:val="27"/>
          <w:position w:val="2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5"/>
          <w:position w:val="23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7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position w:val="23"/>
          <w:sz w:val="32"/>
          <w:szCs w:val="32"/>
        </w:rPr>
        <w:t>年本单位无一般公共预算</w:t>
      </w:r>
    </w:p>
    <w:p>
      <w:pPr>
        <w:spacing w:line="204" w:lineRule="auto"/>
        <w:ind w:firstLine="2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拨款</w:t>
      </w:r>
      <w:r>
        <w:rPr>
          <w:rFonts w:ascii="仿宋" w:hAnsi="仿宋" w:eastAsia="仿宋" w:cs="仿宋"/>
          <w:spacing w:val="-10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“三公”经费支出，较上年无变动。</w:t>
      </w:r>
    </w:p>
    <w:p>
      <w:pPr>
        <w:spacing w:before="284" w:line="370" w:lineRule="auto"/>
        <w:ind w:left="34" w:right="252" w:firstLine="639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16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65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6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三）一般性支出情况：</w:t>
      </w:r>
      <w:r>
        <w:rPr>
          <w:rFonts w:ascii="楷体" w:hAnsi="楷体" w:eastAsia="楷体" w:cs="楷体"/>
          <w:spacing w:val="3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年本单位不开展会议、培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训，不举办节庆、晚会、论坛、赛事活动，无会议、培训、</w:t>
      </w:r>
    </w:p>
    <w:p>
      <w:pPr>
        <w:spacing w:line="204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节庆、晚会、论坛、赛事活动经费预算。</w:t>
      </w:r>
    </w:p>
    <w:p>
      <w:pPr>
        <w:spacing w:before="284" w:line="324" w:lineRule="auto"/>
        <w:ind w:left="20" w:right="252" w:firstLine="652"/>
        <w:rPr>
          <w:rFonts w:ascii="仿宋" w:hAnsi="仿宋" w:eastAsia="仿宋" w:cs="仿宋"/>
          <w:spacing w:val="-7"/>
          <w:sz w:val="32"/>
          <w:szCs w:val="32"/>
        </w:rPr>
      </w:pPr>
      <w:r>
        <w:rPr>
          <w:rFonts w:ascii="楷体" w:hAnsi="楷体" w:eastAsia="楷体" w:cs="楷体"/>
          <w:spacing w:val="-9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54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9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四）政府采购情况：</w:t>
      </w:r>
      <w:r>
        <w:rPr>
          <w:rFonts w:ascii="Times New Roman" w:hAnsi="Times New Roman" w:eastAsia="Times New Roman" w:cs="Times New Roman"/>
          <w:spacing w:val="-9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年本单位政府采购预算总额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299,829.37</w:t>
      </w:r>
      <w:r>
        <w:rPr>
          <w:rFonts w:ascii="Times New Roman" w:hAnsi="Times New Roman" w:eastAsia="Times New Roman" w:cs="Times New Roman"/>
          <w:spacing w:val="31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万元，其中，医疗设备等货物采购预算</w:t>
      </w:r>
      <w:r>
        <w:rPr>
          <w:rFonts w:ascii="仿宋" w:hAnsi="仿宋" w:eastAsia="仿宋" w:cs="仿宋"/>
          <w:spacing w:val="-72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277,677.00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万元；</w:t>
      </w:r>
      <w:r>
        <w:rPr>
          <w:rFonts w:ascii="仿宋" w:hAnsi="仿宋" w:eastAsia="仿宋" w:cs="仿宋"/>
          <w:spacing w:val="1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工程类采购预算</w:t>
      </w:r>
      <w:r>
        <w:rPr>
          <w:rFonts w:ascii="仿宋" w:hAnsi="仿宋" w:eastAsia="仿宋" w:cs="仿宋"/>
          <w:spacing w:val="-19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12,908.00</w:t>
      </w:r>
      <w:r>
        <w:rPr>
          <w:rFonts w:ascii="Times New Roman" w:hAnsi="Times New Roman" w:eastAsia="Times New Roman" w:cs="Times New Roman"/>
          <w:spacing w:val="5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万元；</w:t>
      </w:r>
      <w:r>
        <w:rPr>
          <w:rFonts w:ascii="仿宋" w:hAnsi="仿宋" w:eastAsia="仿宋" w:cs="仿宋"/>
          <w:spacing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服务类采购预算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9,</w:t>
      </w:r>
      <w:r>
        <w:rPr>
          <w:rFonts w:ascii="Times New Roman" w:hAnsi="Times New Roman" w:eastAsia="Times New Roman" w:cs="Times New Roman"/>
          <w:spacing w:val="-4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144.37</w:t>
      </w:r>
      <w:r>
        <w:rPr>
          <w:rFonts w:ascii="Times New Roman" w:hAnsi="Times New Roman" w:eastAsia="Times New Roman" w:cs="Times New Roman"/>
          <w:spacing w:val="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万元。</w:t>
      </w:r>
    </w:p>
    <w:p>
      <w:pPr>
        <w:spacing w:before="284" w:line="324" w:lineRule="auto"/>
        <w:ind w:left="20" w:right="252" w:firstLine="652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18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（五）国有资产占用使用及新增资产配置情况：</w:t>
      </w:r>
      <w:r>
        <w:rPr>
          <w:rFonts w:ascii="仿宋" w:hAnsi="仿宋" w:eastAsia="仿宋" w:cs="仿宋"/>
          <w:spacing w:val="-18"/>
          <w:sz w:val="32"/>
          <w:szCs w:val="32"/>
        </w:rPr>
        <w:t>截至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2022</w:t>
      </w:r>
      <w:r>
        <w:rPr>
          <w:rFonts w:ascii="Times New Roman" w:hAnsi="Times New Roman" w:eastAsia="Times New Roman" w:cs="Times New Roman"/>
          <w:spacing w:val="4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年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12</w:t>
      </w:r>
      <w:r>
        <w:rPr>
          <w:rFonts w:ascii="Times New Roman" w:hAnsi="Times New Roman" w:eastAsia="Times New Roman" w:cs="Times New Roman"/>
          <w:spacing w:val="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月底，本单位共有公务用车</w:t>
      </w:r>
      <w:r>
        <w:rPr>
          <w:rFonts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30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辆，其中，特种专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业技术用车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32"/>
          <w:szCs w:val="32"/>
        </w:rPr>
        <w:t>23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辆，其他按照规定配备的公务用车</w:t>
      </w:r>
      <w:r>
        <w:rPr>
          <w:rFonts w:ascii="仿宋" w:hAnsi="仿宋" w:eastAsia="仿宋" w:cs="仿宋"/>
          <w:spacing w:val="-69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32"/>
          <w:szCs w:val="32"/>
        </w:rPr>
        <w:t>7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辆；</w:t>
      </w:r>
      <w:r>
        <w:rPr>
          <w:rFonts w:ascii="仿宋" w:hAnsi="仿宋" w:eastAsia="仿宋" w:cs="仿宋"/>
          <w:spacing w:val="9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单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sz w:val="32"/>
          <w:szCs w:val="32"/>
        </w:rPr>
        <w:t>位价值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50</w:t>
      </w:r>
      <w:r>
        <w:rPr>
          <w:rFonts w:ascii="Times New Roman" w:hAnsi="Times New Roman" w:eastAsia="Times New Roman" w:cs="Times New Roman"/>
          <w:spacing w:val="3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万元以上通用设备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39</w:t>
      </w:r>
      <w:r>
        <w:rPr>
          <w:rFonts w:ascii="Times New Roman" w:hAnsi="Times New Roman" w:eastAsia="Times New Roman" w:cs="Times New Roman"/>
          <w:spacing w:val="50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台，单位价值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100</w:t>
      </w:r>
      <w:r>
        <w:rPr>
          <w:rFonts w:ascii="Times New Roman" w:hAnsi="Times New Roman" w:eastAsia="Times New Roman" w:cs="Times New Roman"/>
          <w:spacing w:val="2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万元以上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专用设备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265</w:t>
      </w:r>
      <w:r>
        <w:rPr>
          <w:rFonts w:ascii="Times New Roman" w:hAnsi="Times New Roman" w:eastAsia="Times New Roman" w:cs="Times New Roman"/>
          <w:spacing w:val="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台。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年拟新增配置公务用车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>0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辆，新增配</w:t>
      </w:r>
    </w:p>
    <w:p>
      <w:pPr>
        <w:sectPr>
          <w:pgSz w:w="11906" w:h="16839"/>
          <w:pgMar w:top="1431" w:right="1544" w:bottom="0" w:left="1785" w:header="0" w:footer="0" w:gutter="0"/>
          <w:cols w:space="720" w:num="1"/>
        </w:sectPr>
      </w:pPr>
    </w:p>
    <w:p>
      <w:pPr>
        <w:spacing w:before="248" w:line="641" w:lineRule="exact"/>
        <w:ind w:firstLine="76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pacing w:val="-7"/>
          <w:position w:val="23"/>
          <w:sz w:val="32"/>
          <w:szCs w:val="32"/>
        </w:rPr>
        <w:t>备单位价值</w:t>
      </w:r>
      <w:r>
        <w:rPr>
          <w:rFonts w:ascii="仿宋" w:hAnsi="仿宋" w:eastAsia="仿宋" w:cs="仿宋"/>
          <w:spacing w:val="-40"/>
          <w:position w:val="2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23"/>
          <w:sz w:val="32"/>
          <w:szCs w:val="32"/>
        </w:rPr>
        <w:t>50</w:t>
      </w:r>
      <w:r>
        <w:rPr>
          <w:rFonts w:ascii="Times New Roman" w:hAnsi="Times New Roman" w:eastAsia="Times New Roman" w:cs="Times New Roman"/>
          <w:spacing w:val="31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position w:val="23"/>
          <w:sz w:val="32"/>
          <w:szCs w:val="32"/>
        </w:rPr>
        <w:t>万元以上通用设备</w:t>
      </w:r>
      <w:r>
        <w:rPr>
          <w:rFonts w:ascii="仿宋" w:hAnsi="仿宋" w:eastAsia="仿宋" w:cs="仿宋"/>
          <w:spacing w:val="-67"/>
          <w:position w:val="2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23"/>
          <w:sz w:val="32"/>
          <w:szCs w:val="32"/>
        </w:rPr>
        <w:t>0</w:t>
      </w:r>
      <w:r>
        <w:rPr>
          <w:rFonts w:ascii="Times New Roman" w:hAnsi="Times New Roman" w:eastAsia="Times New Roman" w:cs="Times New Roman"/>
          <w:spacing w:val="50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position w:val="23"/>
          <w:sz w:val="32"/>
          <w:szCs w:val="32"/>
        </w:rPr>
        <w:t>台，新增单位价值</w:t>
      </w:r>
      <w:r>
        <w:rPr>
          <w:rFonts w:ascii="仿宋" w:hAnsi="仿宋" w:eastAsia="仿宋" w:cs="仿宋"/>
          <w:spacing w:val="-41"/>
          <w:position w:val="2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23"/>
          <w:sz w:val="32"/>
          <w:szCs w:val="32"/>
        </w:rPr>
        <w:t>100</w:t>
      </w:r>
    </w:p>
    <w:p>
      <w:pPr>
        <w:spacing w:line="204" w:lineRule="auto"/>
        <w:ind w:firstLine="9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万元以上专用设备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32"/>
          <w:szCs w:val="32"/>
        </w:rPr>
        <w:t>16</w:t>
      </w:r>
      <w:r>
        <w:rPr>
          <w:rFonts w:ascii="Times New Roman" w:hAnsi="Times New Roman" w:eastAsia="Times New Roman" w:cs="Times New Roman"/>
          <w:spacing w:val="50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台。</w:t>
      </w:r>
    </w:p>
    <w:p>
      <w:pPr>
        <w:spacing w:before="286" w:line="324" w:lineRule="auto"/>
        <w:ind w:left="65" w:right="100" w:firstLine="654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pacing w:val="-15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64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5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六）预算绩效目标说明：</w:t>
      </w:r>
      <w:r>
        <w:rPr>
          <w:rFonts w:ascii="楷体" w:hAnsi="楷体" w:eastAsia="楷体" w:cs="楷体"/>
          <w:spacing w:val="7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本单位所有支出实行绩效目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标管理。纳入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2023</w:t>
      </w:r>
      <w:r>
        <w:rPr>
          <w:rFonts w:ascii="Times New Roman" w:hAnsi="Times New Roman" w:eastAsia="Times New Roman" w:cs="Times New Roman"/>
          <w:spacing w:val="16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年单位整体支出绩效目标的金额为</w:t>
      </w:r>
      <w:r>
        <w:rPr>
          <w:rFonts w:ascii="仿宋" w:hAnsi="仿宋" w:eastAsia="仿宋" w:cs="仿宋"/>
          <w:sz w:val="32"/>
          <w:szCs w:val="32"/>
        </w:rPr>
        <w:t xml:space="preserve">      </w:t>
      </w: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466,000.22</w:t>
      </w:r>
      <w:r>
        <w:rPr>
          <w:rFonts w:ascii="Times New Roman" w:hAnsi="Times New Roman" w:eastAsia="Times New Roman" w:cs="Times New Roman"/>
          <w:spacing w:val="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万元，其中，基本支出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181,024.93</w:t>
      </w:r>
      <w:r>
        <w:rPr>
          <w:rFonts w:ascii="Times New Roman" w:hAnsi="Times New Roman" w:eastAsia="Times New Roman" w:cs="Times New Roman"/>
          <w:spacing w:val="30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万元，项目支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出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284,975.29</w:t>
      </w:r>
      <w:r>
        <w:rPr>
          <w:rFonts w:ascii="Times New Roman" w:hAnsi="Times New Roman" w:eastAsia="Times New Roman" w:cs="Times New Roman"/>
          <w:spacing w:val="30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万元。具体绩效目标详见报表。</w:t>
      </w:r>
    </w:p>
    <w:p>
      <w:pPr>
        <w:spacing w:before="311" w:line="187" w:lineRule="auto"/>
        <w:ind w:firstLine="74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4"/>
          <w:sz w:val="32"/>
          <w:szCs w:val="32"/>
          <w:lang w:eastAsia="zh-CN"/>
        </w:rPr>
        <w:t>七</w:t>
      </w:r>
      <w:r>
        <w:rPr>
          <w:rFonts w:ascii="黑体" w:hAnsi="黑体" w:eastAsia="黑体" w:cs="黑体"/>
          <w:spacing w:val="-4"/>
          <w:sz w:val="32"/>
          <w:szCs w:val="32"/>
        </w:rPr>
        <w:t>、名词解释</w:t>
      </w:r>
    </w:p>
    <w:p>
      <w:pPr>
        <w:spacing w:before="320" w:line="369" w:lineRule="auto"/>
        <w:ind w:left="69" w:firstLine="688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9"/>
          <w:sz w:val="32"/>
          <w:szCs w:val="32"/>
        </w:rPr>
        <w:t>1</w:t>
      </w:r>
      <w:r>
        <w:rPr>
          <w:rFonts w:ascii="Times New Roman" w:hAnsi="Times New Roman" w:eastAsia="Times New Roman" w:cs="Times New Roman"/>
          <w:spacing w:val="-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、机关运行经费：是指各单位的公用经费，包括办公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及印刷费、邮电费、差旅费、会议费、福利费、日常维修费、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专用资料及一般设备购置费、办公用房水电费、办公用房取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暖费、办公用房物业管理费、公务用车运行维护费以及其他</w:t>
      </w:r>
    </w:p>
    <w:p>
      <w:pPr>
        <w:spacing w:line="204" w:lineRule="auto"/>
        <w:ind w:firstLine="9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费用。</w:t>
      </w:r>
    </w:p>
    <w:p>
      <w:pPr>
        <w:spacing w:before="225" w:line="373" w:lineRule="auto"/>
        <w:ind w:right="11" w:firstLine="72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8"/>
          <w:w w:val="96"/>
          <w:sz w:val="32"/>
          <w:szCs w:val="32"/>
        </w:rPr>
        <w:t>2</w:t>
      </w:r>
      <w:r>
        <w:rPr>
          <w:rFonts w:ascii="Times New Roman" w:hAnsi="Times New Roman" w:eastAsia="Times New Roman" w:cs="Times New Roman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、</w:t>
      </w:r>
      <w:r>
        <w:rPr>
          <w:rFonts w:ascii="Times New Roman" w:hAnsi="Times New Roman" w:eastAsia="Times New Roman" w:cs="Times New Roman"/>
          <w:spacing w:val="-8"/>
          <w:w w:val="96"/>
          <w:sz w:val="32"/>
          <w:szCs w:val="32"/>
        </w:rPr>
        <w:t>“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三公</w:t>
      </w:r>
      <w:r>
        <w:rPr>
          <w:rFonts w:ascii="Times New Roman" w:hAnsi="Times New Roman" w:eastAsia="Times New Roman" w:cs="Times New Roman"/>
          <w:spacing w:val="-8"/>
          <w:w w:val="96"/>
          <w:sz w:val="32"/>
          <w:szCs w:val="32"/>
        </w:rPr>
        <w:t>”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经费：纳入省（市</w:t>
      </w:r>
      <w:r>
        <w:rPr>
          <w:rFonts w:ascii="Times New Roman" w:hAnsi="Times New Roman" w:eastAsia="Times New Roman" w:cs="Times New Roman"/>
          <w:spacing w:val="-8"/>
          <w:w w:val="96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县）</w:t>
      </w:r>
      <w:r>
        <w:rPr>
          <w:rFonts w:ascii="仿宋" w:hAnsi="仿宋" w:eastAsia="仿宋" w:cs="仿宋"/>
          <w:spacing w:val="-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财政预算管理的</w:t>
      </w:r>
      <w:r>
        <w:rPr>
          <w:rFonts w:ascii="Times New Roman" w:hAnsi="Times New Roman" w:eastAsia="Times New Roman" w:cs="Times New Roman"/>
          <w:spacing w:val="-8"/>
          <w:w w:val="96"/>
          <w:sz w:val="32"/>
          <w:szCs w:val="32"/>
        </w:rPr>
        <w:t>“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三公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“</w:t>
      </w:r>
      <w:r>
        <w:rPr>
          <w:rFonts w:ascii="仿宋" w:hAnsi="仿宋" w:eastAsia="仿宋" w:cs="仿宋"/>
          <w:spacing w:val="-4"/>
          <w:sz w:val="32"/>
          <w:szCs w:val="32"/>
        </w:rPr>
        <w:t>经费，是指用一般公共预算拨款安排的公务接待费、公务用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车购置及运行维护费和因公出国（境）费。其中，公务接待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费反映单位按规定开支的各类公务接待支出；公务用车购置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及运行费反映单位公务用车车辆购置支出（含车辆购置税</w:t>
      </w:r>
      <w:r>
        <w:rPr>
          <w:rFonts w:ascii="仿宋" w:hAnsi="仿宋" w:eastAsia="仿宋" w:cs="仿宋"/>
          <w:spacing w:val="-116"/>
          <w:sz w:val="32"/>
          <w:szCs w:val="32"/>
        </w:rPr>
        <w:t>）</w:t>
      </w:r>
      <w:r>
        <w:rPr>
          <w:rFonts w:ascii="仿宋" w:hAnsi="仿宋" w:eastAsia="仿宋" w:cs="仿宋"/>
          <w:spacing w:val="-8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6"/>
          <w:sz w:val="32"/>
          <w:szCs w:val="32"/>
        </w:rPr>
        <w:t>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以及燃料费、维修费、保险费等支出；因公出国（境） 费反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映单位公务出国（境）</w:t>
      </w:r>
      <w:r>
        <w:rPr>
          <w:rFonts w:ascii="仿宋" w:hAnsi="仿宋" w:eastAsia="仿宋" w:cs="仿宋"/>
          <w:spacing w:val="-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的国际旅费、国外城市间交通费、住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宿费、伙食费、培训费、公杂费等等支出。</w:t>
      </w:r>
    </w:p>
    <w:sectPr>
      <w:pgSz w:w="11906" w:h="16839"/>
      <w:pgMar w:top="1431" w:right="1699" w:bottom="0" w:left="173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11D014A6-C3E2-42EE-9E02-1692C06A1E6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9E114B8-1B6B-46A2-934D-168B76A97FD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  <w:embedRegular r:id="rId3" w:fontKey="{82BE3A7E-966E-4715-AF8A-96A3E7E29301}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  <w:embedRegular r:id="rId4" w:fontKey="{B9AF9CB2-17F6-4CF4-A96C-F20671277FE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8A57974-B17B-4E84-9DEC-C53FBB63AEB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96A8B4F5-0C53-41C4-A2F4-470F99EB7B3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5F1486E0-594F-438A-B840-DC8C7D28F6EB}"/>
  </w:font>
  <w:font w:name="方正小标宋简体">
    <w:altName w:val="方正小标宋简体"/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8" w:fontKey="{3D6C44E0-0897-4BD8-9E58-8337976B1A9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FjZjZhM2ZlZTJkYzMwMzFkNjcwZGY0OTk1NjU1ZjkifQ=="/>
    <w:docVar w:name="KSO_WPS_MARK_KEY" w:val="9f9bdd7b-6fd1-45fe-9c7f-9a36a02ffa4b"/>
  </w:docVars>
  <w:rsids>
    <w:rsidRoot w:val="00000000"/>
    <w:rsid w:val="08F83F86"/>
    <w:rsid w:val="32455FED"/>
    <w:rsid w:val="5D4C56D3"/>
    <w:rsid w:val="63275824"/>
    <w:rsid w:val="6CE60AD8"/>
    <w:rsid w:val="744A64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2693</Words>
  <Characters>2974</Characters>
  <TotalTime>1</TotalTime>
  <ScaleCrop>false</ScaleCrop>
  <LinksUpToDate>false</LinksUpToDate>
  <CharactersWithSpaces>3206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2023-03-01T20:21:00Z</dcterms:created>
  <dc:creator>徐徐</dc:creator>
  <cp:lastModifiedBy>Pure Sophia</cp:lastModifiedBy>
  <dcterms:modified xsi:type="dcterms:W3CDTF">2023-03-04T07:00:41Z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2023-03-03T19:36:05Z</vt:filetime>
  </property>
  <property fmtid="{D5CDD505-2E9C-101B-9397-08002B2CF9AE}" pid="4" name="KSOProductBuildVer">
    <vt:lpwstr>2052-11.1.0.12970</vt:lpwstr>
  </property>
  <property fmtid="{D5CDD505-2E9C-101B-9397-08002B2CF9AE}" pid="5" name="ICV">
    <vt:lpwstr>FA4AE541D0AF42AA820645833E598579</vt:lpwstr>
  </property>
</Properties>
</file>