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</w:rPr>
      </w:pPr>
      <w:r>
        <w:rPr>
          <w:rFonts w:hint="default" w:eastAsia="方正小标宋_GBK"/>
          <w:bCs/>
          <w:color w:val="auto"/>
          <w:sz w:val="44"/>
          <w:szCs w:val="44"/>
          <w:lang w:eastAsia="zh-CN"/>
        </w:rPr>
        <w:t>2023</w:t>
      </w:r>
      <w:r>
        <w:rPr>
          <w:rFonts w:hint="default" w:eastAsia="方正小标宋_GBK"/>
          <w:bCs/>
          <w:color w:val="auto"/>
          <w:sz w:val="44"/>
          <w:szCs w:val="44"/>
        </w:rPr>
        <w:t>年</w:t>
      </w:r>
      <w:r>
        <w:rPr>
          <w:rFonts w:hint="eastAsia" w:eastAsia="方正小标宋_GBK"/>
          <w:bCs/>
          <w:color w:val="auto"/>
          <w:sz w:val="44"/>
          <w:szCs w:val="44"/>
        </w:rPr>
        <w:t>南华大学附属第二医院</w:t>
      </w: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  <w:t>目录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hint="default" w:ascii="Times New Roman" w:hAnsi="Times New Roman" w:eastAsia="方正小标宋_GBK" w:cs="Times New Roman"/>
          <w:b/>
          <w:bCs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</w:rPr>
        <w:t>第一部分</w:t>
      </w:r>
      <w:r>
        <w:rPr>
          <w:rFonts w:hint="default" w:ascii="Times New Roman" w:hAnsi="Times New Roman" w:eastAsia="方正小标宋_GBK" w:cs="Times New Roman"/>
          <w:b/>
          <w:bCs/>
          <w:color w:val="auto"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</w:rPr>
        <w:t>第二部分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12、一般公共预算基本支出表-公用经费（商品和服务支出）（按政府预算经济分类）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13、一般公共预算基本支出表-公用经费（商品和服务支出）（按部门预算经济分类）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color w:val="auto"/>
        </w:rPr>
      </w:pP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注：</w:t>
      </w:r>
      <w:r>
        <w:rPr>
          <w:rFonts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以上单位预算报表中，空表表示本单位无相关收</w:t>
      </w:r>
      <w:r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支情况。</w:t>
      </w: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第一部分</w:t>
      </w: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  <w:lang w:eastAsia="zh-CN"/>
        </w:rPr>
        <w:t>2023</w:t>
      </w: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</w:rPr>
      </w:pPr>
    </w:p>
    <w:p>
      <w:pPr>
        <w:widowControl/>
        <w:numPr>
          <w:ilvl w:val="0"/>
          <w:numId w:val="1"/>
        </w:numPr>
        <w:spacing w:line="600" w:lineRule="exact"/>
        <w:ind w:firstLine="627" w:firstLineChars="196"/>
        <w:jc w:val="left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  <w:t>单位基本概况</w:t>
      </w:r>
    </w:p>
    <w:p>
      <w:pPr>
        <w:widowControl/>
        <w:numPr>
          <w:ilvl w:val="0"/>
          <w:numId w:val="2"/>
        </w:numPr>
        <w:spacing w:line="600" w:lineRule="exact"/>
        <w:ind w:firstLine="630" w:firstLineChars="196"/>
        <w:jc w:val="left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</w:rPr>
        <w:t>职能职责</w:t>
      </w:r>
    </w:p>
    <w:p>
      <w:pPr>
        <w:spacing w:line="600" w:lineRule="exact"/>
        <w:ind w:firstLine="627" w:firstLineChars="196"/>
        <w:rPr>
          <w:rFonts w:eastAsia="仿宋_GB2312" w:cs="Times New Roman"/>
          <w:color w:val="auto"/>
          <w:sz w:val="32"/>
          <w:szCs w:val="32"/>
        </w:rPr>
      </w:pPr>
      <w:r>
        <w:rPr>
          <w:rFonts w:eastAsia="仿宋_GB2312" w:cs="Times New Roman"/>
          <w:color w:val="auto"/>
          <w:sz w:val="32"/>
          <w:szCs w:val="32"/>
        </w:rPr>
        <w:t>南华大学附属第二医院始建于1949年，原名衡阳市立人民医院，其后曾改名为衡阳市立第一人民医院、衡阳医专附属医院、衡阳医学院附属医院、2000年更名为南华大学附属第二医院，是湖南省继湘雅附一、附二医院之后的第三家教学医院，是一所集医疗、教学、科研为一体的大型综合性三级甲等医院，是省、市、县职工及居民医保、工伤保险、铁路医保、新型农村合作医疗定点医院，是全国百姓放心医院。经过70多年的发展，现已形成新院、东院（胸心医学中心）</w:t>
      </w:r>
      <w:r>
        <w:rPr>
          <w:rFonts w:hint="eastAsia" w:eastAsia="仿宋_GB2312" w:cs="Times New Roman"/>
          <w:color w:val="auto"/>
          <w:sz w:val="32"/>
          <w:szCs w:val="32"/>
        </w:rPr>
        <w:t>“一院两址”</w:t>
      </w:r>
      <w:r>
        <w:rPr>
          <w:rFonts w:eastAsia="仿宋_GB2312" w:cs="Times New Roman"/>
          <w:color w:val="auto"/>
          <w:sz w:val="32"/>
          <w:szCs w:val="32"/>
        </w:rPr>
        <w:t>的格局。</w:t>
      </w:r>
      <w:r>
        <w:rPr>
          <w:rFonts w:hint="eastAsia" w:eastAsia="仿宋_GB2312" w:cs="Times New Roman"/>
          <w:color w:val="auto"/>
          <w:sz w:val="32"/>
          <w:szCs w:val="32"/>
        </w:rPr>
        <w:t>新院区和东院区总占地150多亩，总建筑面积16万平方米，合计编制床位1850张</w:t>
      </w:r>
      <w:r>
        <w:rPr>
          <w:rFonts w:eastAsia="仿宋_GB2312" w:cs="Times New Roman"/>
          <w:color w:val="auto"/>
          <w:sz w:val="32"/>
          <w:szCs w:val="32"/>
        </w:rPr>
        <w:t>。</w:t>
      </w:r>
    </w:p>
    <w:p>
      <w:pPr>
        <w:spacing w:line="600" w:lineRule="exact"/>
        <w:ind w:firstLine="627" w:firstLineChars="196"/>
        <w:rPr>
          <w:rFonts w:eastAsia="仿宋_GB2312" w:cs="Times New Roman"/>
          <w:color w:val="auto"/>
          <w:sz w:val="32"/>
          <w:szCs w:val="32"/>
        </w:rPr>
      </w:pPr>
      <w:r>
        <w:rPr>
          <w:rFonts w:eastAsia="仿宋_GB2312" w:cs="Times New Roman"/>
          <w:color w:val="auto"/>
          <w:sz w:val="32"/>
          <w:szCs w:val="32"/>
        </w:rPr>
        <w:t>南华附二人始终秉承</w:t>
      </w:r>
      <w:r>
        <w:rPr>
          <w:rFonts w:hint="eastAsia" w:eastAsia="仿宋_GB2312" w:cs="Times New Roman"/>
          <w:color w:val="auto"/>
          <w:sz w:val="32"/>
          <w:szCs w:val="32"/>
        </w:rPr>
        <w:t>“</w:t>
      </w:r>
      <w:r>
        <w:rPr>
          <w:rFonts w:eastAsia="仿宋_GB2312" w:cs="Times New Roman"/>
          <w:color w:val="auto"/>
          <w:sz w:val="32"/>
          <w:szCs w:val="32"/>
        </w:rPr>
        <w:t>医诚术精，行方智圆</w:t>
      </w:r>
      <w:r>
        <w:rPr>
          <w:rFonts w:hint="eastAsia" w:eastAsia="仿宋_GB2312" w:cs="Times New Roman"/>
          <w:color w:val="auto"/>
          <w:sz w:val="32"/>
          <w:szCs w:val="32"/>
        </w:rPr>
        <w:t>”</w:t>
      </w:r>
      <w:r>
        <w:rPr>
          <w:rFonts w:eastAsia="仿宋_GB2312" w:cs="Times New Roman"/>
          <w:color w:val="auto"/>
          <w:sz w:val="32"/>
          <w:szCs w:val="32"/>
        </w:rPr>
        <w:t>的办院理念，坚持</w:t>
      </w:r>
      <w:r>
        <w:rPr>
          <w:rFonts w:hint="eastAsia" w:eastAsia="仿宋_GB2312" w:cs="Times New Roman"/>
          <w:color w:val="auto"/>
          <w:sz w:val="32"/>
          <w:szCs w:val="32"/>
        </w:rPr>
        <w:t>“</w:t>
      </w:r>
      <w:r>
        <w:rPr>
          <w:rFonts w:eastAsia="仿宋_GB2312" w:cs="Times New Roman"/>
          <w:color w:val="auto"/>
          <w:sz w:val="32"/>
          <w:szCs w:val="32"/>
        </w:rPr>
        <w:t>病人为尊、质量为先、安全为重</w:t>
      </w:r>
      <w:r>
        <w:rPr>
          <w:rFonts w:hint="eastAsia" w:eastAsia="仿宋_GB2312" w:cs="Times New Roman"/>
          <w:color w:val="auto"/>
          <w:sz w:val="32"/>
          <w:szCs w:val="32"/>
        </w:rPr>
        <w:t>”</w:t>
      </w:r>
      <w:r>
        <w:rPr>
          <w:rFonts w:eastAsia="仿宋_GB2312" w:cs="Times New Roman"/>
          <w:color w:val="auto"/>
          <w:sz w:val="32"/>
          <w:szCs w:val="32"/>
        </w:rPr>
        <w:t>的服务理念，坚持以人为本、以病人为中心，团结拼搏、艰苦奋斗、锐意进取、不断创新的办院精神，以真诚的微笑，精湛的医术</w:t>
      </w:r>
      <w:r>
        <w:rPr>
          <w:rFonts w:hint="eastAsia" w:eastAsia="仿宋_GB2312" w:cs="Times New Roman"/>
          <w:color w:val="auto"/>
          <w:sz w:val="32"/>
          <w:szCs w:val="32"/>
        </w:rPr>
        <w:t>，</w:t>
      </w:r>
      <w:r>
        <w:rPr>
          <w:rFonts w:eastAsia="仿宋_GB2312" w:cs="Times New Roman"/>
          <w:color w:val="auto"/>
          <w:sz w:val="32"/>
          <w:szCs w:val="32"/>
        </w:rPr>
        <w:t>力争把医院建设成</w:t>
      </w:r>
      <w:r>
        <w:rPr>
          <w:rFonts w:hint="eastAsia" w:eastAsia="仿宋_GB2312" w:cs="Times New Roman"/>
          <w:color w:val="auto"/>
          <w:sz w:val="32"/>
          <w:szCs w:val="32"/>
        </w:rPr>
        <w:t>“</w:t>
      </w:r>
      <w:r>
        <w:rPr>
          <w:rFonts w:eastAsia="仿宋_GB2312" w:cs="Times New Roman"/>
          <w:color w:val="auto"/>
          <w:sz w:val="32"/>
          <w:szCs w:val="32"/>
        </w:rPr>
        <w:t>国内知名、省内先进、特色鲜明的医教研三位一体的综合性医院</w:t>
      </w:r>
      <w:r>
        <w:rPr>
          <w:rFonts w:hint="eastAsia" w:eastAsia="仿宋_GB2312" w:cs="Times New Roman"/>
          <w:color w:val="auto"/>
          <w:sz w:val="32"/>
          <w:szCs w:val="32"/>
        </w:rPr>
        <w:t>”</w:t>
      </w:r>
      <w:r>
        <w:rPr>
          <w:rFonts w:eastAsia="仿宋_GB2312" w:cs="Times New Roman"/>
          <w:color w:val="auto"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jc w:val="left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</w:rPr>
        <w:t>（二）机构设置。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eastAsia="仿宋_GB2312" w:cs="Times New Roman"/>
          <w:color w:val="auto"/>
          <w:sz w:val="32"/>
          <w:szCs w:val="32"/>
        </w:rPr>
      </w:pPr>
      <w:r>
        <w:rPr>
          <w:rFonts w:eastAsia="仿宋_GB2312" w:cs="Times New Roman"/>
          <w:color w:val="auto"/>
          <w:sz w:val="32"/>
          <w:szCs w:val="32"/>
          <w:lang w:val="en-US" w:eastAsia="zh-CN"/>
        </w:rPr>
        <w:t>内设机构。</w:t>
      </w:r>
      <w:r>
        <w:rPr>
          <w:rFonts w:eastAsia="仿宋_GB2312" w:cs="Times New Roman"/>
          <w:color w:val="auto"/>
          <w:sz w:val="32"/>
          <w:szCs w:val="32"/>
        </w:rPr>
        <w:t>南华大学附属第二医院是差额拨款事业单位。医院职能部门设置：党政办公室、人力资源部、医务工作部、护理部、</w:t>
      </w:r>
      <w:r>
        <w:rPr>
          <w:rFonts w:hint="eastAsia" w:eastAsia="仿宋_GB2312" w:cs="Times New Roman"/>
          <w:color w:val="auto"/>
          <w:sz w:val="32"/>
          <w:szCs w:val="32"/>
        </w:rPr>
        <w:t>医院感染控制与公共卫生管理部、</w:t>
      </w:r>
      <w:r>
        <w:rPr>
          <w:rFonts w:eastAsia="仿宋_GB2312" w:cs="Times New Roman"/>
          <w:color w:val="auto"/>
          <w:sz w:val="32"/>
          <w:szCs w:val="32"/>
        </w:rPr>
        <w:t>门急诊部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eastAsia="仿宋_GB2312" w:cs="Times New Roman"/>
          <w:color w:val="auto"/>
          <w:sz w:val="32"/>
          <w:szCs w:val="32"/>
        </w:rPr>
        <w:t>教学</w:t>
      </w:r>
      <w:r>
        <w:rPr>
          <w:rFonts w:hint="eastAsia" w:eastAsia="仿宋_GB2312" w:cs="Times New Roman"/>
          <w:color w:val="auto"/>
          <w:sz w:val="32"/>
          <w:szCs w:val="32"/>
        </w:rPr>
        <w:t>及</w:t>
      </w:r>
      <w:r>
        <w:rPr>
          <w:rFonts w:eastAsia="仿宋_GB2312" w:cs="Times New Roman"/>
          <w:color w:val="auto"/>
          <w:sz w:val="32"/>
          <w:szCs w:val="32"/>
        </w:rPr>
        <w:t>学生工作部、科研</w:t>
      </w:r>
      <w:r>
        <w:rPr>
          <w:rFonts w:hint="eastAsia" w:eastAsia="仿宋_GB2312" w:cs="Times New Roman"/>
          <w:color w:val="auto"/>
          <w:sz w:val="32"/>
          <w:szCs w:val="32"/>
        </w:rPr>
        <w:t>及学科建设</w:t>
      </w:r>
      <w:r>
        <w:rPr>
          <w:rFonts w:eastAsia="仿宋_GB2312" w:cs="Times New Roman"/>
          <w:color w:val="auto"/>
          <w:sz w:val="32"/>
          <w:szCs w:val="32"/>
        </w:rPr>
        <w:t>部、财务部、运营管理部、审计室、医学装备部、基建办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eastAsia="仿宋_GB2312" w:cs="Times New Roman"/>
          <w:color w:val="auto"/>
          <w:sz w:val="32"/>
          <w:szCs w:val="32"/>
        </w:rPr>
        <w:t>安全生产与后勤保障部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eastAsia="仿宋_GB2312" w:cs="Times New Roman"/>
          <w:color w:val="auto"/>
          <w:sz w:val="32"/>
          <w:szCs w:val="32"/>
        </w:rPr>
        <w:t>全面质量评价与医疗保险部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eastAsia="仿宋_GB2312" w:cs="Times New Roman"/>
          <w:color w:val="auto"/>
          <w:sz w:val="32"/>
          <w:szCs w:val="32"/>
        </w:rPr>
        <w:t>离退休办公室、监察室、</w:t>
      </w:r>
      <w:r>
        <w:rPr>
          <w:rFonts w:hint="eastAsia" w:eastAsia="仿宋_GB2312" w:cs="Times New Roman"/>
          <w:color w:val="auto"/>
          <w:sz w:val="32"/>
          <w:szCs w:val="32"/>
        </w:rPr>
        <w:t>信息网络中心、招投标中心</w:t>
      </w:r>
      <w:r>
        <w:rPr>
          <w:rFonts w:eastAsia="仿宋_GB2312" w:cs="Times New Roman"/>
          <w:color w:val="auto"/>
          <w:sz w:val="32"/>
          <w:szCs w:val="32"/>
        </w:rPr>
        <w:t>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eastAsia="仿宋_GB2312" w:cs="Times New Roman"/>
          <w:color w:val="auto"/>
          <w:sz w:val="32"/>
          <w:szCs w:val="32"/>
        </w:rPr>
      </w:pPr>
      <w:r>
        <w:rPr>
          <w:rFonts w:hint="eastAsia" w:eastAsia="仿宋_GB2312" w:cs="Times New Roman"/>
          <w:color w:val="auto"/>
          <w:sz w:val="32"/>
          <w:szCs w:val="32"/>
        </w:rPr>
        <w:t>业务</w:t>
      </w:r>
      <w:r>
        <w:rPr>
          <w:rFonts w:eastAsia="仿宋_GB2312" w:cs="Times New Roman"/>
          <w:color w:val="auto"/>
          <w:sz w:val="32"/>
          <w:szCs w:val="32"/>
        </w:rPr>
        <w:t>科室设置：消化内科、神经内科、老年医学科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eastAsia="仿宋_GB2312" w:cs="Times New Roman"/>
          <w:color w:val="auto"/>
          <w:sz w:val="32"/>
          <w:szCs w:val="32"/>
        </w:rPr>
        <w:t>内分泌</w:t>
      </w:r>
      <w:r>
        <w:rPr>
          <w:rFonts w:hint="eastAsia" w:eastAsia="仿宋_GB2312" w:cs="Times New Roman"/>
          <w:color w:val="auto"/>
          <w:sz w:val="32"/>
          <w:szCs w:val="32"/>
        </w:rPr>
        <w:t>与营养</w:t>
      </w:r>
      <w:r>
        <w:rPr>
          <w:rFonts w:eastAsia="仿宋_GB2312" w:cs="Times New Roman"/>
          <w:color w:val="auto"/>
          <w:sz w:val="32"/>
          <w:szCs w:val="32"/>
        </w:rPr>
        <w:t>科、肿瘤中心、肾内科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eastAsia="仿宋_GB2312" w:cs="Times New Roman"/>
          <w:color w:val="auto"/>
          <w:sz w:val="32"/>
          <w:szCs w:val="32"/>
        </w:rPr>
        <w:t>风湿免疫科、儿科、普</w:t>
      </w:r>
      <w:r>
        <w:rPr>
          <w:rFonts w:hint="eastAsia" w:eastAsia="仿宋_GB2312" w:cs="Times New Roman"/>
          <w:color w:val="auto"/>
          <w:sz w:val="32"/>
          <w:szCs w:val="32"/>
        </w:rPr>
        <w:t>通</w:t>
      </w:r>
      <w:r>
        <w:rPr>
          <w:rFonts w:eastAsia="仿宋_GB2312" w:cs="Times New Roman"/>
          <w:color w:val="auto"/>
          <w:sz w:val="32"/>
          <w:szCs w:val="32"/>
        </w:rPr>
        <w:t>外科</w:t>
      </w:r>
      <w:r>
        <w:rPr>
          <w:rFonts w:hint="eastAsia" w:eastAsia="仿宋_GB2312" w:cs="Times New Roman"/>
          <w:color w:val="auto"/>
          <w:sz w:val="32"/>
          <w:szCs w:val="32"/>
        </w:rPr>
        <w:t>（</w:t>
      </w:r>
      <w:r>
        <w:rPr>
          <w:rFonts w:eastAsia="仿宋_GB2312" w:cs="Times New Roman"/>
          <w:color w:val="auto"/>
          <w:sz w:val="32"/>
          <w:szCs w:val="32"/>
        </w:rPr>
        <w:t>肝胆胰脾外科、胃肠肿瘤与胃肠外科、乳</w:t>
      </w:r>
      <w:r>
        <w:rPr>
          <w:rFonts w:hint="eastAsia" w:eastAsia="仿宋_GB2312" w:cs="Times New Roman"/>
          <w:color w:val="auto"/>
          <w:sz w:val="32"/>
          <w:szCs w:val="32"/>
        </w:rPr>
        <w:t>腺</w:t>
      </w:r>
      <w:r>
        <w:rPr>
          <w:rFonts w:eastAsia="仿宋_GB2312" w:cs="Times New Roman"/>
          <w:color w:val="auto"/>
          <w:sz w:val="32"/>
          <w:szCs w:val="32"/>
        </w:rPr>
        <w:t>甲</w:t>
      </w:r>
      <w:r>
        <w:rPr>
          <w:rFonts w:hint="eastAsia" w:eastAsia="仿宋_GB2312" w:cs="Times New Roman"/>
          <w:color w:val="auto"/>
          <w:sz w:val="32"/>
          <w:szCs w:val="32"/>
        </w:rPr>
        <w:t>状腺</w:t>
      </w:r>
      <w:r>
        <w:rPr>
          <w:rFonts w:eastAsia="仿宋_GB2312" w:cs="Times New Roman"/>
          <w:color w:val="auto"/>
          <w:sz w:val="32"/>
          <w:szCs w:val="32"/>
        </w:rPr>
        <w:t>外科、血管</w:t>
      </w:r>
      <w:r>
        <w:rPr>
          <w:rFonts w:hint="eastAsia" w:eastAsia="仿宋_GB2312" w:cs="Times New Roman"/>
          <w:color w:val="auto"/>
          <w:sz w:val="32"/>
          <w:szCs w:val="32"/>
        </w:rPr>
        <w:t>疝及</w:t>
      </w:r>
      <w:r>
        <w:rPr>
          <w:rFonts w:eastAsia="仿宋_GB2312" w:cs="Times New Roman"/>
          <w:color w:val="auto"/>
          <w:sz w:val="32"/>
          <w:szCs w:val="32"/>
        </w:rPr>
        <w:t>儿</w:t>
      </w:r>
      <w:r>
        <w:rPr>
          <w:rFonts w:hint="eastAsia" w:eastAsia="仿宋_GB2312" w:cs="Times New Roman"/>
          <w:color w:val="auto"/>
          <w:sz w:val="32"/>
          <w:szCs w:val="32"/>
        </w:rPr>
        <w:t>童普</w:t>
      </w:r>
      <w:r>
        <w:rPr>
          <w:rFonts w:eastAsia="仿宋_GB2312" w:cs="Times New Roman"/>
          <w:color w:val="auto"/>
          <w:sz w:val="32"/>
          <w:szCs w:val="32"/>
        </w:rPr>
        <w:t>外科</w:t>
      </w:r>
      <w:r>
        <w:rPr>
          <w:rFonts w:hint="eastAsia" w:eastAsia="仿宋_GB2312" w:cs="Times New Roman"/>
          <w:color w:val="auto"/>
          <w:sz w:val="32"/>
          <w:szCs w:val="32"/>
        </w:rPr>
        <w:t>）、</w:t>
      </w:r>
      <w:r>
        <w:rPr>
          <w:rFonts w:eastAsia="仿宋_GB2312" w:cs="Times New Roman"/>
          <w:color w:val="auto"/>
          <w:sz w:val="32"/>
          <w:szCs w:val="32"/>
        </w:rPr>
        <w:t>骨科（创伤骨科、关节外科、儿童骨科及手足外科）、脊柱外科、泌尿外科、神经外科、烧伤整形科、疼痛</w:t>
      </w:r>
      <w:r>
        <w:rPr>
          <w:rFonts w:hint="eastAsia" w:eastAsia="仿宋_GB2312" w:cs="Times New Roman"/>
          <w:color w:val="auto"/>
          <w:sz w:val="32"/>
          <w:szCs w:val="32"/>
        </w:rPr>
        <w:t>及康复</w:t>
      </w:r>
      <w:r>
        <w:rPr>
          <w:rFonts w:eastAsia="仿宋_GB2312" w:cs="Times New Roman"/>
          <w:color w:val="auto"/>
          <w:sz w:val="32"/>
          <w:szCs w:val="32"/>
        </w:rPr>
        <w:t>科、眼科、耳鼻咽喉头颈外科、颌面外科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eastAsia="仿宋_GB2312" w:cs="Times New Roman"/>
          <w:color w:val="auto"/>
          <w:sz w:val="32"/>
          <w:szCs w:val="32"/>
        </w:rPr>
        <w:t>麻醉科、皮肤</w:t>
      </w:r>
      <w:r>
        <w:rPr>
          <w:rFonts w:hint="eastAsia" w:eastAsia="仿宋_GB2312" w:cs="Times New Roman"/>
          <w:color w:val="auto"/>
          <w:sz w:val="32"/>
          <w:szCs w:val="32"/>
        </w:rPr>
        <w:t>性病</w:t>
      </w:r>
      <w:r>
        <w:rPr>
          <w:rFonts w:eastAsia="仿宋_GB2312" w:cs="Times New Roman"/>
          <w:color w:val="auto"/>
          <w:sz w:val="32"/>
          <w:szCs w:val="32"/>
        </w:rPr>
        <w:t>科、妇产科、重症医学科、急诊科、健康管理</w:t>
      </w:r>
      <w:r>
        <w:rPr>
          <w:rFonts w:hint="eastAsia" w:eastAsia="仿宋_GB2312" w:cs="Times New Roman"/>
          <w:color w:val="auto"/>
          <w:sz w:val="32"/>
          <w:szCs w:val="32"/>
        </w:rPr>
        <w:t>（体检）</w:t>
      </w:r>
      <w:r>
        <w:rPr>
          <w:rFonts w:eastAsia="仿宋_GB2312" w:cs="Times New Roman"/>
          <w:color w:val="auto"/>
          <w:sz w:val="32"/>
          <w:szCs w:val="32"/>
        </w:rPr>
        <w:t>中心、检验科、输血科、放射影像科、超声医学科、功能检查科、病理科、</w:t>
      </w:r>
      <w:r>
        <w:rPr>
          <w:rFonts w:hint="eastAsia" w:eastAsia="仿宋_GB2312" w:cs="Times New Roman"/>
          <w:color w:val="auto"/>
          <w:sz w:val="32"/>
          <w:szCs w:val="32"/>
        </w:rPr>
        <w:t>Ⅰ期</w:t>
      </w:r>
      <w:r>
        <w:rPr>
          <w:rFonts w:eastAsia="仿宋_GB2312" w:cs="Times New Roman"/>
          <w:color w:val="auto"/>
          <w:sz w:val="32"/>
          <w:szCs w:val="32"/>
        </w:rPr>
        <w:t>药物临床</w:t>
      </w:r>
      <w:r>
        <w:rPr>
          <w:rFonts w:hint="eastAsia" w:eastAsia="仿宋_GB2312" w:cs="Times New Roman"/>
          <w:color w:val="auto"/>
          <w:sz w:val="32"/>
          <w:szCs w:val="32"/>
        </w:rPr>
        <w:t>试</w:t>
      </w:r>
      <w:r>
        <w:rPr>
          <w:rFonts w:eastAsia="仿宋_GB2312" w:cs="Times New Roman"/>
          <w:color w:val="auto"/>
          <w:sz w:val="32"/>
          <w:szCs w:val="32"/>
        </w:rPr>
        <w:t>验</w:t>
      </w:r>
      <w:r>
        <w:rPr>
          <w:rFonts w:hint="eastAsia" w:eastAsia="仿宋_GB2312" w:cs="Times New Roman"/>
          <w:color w:val="auto"/>
          <w:sz w:val="32"/>
          <w:szCs w:val="32"/>
        </w:rPr>
        <w:t>病房</w:t>
      </w:r>
      <w:r>
        <w:rPr>
          <w:rFonts w:eastAsia="仿宋_GB2312" w:cs="Times New Roman"/>
          <w:color w:val="auto"/>
          <w:sz w:val="32"/>
          <w:szCs w:val="32"/>
        </w:rPr>
        <w:t>、药</w:t>
      </w:r>
      <w:r>
        <w:rPr>
          <w:rFonts w:hint="eastAsia" w:eastAsia="仿宋_GB2312" w:cs="Times New Roman"/>
          <w:color w:val="auto"/>
          <w:sz w:val="32"/>
          <w:szCs w:val="32"/>
        </w:rPr>
        <w:t>学部</w:t>
      </w:r>
      <w:r>
        <w:rPr>
          <w:rFonts w:eastAsia="仿宋_GB2312" w:cs="Times New Roman"/>
          <w:color w:val="auto"/>
          <w:sz w:val="32"/>
          <w:szCs w:val="32"/>
        </w:rPr>
        <w:t>、心血管内科、呼吸与危重</w:t>
      </w:r>
      <w:r>
        <w:rPr>
          <w:rFonts w:hint="eastAsia" w:eastAsia="仿宋_GB2312" w:cs="Times New Roman"/>
          <w:color w:val="auto"/>
          <w:sz w:val="32"/>
          <w:szCs w:val="32"/>
        </w:rPr>
        <w:t>症</w:t>
      </w:r>
      <w:r>
        <w:rPr>
          <w:rFonts w:eastAsia="仿宋_GB2312" w:cs="Times New Roman"/>
          <w:color w:val="auto"/>
          <w:sz w:val="32"/>
          <w:szCs w:val="32"/>
        </w:rPr>
        <w:t>医学科、心脏大血管外科、普胸外科、肛肠科、</w:t>
      </w:r>
      <w:r>
        <w:rPr>
          <w:rFonts w:hint="eastAsia" w:eastAsia="仿宋_GB2312" w:cs="Times New Roman"/>
          <w:color w:val="auto"/>
          <w:sz w:val="32"/>
          <w:szCs w:val="32"/>
        </w:rPr>
        <w:t>普外科、全科医学科、</w:t>
      </w:r>
      <w:r>
        <w:rPr>
          <w:rFonts w:eastAsia="仿宋_GB2312" w:cs="Times New Roman"/>
          <w:color w:val="auto"/>
          <w:sz w:val="32"/>
          <w:szCs w:val="32"/>
        </w:rPr>
        <w:t>中医科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eastAsia="仿宋_GB2312" w:cs="Times New Roman"/>
          <w:color w:val="auto"/>
          <w:sz w:val="32"/>
          <w:szCs w:val="32"/>
        </w:rPr>
        <w:t>口腔科</w:t>
      </w:r>
      <w:r>
        <w:rPr>
          <w:rFonts w:hint="eastAsia" w:eastAsia="仿宋_GB2312" w:cs="Times New Roman"/>
          <w:color w:val="auto"/>
          <w:sz w:val="32"/>
          <w:szCs w:val="32"/>
        </w:rPr>
        <w:t>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eastAsia="仿宋_GB2312" w:cs="Times New Roman"/>
          <w:color w:val="auto"/>
          <w:sz w:val="32"/>
          <w:szCs w:val="32"/>
        </w:rPr>
      </w:pPr>
      <w:r>
        <w:rPr>
          <w:rFonts w:hint="eastAsia" w:eastAsia="黑体" w:cs="Times New Roman"/>
          <w:bCs/>
          <w:kern w:val="0"/>
          <w:sz w:val="32"/>
          <w:szCs w:val="32"/>
          <w:lang w:eastAsia="zh-CN"/>
        </w:rPr>
        <w:t>二、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预算单位构成</w:t>
      </w:r>
    </w:p>
    <w:p>
      <w:pPr>
        <w:widowControl/>
        <w:numPr>
          <w:numId w:val="0"/>
        </w:numPr>
        <w:spacing w:line="600" w:lineRule="exact"/>
        <w:ind w:firstLine="640" w:firstLineChars="200"/>
        <w:jc w:val="left"/>
        <w:rPr>
          <w:rFonts w:hint="eastAsia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eastAsia="仿宋_GB2312" w:cs="Times New Roman"/>
          <w:color w:val="auto"/>
          <w:sz w:val="32"/>
          <w:szCs w:val="32"/>
          <w:lang w:val="en-US" w:eastAsia="zh-CN"/>
        </w:rPr>
        <w:t>202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3年部门预算汇总公开单位构成包括：南华大学附属第二医院单位本级。本单位无下属预算单位</w:t>
      </w:r>
      <w:r>
        <w:rPr>
          <w:rFonts w:hint="eastAsia" w:eastAsia="仿宋_GB2312" w:cs="Times New Roman"/>
          <w:color w:val="auto"/>
          <w:sz w:val="32"/>
          <w:szCs w:val="32"/>
          <w:lang w:val="en" w:eastAsia="zh-CN"/>
        </w:rPr>
        <w:t>。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eastAsia="仿宋_GB2312" w:cs="Times New Roman"/>
          <w:color w:val="auto"/>
          <w:sz w:val="32"/>
          <w:szCs w:val="32"/>
          <w:lang w:val="en-US" w:eastAsia="zh-CN"/>
        </w:rPr>
      </w:pPr>
    </w:p>
    <w:p>
      <w:pPr>
        <w:widowControl/>
        <w:spacing w:line="600" w:lineRule="exact"/>
        <w:ind w:firstLine="627" w:firstLineChars="196"/>
        <w:jc w:val="left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</w:pPr>
      <w:r>
        <w:rPr>
          <w:rFonts w:hint="eastAsia" w:eastAsia="黑体" w:cs="Times New Roman"/>
          <w:bCs/>
          <w:color w:val="auto"/>
          <w:kern w:val="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（一）收入预算：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年本单位收入预算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179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531.2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万元，其中，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其中，财政拨款总收入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3,301.27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万元（一般公共预算拨款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669.79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 xml:space="preserve">万元，上年结余结转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631.48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万元），</w:t>
      </w:r>
      <w:r>
        <w:rPr>
          <w:rFonts w:hint="eastAsia" w:eastAsia="仿宋_GB2312"/>
          <w:color w:val="auto"/>
          <w:sz w:val="32"/>
          <w:szCs w:val="32"/>
          <w:highlight w:val="none"/>
        </w:rPr>
        <w:t>事业收入170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eastAsia="仿宋_GB2312"/>
          <w:color w:val="auto"/>
          <w:sz w:val="32"/>
          <w:szCs w:val="32"/>
          <w:highlight w:val="none"/>
        </w:rPr>
        <w:t>000万元，其他收入6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eastAsia="仿宋_GB2312"/>
          <w:color w:val="auto"/>
          <w:sz w:val="32"/>
          <w:szCs w:val="32"/>
          <w:highlight w:val="none"/>
        </w:rPr>
        <w:t>230万元</w:t>
      </w:r>
      <w:r>
        <w:rPr>
          <w:rFonts w:eastAsia="仿宋_GB2312" w:cs="Times New Roman"/>
          <w:b w:val="0"/>
          <w:bCs w:val="0"/>
          <w:color w:val="auto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>收入较去年增加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>15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>866.4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>事业收入较去年增加1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>00万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  <w:t>。</w:t>
      </w:r>
    </w:p>
    <w:p>
      <w:pPr>
        <w:widowControl/>
        <w:spacing w:line="600" w:lineRule="exact"/>
        <w:ind w:firstLine="630" w:firstLineChars="196"/>
        <w:jc w:val="left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</w:rPr>
        <w:t>（二）支出预算：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年本单位支出预算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179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531.2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万元，其中，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科学技术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支出207.0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万元，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社会保障和就业支出3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560万元，卫生健康支出171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124.22万元，住房保障支出4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640万元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支出较去年增加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15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866.4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，主要是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卫生健康支出较去年增加14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976.38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万元。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eastAsia="黑体" w:cs="Times New Roman"/>
          <w:color w:val="auto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年本单位一般公共预算拨款支出预算</w:t>
      </w:r>
      <w:r>
        <w:rPr>
          <w:rFonts w:hint="eastAsia" w:eastAsia="仿宋_GB2312" w:cs="Times New Roman"/>
          <w:color w:val="auto"/>
          <w:sz w:val="32"/>
          <w:szCs w:val="32"/>
        </w:rPr>
        <w:t>3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,</w:t>
      </w:r>
      <w:r>
        <w:rPr>
          <w:rFonts w:hint="eastAsia" w:eastAsia="仿宋_GB2312" w:cs="Times New Roman"/>
          <w:color w:val="auto"/>
          <w:sz w:val="32"/>
          <w:szCs w:val="32"/>
        </w:rPr>
        <w:t>301.2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其中，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科学技术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支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出207.0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万元，占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6.27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%；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社会保障和就业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支出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60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0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万元，占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18.17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%；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卫生健康支出2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494.22万元，占7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5.55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%。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具体安排情况如下：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（一）基本支出：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年本单位基本支出预算数</w:t>
      </w:r>
      <w:r>
        <w:rPr>
          <w:rFonts w:hint="eastAsia" w:eastAsia="仿宋_GB2312" w:cs="Times New Roman"/>
          <w:color w:val="auto"/>
          <w:sz w:val="32"/>
          <w:szCs w:val="32"/>
        </w:rPr>
        <w:t>2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,</w:t>
      </w:r>
      <w:r>
        <w:rPr>
          <w:rFonts w:hint="eastAsia" w:eastAsia="仿宋_GB2312" w:cs="Times New Roman"/>
          <w:color w:val="auto"/>
          <w:sz w:val="32"/>
          <w:szCs w:val="32"/>
        </w:rPr>
        <w:t>518.79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万元，主要是为保障单位机构正常运转、完成日常工作任务而发生的各项支出，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基本工资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对个人和家庭补助等公用经费。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（二）项目支出：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年本单位项目支出预算</w:t>
      </w:r>
      <w:r>
        <w:rPr>
          <w:rFonts w:hint="eastAsia" w:eastAsia="仿宋_GB2312" w:cs="Times New Roman"/>
          <w:color w:val="auto"/>
          <w:sz w:val="32"/>
          <w:szCs w:val="32"/>
        </w:rPr>
        <w:t>782.4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万元，主要是部门为完成特定行政工作任务或事业发展目标而发生的支出，包括有关事业发展专项、专项业务费、基本建设支出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等，其中：自然科学基金支出67.4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万元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其他技术研究与开发支出50.41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万元、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其他科技条件与服务支出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54万元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其他科学技术普及支出35.23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主要用于创新型省份建设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专项资金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方面；其他公立医院支出113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主要用于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省属公立医院改革补助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方面；其他公共卫生支出462.43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主要用于万名医师支援农村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、卫生健康高层次人才计划、卫生科研课题、卫生适宜技术推广、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疗服务与保障能力提升、住院医师规范化培训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方面。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eastAsia="黑体" w:cs="Times New Roman"/>
          <w:color w:val="auto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、政府性基金预算支出</w:t>
      </w:r>
    </w:p>
    <w:p>
      <w:pPr>
        <w:spacing w:line="600" w:lineRule="exact"/>
        <w:ind w:firstLine="660"/>
        <w:rPr>
          <w:rFonts w:eastAsia="仿宋_GB2312" w:cs="Times New Roman"/>
          <w:color w:val="auto"/>
          <w:sz w:val="32"/>
          <w:szCs w:val="32"/>
        </w:rPr>
      </w:pPr>
      <w:r>
        <w:rPr>
          <w:rFonts w:hint="eastAsia" w:eastAsia="仿宋_GB2312" w:cs="Times New Roman"/>
          <w:color w:val="auto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年本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无政府性基金安排的支出。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eastAsia="黑体" w:cs="Times New Roman"/>
          <w:color w:val="auto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（一）机关运行经费：</w:t>
      </w:r>
      <w:r>
        <w:rPr>
          <w:rFonts w:eastAsia="仿宋_GB2312" w:cs="Times New Roman"/>
          <w:color w:val="auto"/>
          <w:sz w:val="32"/>
          <w:szCs w:val="32"/>
        </w:rPr>
        <w:t>202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eastAsia="仿宋_GB2312" w:cs="Times New Roman"/>
          <w:color w:val="auto"/>
          <w:sz w:val="32"/>
          <w:szCs w:val="32"/>
        </w:rPr>
        <w:t>年本单位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eastAsia" w:eastAsia="仿宋_GB2312" w:cs="Times New Roman"/>
          <w:color w:val="auto"/>
          <w:sz w:val="32"/>
          <w:szCs w:val="32"/>
        </w:rPr>
        <w:t>一般公共预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算拨款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机关运行经费。</w:t>
      </w:r>
    </w:p>
    <w:p>
      <w:pPr>
        <w:widowControl/>
        <w:spacing w:line="600" w:lineRule="exact"/>
        <w:ind w:firstLine="660"/>
        <w:rPr>
          <w:rFonts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</w:rPr>
        <w:t>（二）“三公”经费预算：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202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年本单位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无</w:t>
      </w:r>
      <w:r>
        <w:rPr>
          <w:rFonts w:hint="eastAsia" w:eastAsia="仿宋_GB2312" w:cs="Times New Roman"/>
          <w:color w:val="auto"/>
          <w:sz w:val="32"/>
          <w:szCs w:val="32"/>
          <w:highlight w:val="none"/>
        </w:rPr>
        <w:t>一般公共预算拨款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“三公”经费。</w:t>
      </w:r>
    </w:p>
    <w:p>
      <w:pPr>
        <w:widowControl/>
        <w:spacing w:line="600" w:lineRule="exact"/>
        <w:ind w:firstLine="660"/>
        <w:rPr>
          <w:rFonts w:hint="default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（</w:t>
      </w:r>
      <w:r>
        <w:rPr>
          <w:rFonts w:hint="eastAsia" w:eastAsia="楷体_GB2312" w:cs="Times New Roman"/>
          <w:b/>
          <w:color w:val="auto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）</w:t>
      </w:r>
      <w:r>
        <w:rPr>
          <w:rFonts w:hint="eastAsia" w:eastAsia="楷体_GB2312" w:cs="Times New Roman"/>
          <w:b/>
          <w:color w:val="auto"/>
          <w:sz w:val="32"/>
          <w:szCs w:val="32"/>
          <w:lang w:eastAsia="zh-CN"/>
        </w:rPr>
        <w:t>一般性支出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情况：</w:t>
      </w:r>
      <w:r>
        <w:rPr>
          <w:rFonts w:hint="default" w:eastAsia="仿宋_GB2312" w:cs="Times New Roman"/>
          <w:color w:val="auto"/>
          <w:sz w:val="32"/>
          <w:szCs w:val="32"/>
          <w:highlight w:val="none"/>
        </w:rPr>
        <w:t>202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eastAsia="仿宋_GB2312" w:cs="Times New Roman"/>
          <w:color w:val="auto"/>
          <w:sz w:val="32"/>
          <w:szCs w:val="32"/>
          <w:highlight w:val="none"/>
        </w:rPr>
        <w:t>年本单位一般公共预算拨款会议费预算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default" w:eastAsia="仿宋_GB2312" w:cs="Times New Roman"/>
          <w:color w:val="auto"/>
          <w:sz w:val="32"/>
          <w:szCs w:val="32"/>
          <w:highlight w:val="none"/>
        </w:rPr>
        <w:t>万元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eastAsia="仿宋_GB2312" w:cs="Times New Roman"/>
          <w:color w:val="auto"/>
          <w:sz w:val="32"/>
          <w:szCs w:val="32"/>
          <w:highlight w:val="none"/>
        </w:rPr>
        <w:t>培训费预算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default" w:eastAsia="仿宋_GB2312" w:cs="Times New Roman"/>
          <w:color w:val="auto"/>
          <w:sz w:val="32"/>
          <w:szCs w:val="32"/>
          <w:highlight w:val="none"/>
        </w:rPr>
        <w:t>万元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eastAsia="仿宋_GB2312" w:cs="Times New Roman"/>
          <w:color w:val="auto"/>
          <w:sz w:val="32"/>
          <w:szCs w:val="32"/>
          <w:highlight w:val="none"/>
        </w:rPr>
        <w:t>未计划举办节庆、晚会、论坛、赛事等活动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eastAsia="仿宋_GB2312" w:cs="Times New Roman"/>
          <w:color w:val="auto"/>
          <w:sz w:val="32"/>
          <w:szCs w:val="32"/>
          <w:highlight w:val="none"/>
        </w:rPr>
        <w:t>经费预算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default" w:eastAsia="仿宋_GB2312" w:cs="Times New Roman"/>
          <w:color w:val="auto"/>
          <w:sz w:val="32"/>
          <w:szCs w:val="32"/>
          <w:highlight w:val="none"/>
        </w:rPr>
        <w:t>万元。</w:t>
      </w:r>
    </w:p>
    <w:p>
      <w:pPr>
        <w:spacing w:line="600" w:lineRule="exact"/>
        <w:ind w:firstLine="643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（</w:t>
      </w:r>
      <w:r>
        <w:rPr>
          <w:rFonts w:hint="eastAsia" w:eastAsia="楷体_GB2312" w:cs="Times New Roman"/>
          <w:b/>
          <w:color w:val="auto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）政府采购情况：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年本部门政府采购预算总额84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832.77万元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，其中，货物类采购预算76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866.77万元；工程类采购预算6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121万元；服务类采购预算1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845万元。</w:t>
      </w:r>
    </w:p>
    <w:p>
      <w:pPr>
        <w:spacing w:line="600" w:lineRule="exact"/>
        <w:ind w:firstLine="660"/>
        <w:rPr>
          <w:rFonts w:eastAsia="仿宋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（</w:t>
      </w:r>
      <w:r>
        <w:rPr>
          <w:rFonts w:hint="eastAsia" w:eastAsia="楷体_GB2312" w:cs="Times New Roman"/>
          <w:b/>
          <w:color w:val="auto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</w:rPr>
        <w:t>）国有资产占用使用及新增资产配置情况：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截至202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eastAsia="仿宋_GB2312" w:cs="Times New Roman"/>
          <w:color w:val="auto"/>
          <w:sz w:val="32"/>
          <w:szCs w:val="32"/>
          <w:highlight w:val="none"/>
        </w:rPr>
        <w:t>年12月底，本单位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共有公务用车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</w:rPr>
        <w:t>14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辆，其中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</w:rPr>
        <w:t>，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应急保障用车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</w:rPr>
        <w:t>2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辆，特种专业技术用车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</w:rPr>
        <w:t>9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辆，其他按照规定配备的公务用车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</w:rPr>
        <w:t>3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辆；单位价值50万元以上通用设备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</w:rPr>
        <w:t>2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台，单位价值100万元以上专用设备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</w:rPr>
        <w:t>1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1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台。202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年拟新增配置公务用车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辆</w:t>
      </w:r>
      <w:bookmarkStart w:id="0" w:name="_GoBack"/>
      <w:bookmarkEnd w:id="0"/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，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其中：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特种专业技术用车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2辆，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其他按照规定配备的公务用车</w:t>
      </w:r>
      <w:r>
        <w:rPr>
          <w:rFonts w:hint="eastAsia" w:eastAsia="仿宋_GB2312" w:cs="Times New Roman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eastAsia="仿宋_GB2312" w:cs="Times New Roman"/>
          <w:bCs/>
          <w:color w:val="auto"/>
          <w:sz w:val="32"/>
          <w:szCs w:val="32"/>
          <w:highlight w:val="none"/>
        </w:rPr>
        <w:t>辆；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新增配备单位价值100万元以上专用设备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楷体_GB2312" w:cs="Times New Roman"/>
          <w:b/>
          <w:bCs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kern w:val="0"/>
          <w:sz w:val="32"/>
          <w:szCs w:val="32"/>
        </w:rPr>
        <w:t>（</w:t>
      </w:r>
      <w:r>
        <w:rPr>
          <w:rFonts w:hint="eastAsia" w:eastAsia="楷体_GB2312" w:cs="Times New Roman"/>
          <w:b/>
          <w:bCs/>
          <w:color w:val="auto"/>
          <w:kern w:val="0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0"/>
          <w:sz w:val="32"/>
          <w:szCs w:val="32"/>
        </w:rPr>
        <w:t>）预算绩效目标说明：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本单位所有支出实行绩效目标管理。纳入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年单位整体支出绩效目标的金额为</w:t>
      </w:r>
      <w:r>
        <w:rPr>
          <w:rFonts w:hint="eastAsia" w:eastAsia="仿宋_GB2312"/>
          <w:color w:val="auto"/>
          <w:sz w:val="32"/>
          <w:szCs w:val="32"/>
          <w:u w:val="none"/>
        </w:rPr>
        <w:t>179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,</w:t>
      </w:r>
      <w:r>
        <w:rPr>
          <w:rFonts w:hint="eastAsia" w:eastAsia="仿宋_GB2312"/>
          <w:color w:val="auto"/>
          <w:sz w:val="32"/>
          <w:szCs w:val="32"/>
          <w:u w:val="none"/>
        </w:rPr>
        <w:t>531.2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color w:val="auto"/>
          <w:kern w:val="0"/>
          <w:sz w:val="32"/>
          <w:szCs w:val="32"/>
          <w:u w:val="none"/>
          <w:lang w:val="en-US" w:eastAsia="zh-CN"/>
        </w:rPr>
        <w:t>89,962.02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color w:val="auto"/>
          <w:kern w:val="0"/>
          <w:sz w:val="32"/>
          <w:szCs w:val="32"/>
          <w:u w:val="none"/>
          <w:lang w:val="en-US" w:eastAsia="zh-CN"/>
        </w:rPr>
        <w:t>89,569.25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eastAsia="黑体" w:cs="Times New Roman"/>
          <w:color w:val="auto"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278E4B-0C8A-4D73-975B-6EDC7C4B805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0A442D20-6167-4FBE-B01C-4AD40025AE00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F504D58-11B3-44F8-B070-22662720CD4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5A12296-A513-4672-92CB-68FB0AA174C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B6F21B"/>
    <w:multiLevelType w:val="singleLevel"/>
    <w:tmpl w:val="A4B6F21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3031F98"/>
    <w:multiLevelType w:val="singleLevel"/>
    <w:tmpl w:val="F3031F9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jZjZhM2ZlZTJkYzMwMzFkNjcwZGY0OTk1NjU1ZjkifQ=="/>
    <w:docVar w:name="KSO_WPS_MARK_KEY" w:val="12146a39-48a9-49ba-88a3-a19cc6698b17"/>
  </w:docVars>
  <w:rsids>
    <w:rsidRoot w:val="141C18F4"/>
    <w:rsid w:val="00163C58"/>
    <w:rsid w:val="00D348AD"/>
    <w:rsid w:val="03E77005"/>
    <w:rsid w:val="0EFF1DE0"/>
    <w:rsid w:val="11067B5C"/>
    <w:rsid w:val="11074842"/>
    <w:rsid w:val="13E72648"/>
    <w:rsid w:val="141C18F4"/>
    <w:rsid w:val="148D505F"/>
    <w:rsid w:val="15325C06"/>
    <w:rsid w:val="1AE71AF8"/>
    <w:rsid w:val="1C1D316C"/>
    <w:rsid w:val="1D8D4321"/>
    <w:rsid w:val="1DC44433"/>
    <w:rsid w:val="1E092761"/>
    <w:rsid w:val="1EAB630B"/>
    <w:rsid w:val="21701A33"/>
    <w:rsid w:val="21740941"/>
    <w:rsid w:val="2389558B"/>
    <w:rsid w:val="250A64A0"/>
    <w:rsid w:val="28BE1D86"/>
    <w:rsid w:val="28E3364C"/>
    <w:rsid w:val="2EC359C0"/>
    <w:rsid w:val="355D6AD0"/>
    <w:rsid w:val="36F34D9D"/>
    <w:rsid w:val="37FFCA4B"/>
    <w:rsid w:val="385950D4"/>
    <w:rsid w:val="3BB15659"/>
    <w:rsid w:val="3C0D4B53"/>
    <w:rsid w:val="3CC66D60"/>
    <w:rsid w:val="3CDC1B7D"/>
    <w:rsid w:val="40252E5E"/>
    <w:rsid w:val="407D42CA"/>
    <w:rsid w:val="41B53E4F"/>
    <w:rsid w:val="42310E70"/>
    <w:rsid w:val="44707745"/>
    <w:rsid w:val="44D7580A"/>
    <w:rsid w:val="45FE0498"/>
    <w:rsid w:val="477F61D9"/>
    <w:rsid w:val="4AAD7DB9"/>
    <w:rsid w:val="4BFC67AA"/>
    <w:rsid w:val="4F3A5808"/>
    <w:rsid w:val="51DA5080"/>
    <w:rsid w:val="520C3617"/>
    <w:rsid w:val="55AD5535"/>
    <w:rsid w:val="56554CD5"/>
    <w:rsid w:val="57F56770"/>
    <w:rsid w:val="59151E89"/>
    <w:rsid w:val="595D29D9"/>
    <w:rsid w:val="595E3799"/>
    <w:rsid w:val="597E4CEF"/>
    <w:rsid w:val="5A8D6E0C"/>
    <w:rsid w:val="5DDB6408"/>
    <w:rsid w:val="60740FC8"/>
    <w:rsid w:val="609C49E8"/>
    <w:rsid w:val="6534525A"/>
    <w:rsid w:val="67DF638A"/>
    <w:rsid w:val="680D2E9C"/>
    <w:rsid w:val="6CAB1870"/>
    <w:rsid w:val="6E414065"/>
    <w:rsid w:val="6FE7A77F"/>
    <w:rsid w:val="70004226"/>
    <w:rsid w:val="718D136F"/>
    <w:rsid w:val="73AE78C9"/>
    <w:rsid w:val="73E57241"/>
    <w:rsid w:val="7609322A"/>
    <w:rsid w:val="76AC04E9"/>
    <w:rsid w:val="77535F11"/>
    <w:rsid w:val="7B354F51"/>
    <w:rsid w:val="7B6018A2"/>
    <w:rsid w:val="7D7B29C4"/>
    <w:rsid w:val="7DD527D5"/>
    <w:rsid w:val="7DE62533"/>
    <w:rsid w:val="7E9E2E0E"/>
    <w:rsid w:val="9E993569"/>
    <w:rsid w:val="9F7E4BA7"/>
    <w:rsid w:val="FBA7D235"/>
    <w:rsid w:val="FDEF8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2967</Words>
  <Characters>3273</Characters>
  <Lines>0</Lines>
  <Paragraphs>0</Paragraphs>
  <TotalTime>1</TotalTime>
  <ScaleCrop>false</ScaleCrop>
  <LinksUpToDate>false</LinksUpToDate>
  <CharactersWithSpaces>3274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2023-02-23T13:14:00Z</dcterms:created>
  <dc:creator>丁毅</dc:creator>
  <cp:lastModifiedBy>Pure Sophia</cp:lastModifiedBy>
  <cp:lastPrinted>2023-02-23T13:53:00Z</cp:lastPrinted>
  <dcterms:modified xsi:type="dcterms:W3CDTF">2023-03-04T06:25:28Z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EF5456FFE4844B12BAB5041DF1ECB8F3</vt:lpwstr>
  </property>
</Properties>
</file>