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footer11.xml" ContentType="application/vnd.openxmlformats-officedocument.wordprocessingml.footer+xml"/>
  <Override PartName="/word/theme/theme1.xml" ContentType="application/vnd.openxmlformats-officedocument.theme+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3AFB" w:rsidRDefault="00753AFB">
      <w:pPr>
        <w:pStyle w:val="Default"/>
        <w:jc w:val="center"/>
        <w:rPr>
          <w:rFonts w:hint="eastAsia"/>
          <w:sz w:val="56"/>
          <w:szCs w:val="56"/>
        </w:rPr>
      </w:pPr>
    </w:p>
    <w:p w:rsidR="00753AFB" w:rsidRDefault="00753AFB">
      <w:pPr>
        <w:pStyle w:val="Default"/>
        <w:jc w:val="center"/>
        <w:rPr>
          <w:rFonts w:hint="eastAsia"/>
          <w:sz w:val="56"/>
          <w:szCs w:val="56"/>
        </w:rPr>
      </w:pPr>
    </w:p>
    <w:p w:rsidR="00753AFB" w:rsidRDefault="00753AFB">
      <w:pPr>
        <w:pStyle w:val="Default"/>
        <w:jc w:val="both"/>
        <w:rPr>
          <w:rFonts w:hint="eastAsia"/>
          <w:sz w:val="84"/>
          <w:szCs w:val="84"/>
        </w:rPr>
      </w:pPr>
    </w:p>
    <w:p w:rsidR="00753AFB" w:rsidRDefault="00753AFB">
      <w:pPr>
        <w:pStyle w:val="Default"/>
        <w:jc w:val="both"/>
        <w:rPr>
          <w:rFonts w:hint="eastAsia"/>
          <w:sz w:val="84"/>
          <w:szCs w:val="84"/>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2022</w:t>
      </w:r>
      <w:r>
        <w:rPr>
          <w:rFonts w:ascii="方正小标宋_GBK" w:eastAsia="方正小标宋_GBK" w:hAnsi="方正小标宋_GBK" w:cs="方正小标宋_GBK" w:hint="eastAsia"/>
          <w:bCs/>
          <w:sz w:val="84"/>
          <w:szCs w:val="84"/>
        </w:rPr>
        <w:t>年度</w:t>
      </w: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湖南省老干部休养所</w:t>
      </w: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部门决算</w:t>
      </w:r>
    </w:p>
    <w:p w:rsidR="00753AFB" w:rsidRDefault="00753AFB">
      <w:pPr>
        <w:pStyle w:val="Default"/>
        <w:jc w:val="center"/>
        <w:rPr>
          <w:rFonts w:ascii="方正小标宋_GBK" w:eastAsia="方正小标宋_GBK" w:hAnsi="方正小标宋_GBK" w:cs="方正小标宋_GBK"/>
          <w:sz w:val="56"/>
          <w:szCs w:val="56"/>
        </w:rPr>
      </w:pPr>
    </w:p>
    <w:p w:rsidR="00753AFB" w:rsidRDefault="00753AFB">
      <w:pPr>
        <w:pStyle w:val="Default"/>
        <w:jc w:val="center"/>
        <w:rPr>
          <w:rFonts w:hint="eastAsia"/>
          <w:sz w:val="56"/>
          <w:szCs w:val="56"/>
        </w:rPr>
      </w:pPr>
    </w:p>
    <w:p w:rsidR="00753AFB" w:rsidRDefault="00753AFB">
      <w:pPr>
        <w:pStyle w:val="Default"/>
        <w:jc w:val="center"/>
        <w:rPr>
          <w:rFonts w:hint="eastAsia"/>
          <w:sz w:val="56"/>
          <w:szCs w:val="56"/>
        </w:rPr>
      </w:pPr>
    </w:p>
    <w:p w:rsidR="00753AFB" w:rsidRDefault="00753AFB">
      <w:pPr>
        <w:pStyle w:val="Default"/>
        <w:spacing w:line="540" w:lineRule="exact"/>
        <w:rPr>
          <w:rFonts w:hint="eastAsia"/>
          <w:sz w:val="56"/>
          <w:szCs w:val="56"/>
        </w:rPr>
      </w:pPr>
    </w:p>
    <w:p w:rsidR="00753AFB" w:rsidRDefault="00753AFB">
      <w:pPr>
        <w:pStyle w:val="Default"/>
        <w:spacing w:line="540" w:lineRule="exact"/>
        <w:rPr>
          <w:rFonts w:hint="eastAsia"/>
          <w:sz w:val="56"/>
          <w:szCs w:val="56"/>
        </w:rPr>
      </w:pPr>
    </w:p>
    <w:p w:rsidR="00753AFB" w:rsidRDefault="00753AFB">
      <w:pPr>
        <w:pStyle w:val="Default"/>
        <w:spacing w:line="500" w:lineRule="exact"/>
        <w:jc w:val="both"/>
        <w:rPr>
          <w:rFonts w:hint="eastAsia"/>
          <w:b/>
          <w:sz w:val="36"/>
          <w:szCs w:val="28"/>
        </w:rPr>
        <w:sectPr w:rsidR="00753AFB">
          <w:pgSz w:w="11906" w:h="16838"/>
          <w:pgMar w:top="1984" w:right="1701" w:bottom="1417" w:left="1701" w:header="851" w:footer="992" w:gutter="0"/>
          <w:cols w:space="425"/>
          <w:docGrid w:type="lines" w:linePitch="312"/>
        </w:sectPr>
      </w:pPr>
    </w:p>
    <w:p w:rsidR="00753AFB" w:rsidRDefault="00CA632F">
      <w:pPr>
        <w:pStyle w:val="Default"/>
        <w:spacing w:line="500" w:lineRule="exact"/>
        <w:jc w:val="center"/>
        <w:rPr>
          <w:rFonts w:hint="eastAsia"/>
          <w:b/>
          <w:sz w:val="32"/>
          <w:szCs w:val="32"/>
        </w:rPr>
      </w:pPr>
      <w:r>
        <w:rPr>
          <w:rFonts w:hint="eastAsia"/>
          <w:b/>
          <w:sz w:val="32"/>
          <w:szCs w:val="32"/>
        </w:rPr>
        <w:lastRenderedPageBreak/>
        <w:t>目</w:t>
      </w:r>
      <w:r>
        <w:rPr>
          <w:b/>
          <w:sz w:val="32"/>
          <w:szCs w:val="32"/>
          <w:lang/>
        </w:rPr>
        <w:t xml:space="preserve">   </w:t>
      </w:r>
      <w:r>
        <w:rPr>
          <w:rFonts w:hint="eastAsia"/>
          <w:b/>
          <w:sz w:val="32"/>
          <w:szCs w:val="32"/>
        </w:rPr>
        <w:t>录</w:t>
      </w:r>
    </w:p>
    <w:p w:rsidR="00753AFB" w:rsidRDefault="00CA632F">
      <w:pPr>
        <w:pStyle w:val="Default"/>
        <w:spacing w:line="500" w:lineRule="exact"/>
        <w:ind w:firstLineChars="200" w:firstLine="560"/>
        <w:rPr>
          <w:rFonts w:hint="eastAsia"/>
          <w:bCs/>
          <w:sz w:val="28"/>
          <w:szCs w:val="28"/>
        </w:rPr>
      </w:pPr>
      <w:r>
        <w:rPr>
          <w:rFonts w:hint="eastAsia"/>
          <w:bCs/>
          <w:sz w:val="28"/>
          <w:szCs w:val="28"/>
        </w:rPr>
        <w:t>第一部分</w:t>
      </w:r>
      <w:r>
        <w:rPr>
          <w:rFonts w:hint="eastAsia"/>
          <w:bCs/>
          <w:sz w:val="28"/>
          <w:szCs w:val="28"/>
        </w:rPr>
        <w:t xml:space="preserve"> </w:t>
      </w:r>
      <w:r>
        <w:rPr>
          <w:rFonts w:hint="eastAsia"/>
          <w:bCs/>
          <w:sz w:val="28"/>
          <w:szCs w:val="28"/>
        </w:rPr>
        <w:t>湖南省老干部休养所概况</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一、部门职责</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二、机构设置</w:t>
      </w:r>
    </w:p>
    <w:p w:rsidR="00753AFB" w:rsidRDefault="00CA632F">
      <w:pPr>
        <w:pStyle w:val="Default"/>
        <w:spacing w:line="500" w:lineRule="exact"/>
        <w:ind w:firstLineChars="200" w:firstLine="560"/>
        <w:rPr>
          <w:rFonts w:hint="eastAsia"/>
          <w:bCs/>
          <w:sz w:val="28"/>
          <w:szCs w:val="28"/>
        </w:rPr>
      </w:pPr>
      <w:r>
        <w:rPr>
          <w:rFonts w:hint="eastAsia"/>
          <w:bCs/>
          <w:sz w:val="28"/>
          <w:szCs w:val="28"/>
        </w:rPr>
        <w:t>第二部分</w:t>
      </w:r>
      <w:r>
        <w:rPr>
          <w:rFonts w:hint="eastAsia"/>
          <w:bCs/>
          <w:sz w:val="28"/>
          <w:szCs w:val="28"/>
        </w:rPr>
        <w:t xml:space="preserve"> </w:t>
      </w:r>
      <w:r>
        <w:rPr>
          <w:rFonts w:hint="eastAsia"/>
          <w:bCs/>
          <w:sz w:val="28"/>
          <w:szCs w:val="28"/>
        </w:rPr>
        <w:t>部门决算表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一、收入支出决算总表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二、收入决算表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三、支出决算表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四、财政拨款收入支出决算总表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五、一般公共预算财政拨款支出决算表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六、一般公共预算财政拨款基本支出决算明细表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七、政府性基金预算财政拨款收入支出决算表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八、国有资本经营预算财政拨款支出决算表</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九、财政拨款“三公”经费支出决算表</w:t>
      </w:r>
    </w:p>
    <w:p w:rsidR="00753AFB" w:rsidRDefault="00CA632F">
      <w:pPr>
        <w:pStyle w:val="Default"/>
        <w:spacing w:line="500" w:lineRule="exact"/>
        <w:ind w:firstLineChars="200" w:firstLine="560"/>
        <w:rPr>
          <w:rFonts w:hint="eastAsia"/>
          <w:bCs/>
          <w:sz w:val="28"/>
          <w:szCs w:val="28"/>
        </w:rPr>
      </w:pPr>
      <w:r>
        <w:rPr>
          <w:rFonts w:hint="eastAsia"/>
          <w:bCs/>
          <w:sz w:val="28"/>
          <w:szCs w:val="28"/>
        </w:rPr>
        <w:t>第三部分</w:t>
      </w:r>
      <w:r>
        <w:rPr>
          <w:rFonts w:hint="eastAsia"/>
          <w:bCs/>
          <w:sz w:val="28"/>
          <w:szCs w:val="28"/>
        </w:rPr>
        <w:t xml:space="preserve"> </w:t>
      </w:r>
      <w:r>
        <w:rPr>
          <w:rFonts w:hint="eastAsia"/>
          <w:bCs/>
          <w:sz w:val="28"/>
          <w:szCs w:val="28"/>
        </w:rPr>
        <w:t>部门决算情况说明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一、收入支出决算总体情况说明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二、收入决算情况说明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三、支出决算情况说明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四、财政拨款收入支出决算总体情况说明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五、一般公共预算财政拨款支出决算情况说明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六、一般公共预算财政拨款基本支出决算情况说明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七、一般公共预算财政拨款三公经费支出决算情况说明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八、政府性基金预算收入支出决算情况</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九、关于机关运行经费支出说明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十、一般性支出情况说明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十一、关于政府采购支出说明</w:t>
      </w:r>
    </w:p>
    <w:p w:rsidR="00753AFB" w:rsidRDefault="00753AFB">
      <w:pPr>
        <w:pStyle w:val="Default"/>
        <w:spacing w:line="500" w:lineRule="exact"/>
        <w:ind w:firstLineChars="200" w:firstLine="640"/>
        <w:rPr>
          <w:rFonts w:ascii="仿宋_GB2312" w:eastAsia="仿宋_GB2312" w:hAnsi="仿宋_GB2312" w:cs="仿宋_GB2312"/>
          <w:sz w:val="32"/>
          <w:szCs w:val="32"/>
        </w:rPr>
        <w:sectPr w:rsidR="00753AFB">
          <w:footerReference w:type="default" r:id="rId7"/>
          <w:pgSz w:w="11906" w:h="16838"/>
          <w:pgMar w:top="1984" w:right="1701" w:bottom="1417" w:left="1701" w:header="851" w:footer="992" w:gutter="0"/>
          <w:pgNumType w:start="1"/>
          <w:cols w:space="425"/>
          <w:docGrid w:type="lines" w:linePitch="312"/>
        </w:sectPr>
      </w:pP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十二、关于国有资产占用情况说明</w:t>
      </w:r>
    </w:p>
    <w:p w:rsidR="00753AFB" w:rsidRDefault="00CA632F">
      <w:pPr>
        <w:pStyle w:val="Default"/>
        <w:spacing w:line="5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十三、关于预算绩效情况的说明</w:t>
      </w:r>
    </w:p>
    <w:p w:rsidR="00753AFB" w:rsidRDefault="00CA632F">
      <w:pPr>
        <w:pStyle w:val="Default"/>
        <w:spacing w:line="500" w:lineRule="exact"/>
        <w:ind w:firstLineChars="200" w:firstLine="560"/>
        <w:rPr>
          <w:rFonts w:hint="eastAsia"/>
          <w:bCs/>
          <w:sz w:val="28"/>
          <w:szCs w:val="28"/>
        </w:rPr>
      </w:pPr>
      <w:r>
        <w:rPr>
          <w:rFonts w:hint="eastAsia"/>
          <w:bCs/>
          <w:sz w:val="28"/>
          <w:szCs w:val="28"/>
        </w:rPr>
        <w:t>第四部分</w:t>
      </w:r>
      <w:r>
        <w:rPr>
          <w:rFonts w:hint="eastAsia"/>
          <w:bCs/>
          <w:sz w:val="28"/>
          <w:szCs w:val="28"/>
        </w:rPr>
        <w:t xml:space="preserve"> </w:t>
      </w:r>
      <w:r>
        <w:rPr>
          <w:rFonts w:hint="eastAsia"/>
          <w:bCs/>
          <w:sz w:val="28"/>
          <w:szCs w:val="28"/>
        </w:rPr>
        <w:t>名词解释</w:t>
      </w: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sectPr w:rsidR="00753AFB">
          <w:footerReference w:type="default" r:id="rId8"/>
          <w:pgSz w:w="11906" w:h="16838"/>
          <w:pgMar w:top="1984" w:right="1701" w:bottom="1417" w:left="1701" w:header="851" w:footer="992" w:gutter="0"/>
          <w:pgNumType w:start="1"/>
          <w:cols w:space="425"/>
          <w:docGrid w:type="lines" w:linePitch="312"/>
        </w:sect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rPr>
          <w:rFonts w:ascii="方正小标宋_GBK" w:eastAsia="方正小标宋_GBK" w:hAnsi="方正小标宋_GBK" w:cs="方正小标宋_GBK"/>
          <w:sz w:val="72"/>
          <w:szCs w:val="72"/>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第一部分</w:t>
      </w:r>
      <w:r>
        <w:rPr>
          <w:rFonts w:ascii="方正小标宋_GBK" w:eastAsia="方正小标宋_GBK" w:hAnsi="方正小标宋_GBK" w:cs="方正小标宋_GBK" w:hint="eastAsia"/>
          <w:bCs/>
          <w:sz w:val="84"/>
          <w:szCs w:val="84"/>
        </w:rPr>
        <w:t xml:space="preserve"> </w:t>
      </w:r>
    </w:p>
    <w:p w:rsidR="00753AFB" w:rsidRDefault="00753AFB">
      <w:pPr>
        <w:pStyle w:val="Default"/>
        <w:jc w:val="center"/>
        <w:rPr>
          <w:rFonts w:ascii="方正小标宋_GBK" w:eastAsia="方正小标宋_GBK" w:hAnsi="方正小标宋_GBK" w:cs="方正小标宋_GBK"/>
          <w:bCs/>
          <w:sz w:val="84"/>
          <w:szCs w:val="84"/>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湖南省老干部休养所概况</w:t>
      </w:r>
    </w:p>
    <w:p w:rsidR="00753AFB" w:rsidRDefault="00753AFB">
      <w:pPr>
        <w:jc w:val="center"/>
        <w:rPr>
          <w:rFonts w:ascii="方正小标宋_GBK" w:eastAsia="方正小标宋_GBK" w:hAnsi="方正小标宋_GBK" w:cs="方正小标宋_GBK"/>
          <w:sz w:val="72"/>
          <w:szCs w:val="72"/>
        </w:rPr>
      </w:pPr>
    </w:p>
    <w:p w:rsidR="00753AFB" w:rsidRDefault="00753AFB">
      <w:pPr>
        <w:jc w:val="center"/>
        <w:rPr>
          <w:rFonts w:ascii="方正小标宋_GBK" w:eastAsia="方正小标宋_GBK" w:hAnsi="方正小标宋_GBK" w:cs="方正小标宋_GBK"/>
          <w:sz w:val="72"/>
          <w:szCs w:val="72"/>
        </w:rPr>
      </w:pPr>
    </w:p>
    <w:p w:rsidR="00753AFB" w:rsidRDefault="00753AFB">
      <w:pPr>
        <w:pStyle w:val="a7"/>
        <w:spacing w:line="600" w:lineRule="exact"/>
        <w:ind w:firstLineChars="0" w:firstLine="0"/>
        <w:jc w:val="left"/>
        <w:rPr>
          <w:rFonts w:ascii="黑体" w:eastAsia="黑体" w:hAnsi="黑体" w:cs="黑体"/>
          <w:sz w:val="32"/>
          <w:szCs w:val="32"/>
        </w:rPr>
        <w:sectPr w:rsidR="00753AFB">
          <w:footerReference w:type="default" r:id="rId9"/>
          <w:pgSz w:w="11906" w:h="16838"/>
          <w:pgMar w:top="1984" w:right="1701" w:bottom="1417" w:left="1701" w:header="851" w:footer="992" w:gutter="0"/>
          <w:pgNumType w:start="1"/>
          <w:cols w:space="425"/>
          <w:docGrid w:type="lines" w:linePitch="312"/>
        </w:sectPr>
      </w:pPr>
    </w:p>
    <w:p w:rsidR="00753AFB" w:rsidRDefault="00CA632F" w:rsidP="00753AFB">
      <w:pPr>
        <w:pStyle w:val="a7"/>
        <w:spacing w:line="560" w:lineRule="exact"/>
        <w:ind w:firstLine="640"/>
        <w:rPr>
          <w:rFonts w:ascii="黑体" w:eastAsia="黑体" w:hAnsi="黑体" w:cs="黑体"/>
          <w:sz w:val="32"/>
          <w:szCs w:val="32"/>
        </w:rPr>
      </w:pPr>
      <w:r>
        <w:rPr>
          <w:rFonts w:ascii="黑体" w:eastAsia="黑体" w:hAnsi="黑体" w:cs="黑体" w:hint="eastAsia"/>
          <w:sz w:val="32"/>
          <w:szCs w:val="32"/>
        </w:rPr>
        <w:lastRenderedPageBreak/>
        <w:t>一、部门职责</w:t>
      </w:r>
    </w:p>
    <w:p w:rsidR="00753AFB" w:rsidRDefault="00CA632F">
      <w:pPr>
        <w:widowControl/>
        <w:spacing w:line="560" w:lineRule="exact"/>
        <w:ind w:firstLineChars="200" w:firstLine="676"/>
        <w:rPr>
          <w:rFonts w:ascii="Times New Roman" w:eastAsia="仿宋_GB2312" w:hAnsi="Times New Roman" w:cs="黑体"/>
          <w:color w:val="000000"/>
          <w:kern w:val="0"/>
          <w:sz w:val="32"/>
          <w:szCs w:val="32"/>
        </w:rPr>
      </w:pPr>
      <w:r>
        <w:rPr>
          <w:rFonts w:ascii="仿宋_GB2312" w:eastAsia="仿宋_GB2312" w:hAnsi="仿宋_GB2312" w:cs="仿宋_GB2312" w:hint="eastAsia"/>
          <w:spacing w:val="9"/>
          <w:sz w:val="32"/>
          <w:szCs w:val="32"/>
        </w:rPr>
        <w:t>根据中共湖南省委老干部局《关于湖南省老干部休养所理顺工作职能、工作机构、工作人员实施意见的批复》（湘老干</w:t>
      </w:r>
      <w:r>
        <w:rPr>
          <w:rFonts w:ascii="Times New Roman" w:eastAsia="仿宋_GB2312" w:hAnsi="Times New Roman" w:cs="黑体" w:hint="eastAsia"/>
          <w:color w:val="000000"/>
          <w:kern w:val="0"/>
          <w:sz w:val="32"/>
          <w:szCs w:val="32"/>
        </w:rPr>
        <w:t>[2001]14</w:t>
      </w:r>
      <w:r>
        <w:rPr>
          <w:rFonts w:ascii="Times New Roman" w:eastAsia="仿宋_GB2312" w:hAnsi="Times New Roman" w:cs="黑体" w:hint="eastAsia"/>
          <w:color w:val="000000"/>
          <w:kern w:val="0"/>
          <w:sz w:val="32"/>
          <w:szCs w:val="32"/>
        </w:rPr>
        <w:t>号）文件规定，湖南省老干部休养所为中共湖南省委老干部局下属二级单位，主要履行以下职能。</w:t>
      </w:r>
    </w:p>
    <w:p w:rsidR="00753AFB" w:rsidRDefault="00CA632F">
      <w:pPr>
        <w:widowControl/>
        <w:spacing w:line="560" w:lineRule="exact"/>
        <w:ind w:firstLineChars="200" w:firstLine="640"/>
        <w:rPr>
          <w:rFonts w:ascii="Times New Roman" w:eastAsia="仿宋_GB2312" w:hAnsi="Times New Roman" w:cs="黑体"/>
          <w:color w:val="000000"/>
          <w:kern w:val="0"/>
          <w:sz w:val="32"/>
          <w:szCs w:val="32"/>
        </w:rPr>
      </w:pPr>
      <w:r>
        <w:rPr>
          <w:rFonts w:ascii="Times New Roman" w:eastAsia="仿宋_GB2312" w:hAnsi="Times New Roman" w:cs="黑体" w:hint="eastAsia"/>
          <w:color w:val="000000"/>
          <w:kern w:val="0"/>
          <w:sz w:val="32"/>
          <w:szCs w:val="32"/>
        </w:rPr>
        <w:t>1.</w:t>
      </w:r>
      <w:r>
        <w:rPr>
          <w:rFonts w:ascii="Times New Roman" w:eastAsia="仿宋_GB2312" w:hAnsi="Times New Roman" w:cs="黑体" w:hint="eastAsia"/>
          <w:color w:val="000000"/>
          <w:kern w:val="0"/>
          <w:sz w:val="32"/>
          <w:szCs w:val="32"/>
        </w:rPr>
        <w:t>贯彻执行党中央、国务院和省委省政府关于老干部工作的方针、政策和法规；认真执行省委组织部、省委老干部局决议、决定；</w:t>
      </w:r>
    </w:p>
    <w:p w:rsidR="00753AFB" w:rsidRDefault="00CA632F">
      <w:pPr>
        <w:widowControl/>
        <w:spacing w:line="560" w:lineRule="exact"/>
        <w:ind w:firstLineChars="200" w:firstLine="640"/>
        <w:rPr>
          <w:rFonts w:ascii="Times New Roman" w:eastAsia="仿宋_GB2312" w:hAnsi="Times New Roman" w:cs="黑体"/>
          <w:color w:val="000000"/>
          <w:kern w:val="0"/>
          <w:sz w:val="32"/>
          <w:szCs w:val="32"/>
        </w:rPr>
      </w:pPr>
      <w:r>
        <w:rPr>
          <w:rFonts w:ascii="Times New Roman" w:eastAsia="仿宋_GB2312" w:hAnsi="Times New Roman" w:cs="黑体" w:hint="eastAsia"/>
          <w:color w:val="000000"/>
          <w:kern w:val="0"/>
          <w:sz w:val="32"/>
          <w:szCs w:val="32"/>
        </w:rPr>
        <w:t>2.</w:t>
      </w:r>
      <w:r>
        <w:rPr>
          <w:rFonts w:ascii="Times New Roman" w:eastAsia="仿宋_GB2312" w:hAnsi="Times New Roman" w:cs="黑体" w:hint="eastAsia"/>
          <w:color w:val="000000"/>
          <w:kern w:val="0"/>
          <w:sz w:val="32"/>
          <w:szCs w:val="32"/>
        </w:rPr>
        <w:t>负责住所离退休老干部和住所老干部遗孀的管理服务工作；</w:t>
      </w:r>
    </w:p>
    <w:p w:rsidR="00753AFB" w:rsidRDefault="00CA632F">
      <w:pPr>
        <w:widowControl/>
        <w:spacing w:line="560" w:lineRule="exact"/>
        <w:ind w:firstLineChars="200" w:firstLine="640"/>
        <w:rPr>
          <w:rFonts w:ascii="Times New Roman" w:eastAsia="仿宋_GB2312" w:hAnsi="Times New Roman" w:cs="黑体"/>
          <w:color w:val="000000"/>
          <w:kern w:val="0"/>
          <w:sz w:val="32"/>
          <w:szCs w:val="32"/>
        </w:rPr>
      </w:pPr>
      <w:r>
        <w:rPr>
          <w:rFonts w:ascii="Times New Roman" w:eastAsia="仿宋_GB2312" w:hAnsi="Times New Roman" w:cs="黑体" w:hint="eastAsia"/>
          <w:color w:val="000000"/>
          <w:kern w:val="0"/>
          <w:sz w:val="32"/>
          <w:szCs w:val="32"/>
        </w:rPr>
        <w:t>3.</w:t>
      </w:r>
      <w:r>
        <w:rPr>
          <w:rFonts w:ascii="Times New Roman" w:eastAsia="仿宋_GB2312" w:hAnsi="Times New Roman" w:cs="黑体" w:hint="eastAsia"/>
          <w:color w:val="000000"/>
          <w:kern w:val="0"/>
          <w:sz w:val="32"/>
          <w:szCs w:val="32"/>
        </w:rPr>
        <w:t>负责收集住所老同志管理服务中出现的新情况、新问题，为上级主管部门制订政策提供依据；</w:t>
      </w:r>
    </w:p>
    <w:p w:rsidR="00753AFB" w:rsidRDefault="00CA632F">
      <w:pPr>
        <w:widowControl/>
        <w:spacing w:line="560" w:lineRule="exact"/>
        <w:ind w:firstLineChars="200" w:firstLine="640"/>
        <w:rPr>
          <w:rFonts w:ascii="Times New Roman" w:eastAsia="仿宋_GB2312" w:hAnsi="Times New Roman" w:cs="黑体"/>
          <w:color w:val="000000"/>
          <w:kern w:val="0"/>
          <w:sz w:val="32"/>
          <w:szCs w:val="32"/>
        </w:rPr>
      </w:pPr>
      <w:r>
        <w:rPr>
          <w:rFonts w:ascii="Times New Roman" w:eastAsia="仿宋_GB2312" w:hAnsi="Times New Roman" w:cs="黑体" w:hint="eastAsia"/>
          <w:color w:val="000000"/>
          <w:kern w:val="0"/>
          <w:sz w:val="32"/>
          <w:szCs w:val="32"/>
        </w:rPr>
        <w:t>4.</w:t>
      </w:r>
      <w:r>
        <w:rPr>
          <w:rFonts w:ascii="Times New Roman" w:eastAsia="仿宋_GB2312" w:hAnsi="Times New Roman" w:cs="黑体" w:hint="eastAsia"/>
          <w:color w:val="000000"/>
          <w:kern w:val="0"/>
          <w:sz w:val="32"/>
          <w:szCs w:val="32"/>
        </w:rPr>
        <w:t>负责抓好全所干部职工及离退休人员党的组织、思想、作风建设和思想政治工作；</w:t>
      </w:r>
    </w:p>
    <w:p w:rsidR="00753AFB" w:rsidRDefault="00CA632F">
      <w:pPr>
        <w:widowControl/>
        <w:spacing w:line="560" w:lineRule="exact"/>
        <w:ind w:firstLineChars="200" w:firstLine="640"/>
        <w:rPr>
          <w:rFonts w:ascii="Times New Roman" w:eastAsia="仿宋_GB2312" w:hAnsi="Times New Roman" w:cs="黑体"/>
          <w:color w:val="000000"/>
          <w:kern w:val="0"/>
          <w:sz w:val="32"/>
          <w:szCs w:val="32"/>
        </w:rPr>
      </w:pPr>
      <w:r>
        <w:rPr>
          <w:rFonts w:ascii="Times New Roman" w:eastAsia="仿宋_GB2312" w:hAnsi="Times New Roman" w:cs="黑体" w:hint="eastAsia"/>
          <w:color w:val="000000"/>
          <w:kern w:val="0"/>
          <w:sz w:val="32"/>
          <w:szCs w:val="32"/>
        </w:rPr>
        <w:t>5.</w:t>
      </w:r>
      <w:r>
        <w:rPr>
          <w:rFonts w:ascii="Times New Roman" w:eastAsia="仿宋_GB2312" w:hAnsi="Times New Roman" w:cs="黑体" w:hint="eastAsia"/>
          <w:color w:val="000000"/>
          <w:kern w:val="0"/>
          <w:sz w:val="32"/>
          <w:szCs w:val="32"/>
        </w:rPr>
        <w:t>负责住所易地安置老同志政治、生活待遇中及有关方面出现的问题的处</w:t>
      </w:r>
      <w:r>
        <w:rPr>
          <w:rFonts w:ascii="Times New Roman" w:eastAsia="仿宋_GB2312" w:hAnsi="Times New Roman" w:cs="黑体" w:hint="eastAsia"/>
          <w:color w:val="000000"/>
          <w:kern w:val="0"/>
          <w:sz w:val="32"/>
          <w:szCs w:val="32"/>
        </w:rPr>
        <w:t>理，发挥老干部作用；</w:t>
      </w:r>
    </w:p>
    <w:p w:rsidR="00753AFB" w:rsidRDefault="00CA632F">
      <w:pPr>
        <w:widowControl/>
        <w:spacing w:line="560" w:lineRule="exact"/>
        <w:ind w:firstLineChars="200" w:firstLine="640"/>
        <w:rPr>
          <w:rFonts w:ascii="Times New Roman" w:eastAsia="仿宋_GB2312" w:hAnsi="Times New Roman" w:cs="黑体"/>
          <w:color w:val="000000"/>
          <w:kern w:val="0"/>
          <w:sz w:val="32"/>
          <w:szCs w:val="32"/>
        </w:rPr>
      </w:pPr>
      <w:r>
        <w:rPr>
          <w:rFonts w:ascii="Times New Roman" w:eastAsia="仿宋_GB2312" w:hAnsi="Times New Roman" w:cs="黑体" w:hint="eastAsia"/>
          <w:color w:val="000000"/>
          <w:kern w:val="0"/>
          <w:sz w:val="32"/>
          <w:szCs w:val="32"/>
        </w:rPr>
        <w:t>6.</w:t>
      </w:r>
      <w:r>
        <w:rPr>
          <w:rFonts w:ascii="Times New Roman" w:eastAsia="仿宋_GB2312" w:hAnsi="Times New Roman" w:cs="黑体" w:hint="eastAsia"/>
          <w:color w:val="000000"/>
          <w:kern w:val="0"/>
          <w:sz w:val="32"/>
          <w:szCs w:val="32"/>
        </w:rPr>
        <w:t>负责管理湖南省老干部休养所地产、房产和国有资产的工作；</w:t>
      </w:r>
    </w:p>
    <w:p w:rsidR="00753AFB" w:rsidRDefault="00CA632F">
      <w:pPr>
        <w:widowControl/>
        <w:spacing w:line="560" w:lineRule="exact"/>
        <w:ind w:firstLineChars="200" w:firstLine="640"/>
        <w:rPr>
          <w:rFonts w:ascii="仿宋_GB2312" w:eastAsia="仿宋_GB2312" w:hAnsi="仿宋_GB2312" w:cs="仿宋_GB2312"/>
          <w:spacing w:val="9"/>
          <w:sz w:val="32"/>
          <w:szCs w:val="32"/>
        </w:rPr>
      </w:pPr>
      <w:r>
        <w:rPr>
          <w:rFonts w:ascii="Times New Roman" w:eastAsia="仿宋_GB2312" w:hAnsi="Times New Roman" w:cs="黑体" w:hint="eastAsia"/>
          <w:color w:val="000000"/>
          <w:kern w:val="0"/>
          <w:sz w:val="32"/>
          <w:szCs w:val="32"/>
        </w:rPr>
        <w:t>7.</w:t>
      </w:r>
      <w:r>
        <w:rPr>
          <w:rFonts w:ascii="Times New Roman" w:eastAsia="仿宋_GB2312" w:hAnsi="Times New Roman" w:cs="黑体" w:hint="eastAsia"/>
          <w:color w:val="000000"/>
          <w:kern w:val="0"/>
          <w:sz w:val="32"/>
          <w:szCs w:val="32"/>
        </w:rPr>
        <w:t>承办上级交办</w:t>
      </w:r>
      <w:r>
        <w:rPr>
          <w:rFonts w:ascii="仿宋_GB2312" w:eastAsia="仿宋_GB2312" w:hAnsi="仿宋_GB2312" w:cs="仿宋_GB2312" w:hint="eastAsia"/>
          <w:spacing w:val="9"/>
          <w:sz w:val="32"/>
          <w:szCs w:val="32"/>
        </w:rPr>
        <w:t>的其他事项。</w:t>
      </w:r>
    </w:p>
    <w:p w:rsidR="00753AFB" w:rsidRDefault="00CA632F">
      <w:pPr>
        <w:widowControl/>
        <w:spacing w:line="560" w:lineRule="exact"/>
        <w:ind w:firstLineChars="200" w:firstLine="640"/>
        <w:rPr>
          <w:rFonts w:ascii="黑体" w:eastAsia="黑体" w:hAnsi="黑体" w:cs="黑体"/>
          <w:bCs/>
          <w:kern w:val="0"/>
          <w:sz w:val="32"/>
          <w:szCs w:val="32"/>
        </w:rPr>
      </w:pPr>
      <w:r>
        <w:rPr>
          <w:rFonts w:ascii="黑体" w:eastAsia="黑体" w:hAnsi="黑体" w:cs="黑体" w:hint="eastAsia"/>
          <w:bCs/>
          <w:kern w:val="0"/>
          <w:sz w:val="32"/>
          <w:szCs w:val="32"/>
        </w:rPr>
        <w:t>二、机构设置及决算单位构成</w:t>
      </w:r>
    </w:p>
    <w:p w:rsidR="00753AFB" w:rsidRDefault="00CA632F">
      <w:pPr>
        <w:widowControl/>
        <w:spacing w:line="560" w:lineRule="exact"/>
        <w:ind w:firstLineChars="200" w:firstLine="640"/>
        <w:rPr>
          <w:rFonts w:ascii="仿宋_GB2312" w:eastAsia="仿宋_GB2312" w:hAnsi="仿宋_GB2312" w:cs="仿宋_GB2312"/>
          <w:sz w:val="32"/>
          <w:szCs w:val="32"/>
        </w:rPr>
      </w:pPr>
      <w:r>
        <w:rPr>
          <w:rFonts w:ascii="方正楷体_GBK" w:eastAsia="方正楷体_GBK" w:hAnsi="方正楷体_GBK" w:cs="方正楷体_GBK" w:hint="eastAsia"/>
          <w:sz w:val="32"/>
          <w:szCs w:val="32"/>
        </w:rPr>
        <w:t>（一）内设机构设置。</w:t>
      </w:r>
      <w:r>
        <w:rPr>
          <w:rFonts w:ascii="仿宋_GB2312" w:eastAsia="仿宋_GB2312" w:hAnsi="仿宋_GB2312" w:cs="仿宋_GB2312" w:hint="eastAsia"/>
          <w:sz w:val="32"/>
          <w:szCs w:val="32"/>
        </w:rPr>
        <w:t>湖南省老干部休养所内设机构包括：办公室、行政服务科、保健活动科、动力维修科、物业管理科、组织人事办。</w:t>
      </w:r>
    </w:p>
    <w:p w:rsidR="00753AFB" w:rsidRDefault="00CA632F">
      <w:pPr>
        <w:widowControl/>
        <w:spacing w:line="560" w:lineRule="exact"/>
        <w:ind w:firstLineChars="200" w:firstLine="640"/>
        <w:rPr>
          <w:rFonts w:ascii="仿宋_GB2312" w:eastAsia="仿宋_GB2312" w:hAnsi="仿宋_GB2312" w:cs="仿宋_GB2312"/>
          <w:sz w:val="32"/>
          <w:szCs w:val="32"/>
        </w:rPr>
      </w:pPr>
      <w:r>
        <w:rPr>
          <w:rFonts w:ascii="方正楷体_GBK" w:eastAsia="方正楷体_GBK" w:hAnsi="方正楷体_GBK" w:cs="方正楷体_GBK" w:hint="eastAsia"/>
          <w:sz w:val="32"/>
          <w:szCs w:val="32"/>
          <w:lang/>
        </w:rPr>
        <w:lastRenderedPageBreak/>
        <w:t>（二）</w:t>
      </w:r>
      <w:r>
        <w:rPr>
          <w:rFonts w:ascii="方正楷体_GBK" w:eastAsia="方正楷体_GBK" w:hAnsi="方正楷体_GBK" w:cs="方正楷体_GBK" w:hint="eastAsia"/>
          <w:sz w:val="32"/>
          <w:szCs w:val="32"/>
        </w:rPr>
        <w:t>决算单位构成。</w:t>
      </w:r>
      <w:r>
        <w:rPr>
          <w:rFonts w:ascii="仿宋_GB2312" w:eastAsia="仿宋_GB2312" w:hAnsi="仿宋_GB2312" w:cs="仿宋_GB2312" w:hint="eastAsia"/>
          <w:sz w:val="32"/>
          <w:szCs w:val="32"/>
        </w:rPr>
        <w:t>湖南省老干部休养所</w:t>
      </w:r>
      <w:r>
        <w:rPr>
          <w:rFonts w:ascii="Times New Roman" w:eastAsia="仿宋_GB2312" w:hAnsi="Times New Roman" w:cs="黑体" w:hint="eastAsia"/>
          <w:color w:val="000000"/>
          <w:kern w:val="0"/>
          <w:sz w:val="32"/>
          <w:szCs w:val="32"/>
        </w:rPr>
        <w:t>2022</w:t>
      </w:r>
      <w:r>
        <w:rPr>
          <w:rFonts w:ascii="仿宋_GB2312" w:eastAsia="仿宋_GB2312" w:hAnsi="仿宋_GB2312" w:cs="仿宋_GB2312" w:hint="eastAsia"/>
          <w:sz w:val="32"/>
          <w:szCs w:val="32"/>
        </w:rPr>
        <w:t>年部门决算汇总公开单位构成包括：湖南省老干部休养所本级。</w:t>
      </w:r>
    </w:p>
    <w:p w:rsidR="00753AFB" w:rsidRDefault="00CA632F">
      <w:pPr>
        <w:snapToGrid w:val="0"/>
        <w:spacing w:line="560" w:lineRule="exact"/>
        <w:ind w:firstLineChars="200" w:firstLine="640"/>
        <w:rPr>
          <w:rFonts w:ascii="Times New Roman" w:eastAsia="仿宋_GB2312" w:hAnsi="Times New Roman" w:cs="黑体"/>
          <w:color w:val="000000"/>
          <w:kern w:val="0"/>
          <w:sz w:val="32"/>
          <w:szCs w:val="32"/>
        </w:rPr>
      </w:pPr>
      <w:r>
        <w:rPr>
          <w:rFonts w:ascii="方正楷体_GBK" w:eastAsia="方正楷体_GBK" w:hAnsi="方正楷体_GBK" w:cs="方正楷体_GBK" w:hint="eastAsia"/>
          <w:sz w:val="32"/>
          <w:szCs w:val="32"/>
        </w:rPr>
        <w:t>（三）人员情况。</w:t>
      </w:r>
      <w:r>
        <w:rPr>
          <w:rFonts w:ascii="Times New Roman" w:eastAsia="仿宋_GB2312" w:hAnsi="Times New Roman" w:cs="黑体" w:hint="eastAsia"/>
          <w:color w:val="000000"/>
          <w:kern w:val="0"/>
          <w:sz w:val="32"/>
          <w:szCs w:val="32"/>
        </w:rPr>
        <w:t>2022</w:t>
      </w:r>
      <w:r>
        <w:rPr>
          <w:rFonts w:ascii="Times New Roman" w:eastAsia="仿宋_GB2312" w:hAnsi="Times New Roman" w:cs="黑体" w:hint="eastAsia"/>
          <w:color w:val="000000"/>
          <w:kern w:val="0"/>
          <w:sz w:val="32"/>
          <w:szCs w:val="32"/>
        </w:rPr>
        <w:t>年底实有在职人员</w:t>
      </w:r>
      <w:r>
        <w:rPr>
          <w:rFonts w:ascii="Times New Roman" w:eastAsia="仿宋_GB2312" w:hAnsi="Times New Roman" w:cs="黑体" w:hint="eastAsia"/>
          <w:color w:val="000000"/>
          <w:kern w:val="0"/>
          <w:sz w:val="32"/>
          <w:szCs w:val="32"/>
        </w:rPr>
        <w:t>17</w:t>
      </w:r>
      <w:r>
        <w:rPr>
          <w:rFonts w:ascii="Times New Roman" w:eastAsia="仿宋_GB2312" w:hAnsi="Times New Roman" w:cs="黑体" w:hint="eastAsia"/>
          <w:color w:val="000000"/>
          <w:kern w:val="0"/>
          <w:sz w:val="32"/>
          <w:szCs w:val="32"/>
        </w:rPr>
        <w:t>人，直接管理的离休老干部</w:t>
      </w:r>
      <w:r>
        <w:rPr>
          <w:rFonts w:ascii="Times New Roman" w:eastAsia="仿宋_GB2312" w:hAnsi="Times New Roman" w:cs="黑体" w:hint="eastAsia"/>
          <w:color w:val="000000"/>
          <w:kern w:val="0"/>
          <w:sz w:val="32"/>
          <w:szCs w:val="32"/>
        </w:rPr>
        <w:t>3</w:t>
      </w:r>
      <w:r>
        <w:rPr>
          <w:rFonts w:ascii="Times New Roman" w:eastAsia="仿宋_GB2312" w:hAnsi="Times New Roman" w:cs="黑体" w:hint="eastAsia"/>
          <w:color w:val="000000"/>
          <w:kern w:val="0"/>
          <w:sz w:val="32"/>
          <w:szCs w:val="32"/>
        </w:rPr>
        <w:t>人，退休人员</w:t>
      </w:r>
      <w:r>
        <w:rPr>
          <w:rFonts w:ascii="Times New Roman" w:eastAsia="仿宋_GB2312" w:hAnsi="Times New Roman" w:cs="黑体" w:hint="eastAsia"/>
          <w:color w:val="000000"/>
          <w:kern w:val="0"/>
          <w:sz w:val="32"/>
          <w:szCs w:val="32"/>
        </w:rPr>
        <w:t>43</w:t>
      </w:r>
      <w:r>
        <w:rPr>
          <w:rFonts w:ascii="Times New Roman" w:eastAsia="仿宋_GB2312" w:hAnsi="Times New Roman" w:cs="黑体" w:hint="eastAsia"/>
          <w:color w:val="000000"/>
          <w:kern w:val="0"/>
          <w:sz w:val="32"/>
          <w:szCs w:val="32"/>
        </w:rPr>
        <w:t>人（本年因病去世减员离休人员</w:t>
      </w:r>
      <w:r>
        <w:rPr>
          <w:rFonts w:ascii="Times New Roman" w:eastAsia="仿宋_GB2312" w:hAnsi="Times New Roman" w:cs="黑体" w:hint="eastAsia"/>
          <w:color w:val="000000"/>
          <w:kern w:val="0"/>
          <w:sz w:val="32"/>
          <w:szCs w:val="32"/>
        </w:rPr>
        <w:t>1</w:t>
      </w:r>
      <w:r>
        <w:rPr>
          <w:rFonts w:ascii="Times New Roman" w:eastAsia="仿宋_GB2312" w:hAnsi="Times New Roman" w:cs="黑体" w:hint="eastAsia"/>
          <w:color w:val="000000"/>
          <w:kern w:val="0"/>
          <w:sz w:val="32"/>
          <w:szCs w:val="32"/>
        </w:rPr>
        <w:t>名、退休人员</w:t>
      </w:r>
      <w:r>
        <w:rPr>
          <w:rFonts w:ascii="Times New Roman" w:eastAsia="仿宋_GB2312" w:hAnsi="Times New Roman" w:cs="黑体" w:hint="eastAsia"/>
          <w:color w:val="000000"/>
          <w:kern w:val="0"/>
          <w:sz w:val="32"/>
          <w:szCs w:val="32"/>
        </w:rPr>
        <w:t>1</w:t>
      </w:r>
      <w:r>
        <w:rPr>
          <w:rFonts w:ascii="Times New Roman" w:eastAsia="仿宋_GB2312" w:hAnsi="Times New Roman" w:cs="黑体" w:hint="eastAsia"/>
          <w:color w:val="000000"/>
          <w:kern w:val="0"/>
          <w:sz w:val="32"/>
          <w:szCs w:val="32"/>
        </w:rPr>
        <w:t>名、在职人员</w:t>
      </w:r>
      <w:r>
        <w:rPr>
          <w:rFonts w:ascii="Times New Roman" w:eastAsia="仿宋_GB2312" w:hAnsi="Times New Roman" w:cs="黑体" w:hint="eastAsia"/>
          <w:color w:val="000000"/>
          <w:kern w:val="0"/>
          <w:sz w:val="32"/>
          <w:szCs w:val="32"/>
        </w:rPr>
        <w:t>1</w:t>
      </w:r>
      <w:r>
        <w:rPr>
          <w:rFonts w:ascii="Times New Roman" w:eastAsia="仿宋_GB2312" w:hAnsi="Times New Roman" w:cs="黑体" w:hint="eastAsia"/>
          <w:color w:val="000000"/>
          <w:kern w:val="0"/>
          <w:sz w:val="32"/>
          <w:szCs w:val="32"/>
        </w:rPr>
        <w:t>名，由在职转退休人员</w:t>
      </w:r>
      <w:r>
        <w:rPr>
          <w:rFonts w:ascii="Times New Roman" w:eastAsia="仿宋_GB2312" w:hAnsi="Times New Roman" w:cs="黑体" w:hint="eastAsia"/>
          <w:color w:val="000000"/>
          <w:kern w:val="0"/>
          <w:sz w:val="32"/>
          <w:szCs w:val="32"/>
        </w:rPr>
        <w:t>4</w:t>
      </w:r>
      <w:r>
        <w:rPr>
          <w:rFonts w:ascii="Times New Roman" w:eastAsia="仿宋_GB2312" w:hAnsi="Times New Roman" w:cs="黑体" w:hint="eastAsia"/>
          <w:color w:val="000000"/>
          <w:kern w:val="0"/>
          <w:sz w:val="32"/>
          <w:szCs w:val="32"/>
        </w:rPr>
        <w:t>名），易地安置和代管的老干部</w:t>
      </w:r>
      <w:r>
        <w:rPr>
          <w:rFonts w:ascii="Times New Roman" w:eastAsia="仿宋_GB2312" w:hAnsi="Times New Roman" w:cs="黑体" w:hint="eastAsia"/>
          <w:color w:val="000000"/>
          <w:kern w:val="0"/>
          <w:sz w:val="32"/>
          <w:szCs w:val="32"/>
        </w:rPr>
        <w:t xml:space="preserve">3 </w:t>
      </w:r>
      <w:r>
        <w:rPr>
          <w:rFonts w:ascii="Times New Roman" w:eastAsia="仿宋_GB2312" w:hAnsi="Times New Roman" w:cs="黑体" w:hint="eastAsia"/>
          <w:color w:val="000000"/>
          <w:kern w:val="0"/>
          <w:sz w:val="32"/>
          <w:szCs w:val="32"/>
        </w:rPr>
        <w:t>人，无固定工作收入的遗孀及配偶</w:t>
      </w:r>
      <w:r>
        <w:rPr>
          <w:rFonts w:ascii="Times New Roman" w:eastAsia="仿宋_GB2312" w:hAnsi="Times New Roman" w:cs="黑体" w:hint="eastAsia"/>
          <w:color w:val="000000"/>
          <w:kern w:val="0"/>
          <w:sz w:val="32"/>
          <w:szCs w:val="32"/>
        </w:rPr>
        <w:t>4</w:t>
      </w:r>
      <w:r>
        <w:rPr>
          <w:rFonts w:ascii="Times New Roman" w:eastAsia="仿宋_GB2312" w:hAnsi="Times New Roman" w:cs="黑体" w:hint="eastAsia"/>
          <w:color w:val="000000"/>
          <w:kern w:val="0"/>
          <w:sz w:val="32"/>
          <w:szCs w:val="32"/>
        </w:rPr>
        <w:t>人，共计</w:t>
      </w:r>
      <w:r>
        <w:rPr>
          <w:rFonts w:ascii="Times New Roman" w:eastAsia="仿宋_GB2312" w:hAnsi="Times New Roman" w:cs="黑体" w:hint="eastAsia"/>
          <w:color w:val="000000"/>
          <w:kern w:val="0"/>
          <w:sz w:val="32"/>
          <w:szCs w:val="32"/>
        </w:rPr>
        <w:t>70</w:t>
      </w:r>
      <w:r>
        <w:rPr>
          <w:rFonts w:ascii="Times New Roman" w:eastAsia="仿宋_GB2312" w:hAnsi="Times New Roman" w:cs="黑体" w:hint="eastAsia"/>
          <w:color w:val="000000"/>
          <w:kern w:val="0"/>
          <w:sz w:val="32"/>
          <w:szCs w:val="32"/>
        </w:rPr>
        <w:t>人。</w:t>
      </w:r>
    </w:p>
    <w:p w:rsidR="00753AFB" w:rsidRDefault="00753AFB">
      <w:pPr>
        <w:widowControl/>
        <w:spacing w:line="560" w:lineRule="exact"/>
        <w:ind w:firstLineChars="200" w:firstLine="560"/>
        <w:rPr>
          <w:rFonts w:ascii="仿宋_GB2312" w:eastAsia="仿宋_GB2312" w:hAnsiTheme="minorEastAsia"/>
          <w:sz w:val="28"/>
          <w:szCs w:val="32"/>
        </w:rPr>
      </w:pPr>
    </w:p>
    <w:p w:rsidR="00753AFB" w:rsidRDefault="00753AFB">
      <w:pPr>
        <w:spacing w:line="560" w:lineRule="exact"/>
        <w:rPr>
          <w:rFonts w:ascii="黑体" w:eastAsia="黑体" w:hAnsi="黑体"/>
          <w:sz w:val="28"/>
          <w:szCs w:val="28"/>
        </w:rPr>
      </w:pPr>
    </w:p>
    <w:p w:rsidR="00753AFB" w:rsidRDefault="00753AFB">
      <w:pPr>
        <w:spacing w:line="560" w:lineRule="exact"/>
        <w:rPr>
          <w:rFonts w:ascii="黑体" w:eastAsia="黑体" w:hAnsi="黑体"/>
          <w:sz w:val="28"/>
          <w:szCs w:val="28"/>
        </w:rPr>
      </w:pPr>
    </w:p>
    <w:p w:rsidR="00753AFB" w:rsidRDefault="00753AFB">
      <w:pPr>
        <w:jc w:val="center"/>
        <w:rPr>
          <w:rFonts w:ascii="黑体" w:eastAsia="黑体" w:hAnsi="黑体"/>
          <w:sz w:val="28"/>
          <w:szCs w:val="28"/>
        </w:rPr>
      </w:pPr>
    </w:p>
    <w:p w:rsidR="00753AFB" w:rsidRDefault="00753AFB">
      <w:pPr>
        <w:jc w:val="center"/>
        <w:rPr>
          <w:rFonts w:ascii="黑体" w:eastAsia="黑体" w:hAnsi="黑体"/>
          <w:sz w:val="28"/>
          <w:szCs w:val="28"/>
        </w:rPr>
      </w:pPr>
    </w:p>
    <w:p w:rsidR="00753AFB" w:rsidRDefault="00753AFB">
      <w:pPr>
        <w:jc w:val="center"/>
        <w:rPr>
          <w:rFonts w:ascii="黑体" w:eastAsia="黑体" w:hAnsi="黑体"/>
          <w:sz w:val="28"/>
          <w:szCs w:val="28"/>
        </w:rPr>
      </w:pPr>
    </w:p>
    <w:p w:rsidR="00753AFB" w:rsidRDefault="00753AFB">
      <w:pPr>
        <w:jc w:val="center"/>
        <w:rPr>
          <w:rFonts w:ascii="黑体" w:eastAsia="黑体" w:hAnsi="黑体"/>
          <w:sz w:val="28"/>
          <w:szCs w:val="28"/>
        </w:rPr>
      </w:pPr>
    </w:p>
    <w:p w:rsidR="00753AFB" w:rsidRDefault="00753AFB">
      <w:pPr>
        <w:jc w:val="center"/>
        <w:rPr>
          <w:rFonts w:ascii="黑体" w:eastAsia="黑体" w:hAnsi="黑体"/>
          <w:sz w:val="28"/>
          <w:szCs w:val="28"/>
        </w:rPr>
      </w:pPr>
    </w:p>
    <w:p w:rsidR="00753AFB" w:rsidRDefault="00753AFB">
      <w:pP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sectPr w:rsidR="00753AFB">
          <w:footerReference w:type="default" r:id="rId10"/>
          <w:pgSz w:w="11906" w:h="16838"/>
          <w:pgMar w:top="1984" w:right="1701" w:bottom="1417" w:left="1701" w:header="851" w:footer="992" w:gutter="0"/>
          <w:pgNumType w:start="1"/>
          <w:cols w:space="425"/>
          <w:docGrid w:type="lines" w:linePitch="312"/>
        </w:sect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pStyle w:val="Default"/>
        <w:jc w:val="center"/>
        <w:rPr>
          <w:rFonts w:ascii="方正小标宋_GBK" w:eastAsia="方正小标宋_GBK" w:hAnsi="方正小标宋_GBK" w:cs="方正小标宋_GBK"/>
          <w:sz w:val="84"/>
          <w:szCs w:val="84"/>
        </w:rPr>
      </w:pPr>
    </w:p>
    <w:p w:rsidR="00753AFB" w:rsidRDefault="00753AFB">
      <w:pPr>
        <w:pStyle w:val="Default"/>
        <w:jc w:val="both"/>
        <w:rPr>
          <w:rFonts w:ascii="方正小标宋_GBK" w:eastAsia="方正小标宋_GBK" w:hAnsi="方正小标宋_GBK" w:cs="方正小标宋_GBK"/>
          <w:sz w:val="84"/>
          <w:szCs w:val="84"/>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第二部分</w:t>
      </w:r>
    </w:p>
    <w:p w:rsidR="00753AFB" w:rsidRDefault="00753AFB">
      <w:pPr>
        <w:pStyle w:val="Default"/>
        <w:jc w:val="center"/>
        <w:rPr>
          <w:rFonts w:ascii="方正小标宋_GBK" w:eastAsia="方正小标宋_GBK" w:hAnsi="方正小标宋_GBK" w:cs="方正小标宋_GBK"/>
          <w:bCs/>
          <w:sz w:val="84"/>
          <w:szCs w:val="84"/>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部门决算表</w:t>
      </w: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jc w:val="center"/>
        <w:rPr>
          <w:rFonts w:hint="eastAsia"/>
          <w:sz w:val="72"/>
          <w:szCs w:val="72"/>
        </w:rPr>
      </w:pPr>
    </w:p>
    <w:p w:rsidR="00753AFB" w:rsidRDefault="00753AFB">
      <w:pPr>
        <w:rPr>
          <w:rFonts w:hint="eastAsia"/>
          <w:sz w:val="72"/>
          <w:szCs w:val="72"/>
        </w:rPr>
      </w:pPr>
    </w:p>
    <w:p w:rsidR="00753AFB" w:rsidRDefault="00753AFB">
      <w:pPr>
        <w:jc w:val="left"/>
        <w:rPr>
          <w:rFonts w:asciiTheme="minorEastAsia" w:hAnsiTheme="minorEastAsia"/>
          <w:sz w:val="32"/>
          <w:szCs w:val="32"/>
        </w:rPr>
        <w:sectPr w:rsidR="00753AFB">
          <w:footerReference w:type="default" r:id="rId11"/>
          <w:pgSz w:w="11906" w:h="16838"/>
          <w:pgMar w:top="1984" w:right="1701" w:bottom="1417" w:left="1701" w:header="851" w:footer="992" w:gutter="0"/>
          <w:pgNumType w:start="1"/>
          <w:cols w:space="425"/>
          <w:docGrid w:type="lines" w:linePitch="312"/>
        </w:sectPr>
      </w:pPr>
    </w:p>
    <w:p w:rsidR="00753AFB" w:rsidRDefault="00CA632F">
      <w:pPr>
        <w:pStyle w:val="Default"/>
        <w:rPr>
          <w:rFonts w:hint="eastAsia"/>
          <w:sz w:val="72"/>
          <w:szCs w:val="72"/>
        </w:rPr>
      </w:pPr>
      <w:r>
        <w:rPr>
          <w:noProof/>
        </w:rPr>
        <w:lastRenderedPageBreak/>
        <w:drawing>
          <wp:anchor distT="0" distB="0" distL="114300" distR="114300" simplePos="0" relativeHeight="251659264" behindDoc="0" locked="0" layoutInCell="1" allowOverlap="1">
            <wp:simplePos x="0" y="0"/>
            <wp:positionH relativeFrom="column">
              <wp:posOffset>-666750</wp:posOffset>
            </wp:positionH>
            <wp:positionV relativeFrom="paragraph">
              <wp:posOffset>99060</wp:posOffset>
            </wp:positionV>
            <wp:extent cx="6997065" cy="7036435"/>
            <wp:effectExtent l="0" t="0" r="13335" b="12065"/>
            <wp:wrapSquare wrapText="bothSides"/>
            <wp:docPr id="6" name="图片 6"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1"/>
                    <pic:cNvPicPr>
                      <a:picLocks noChangeAspect="1"/>
                    </pic:cNvPicPr>
                  </pic:nvPicPr>
                  <pic:blipFill>
                    <a:blip r:embed="rId12" cstate="print"/>
                    <a:stretch>
                      <a:fillRect/>
                    </a:stretch>
                  </pic:blipFill>
                  <pic:spPr>
                    <a:xfrm>
                      <a:off x="0" y="0"/>
                      <a:ext cx="6997065" cy="7036435"/>
                    </a:xfrm>
                    <a:prstGeom prst="rect">
                      <a:avLst/>
                    </a:prstGeom>
                  </pic:spPr>
                </pic:pic>
              </a:graphicData>
            </a:graphic>
          </wp:anchor>
        </w:drawing>
      </w:r>
    </w:p>
    <w:p w:rsidR="00753AFB" w:rsidRDefault="00753AFB">
      <w:pPr>
        <w:pStyle w:val="Default"/>
        <w:rPr>
          <w:rFonts w:hint="eastAsia"/>
          <w:sz w:val="72"/>
          <w:szCs w:val="72"/>
        </w:rPr>
      </w:pPr>
    </w:p>
    <w:p w:rsidR="00753AFB" w:rsidRDefault="00CA632F">
      <w:pPr>
        <w:pStyle w:val="Default"/>
        <w:rPr>
          <w:rFonts w:hint="eastAsia"/>
          <w:sz w:val="72"/>
          <w:szCs w:val="72"/>
        </w:rPr>
      </w:pPr>
      <w:r>
        <w:rPr>
          <w:rFonts w:hint="eastAsia"/>
          <w:noProof/>
          <w:sz w:val="72"/>
          <w:szCs w:val="72"/>
        </w:rPr>
        <w:lastRenderedPageBreak/>
        <w:drawing>
          <wp:anchor distT="0" distB="0" distL="114300" distR="114300" simplePos="0" relativeHeight="251661312" behindDoc="0" locked="0" layoutInCell="1" allowOverlap="1">
            <wp:simplePos x="0" y="0"/>
            <wp:positionH relativeFrom="column">
              <wp:posOffset>-1156970</wp:posOffset>
            </wp:positionH>
            <wp:positionV relativeFrom="paragraph">
              <wp:posOffset>198120</wp:posOffset>
            </wp:positionV>
            <wp:extent cx="7469505" cy="4822190"/>
            <wp:effectExtent l="0" t="0" r="17145" b="16510"/>
            <wp:wrapSquare wrapText="bothSides"/>
            <wp:docPr id="11" name="图片 11" descr="公开表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公开表2"/>
                    <pic:cNvPicPr>
                      <a:picLocks noChangeAspect="1"/>
                    </pic:cNvPicPr>
                  </pic:nvPicPr>
                  <pic:blipFill>
                    <a:blip r:embed="rId13" cstate="print"/>
                    <a:srcRect l="5918" t="3998" r="5907" b="57193"/>
                    <a:stretch>
                      <a:fillRect/>
                    </a:stretch>
                  </pic:blipFill>
                  <pic:spPr>
                    <a:xfrm>
                      <a:off x="0" y="0"/>
                      <a:ext cx="7469505" cy="4822190"/>
                    </a:xfrm>
                    <a:prstGeom prst="rect">
                      <a:avLst/>
                    </a:prstGeom>
                  </pic:spPr>
                </pic:pic>
              </a:graphicData>
            </a:graphic>
          </wp:anchor>
        </w:drawing>
      </w:r>
    </w:p>
    <w:p w:rsidR="00753AFB" w:rsidRDefault="00753AFB">
      <w:pPr>
        <w:pStyle w:val="Default"/>
        <w:rPr>
          <w:rFonts w:hint="eastAsia"/>
          <w:sz w:val="72"/>
          <w:szCs w:val="72"/>
        </w:rPr>
        <w:sectPr w:rsidR="00753AFB">
          <w:footerReference w:type="default" r:id="rId14"/>
          <w:pgSz w:w="11906" w:h="16838"/>
          <w:pgMar w:top="1984" w:right="1701" w:bottom="1417" w:left="1701" w:header="851" w:footer="992" w:gutter="0"/>
          <w:pgNumType w:start="1"/>
          <w:cols w:space="425"/>
          <w:docGrid w:type="linesAndChars" w:linePitch="312"/>
        </w:sectPr>
      </w:pPr>
    </w:p>
    <w:p w:rsidR="00753AFB" w:rsidRDefault="00CA632F">
      <w:pPr>
        <w:pStyle w:val="Default"/>
        <w:rPr>
          <w:rFonts w:hint="eastAsia"/>
          <w:sz w:val="72"/>
          <w:szCs w:val="72"/>
        </w:rPr>
      </w:pPr>
      <w:r>
        <w:rPr>
          <w:rFonts w:hint="eastAsia"/>
          <w:noProof/>
          <w:sz w:val="72"/>
          <w:szCs w:val="72"/>
        </w:rPr>
        <w:lastRenderedPageBreak/>
        <w:drawing>
          <wp:anchor distT="0" distB="0" distL="114300" distR="114300" simplePos="0" relativeHeight="251662336" behindDoc="0" locked="0" layoutInCell="1" allowOverlap="1">
            <wp:simplePos x="0" y="0"/>
            <wp:positionH relativeFrom="column">
              <wp:posOffset>-933450</wp:posOffset>
            </wp:positionH>
            <wp:positionV relativeFrom="paragraph">
              <wp:posOffset>99060</wp:posOffset>
            </wp:positionV>
            <wp:extent cx="7480935" cy="5453380"/>
            <wp:effectExtent l="0" t="0" r="5715" b="13970"/>
            <wp:wrapSquare wrapText="bothSides"/>
            <wp:docPr id="12" name="图片 12" descr="公开表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公开表3"/>
                    <pic:cNvPicPr>
                      <a:picLocks noChangeAspect="1"/>
                    </pic:cNvPicPr>
                  </pic:nvPicPr>
                  <pic:blipFill>
                    <a:blip r:embed="rId15" cstate="print"/>
                    <a:srcRect l="5565" t="5191" r="5201" b="53149"/>
                    <a:stretch>
                      <a:fillRect/>
                    </a:stretch>
                  </pic:blipFill>
                  <pic:spPr>
                    <a:xfrm>
                      <a:off x="0" y="0"/>
                      <a:ext cx="7480935" cy="5453380"/>
                    </a:xfrm>
                    <a:prstGeom prst="rect">
                      <a:avLst/>
                    </a:prstGeom>
                  </pic:spPr>
                </pic:pic>
              </a:graphicData>
            </a:graphic>
          </wp:anchor>
        </w:drawing>
      </w:r>
    </w:p>
    <w:p w:rsidR="00753AFB" w:rsidRDefault="00753AFB">
      <w:pPr>
        <w:pStyle w:val="Default"/>
        <w:rPr>
          <w:rFonts w:hint="eastAsia"/>
          <w:sz w:val="72"/>
          <w:szCs w:val="72"/>
        </w:rPr>
        <w:sectPr w:rsidR="00753AFB">
          <w:pgSz w:w="11906" w:h="16838"/>
          <w:pgMar w:top="1984" w:right="1701" w:bottom="1417" w:left="1701" w:header="851" w:footer="992" w:gutter="0"/>
          <w:cols w:space="425"/>
          <w:docGrid w:type="linesAndChars" w:linePitch="312"/>
        </w:sectPr>
      </w:pPr>
    </w:p>
    <w:p w:rsidR="00753AFB" w:rsidRDefault="00CA632F">
      <w:pPr>
        <w:pStyle w:val="Default"/>
        <w:rPr>
          <w:rFonts w:hint="eastAsia"/>
          <w:sz w:val="72"/>
          <w:szCs w:val="72"/>
        </w:rPr>
      </w:pPr>
      <w:r>
        <w:rPr>
          <w:rFonts w:hint="eastAsia"/>
          <w:noProof/>
          <w:sz w:val="72"/>
          <w:szCs w:val="72"/>
        </w:rPr>
        <w:lastRenderedPageBreak/>
        <w:drawing>
          <wp:anchor distT="0" distB="0" distL="114300" distR="114300" simplePos="0" relativeHeight="251663360" behindDoc="0" locked="0" layoutInCell="1" allowOverlap="1">
            <wp:simplePos x="0" y="0"/>
            <wp:positionH relativeFrom="column">
              <wp:posOffset>-1066800</wp:posOffset>
            </wp:positionH>
            <wp:positionV relativeFrom="paragraph">
              <wp:posOffset>396240</wp:posOffset>
            </wp:positionV>
            <wp:extent cx="7563485" cy="6692900"/>
            <wp:effectExtent l="0" t="0" r="18415" b="12700"/>
            <wp:wrapSquare wrapText="bothSides"/>
            <wp:docPr id="13" name="图片 13" descr="公开表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公开表4"/>
                    <pic:cNvPicPr>
                      <a:picLocks noChangeAspect="1"/>
                    </pic:cNvPicPr>
                  </pic:nvPicPr>
                  <pic:blipFill>
                    <a:blip r:embed="rId16" cstate="print"/>
                    <a:srcRect l="5742" t="4550" r="6966" b="45886"/>
                    <a:stretch>
                      <a:fillRect/>
                    </a:stretch>
                  </pic:blipFill>
                  <pic:spPr>
                    <a:xfrm>
                      <a:off x="0" y="0"/>
                      <a:ext cx="7563485" cy="6692900"/>
                    </a:xfrm>
                    <a:prstGeom prst="rect">
                      <a:avLst/>
                    </a:prstGeom>
                  </pic:spPr>
                </pic:pic>
              </a:graphicData>
            </a:graphic>
          </wp:anchor>
        </w:drawing>
      </w:r>
    </w:p>
    <w:p w:rsidR="00753AFB" w:rsidRDefault="00753AFB">
      <w:pPr>
        <w:pStyle w:val="Default"/>
        <w:rPr>
          <w:rFonts w:hint="eastAsia"/>
          <w:sz w:val="72"/>
          <w:szCs w:val="72"/>
        </w:rPr>
        <w:sectPr w:rsidR="00753AFB">
          <w:pgSz w:w="11906" w:h="16838"/>
          <w:pgMar w:top="1984" w:right="1701" w:bottom="1417" w:left="1701" w:header="851" w:footer="992" w:gutter="0"/>
          <w:cols w:space="425"/>
          <w:docGrid w:type="linesAndChars" w:linePitch="312"/>
        </w:sectPr>
      </w:pPr>
    </w:p>
    <w:p w:rsidR="00753AFB" w:rsidRDefault="00CA632F">
      <w:pPr>
        <w:pStyle w:val="Default"/>
        <w:rPr>
          <w:rFonts w:hint="eastAsia"/>
          <w:sz w:val="72"/>
          <w:szCs w:val="72"/>
        </w:rPr>
      </w:pPr>
      <w:r>
        <w:rPr>
          <w:rFonts w:hint="eastAsia"/>
          <w:noProof/>
          <w:sz w:val="72"/>
          <w:szCs w:val="72"/>
        </w:rPr>
        <w:lastRenderedPageBreak/>
        <w:drawing>
          <wp:anchor distT="0" distB="0" distL="114300" distR="114300" simplePos="0" relativeHeight="251664384" behindDoc="0" locked="0" layoutInCell="1" allowOverlap="1">
            <wp:simplePos x="0" y="0"/>
            <wp:positionH relativeFrom="column">
              <wp:posOffset>-1066800</wp:posOffset>
            </wp:positionH>
            <wp:positionV relativeFrom="paragraph">
              <wp:posOffset>396240</wp:posOffset>
            </wp:positionV>
            <wp:extent cx="7547610" cy="7910830"/>
            <wp:effectExtent l="0" t="0" r="15240" b="13970"/>
            <wp:wrapSquare wrapText="bothSides"/>
            <wp:docPr id="14" name="图片 14" descr="公开表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公开表5"/>
                    <pic:cNvPicPr>
                      <a:picLocks noChangeAspect="1"/>
                    </pic:cNvPicPr>
                  </pic:nvPicPr>
                  <pic:blipFill>
                    <a:blip r:embed="rId17" cstate="print"/>
                    <a:srcRect l="6177" t="4700" r="6177" b="38117"/>
                    <a:stretch>
                      <a:fillRect/>
                    </a:stretch>
                  </pic:blipFill>
                  <pic:spPr>
                    <a:xfrm>
                      <a:off x="0" y="0"/>
                      <a:ext cx="7547610" cy="7910830"/>
                    </a:xfrm>
                    <a:prstGeom prst="rect">
                      <a:avLst/>
                    </a:prstGeom>
                  </pic:spPr>
                </pic:pic>
              </a:graphicData>
            </a:graphic>
          </wp:anchor>
        </w:drawing>
      </w:r>
    </w:p>
    <w:p w:rsidR="00753AFB" w:rsidRDefault="00CA632F">
      <w:pPr>
        <w:pStyle w:val="Default"/>
        <w:rPr>
          <w:rFonts w:hint="eastAsia"/>
          <w:sz w:val="72"/>
          <w:szCs w:val="72"/>
        </w:rPr>
        <w:sectPr w:rsidR="00753AFB">
          <w:pgSz w:w="11906" w:h="16838"/>
          <w:pgMar w:top="1984" w:right="1701" w:bottom="1417" w:left="1701" w:header="851" w:footer="992" w:gutter="0"/>
          <w:cols w:space="425"/>
          <w:docGrid w:type="linesAndChars" w:linePitch="312"/>
        </w:sectPr>
      </w:pPr>
      <w:r>
        <w:rPr>
          <w:noProof/>
        </w:rPr>
        <w:lastRenderedPageBreak/>
        <w:drawing>
          <wp:anchor distT="0" distB="0" distL="0" distR="0" simplePos="0" relativeHeight="251660288" behindDoc="1" locked="0" layoutInCell="1" allowOverlap="1">
            <wp:simplePos x="0" y="0"/>
            <wp:positionH relativeFrom="column">
              <wp:posOffset>-1000125</wp:posOffset>
            </wp:positionH>
            <wp:positionV relativeFrom="paragraph">
              <wp:posOffset>297180</wp:posOffset>
            </wp:positionV>
            <wp:extent cx="7419975" cy="6116955"/>
            <wp:effectExtent l="0" t="0" r="9525" b="0"/>
            <wp:wrapTight wrapText="bothSides">
              <wp:wrapPolygon edited="0">
                <wp:start x="0" y="0"/>
                <wp:lineTo x="0" y="21526"/>
                <wp:lineTo x="21572" y="21526"/>
                <wp:lineTo x="21572" y="0"/>
                <wp:lineTo x="0" y="0"/>
              </wp:wrapPolygon>
            </wp:wrapTight>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8" cstate="print"/>
                    <a:srcRect b="9045"/>
                    <a:stretch>
                      <a:fillRect/>
                    </a:stretch>
                  </pic:blipFill>
                  <pic:spPr>
                    <a:xfrm>
                      <a:off x="0" y="0"/>
                      <a:ext cx="7419975" cy="6116955"/>
                    </a:xfrm>
                    <a:prstGeom prst="rect">
                      <a:avLst/>
                    </a:prstGeom>
                  </pic:spPr>
                </pic:pic>
              </a:graphicData>
            </a:graphic>
          </wp:anchor>
        </w:drawing>
      </w:r>
    </w:p>
    <w:p w:rsidR="00753AFB" w:rsidRDefault="00CA632F">
      <w:pPr>
        <w:pStyle w:val="Default"/>
        <w:jc w:val="both"/>
        <w:rPr>
          <w:rFonts w:ascii="方正小标宋_GBK" w:eastAsia="方正小标宋_GBK" w:hAnsi="方正小标宋_GBK" w:cs="方正小标宋_GBK"/>
          <w:sz w:val="72"/>
          <w:szCs w:val="72"/>
        </w:rPr>
      </w:pPr>
      <w:r>
        <w:rPr>
          <w:rFonts w:ascii="方正小标宋_GBK" w:eastAsia="方正小标宋_GBK" w:hAnsi="方正小标宋_GBK" w:cs="方正小标宋_GBK" w:hint="eastAsia"/>
          <w:noProof/>
          <w:sz w:val="72"/>
          <w:szCs w:val="72"/>
        </w:rPr>
        <w:lastRenderedPageBreak/>
        <w:drawing>
          <wp:anchor distT="0" distB="0" distL="114300" distR="114300" simplePos="0" relativeHeight="251665408" behindDoc="0" locked="0" layoutInCell="1" allowOverlap="1">
            <wp:simplePos x="0" y="0"/>
            <wp:positionH relativeFrom="column">
              <wp:posOffset>-962660</wp:posOffset>
            </wp:positionH>
            <wp:positionV relativeFrom="paragraph">
              <wp:posOffset>58420</wp:posOffset>
            </wp:positionV>
            <wp:extent cx="7398385" cy="3079750"/>
            <wp:effectExtent l="0" t="0" r="0" b="635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398385" cy="3079750"/>
                    </a:xfrm>
                    <a:prstGeom prst="rect">
                      <a:avLst/>
                    </a:prstGeom>
                  </pic:spPr>
                </pic:pic>
              </a:graphicData>
            </a:graphic>
          </wp:anchor>
        </w:drawing>
      </w: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both"/>
        <w:rPr>
          <w:rFonts w:ascii="方正小标宋_GBK" w:eastAsia="方正小标宋_GBK" w:hAnsi="方正小标宋_GBK" w:cs="方正小标宋_GBK"/>
          <w:sz w:val="72"/>
          <w:szCs w:val="72"/>
        </w:rPr>
      </w:pPr>
    </w:p>
    <w:p w:rsidR="00753AFB" w:rsidRDefault="00CA632F">
      <w:pPr>
        <w:pStyle w:val="Default"/>
        <w:jc w:val="center"/>
        <w:rPr>
          <w:rFonts w:ascii="方正小标宋_GBK" w:eastAsia="方正小标宋_GBK" w:hAnsi="方正小标宋_GBK" w:cs="方正小标宋_GBK"/>
          <w:sz w:val="72"/>
          <w:szCs w:val="72"/>
        </w:rPr>
      </w:pPr>
      <w:r>
        <w:rPr>
          <w:rFonts w:ascii="方正小标宋_GBK" w:eastAsia="方正小标宋_GBK" w:hAnsi="方正小标宋_GBK" w:cs="方正小标宋_GBK"/>
          <w:noProof/>
          <w:sz w:val="72"/>
          <w:szCs w:val="72"/>
        </w:rPr>
        <w:lastRenderedPageBreak/>
        <w:drawing>
          <wp:anchor distT="0" distB="0" distL="114300" distR="114300" simplePos="0" relativeHeight="251666432" behindDoc="0" locked="0" layoutInCell="1" allowOverlap="1">
            <wp:simplePos x="0" y="0"/>
            <wp:positionH relativeFrom="column">
              <wp:posOffset>-1012825</wp:posOffset>
            </wp:positionH>
            <wp:positionV relativeFrom="paragraph">
              <wp:posOffset>52705</wp:posOffset>
            </wp:positionV>
            <wp:extent cx="7410450" cy="3803650"/>
            <wp:effectExtent l="0" t="0" r="0" b="635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0"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410450" cy="3803650"/>
                    </a:xfrm>
                    <a:prstGeom prst="rect">
                      <a:avLst/>
                    </a:prstGeom>
                  </pic:spPr>
                </pic:pic>
              </a:graphicData>
            </a:graphic>
          </wp:anchor>
        </w:drawing>
      </w: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both"/>
        <w:rPr>
          <w:rFonts w:ascii="方正小标宋_GBK" w:eastAsia="方正小标宋_GBK" w:hAnsi="方正小标宋_GBK" w:cs="方正小标宋_GBK"/>
          <w:sz w:val="72"/>
          <w:szCs w:val="72"/>
        </w:rPr>
      </w:pPr>
    </w:p>
    <w:p w:rsidR="00753AFB" w:rsidRDefault="00CA632F">
      <w:pPr>
        <w:pStyle w:val="Default"/>
        <w:jc w:val="center"/>
        <w:rPr>
          <w:rFonts w:ascii="方正小标宋_GBK" w:eastAsia="方正小标宋_GBK" w:hAnsi="方正小标宋_GBK" w:cs="方正小标宋_GBK"/>
          <w:sz w:val="72"/>
          <w:szCs w:val="72"/>
        </w:rPr>
      </w:pPr>
      <w:r>
        <w:rPr>
          <w:rFonts w:ascii="方正小标宋_GBK" w:eastAsia="方正小标宋_GBK" w:hAnsi="方正小标宋_GBK" w:cs="方正小标宋_GBK"/>
          <w:noProof/>
          <w:sz w:val="72"/>
          <w:szCs w:val="72"/>
        </w:rPr>
        <w:lastRenderedPageBreak/>
        <w:drawing>
          <wp:anchor distT="0" distB="0" distL="114300" distR="114300" simplePos="0" relativeHeight="251667456" behindDoc="0" locked="0" layoutInCell="1" allowOverlap="1">
            <wp:simplePos x="0" y="0"/>
            <wp:positionH relativeFrom="column">
              <wp:posOffset>-1057910</wp:posOffset>
            </wp:positionH>
            <wp:positionV relativeFrom="paragraph">
              <wp:posOffset>80645</wp:posOffset>
            </wp:positionV>
            <wp:extent cx="7520305" cy="2922270"/>
            <wp:effectExtent l="0" t="0" r="4445"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1" cstate="print">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520305" cy="2922270"/>
                    </a:xfrm>
                    <a:prstGeom prst="rect">
                      <a:avLst/>
                    </a:prstGeom>
                  </pic:spPr>
                </pic:pic>
              </a:graphicData>
            </a:graphic>
          </wp:anchor>
        </w:drawing>
      </w: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both"/>
        <w:rPr>
          <w:rFonts w:ascii="方正小标宋_GBK" w:eastAsia="方正小标宋_GBK" w:hAnsi="方正小标宋_GBK" w:cs="方正小标宋_GBK"/>
          <w:sz w:val="72"/>
          <w:szCs w:val="72"/>
        </w:rPr>
      </w:pPr>
    </w:p>
    <w:p w:rsidR="00753AFB" w:rsidRDefault="00753AFB">
      <w:pPr>
        <w:pStyle w:val="Default"/>
        <w:jc w:val="center"/>
        <w:rPr>
          <w:rFonts w:ascii="方正小标宋_GBK" w:eastAsia="方正小标宋_GBK" w:hAnsi="方正小标宋_GBK" w:cs="方正小标宋_GBK"/>
          <w:sz w:val="72"/>
          <w:szCs w:val="72"/>
        </w:rPr>
        <w:sectPr w:rsidR="00753AFB">
          <w:footerReference w:type="default" r:id="rId22"/>
          <w:pgSz w:w="11906" w:h="16838"/>
          <w:pgMar w:top="1984" w:right="1701" w:bottom="1417" w:left="1701" w:header="851" w:footer="992" w:gutter="0"/>
          <w:cols w:space="425"/>
          <w:docGrid w:type="linesAndChars" w:linePitch="312"/>
        </w:sectPr>
      </w:pPr>
    </w:p>
    <w:p w:rsidR="00753AFB" w:rsidRDefault="00753AFB">
      <w:pPr>
        <w:pStyle w:val="Default"/>
        <w:jc w:val="center"/>
        <w:rPr>
          <w:rFonts w:ascii="方正小标宋_GBK" w:eastAsia="方正小标宋_GBK" w:hAnsi="方正小标宋_GBK" w:cs="方正小标宋_GBK"/>
          <w:sz w:val="72"/>
          <w:szCs w:val="72"/>
        </w:rPr>
      </w:pPr>
    </w:p>
    <w:p w:rsidR="00753AFB" w:rsidRDefault="00753AFB">
      <w:pPr>
        <w:pStyle w:val="Default"/>
        <w:jc w:val="both"/>
        <w:rPr>
          <w:rFonts w:ascii="方正小标宋_GBK" w:eastAsia="方正小标宋_GBK" w:hAnsi="方正小标宋_GBK" w:cs="方正小标宋_GBK"/>
          <w:sz w:val="72"/>
          <w:szCs w:val="72"/>
        </w:rPr>
      </w:pPr>
    </w:p>
    <w:p w:rsidR="00753AFB" w:rsidRDefault="00753AFB">
      <w:pPr>
        <w:pStyle w:val="Default"/>
        <w:jc w:val="both"/>
        <w:rPr>
          <w:rFonts w:ascii="方正小标宋_GBK" w:eastAsia="方正小标宋_GBK" w:hAnsi="方正小标宋_GBK" w:cs="方正小标宋_GBK"/>
          <w:sz w:val="72"/>
          <w:szCs w:val="72"/>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第三部分</w:t>
      </w:r>
    </w:p>
    <w:p w:rsidR="00753AFB" w:rsidRDefault="00753AFB">
      <w:pPr>
        <w:pStyle w:val="Default"/>
        <w:jc w:val="center"/>
        <w:rPr>
          <w:rFonts w:ascii="方正小标宋_GBK" w:eastAsia="方正小标宋_GBK" w:hAnsi="方正小标宋_GBK" w:cs="方正小标宋_GBK"/>
          <w:bCs/>
          <w:sz w:val="84"/>
          <w:szCs w:val="84"/>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2022</w:t>
      </w:r>
      <w:r>
        <w:rPr>
          <w:rFonts w:ascii="方正小标宋_GBK" w:eastAsia="方正小标宋_GBK" w:hAnsi="方正小标宋_GBK" w:cs="方正小标宋_GBK" w:hint="eastAsia"/>
          <w:bCs/>
          <w:sz w:val="84"/>
          <w:szCs w:val="84"/>
        </w:rPr>
        <w:t>年度部门决算</w:t>
      </w: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情况说明</w:t>
      </w:r>
    </w:p>
    <w:p w:rsidR="00753AFB" w:rsidRDefault="00753AFB">
      <w:pPr>
        <w:pStyle w:val="Default"/>
        <w:spacing w:line="600" w:lineRule="exact"/>
        <w:ind w:firstLineChars="200" w:firstLine="1680"/>
        <w:rPr>
          <w:rFonts w:ascii="方正小标宋_GBK" w:eastAsia="方正小标宋_GBK" w:hAnsi="方正小标宋_GBK" w:cs="方正小标宋_GBK"/>
          <w:bCs/>
          <w:sz w:val="84"/>
          <w:szCs w:val="84"/>
        </w:rPr>
        <w:sectPr w:rsidR="00753AFB">
          <w:footerReference w:type="default" r:id="rId23"/>
          <w:pgSz w:w="11906" w:h="16838"/>
          <w:pgMar w:top="1984" w:right="1701" w:bottom="1417" w:left="1701" w:header="851" w:footer="992" w:gutter="0"/>
          <w:cols w:space="425"/>
          <w:docGrid w:type="linesAndChars" w:linePitch="312"/>
        </w:sectPr>
      </w:pPr>
    </w:p>
    <w:p w:rsidR="00753AFB" w:rsidRDefault="00CA632F">
      <w:pPr>
        <w:pStyle w:val="Default"/>
        <w:spacing w:line="560" w:lineRule="exact"/>
        <w:ind w:firstLineChars="200" w:firstLine="640"/>
        <w:jc w:val="both"/>
        <w:rPr>
          <w:rFonts w:hint="eastAsia"/>
          <w:bCs/>
          <w:sz w:val="32"/>
          <w:szCs w:val="32"/>
        </w:rPr>
      </w:pPr>
      <w:r>
        <w:rPr>
          <w:rFonts w:hint="eastAsia"/>
          <w:bCs/>
          <w:sz w:val="32"/>
          <w:szCs w:val="32"/>
        </w:rPr>
        <w:lastRenderedPageBreak/>
        <w:t>一、收入支出决算总体情况说明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年度湖南省老干部休养所本级收入总计</w:t>
      </w:r>
      <w:r>
        <w:rPr>
          <w:rFonts w:ascii="Times New Roman" w:eastAsia="仿宋_GB2312" w:hAnsi="Times New Roman" w:hint="eastAsia"/>
          <w:sz w:val="32"/>
          <w:szCs w:val="32"/>
        </w:rPr>
        <w:t>1309</w:t>
      </w:r>
      <w:r>
        <w:rPr>
          <w:rFonts w:ascii="Times New Roman" w:eastAsia="仿宋_GB2312" w:hAnsi="Times New Roman" w:hint="eastAsia"/>
          <w:sz w:val="32"/>
          <w:szCs w:val="32"/>
        </w:rPr>
        <w:t>万元，支出总计</w:t>
      </w:r>
      <w:r>
        <w:rPr>
          <w:rFonts w:ascii="Times New Roman" w:eastAsia="仿宋_GB2312" w:hAnsi="Times New Roman" w:hint="eastAsia"/>
          <w:sz w:val="32"/>
          <w:szCs w:val="32"/>
        </w:rPr>
        <w:t>1309</w:t>
      </w:r>
      <w:r>
        <w:rPr>
          <w:rFonts w:ascii="Times New Roman" w:eastAsia="仿宋_GB2312" w:hAnsi="Times New Roman" w:hint="eastAsia"/>
          <w:sz w:val="32"/>
          <w:szCs w:val="32"/>
        </w:rPr>
        <w:t>万元，其中，支出合计</w:t>
      </w:r>
      <w:r>
        <w:rPr>
          <w:rFonts w:ascii="Times New Roman" w:eastAsia="仿宋_GB2312" w:hAnsi="Times New Roman" w:hint="eastAsia"/>
          <w:sz w:val="32"/>
          <w:szCs w:val="32"/>
        </w:rPr>
        <w:t>1234.36</w:t>
      </w:r>
      <w:r>
        <w:rPr>
          <w:rFonts w:ascii="Times New Roman" w:eastAsia="仿宋_GB2312" w:hAnsi="Times New Roman" w:hint="eastAsia"/>
          <w:sz w:val="32"/>
          <w:szCs w:val="32"/>
        </w:rPr>
        <w:t>万元，年终结余</w:t>
      </w:r>
      <w:r>
        <w:rPr>
          <w:rFonts w:ascii="Times New Roman" w:eastAsia="仿宋_GB2312" w:hAnsi="Times New Roman" w:hint="eastAsia"/>
          <w:sz w:val="32"/>
          <w:szCs w:val="32"/>
        </w:rPr>
        <w:t>74.64</w:t>
      </w:r>
      <w:r>
        <w:rPr>
          <w:rFonts w:ascii="Times New Roman" w:eastAsia="仿宋_GB2312" w:hAnsi="Times New Roman" w:hint="eastAsia"/>
          <w:sz w:val="32"/>
          <w:szCs w:val="32"/>
        </w:rPr>
        <w:t>万元。与上年相比，收入增加</w:t>
      </w:r>
      <w:r>
        <w:rPr>
          <w:rFonts w:ascii="Times New Roman" w:eastAsia="仿宋_GB2312" w:hAnsi="Times New Roman" w:hint="eastAsia"/>
          <w:sz w:val="32"/>
          <w:szCs w:val="32"/>
        </w:rPr>
        <w:t>351.57</w:t>
      </w:r>
      <w:r>
        <w:rPr>
          <w:rFonts w:ascii="Times New Roman" w:eastAsia="仿宋_GB2312" w:hAnsi="Times New Roman" w:hint="eastAsia"/>
          <w:sz w:val="32"/>
          <w:szCs w:val="32"/>
        </w:rPr>
        <w:t>万元，增长</w:t>
      </w:r>
      <w:r>
        <w:rPr>
          <w:rFonts w:ascii="Times New Roman" w:eastAsia="仿宋_GB2312" w:hAnsi="Times New Roman" w:hint="eastAsia"/>
          <w:sz w:val="32"/>
          <w:szCs w:val="32"/>
        </w:rPr>
        <w:t>36.72%</w:t>
      </w:r>
      <w:r>
        <w:rPr>
          <w:rFonts w:ascii="Times New Roman" w:eastAsia="仿宋_GB2312" w:hAnsi="Times New Roman" w:hint="eastAsia"/>
          <w:sz w:val="32"/>
          <w:szCs w:val="32"/>
        </w:rPr>
        <w:t>，支出增加</w:t>
      </w:r>
      <w:r>
        <w:rPr>
          <w:rFonts w:ascii="Times New Roman" w:eastAsia="仿宋_GB2312" w:hAnsi="Times New Roman" w:hint="eastAsia"/>
          <w:sz w:val="32"/>
          <w:szCs w:val="32"/>
        </w:rPr>
        <w:t>440.92</w:t>
      </w:r>
      <w:r>
        <w:rPr>
          <w:rFonts w:ascii="Times New Roman" w:eastAsia="仿宋_GB2312" w:hAnsi="Times New Roman" w:hint="eastAsia"/>
          <w:sz w:val="32"/>
          <w:szCs w:val="32"/>
        </w:rPr>
        <w:t>万元，增长</w:t>
      </w:r>
      <w:r>
        <w:rPr>
          <w:rFonts w:ascii="Times New Roman" w:eastAsia="仿宋_GB2312" w:hAnsi="Times New Roman" w:hint="eastAsia"/>
          <w:sz w:val="32"/>
          <w:szCs w:val="32"/>
        </w:rPr>
        <w:t>55.57%</w:t>
      </w:r>
      <w:r>
        <w:rPr>
          <w:rFonts w:ascii="Times New Roman" w:eastAsia="仿宋_GB2312" w:hAnsi="Times New Roman" w:hint="eastAsia"/>
          <w:sz w:val="32"/>
          <w:szCs w:val="32"/>
        </w:rPr>
        <w:t>，主要是因为政策变更，财政年中一次性追加指标</w:t>
      </w:r>
      <w:r>
        <w:rPr>
          <w:rFonts w:ascii="Times New Roman" w:eastAsia="仿宋_GB2312" w:hAnsi="Times New Roman" w:hint="eastAsia"/>
          <w:sz w:val="32"/>
          <w:szCs w:val="32"/>
        </w:rPr>
        <w:t>459.13</w:t>
      </w:r>
      <w:r>
        <w:rPr>
          <w:rFonts w:ascii="Times New Roman" w:eastAsia="仿宋_GB2312" w:hAnsi="Times New Roman" w:hint="eastAsia"/>
          <w:sz w:val="32"/>
          <w:szCs w:val="32"/>
        </w:rPr>
        <w:t>万元。</w:t>
      </w:r>
    </w:p>
    <w:p w:rsidR="00753AFB" w:rsidRDefault="00CA632F">
      <w:pPr>
        <w:pStyle w:val="Default"/>
        <w:spacing w:line="560" w:lineRule="exact"/>
        <w:ind w:firstLineChars="200" w:firstLine="640"/>
        <w:jc w:val="both"/>
        <w:rPr>
          <w:rFonts w:hint="eastAsia"/>
          <w:bCs/>
          <w:sz w:val="32"/>
          <w:szCs w:val="32"/>
        </w:rPr>
      </w:pPr>
      <w:r>
        <w:rPr>
          <w:rFonts w:hint="eastAsia"/>
          <w:bCs/>
          <w:sz w:val="32"/>
          <w:szCs w:val="32"/>
        </w:rPr>
        <w:t>二、收入决算情况说明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年度收入合计</w:t>
      </w:r>
      <w:r>
        <w:rPr>
          <w:rFonts w:ascii="Times New Roman" w:eastAsia="仿宋_GB2312" w:hAnsi="Times New Roman" w:hint="eastAsia"/>
          <w:sz w:val="32"/>
          <w:szCs w:val="32"/>
        </w:rPr>
        <w:t>1309</w:t>
      </w:r>
      <w:r>
        <w:rPr>
          <w:rFonts w:ascii="Times New Roman" w:eastAsia="仿宋_GB2312" w:hAnsi="Times New Roman" w:hint="eastAsia"/>
          <w:sz w:val="32"/>
          <w:szCs w:val="32"/>
        </w:rPr>
        <w:t>万元，其中：财政拨款收入</w:t>
      </w:r>
      <w:r>
        <w:rPr>
          <w:rFonts w:ascii="Times New Roman" w:eastAsia="仿宋_GB2312" w:hAnsi="Times New Roman" w:hint="eastAsia"/>
          <w:sz w:val="32"/>
          <w:szCs w:val="32"/>
        </w:rPr>
        <w:t>1309</w:t>
      </w:r>
      <w:r>
        <w:rPr>
          <w:rFonts w:ascii="Times New Roman" w:eastAsia="仿宋_GB2312" w:hAnsi="Times New Roman" w:hint="eastAsia"/>
          <w:sz w:val="32"/>
          <w:szCs w:val="32"/>
        </w:rPr>
        <w:t>万元，占</w:t>
      </w:r>
      <w:r>
        <w:rPr>
          <w:rFonts w:ascii="Times New Roman" w:eastAsia="仿宋_GB2312" w:hAnsi="Times New Roman" w:hint="eastAsia"/>
          <w:sz w:val="32"/>
          <w:szCs w:val="32"/>
        </w:rPr>
        <w:t>100%</w:t>
      </w:r>
      <w:r>
        <w:rPr>
          <w:rFonts w:ascii="Times New Roman" w:eastAsia="仿宋_GB2312" w:hAnsi="Times New Roman" w:hint="eastAsia"/>
          <w:sz w:val="32"/>
          <w:szCs w:val="32"/>
        </w:rPr>
        <w:t>；上级补助收入</w:t>
      </w:r>
      <w:r>
        <w:rPr>
          <w:rFonts w:ascii="Times New Roman" w:eastAsia="仿宋_GB2312" w:hAnsi="Times New Roman" w:hint="eastAsia"/>
          <w:sz w:val="32"/>
          <w:szCs w:val="32"/>
        </w:rPr>
        <w:t>0</w:t>
      </w:r>
      <w:r>
        <w:rPr>
          <w:rFonts w:ascii="Times New Roman" w:eastAsia="仿宋_GB2312" w:hAnsi="Times New Roman" w:hint="eastAsia"/>
          <w:sz w:val="32"/>
          <w:szCs w:val="32"/>
        </w:rPr>
        <w:t>万元，占</w:t>
      </w:r>
      <w:r>
        <w:rPr>
          <w:rFonts w:ascii="Times New Roman" w:eastAsia="仿宋_GB2312" w:hAnsi="Times New Roman" w:hint="eastAsia"/>
          <w:sz w:val="32"/>
          <w:szCs w:val="32"/>
        </w:rPr>
        <w:t>0%</w:t>
      </w:r>
      <w:r>
        <w:rPr>
          <w:rFonts w:ascii="Times New Roman" w:eastAsia="仿宋_GB2312" w:hAnsi="Times New Roman" w:hint="eastAsia"/>
          <w:sz w:val="32"/>
          <w:szCs w:val="32"/>
        </w:rPr>
        <w:t>；事业收</w:t>
      </w:r>
      <w:r>
        <w:rPr>
          <w:rFonts w:ascii="Times New Roman" w:eastAsia="仿宋_GB2312" w:hAnsi="Times New Roman" w:hint="eastAsia"/>
          <w:sz w:val="32"/>
          <w:szCs w:val="32"/>
        </w:rPr>
        <w:t>入</w:t>
      </w:r>
      <w:r>
        <w:rPr>
          <w:rFonts w:ascii="Times New Roman" w:eastAsia="仿宋_GB2312" w:hAnsi="Times New Roman" w:hint="eastAsia"/>
          <w:sz w:val="32"/>
          <w:szCs w:val="32"/>
        </w:rPr>
        <w:t>0</w:t>
      </w:r>
      <w:r>
        <w:rPr>
          <w:rFonts w:ascii="Times New Roman" w:eastAsia="仿宋_GB2312" w:hAnsi="Times New Roman" w:hint="eastAsia"/>
          <w:sz w:val="32"/>
          <w:szCs w:val="32"/>
        </w:rPr>
        <w:t>万元，占</w:t>
      </w:r>
      <w:r>
        <w:rPr>
          <w:rFonts w:ascii="Times New Roman" w:eastAsia="仿宋_GB2312" w:hAnsi="Times New Roman" w:hint="eastAsia"/>
          <w:sz w:val="32"/>
          <w:szCs w:val="32"/>
        </w:rPr>
        <w:t>0%</w:t>
      </w:r>
      <w:r>
        <w:rPr>
          <w:rFonts w:ascii="Times New Roman" w:eastAsia="仿宋_GB2312" w:hAnsi="Times New Roman" w:hint="eastAsia"/>
          <w:sz w:val="32"/>
          <w:szCs w:val="32"/>
        </w:rPr>
        <w:t>；经营收入</w:t>
      </w:r>
      <w:r>
        <w:rPr>
          <w:rFonts w:ascii="Times New Roman" w:eastAsia="仿宋_GB2312" w:hAnsi="Times New Roman" w:hint="eastAsia"/>
          <w:sz w:val="32"/>
          <w:szCs w:val="32"/>
        </w:rPr>
        <w:t>0</w:t>
      </w:r>
      <w:r>
        <w:rPr>
          <w:rFonts w:ascii="Times New Roman" w:eastAsia="仿宋_GB2312" w:hAnsi="Times New Roman" w:hint="eastAsia"/>
          <w:sz w:val="32"/>
          <w:szCs w:val="32"/>
        </w:rPr>
        <w:t>万元，占</w:t>
      </w:r>
      <w:r>
        <w:rPr>
          <w:rFonts w:ascii="Times New Roman" w:eastAsia="仿宋_GB2312" w:hAnsi="Times New Roman" w:hint="eastAsia"/>
          <w:sz w:val="32"/>
          <w:szCs w:val="32"/>
        </w:rPr>
        <w:t>0%</w:t>
      </w:r>
      <w:r>
        <w:rPr>
          <w:rFonts w:ascii="Times New Roman" w:eastAsia="仿宋_GB2312" w:hAnsi="Times New Roman" w:hint="eastAsia"/>
          <w:sz w:val="32"/>
          <w:szCs w:val="32"/>
        </w:rPr>
        <w:t>；附属单位上缴收入</w:t>
      </w:r>
      <w:r>
        <w:rPr>
          <w:rFonts w:ascii="Times New Roman" w:eastAsia="仿宋_GB2312" w:hAnsi="Times New Roman" w:hint="eastAsia"/>
          <w:sz w:val="32"/>
          <w:szCs w:val="32"/>
        </w:rPr>
        <w:t>0</w:t>
      </w:r>
      <w:r>
        <w:rPr>
          <w:rFonts w:ascii="Times New Roman" w:eastAsia="仿宋_GB2312" w:hAnsi="Times New Roman" w:hint="eastAsia"/>
          <w:sz w:val="32"/>
          <w:szCs w:val="32"/>
        </w:rPr>
        <w:t>万元，占</w:t>
      </w:r>
      <w:r>
        <w:rPr>
          <w:rFonts w:ascii="Times New Roman" w:eastAsia="仿宋_GB2312" w:hAnsi="Times New Roman" w:hint="eastAsia"/>
          <w:sz w:val="32"/>
          <w:szCs w:val="32"/>
        </w:rPr>
        <w:t>0%</w:t>
      </w:r>
      <w:r>
        <w:rPr>
          <w:rFonts w:ascii="Times New Roman" w:eastAsia="仿宋_GB2312" w:hAnsi="Times New Roman" w:hint="eastAsia"/>
          <w:sz w:val="32"/>
          <w:szCs w:val="32"/>
        </w:rPr>
        <w:t>；其他收入</w:t>
      </w:r>
      <w:r>
        <w:rPr>
          <w:rFonts w:ascii="Times New Roman" w:eastAsia="仿宋_GB2312" w:hAnsi="Times New Roman" w:hint="eastAsia"/>
          <w:sz w:val="32"/>
          <w:szCs w:val="32"/>
        </w:rPr>
        <w:t>0</w:t>
      </w:r>
      <w:r>
        <w:rPr>
          <w:rFonts w:ascii="Times New Roman" w:eastAsia="仿宋_GB2312" w:hAnsi="Times New Roman" w:hint="eastAsia"/>
          <w:sz w:val="32"/>
          <w:szCs w:val="32"/>
        </w:rPr>
        <w:t>万元，占</w:t>
      </w:r>
      <w:r>
        <w:rPr>
          <w:rFonts w:ascii="Times New Roman" w:eastAsia="仿宋_GB2312" w:hAnsi="Times New Roman" w:hint="eastAsia"/>
          <w:sz w:val="32"/>
          <w:szCs w:val="32"/>
        </w:rPr>
        <w:t>0%</w:t>
      </w:r>
      <w:r>
        <w:rPr>
          <w:rFonts w:ascii="Times New Roman" w:eastAsia="仿宋_GB2312" w:hAnsi="Times New Roman" w:hint="eastAsia"/>
          <w:sz w:val="32"/>
          <w:szCs w:val="32"/>
        </w:rPr>
        <w:t>。</w:t>
      </w:r>
    </w:p>
    <w:p w:rsidR="00753AFB" w:rsidRDefault="00CA632F">
      <w:pPr>
        <w:pStyle w:val="Default"/>
        <w:spacing w:line="560" w:lineRule="exact"/>
        <w:ind w:firstLineChars="200" w:firstLine="640"/>
        <w:jc w:val="both"/>
        <w:rPr>
          <w:rFonts w:hint="eastAsia"/>
          <w:bCs/>
          <w:sz w:val="32"/>
          <w:szCs w:val="32"/>
        </w:rPr>
      </w:pPr>
      <w:r>
        <w:rPr>
          <w:rFonts w:hint="eastAsia"/>
          <w:bCs/>
          <w:sz w:val="32"/>
          <w:szCs w:val="32"/>
        </w:rPr>
        <w:t>三、支出决算情况说明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年度支出合计</w:t>
      </w:r>
      <w:r>
        <w:rPr>
          <w:rFonts w:ascii="Times New Roman" w:eastAsia="仿宋_GB2312" w:hAnsi="Times New Roman" w:hint="eastAsia"/>
          <w:sz w:val="32"/>
          <w:szCs w:val="32"/>
        </w:rPr>
        <w:t>1234.36</w:t>
      </w:r>
      <w:r>
        <w:rPr>
          <w:rFonts w:ascii="Times New Roman" w:eastAsia="仿宋_GB2312" w:hAnsi="Times New Roman" w:hint="eastAsia"/>
          <w:sz w:val="32"/>
          <w:szCs w:val="32"/>
        </w:rPr>
        <w:t>万元，其中：基本支出</w:t>
      </w:r>
      <w:r>
        <w:rPr>
          <w:rFonts w:ascii="Times New Roman" w:eastAsia="仿宋_GB2312" w:hAnsi="Times New Roman" w:hint="eastAsia"/>
          <w:sz w:val="32"/>
          <w:szCs w:val="32"/>
        </w:rPr>
        <w:t>1180.42</w:t>
      </w:r>
      <w:r>
        <w:rPr>
          <w:rFonts w:ascii="Times New Roman" w:eastAsia="仿宋_GB2312" w:hAnsi="Times New Roman" w:hint="eastAsia"/>
          <w:sz w:val="32"/>
          <w:szCs w:val="32"/>
        </w:rPr>
        <w:t>万元，占</w:t>
      </w:r>
      <w:r>
        <w:rPr>
          <w:rFonts w:ascii="Times New Roman" w:eastAsia="仿宋_GB2312" w:hAnsi="Times New Roman" w:hint="eastAsia"/>
          <w:sz w:val="32"/>
          <w:szCs w:val="32"/>
        </w:rPr>
        <w:t>95.63%</w:t>
      </w:r>
      <w:r>
        <w:rPr>
          <w:rFonts w:ascii="Times New Roman" w:eastAsia="仿宋_GB2312" w:hAnsi="Times New Roman" w:hint="eastAsia"/>
          <w:sz w:val="32"/>
          <w:szCs w:val="32"/>
        </w:rPr>
        <w:t>；项目支出</w:t>
      </w:r>
      <w:r>
        <w:rPr>
          <w:rFonts w:ascii="Times New Roman" w:eastAsia="仿宋_GB2312" w:hAnsi="Times New Roman" w:hint="eastAsia"/>
          <w:sz w:val="32"/>
          <w:szCs w:val="32"/>
        </w:rPr>
        <w:t>53.94</w:t>
      </w:r>
      <w:r>
        <w:rPr>
          <w:rFonts w:ascii="Times New Roman" w:eastAsia="仿宋_GB2312" w:hAnsi="Times New Roman" w:hint="eastAsia"/>
          <w:sz w:val="32"/>
          <w:szCs w:val="32"/>
        </w:rPr>
        <w:t>万元，占</w:t>
      </w:r>
      <w:r>
        <w:rPr>
          <w:rFonts w:ascii="Times New Roman" w:eastAsia="仿宋_GB2312" w:hAnsi="Times New Roman" w:hint="eastAsia"/>
          <w:sz w:val="32"/>
          <w:szCs w:val="32"/>
        </w:rPr>
        <w:t>4.37%</w:t>
      </w:r>
      <w:r>
        <w:rPr>
          <w:rFonts w:ascii="Times New Roman" w:eastAsia="仿宋_GB2312" w:hAnsi="Times New Roman" w:hint="eastAsia"/>
          <w:sz w:val="32"/>
          <w:szCs w:val="32"/>
        </w:rPr>
        <w:t>；上缴上级支出</w:t>
      </w:r>
      <w:r>
        <w:rPr>
          <w:rFonts w:ascii="Times New Roman" w:eastAsia="仿宋_GB2312" w:hAnsi="Times New Roman" w:hint="eastAsia"/>
          <w:sz w:val="32"/>
          <w:szCs w:val="32"/>
        </w:rPr>
        <w:t>0</w:t>
      </w:r>
      <w:r>
        <w:rPr>
          <w:rFonts w:ascii="Times New Roman" w:eastAsia="仿宋_GB2312" w:hAnsi="Times New Roman" w:hint="eastAsia"/>
          <w:sz w:val="32"/>
          <w:szCs w:val="32"/>
        </w:rPr>
        <w:t>万元，占</w:t>
      </w:r>
      <w:r>
        <w:rPr>
          <w:rFonts w:ascii="Times New Roman" w:eastAsia="仿宋_GB2312" w:hAnsi="Times New Roman" w:hint="eastAsia"/>
          <w:sz w:val="32"/>
          <w:szCs w:val="32"/>
        </w:rPr>
        <w:t>0%</w:t>
      </w:r>
      <w:r>
        <w:rPr>
          <w:rFonts w:ascii="Times New Roman" w:eastAsia="仿宋_GB2312" w:hAnsi="Times New Roman" w:hint="eastAsia"/>
          <w:sz w:val="32"/>
          <w:szCs w:val="32"/>
        </w:rPr>
        <w:t>；经营支出</w:t>
      </w:r>
      <w:r>
        <w:rPr>
          <w:rFonts w:ascii="Times New Roman" w:eastAsia="仿宋_GB2312" w:hAnsi="Times New Roman" w:hint="eastAsia"/>
          <w:sz w:val="32"/>
          <w:szCs w:val="32"/>
        </w:rPr>
        <w:t>0</w:t>
      </w:r>
      <w:r>
        <w:rPr>
          <w:rFonts w:ascii="Times New Roman" w:eastAsia="仿宋_GB2312" w:hAnsi="Times New Roman" w:hint="eastAsia"/>
          <w:sz w:val="32"/>
          <w:szCs w:val="32"/>
        </w:rPr>
        <w:t>万元，占</w:t>
      </w:r>
      <w:r>
        <w:rPr>
          <w:rFonts w:ascii="Times New Roman" w:eastAsia="仿宋_GB2312" w:hAnsi="Times New Roman" w:hint="eastAsia"/>
          <w:sz w:val="32"/>
          <w:szCs w:val="32"/>
        </w:rPr>
        <w:t>0%</w:t>
      </w:r>
      <w:r>
        <w:rPr>
          <w:rFonts w:ascii="Times New Roman" w:eastAsia="仿宋_GB2312" w:hAnsi="Times New Roman" w:hint="eastAsia"/>
          <w:sz w:val="32"/>
          <w:szCs w:val="32"/>
        </w:rPr>
        <w:t>；对附属单位补助支出</w:t>
      </w:r>
      <w:r>
        <w:rPr>
          <w:rFonts w:ascii="Times New Roman" w:eastAsia="仿宋_GB2312" w:hAnsi="Times New Roman" w:hint="eastAsia"/>
          <w:sz w:val="32"/>
          <w:szCs w:val="32"/>
        </w:rPr>
        <w:t>0</w:t>
      </w:r>
      <w:r>
        <w:rPr>
          <w:rFonts w:ascii="Times New Roman" w:eastAsia="仿宋_GB2312" w:hAnsi="Times New Roman" w:hint="eastAsia"/>
          <w:sz w:val="32"/>
          <w:szCs w:val="32"/>
        </w:rPr>
        <w:t>万元，占</w:t>
      </w:r>
      <w:r>
        <w:rPr>
          <w:rFonts w:ascii="Times New Roman" w:eastAsia="仿宋_GB2312" w:hAnsi="Times New Roman" w:hint="eastAsia"/>
          <w:sz w:val="32"/>
          <w:szCs w:val="32"/>
        </w:rPr>
        <w:t>0%</w:t>
      </w:r>
      <w:r>
        <w:rPr>
          <w:rFonts w:ascii="Times New Roman" w:eastAsia="仿宋_GB2312" w:hAnsi="Times New Roman" w:hint="eastAsia"/>
          <w:sz w:val="32"/>
          <w:szCs w:val="32"/>
        </w:rPr>
        <w:t>。</w:t>
      </w:r>
    </w:p>
    <w:p w:rsidR="00753AFB" w:rsidRDefault="00CA632F">
      <w:pPr>
        <w:pStyle w:val="Default"/>
        <w:spacing w:line="560" w:lineRule="exact"/>
        <w:ind w:firstLineChars="200" w:firstLine="640"/>
        <w:jc w:val="both"/>
        <w:rPr>
          <w:rFonts w:hAnsi="黑体"/>
          <w:bCs/>
          <w:sz w:val="32"/>
          <w:szCs w:val="32"/>
        </w:rPr>
      </w:pPr>
      <w:r>
        <w:rPr>
          <w:rFonts w:hint="eastAsia"/>
          <w:bCs/>
          <w:sz w:val="32"/>
          <w:szCs w:val="32"/>
        </w:rPr>
        <w:t>四、财政拨款收入支出决算总体情况说明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年度财政拨款收入总计</w:t>
      </w:r>
      <w:r>
        <w:rPr>
          <w:rFonts w:ascii="Times New Roman" w:eastAsia="仿宋_GB2312" w:hAnsi="Times New Roman" w:hint="eastAsia"/>
          <w:sz w:val="32"/>
          <w:szCs w:val="32"/>
        </w:rPr>
        <w:t>1309</w:t>
      </w:r>
      <w:r>
        <w:rPr>
          <w:rFonts w:ascii="Times New Roman" w:eastAsia="仿宋_GB2312" w:hAnsi="Times New Roman" w:hint="eastAsia"/>
          <w:sz w:val="32"/>
          <w:szCs w:val="32"/>
        </w:rPr>
        <w:t>万元，支出总计</w:t>
      </w:r>
      <w:r>
        <w:rPr>
          <w:rFonts w:ascii="Times New Roman" w:eastAsia="仿宋_GB2312" w:hAnsi="Times New Roman" w:hint="eastAsia"/>
          <w:sz w:val="32"/>
          <w:szCs w:val="32"/>
        </w:rPr>
        <w:t>1309</w:t>
      </w:r>
      <w:r>
        <w:rPr>
          <w:rFonts w:ascii="Times New Roman" w:eastAsia="仿宋_GB2312" w:hAnsi="Times New Roman" w:hint="eastAsia"/>
          <w:sz w:val="32"/>
          <w:szCs w:val="32"/>
        </w:rPr>
        <w:t>万元，其中，支出合计</w:t>
      </w:r>
      <w:r>
        <w:rPr>
          <w:rFonts w:ascii="Times New Roman" w:eastAsia="仿宋_GB2312" w:hAnsi="Times New Roman" w:hint="eastAsia"/>
          <w:sz w:val="32"/>
          <w:szCs w:val="32"/>
        </w:rPr>
        <w:t>1234.36</w:t>
      </w:r>
      <w:r>
        <w:rPr>
          <w:rFonts w:ascii="Times New Roman" w:eastAsia="仿宋_GB2312" w:hAnsi="Times New Roman" w:hint="eastAsia"/>
          <w:sz w:val="32"/>
          <w:szCs w:val="32"/>
        </w:rPr>
        <w:t>万元，年终结余</w:t>
      </w:r>
      <w:r>
        <w:rPr>
          <w:rFonts w:ascii="Times New Roman" w:eastAsia="仿宋_GB2312" w:hAnsi="Times New Roman" w:hint="eastAsia"/>
          <w:sz w:val="32"/>
          <w:szCs w:val="32"/>
        </w:rPr>
        <w:t>74.64</w:t>
      </w:r>
      <w:r>
        <w:rPr>
          <w:rFonts w:ascii="Times New Roman" w:eastAsia="仿宋_GB2312" w:hAnsi="Times New Roman" w:hint="eastAsia"/>
          <w:sz w:val="32"/>
          <w:szCs w:val="32"/>
        </w:rPr>
        <w:t>万元。与上年相比，财政拨款收入增加</w:t>
      </w:r>
      <w:r>
        <w:rPr>
          <w:rFonts w:ascii="Times New Roman" w:eastAsia="仿宋_GB2312" w:hAnsi="Times New Roman" w:hint="eastAsia"/>
          <w:sz w:val="32"/>
          <w:szCs w:val="32"/>
        </w:rPr>
        <w:t>351.57</w:t>
      </w:r>
      <w:r>
        <w:rPr>
          <w:rFonts w:ascii="Times New Roman" w:eastAsia="仿宋_GB2312" w:hAnsi="Times New Roman" w:hint="eastAsia"/>
          <w:sz w:val="32"/>
          <w:szCs w:val="32"/>
        </w:rPr>
        <w:t>万元，增长</w:t>
      </w:r>
      <w:r>
        <w:rPr>
          <w:rFonts w:ascii="Times New Roman" w:eastAsia="仿宋_GB2312" w:hAnsi="Times New Roman" w:hint="eastAsia"/>
          <w:sz w:val="32"/>
          <w:szCs w:val="32"/>
        </w:rPr>
        <w:t>36.72%</w:t>
      </w:r>
      <w:r>
        <w:rPr>
          <w:rFonts w:ascii="Times New Roman" w:eastAsia="仿宋_GB2312" w:hAnsi="Times New Roman" w:hint="eastAsia"/>
          <w:sz w:val="32"/>
          <w:szCs w:val="32"/>
        </w:rPr>
        <w:t>，财政拨款支出增加</w:t>
      </w:r>
      <w:r>
        <w:rPr>
          <w:rFonts w:ascii="Times New Roman" w:eastAsia="仿宋_GB2312" w:hAnsi="Times New Roman" w:hint="eastAsia"/>
          <w:sz w:val="32"/>
          <w:szCs w:val="32"/>
        </w:rPr>
        <w:t>440.92</w:t>
      </w:r>
      <w:r>
        <w:rPr>
          <w:rFonts w:ascii="Times New Roman" w:eastAsia="仿宋_GB2312" w:hAnsi="Times New Roman" w:hint="eastAsia"/>
          <w:sz w:val="32"/>
          <w:szCs w:val="32"/>
        </w:rPr>
        <w:t>万元，增长</w:t>
      </w:r>
      <w:r>
        <w:rPr>
          <w:rFonts w:ascii="Times New Roman" w:eastAsia="仿宋_GB2312" w:hAnsi="Times New Roman" w:hint="eastAsia"/>
          <w:sz w:val="32"/>
          <w:szCs w:val="32"/>
        </w:rPr>
        <w:t>55.57%</w:t>
      </w:r>
      <w:r>
        <w:rPr>
          <w:rFonts w:ascii="Times New Roman" w:eastAsia="仿宋_GB2312" w:hAnsi="Times New Roman" w:hint="eastAsia"/>
          <w:sz w:val="32"/>
          <w:szCs w:val="32"/>
        </w:rPr>
        <w:t>，主要是因为政策变更，财政年中一次性追加指标</w:t>
      </w:r>
      <w:r>
        <w:rPr>
          <w:rFonts w:ascii="Times New Roman" w:eastAsia="仿宋_GB2312" w:hAnsi="Times New Roman" w:hint="eastAsia"/>
          <w:sz w:val="32"/>
          <w:szCs w:val="32"/>
        </w:rPr>
        <w:t>459.13</w:t>
      </w:r>
      <w:r>
        <w:rPr>
          <w:rFonts w:ascii="Times New Roman" w:eastAsia="仿宋_GB2312" w:hAnsi="Times New Roman" w:hint="eastAsia"/>
          <w:sz w:val="32"/>
          <w:szCs w:val="32"/>
        </w:rPr>
        <w:t>万元。</w:t>
      </w:r>
    </w:p>
    <w:p w:rsidR="00753AFB" w:rsidRDefault="00CA632F">
      <w:pPr>
        <w:pStyle w:val="Default"/>
        <w:spacing w:line="560" w:lineRule="exact"/>
        <w:ind w:firstLineChars="200" w:firstLine="640"/>
        <w:jc w:val="both"/>
        <w:rPr>
          <w:rFonts w:hint="eastAsia"/>
          <w:bCs/>
          <w:sz w:val="32"/>
          <w:szCs w:val="32"/>
        </w:rPr>
      </w:pPr>
      <w:r>
        <w:rPr>
          <w:rFonts w:hint="eastAsia"/>
          <w:bCs/>
          <w:sz w:val="32"/>
          <w:szCs w:val="32"/>
        </w:rPr>
        <w:t>五、一般公共预算财政拨款支出决算情况说明</w:t>
      </w:r>
    </w:p>
    <w:p w:rsidR="00753AFB" w:rsidRDefault="00CA632F">
      <w:pPr>
        <w:pStyle w:val="Default"/>
        <w:spacing w:line="560" w:lineRule="exact"/>
        <w:ind w:firstLineChars="200" w:firstLine="640"/>
        <w:jc w:val="both"/>
        <w:rPr>
          <w:rFonts w:ascii="方正楷体_GBK" w:eastAsia="方正楷体_GBK" w:hAnsi="方正楷体_GBK" w:cs="方正楷体_GBK"/>
          <w:sz w:val="32"/>
          <w:szCs w:val="32"/>
        </w:rPr>
      </w:pPr>
      <w:r>
        <w:rPr>
          <w:rFonts w:ascii="方正楷体_GBK" w:eastAsia="方正楷体_GBK" w:hAnsi="方正楷体_GBK" w:cs="方正楷体_GBK" w:hint="eastAsia"/>
          <w:sz w:val="32"/>
          <w:szCs w:val="32"/>
        </w:rPr>
        <w:lastRenderedPageBreak/>
        <w:t>（一）财政拨款支出决算总体情况</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年度财政拨款支出</w:t>
      </w:r>
      <w:r>
        <w:rPr>
          <w:rFonts w:ascii="Times New Roman" w:eastAsia="仿宋_GB2312" w:hAnsi="Times New Roman" w:hint="eastAsia"/>
          <w:sz w:val="32"/>
          <w:szCs w:val="32"/>
        </w:rPr>
        <w:t>1234.36</w:t>
      </w:r>
      <w:r>
        <w:rPr>
          <w:rFonts w:ascii="Times New Roman" w:eastAsia="仿宋_GB2312" w:hAnsi="Times New Roman" w:hint="eastAsia"/>
          <w:sz w:val="32"/>
          <w:szCs w:val="32"/>
        </w:rPr>
        <w:t>万元，占本年支出合计的</w:t>
      </w:r>
      <w:r>
        <w:rPr>
          <w:rFonts w:ascii="Times New Roman" w:eastAsia="仿宋_GB2312" w:hAnsi="Times New Roman" w:hint="eastAsia"/>
          <w:sz w:val="32"/>
          <w:szCs w:val="32"/>
        </w:rPr>
        <w:t>100%</w:t>
      </w:r>
      <w:r>
        <w:rPr>
          <w:rFonts w:ascii="Times New Roman" w:eastAsia="仿宋_GB2312" w:hAnsi="Times New Roman" w:hint="eastAsia"/>
          <w:sz w:val="32"/>
          <w:szCs w:val="32"/>
        </w:rPr>
        <w:t>，与上年相比，财政拨款支出增加</w:t>
      </w:r>
      <w:r>
        <w:rPr>
          <w:rFonts w:ascii="Times New Roman" w:eastAsia="仿宋_GB2312" w:hAnsi="Times New Roman" w:hint="eastAsia"/>
          <w:sz w:val="32"/>
          <w:szCs w:val="32"/>
        </w:rPr>
        <w:t>440.92</w:t>
      </w:r>
      <w:r>
        <w:rPr>
          <w:rFonts w:ascii="Times New Roman" w:eastAsia="仿宋_GB2312" w:hAnsi="Times New Roman" w:hint="eastAsia"/>
          <w:sz w:val="32"/>
          <w:szCs w:val="32"/>
        </w:rPr>
        <w:t>万元，增长</w:t>
      </w:r>
      <w:r>
        <w:rPr>
          <w:rFonts w:ascii="Times New Roman" w:eastAsia="仿宋_GB2312" w:hAnsi="Times New Roman" w:hint="eastAsia"/>
          <w:sz w:val="32"/>
          <w:szCs w:val="32"/>
        </w:rPr>
        <w:t>55.57%</w:t>
      </w:r>
      <w:r>
        <w:rPr>
          <w:rFonts w:ascii="Times New Roman" w:eastAsia="仿宋_GB2312" w:hAnsi="Times New Roman" w:hint="eastAsia"/>
          <w:sz w:val="32"/>
          <w:szCs w:val="32"/>
        </w:rPr>
        <w:t>，主要</w:t>
      </w:r>
      <w:r>
        <w:rPr>
          <w:rFonts w:ascii="Times New Roman" w:eastAsia="仿宋_GB2312" w:hAnsi="Times New Roman" w:hint="eastAsia"/>
          <w:sz w:val="32"/>
          <w:szCs w:val="32"/>
        </w:rPr>
        <w:t>是因为政策变更，财政年中一次性追加指标，扩大了相应人员支出。</w:t>
      </w:r>
    </w:p>
    <w:p w:rsidR="00753AFB" w:rsidRDefault="00CA632F">
      <w:pPr>
        <w:pStyle w:val="Default"/>
        <w:spacing w:line="560" w:lineRule="exact"/>
        <w:ind w:firstLineChars="200" w:firstLine="640"/>
        <w:jc w:val="both"/>
        <w:rPr>
          <w:rFonts w:ascii="方正楷体_GBK" w:eastAsia="方正楷体_GBK" w:hAnsi="方正楷体_GBK" w:cs="方正楷体_GBK"/>
          <w:sz w:val="32"/>
          <w:szCs w:val="32"/>
        </w:rPr>
      </w:pPr>
      <w:r>
        <w:rPr>
          <w:rFonts w:ascii="方正楷体_GBK" w:eastAsia="方正楷体_GBK" w:hAnsi="方正楷体_GBK" w:cs="方正楷体_GBK" w:hint="eastAsia"/>
          <w:sz w:val="32"/>
          <w:szCs w:val="32"/>
        </w:rPr>
        <w:t>（二）财政拨款支出决算结构情况</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年度财政拨款支出</w:t>
      </w:r>
      <w:r>
        <w:rPr>
          <w:rFonts w:ascii="Times New Roman" w:eastAsia="仿宋_GB2312" w:hAnsi="Times New Roman" w:hint="eastAsia"/>
          <w:sz w:val="32"/>
          <w:szCs w:val="32"/>
        </w:rPr>
        <w:t>1234.36</w:t>
      </w:r>
      <w:r>
        <w:rPr>
          <w:rFonts w:ascii="Times New Roman" w:eastAsia="仿宋_GB2312" w:hAnsi="Times New Roman" w:hint="eastAsia"/>
          <w:sz w:val="32"/>
          <w:szCs w:val="32"/>
        </w:rPr>
        <w:t>万元，主要用于以下方面：一般公共服务（类</w:t>
      </w:r>
      <w:r>
        <w:rPr>
          <w:rFonts w:ascii="仿宋_GB2312" w:eastAsia="仿宋_GB2312" w:hAnsi="仿宋_GB2312" w:cs="仿宋_GB2312" w:hint="eastAsia"/>
          <w:sz w:val="32"/>
          <w:szCs w:val="32"/>
        </w:rPr>
        <w:t>）</w:t>
      </w:r>
      <w:r>
        <w:rPr>
          <w:rFonts w:ascii="Times New Roman" w:eastAsia="仿宋_GB2312" w:hAnsi="Times New Roman" w:hint="eastAsia"/>
          <w:sz w:val="32"/>
          <w:szCs w:val="32"/>
        </w:rPr>
        <w:t>支出</w:t>
      </w:r>
      <w:r>
        <w:rPr>
          <w:rFonts w:ascii="Times New Roman" w:eastAsia="仿宋_GB2312" w:hAnsi="Times New Roman" w:hint="eastAsia"/>
          <w:sz w:val="32"/>
          <w:szCs w:val="32"/>
        </w:rPr>
        <w:t>665.1</w:t>
      </w:r>
      <w:r>
        <w:rPr>
          <w:rFonts w:ascii="Times New Roman" w:eastAsia="仿宋_GB2312" w:hAnsi="Times New Roman" w:hint="eastAsia"/>
          <w:sz w:val="32"/>
          <w:szCs w:val="32"/>
        </w:rPr>
        <w:t>万元，占</w:t>
      </w:r>
      <w:r>
        <w:rPr>
          <w:rFonts w:ascii="Times New Roman" w:eastAsia="仿宋_GB2312" w:hAnsi="Times New Roman" w:hint="eastAsia"/>
          <w:sz w:val="32"/>
          <w:szCs w:val="32"/>
        </w:rPr>
        <w:t>53.88%</w:t>
      </w:r>
      <w:r>
        <w:rPr>
          <w:rFonts w:ascii="Times New Roman" w:eastAsia="仿宋_GB2312" w:hAnsi="Times New Roman" w:hint="eastAsia"/>
          <w:sz w:val="32"/>
          <w:szCs w:val="32"/>
        </w:rPr>
        <w:t>；社会保障和就业（类）支出</w:t>
      </w:r>
      <w:r>
        <w:rPr>
          <w:rFonts w:ascii="Times New Roman" w:eastAsia="仿宋_GB2312" w:hAnsi="Times New Roman" w:hint="eastAsia"/>
          <w:sz w:val="32"/>
          <w:szCs w:val="32"/>
        </w:rPr>
        <w:t>423.93</w:t>
      </w:r>
      <w:r>
        <w:rPr>
          <w:rFonts w:ascii="Times New Roman" w:eastAsia="仿宋_GB2312" w:hAnsi="Times New Roman" w:hint="eastAsia"/>
          <w:sz w:val="32"/>
          <w:szCs w:val="32"/>
        </w:rPr>
        <w:t>万元，占</w:t>
      </w:r>
      <w:r>
        <w:rPr>
          <w:rFonts w:ascii="Times New Roman" w:eastAsia="仿宋_GB2312" w:hAnsi="Times New Roman" w:hint="eastAsia"/>
          <w:sz w:val="32"/>
          <w:szCs w:val="32"/>
        </w:rPr>
        <w:t>34.34%</w:t>
      </w:r>
      <w:r>
        <w:rPr>
          <w:rFonts w:ascii="Times New Roman" w:eastAsia="仿宋_GB2312" w:hAnsi="Times New Roman" w:hint="eastAsia"/>
          <w:sz w:val="32"/>
          <w:szCs w:val="32"/>
        </w:rPr>
        <w:t>；卫生健康（类）支出</w:t>
      </w:r>
      <w:r>
        <w:rPr>
          <w:rFonts w:ascii="Times New Roman" w:eastAsia="仿宋_GB2312" w:hAnsi="Times New Roman" w:hint="eastAsia"/>
          <w:sz w:val="32"/>
          <w:szCs w:val="32"/>
        </w:rPr>
        <w:t>110.33</w:t>
      </w:r>
      <w:r>
        <w:rPr>
          <w:rFonts w:ascii="Times New Roman" w:eastAsia="仿宋_GB2312" w:hAnsi="Times New Roman" w:hint="eastAsia"/>
          <w:sz w:val="32"/>
          <w:szCs w:val="32"/>
        </w:rPr>
        <w:t>万元，占</w:t>
      </w:r>
      <w:r>
        <w:rPr>
          <w:rFonts w:ascii="Times New Roman" w:eastAsia="仿宋_GB2312" w:hAnsi="Times New Roman" w:hint="eastAsia"/>
          <w:sz w:val="32"/>
          <w:szCs w:val="32"/>
        </w:rPr>
        <w:t>8.94%</w:t>
      </w:r>
      <w:r>
        <w:rPr>
          <w:rFonts w:ascii="Times New Roman" w:eastAsia="仿宋_GB2312" w:hAnsi="Times New Roman" w:hint="eastAsia"/>
          <w:sz w:val="32"/>
          <w:szCs w:val="32"/>
        </w:rPr>
        <w:t>；住房保障支出</w:t>
      </w:r>
      <w:r>
        <w:rPr>
          <w:rFonts w:ascii="Times New Roman" w:eastAsia="仿宋_GB2312" w:hAnsi="Times New Roman" w:hint="eastAsia"/>
          <w:sz w:val="32"/>
          <w:szCs w:val="32"/>
        </w:rPr>
        <w:t>35</w:t>
      </w:r>
      <w:r>
        <w:rPr>
          <w:rFonts w:ascii="Times New Roman" w:eastAsia="仿宋_GB2312" w:hAnsi="Times New Roman" w:hint="eastAsia"/>
          <w:sz w:val="32"/>
          <w:szCs w:val="32"/>
        </w:rPr>
        <w:t>万元，占</w:t>
      </w:r>
      <w:r>
        <w:rPr>
          <w:rFonts w:ascii="Times New Roman" w:eastAsia="仿宋_GB2312" w:hAnsi="Times New Roman" w:hint="eastAsia"/>
          <w:sz w:val="32"/>
          <w:szCs w:val="32"/>
        </w:rPr>
        <w:t>2.84%</w:t>
      </w:r>
      <w:r>
        <w:rPr>
          <w:rFonts w:ascii="Times New Roman" w:eastAsia="仿宋_GB2312" w:hAnsi="Times New Roman" w:hint="eastAsia"/>
          <w:sz w:val="32"/>
          <w:szCs w:val="32"/>
        </w:rPr>
        <w:t>。</w:t>
      </w:r>
    </w:p>
    <w:p w:rsidR="00753AFB" w:rsidRDefault="00CA632F">
      <w:pPr>
        <w:pStyle w:val="Default"/>
        <w:spacing w:line="560" w:lineRule="exact"/>
        <w:ind w:firstLineChars="200" w:firstLine="640"/>
        <w:jc w:val="both"/>
        <w:rPr>
          <w:rFonts w:ascii="方正楷体_GBK" w:eastAsia="方正楷体_GBK" w:hAnsi="方正楷体_GBK" w:cs="方正楷体_GBK"/>
          <w:sz w:val="32"/>
          <w:szCs w:val="32"/>
        </w:rPr>
      </w:pPr>
      <w:r>
        <w:rPr>
          <w:rFonts w:ascii="方正楷体_GBK" w:eastAsia="方正楷体_GBK" w:hAnsi="方正楷体_GBK" w:cs="方正楷体_GBK" w:hint="eastAsia"/>
          <w:sz w:val="32"/>
          <w:szCs w:val="32"/>
        </w:rPr>
        <w:t>（三）财政拨款支出决算具体情况</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年度财政拨款支出年初预算数为</w:t>
      </w:r>
      <w:r>
        <w:rPr>
          <w:rFonts w:ascii="Times New Roman" w:eastAsia="仿宋_GB2312" w:hAnsi="Times New Roman" w:hint="eastAsia"/>
          <w:sz w:val="32"/>
          <w:szCs w:val="32"/>
        </w:rPr>
        <w:t>848.28</w:t>
      </w:r>
      <w:r>
        <w:rPr>
          <w:rFonts w:ascii="Times New Roman" w:eastAsia="仿宋_GB2312" w:hAnsi="Times New Roman" w:hint="eastAsia"/>
          <w:sz w:val="32"/>
          <w:szCs w:val="32"/>
        </w:rPr>
        <w:t>万元，支出决算数为</w:t>
      </w:r>
      <w:r>
        <w:rPr>
          <w:rFonts w:ascii="Times New Roman" w:eastAsia="仿宋_GB2312" w:hAnsi="Times New Roman" w:hint="eastAsia"/>
          <w:sz w:val="32"/>
          <w:szCs w:val="32"/>
        </w:rPr>
        <w:t>1234.36</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145.51%</w:t>
      </w:r>
      <w:r>
        <w:rPr>
          <w:rFonts w:ascii="Times New Roman" w:eastAsia="仿宋_GB2312" w:hAnsi="Times New Roman" w:hint="eastAsia"/>
          <w:sz w:val="32"/>
          <w:szCs w:val="32"/>
        </w:rPr>
        <w:t>，其中：</w:t>
      </w:r>
    </w:p>
    <w:p w:rsidR="00753AFB" w:rsidRDefault="00CA632F" w:rsidP="00753AFB">
      <w:pPr>
        <w:pStyle w:val="Default"/>
        <w:spacing w:line="560" w:lineRule="exact"/>
        <w:ind w:firstLineChars="200" w:firstLine="643"/>
        <w:jc w:val="both"/>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1.</w:t>
      </w:r>
      <w:r>
        <w:rPr>
          <w:rFonts w:ascii="仿宋_GB2312" w:eastAsia="仿宋_GB2312" w:hAnsi="仿宋_GB2312" w:cs="仿宋_GB2312" w:hint="eastAsia"/>
          <w:b/>
          <w:bCs/>
          <w:sz w:val="32"/>
          <w:szCs w:val="32"/>
        </w:rPr>
        <w:t>一般公共服务（类）其他共产党事务支出（款）行政运行（项）。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420.28</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612.75</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145.8%</w:t>
      </w:r>
      <w:r>
        <w:rPr>
          <w:rFonts w:ascii="Times New Roman" w:eastAsia="仿宋_GB2312" w:hAnsi="Times New Roman" w:hint="eastAsia"/>
          <w:sz w:val="32"/>
          <w:szCs w:val="32"/>
        </w:rPr>
        <w:t>，决算数大于年初预算数的主要原因是：因为政策变更，财政年中一次性追加指标</w:t>
      </w:r>
      <w:r>
        <w:rPr>
          <w:rFonts w:ascii="Times New Roman" w:eastAsia="仿宋_GB2312" w:hAnsi="Times New Roman" w:hint="eastAsia"/>
          <w:sz w:val="32"/>
          <w:szCs w:val="32"/>
        </w:rPr>
        <w:t>216.82</w:t>
      </w:r>
      <w:r>
        <w:rPr>
          <w:rFonts w:ascii="Times New Roman" w:eastAsia="仿宋_GB2312" w:hAnsi="Times New Roman" w:hint="eastAsia"/>
          <w:sz w:val="32"/>
          <w:szCs w:val="32"/>
        </w:rPr>
        <w:t>万元，扩大了相应人员支出，结余</w:t>
      </w:r>
      <w:r>
        <w:rPr>
          <w:rFonts w:ascii="Times New Roman" w:eastAsia="仿宋_GB2312" w:hAnsi="Times New Roman" w:hint="eastAsia"/>
          <w:sz w:val="32"/>
          <w:szCs w:val="32"/>
        </w:rPr>
        <w:t>24.35</w:t>
      </w:r>
      <w:r>
        <w:rPr>
          <w:rFonts w:ascii="Times New Roman" w:eastAsia="仿宋_GB2312" w:hAnsi="Times New Roman" w:hint="eastAsia"/>
          <w:sz w:val="32"/>
          <w:szCs w:val="32"/>
        </w:rPr>
        <w:t>万元年末由财政统一收回。</w:t>
      </w:r>
    </w:p>
    <w:p w:rsidR="00753AFB" w:rsidRDefault="00CA632F" w:rsidP="00753AFB">
      <w:pPr>
        <w:pStyle w:val="Default"/>
        <w:spacing w:line="560" w:lineRule="exact"/>
        <w:ind w:firstLineChars="200" w:firstLine="643"/>
        <w:jc w:val="both"/>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2.</w:t>
      </w:r>
      <w:r>
        <w:rPr>
          <w:rFonts w:ascii="仿宋_GB2312" w:eastAsia="仿宋_GB2312" w:hAnsi="仿宋_GB2312" w:cs="仿宋_GB2312" w:hint="eastAsia"/>
          <w:b/>
          <w:bCs/>
          <w:sz w:val="32"/>
          <w:szCs w:val="32"/>
        </w:rPr>
        <w:t>一般公共服务（类）其他共产党事务支出（款）一般行政管理事务（项）。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88.46</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52.35</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59.18%</w:t>
      </w:r>
      <w:r>
        <w:rPr>
          <w:rFonts w:ascii="Times New Roman" w:eastAsia="仿宋_GB2312" w:hAnsi="Times New Roman" w:hint="eastAsia"/>
          <w:sz w:val="32"/>
          <w:szCs w:val="32"/>
        </w:rPr>
        <w:t>，决算数小于年初预算数的主要原因是：部分</w:t>
      </w:r>
      <w:r>
        <w:rPr>
          <w:rFonts w:ascii="Times New Roman" w:eastAsia="仿宋_GB2312" w:hAnsi="Times New Roman" w:hint="eastAsia"/>
          <w:sz w:val="32"/>
          <w:szCs w:val="32"/>
        </w:rPr>
        <w:lastRenderedPageBreak/>
        <w:t>项目在实际执行过程中受到客</w:t>
      </w:r>
      <w:r>
        <w:rPr>
          <w:rFonts w:ascii="Times New Roman" w:eastAsia="仿宋_GB2312" w:hAnsi="Times New Roman" w:hint="eastAsia"/>
          <w:sz w:val="32"/>
          <w:szCs w:val="32"/>
        </w:rPr>
        <w:t>观因素影响，执行困难。另外，湖南省老干部休养所对项目验收结算的标准较为严格，年底存在未完成验收结算的项目，故本年度项目支出执行率一般。</w:t>
      </w:r>
    </w:p>
    <w:p w:rsidR="00753AFB" w:rsidRDefault="00CA632F" w:rsidP="00753AFB">
      <w:pPr>
        <w:pStyle w:val="Default"/>
        <w:spacing w:line="560" w:lineRule="exact"/>
        <w:ind w:firstLineChars="200" w:firstLine="643"/>
        <w:jc w:val="both"/>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3.</w:t>
      </w:r>
      <w:r>
        <w:rPr>
          <w:rFonts w:ascii="仿宋_GB2312" w:eastAsia="仿宋_GB2312" w:hAnsi="仿宋_GB2312" w:cs="仿宋_GB2312" w:hint="eastAsia"/>
          <w:b/>
          <w:bCs/>
          <w:sz w:val="32"/>
          <w:szCs w:val="32"/>
        </w:rPr>
        <w:t>社会保障和就业（类）行政事业单位养老支出（款）行政单位离退休（项）。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187.45</w:t>
      </w:r>
      <w:r>
        <w:rPr>
          <w:rFonts w:ascii="Times New Roman" w:eastAsia="仿宋_GB2312" w:hAnsi="Times New Roman" w:hint="eastAsia"/>
          <w:sz w:val="32"/>
          <w:szCs w:val="32"/>
        </w:rPr>
        <w:t>万元，决算数大于年初预算数的主要原因是：财政年中一次性追加指标</w:t>
      </w:r>
      <w:r>
        <w:rPr>
          <w:rFonts w:ascii="Times New Roman" w:eastAsia="仿宋_GB2312" w:hAnsi="Times New Roman" w:hint="eastAsia"/>
          <w:sz w:val="32"/>
          <w:szCs w:val="32"/>
        </w:rPr>
        <w:t>197.27</w:t>
      </w:r>
      <w:r>
        <w:rPr>
          <w:rFonts w:ascii="Times New Roman" w:eastAsia="仿宋_GB2312" w:hAnsi="Times New Roman" w:hint="eastAsia"/>
          <w:sz w:val="32"/>
          <w:szCs w:val="32"/>
        </w:rPr>
        <w:t>万元，扩大了相应人员支出。</w:t>
      </w:r>
    </w:p>
    <w:p w:rsidR="00753AFB" w:rsidRDefault="00CA632F" w:rsidP="00753AFB">
      <w:pPr>
        <w:pStyle w:val="Default"/>
        <w:spacing w:line="560" w:lineRule="exact"/>
        <w:ind w:firstLineChars="200" w:firstLine="643"/>
        <w:jc w:val="both"/>
        <w:rPr>
          <w:rFonts w:ascii="Times New Roman" w:eastAsia="仿宋_GB2312" w:hAnsi="Times New Roman"/>
          <w:sz w:val="32"/>
          <w:szCs w:val="32"/>
        </w:rPr>
      </w:pPr>
      <w:r>
        <w:rPr>
          <w:rFonts w:ascii="仿宋_GB2312" w:eastAsia="仿宋_GB2312" w:hAnsi="仿宋_GB2312" w:cs="仿宋_GB2312" w:hint="eastAsia"/>
          <w:b/>
          <w:bCs/>
          <w:sz w:val="32"/>
          <w:szCs w:val="32"/>
        </w:rPr>
        <w:t>4.</w:t>
      </w:r>
      <w:r>
        <w:rPr>
          <w:rFonts w:ascii="仿宋_GB2312" w:eastAsia="仿宋_GB2312" w:hAnsi="仿宋_GB2312" w:cs="仿宋_GB2312" w:hint="eastAsia"/>
          <w:b/>
          <w:bCs/>
          <w:sz w:val="32"/>
          <w:szCs w:val="32"/>
        </w:rPr>
        <w:t>社会保障和就业（类）行政事业单位养老支出（款）事业单位离退休（项）。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128.74</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131.29</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101.99%</w:t>
      </w:r>
      <w:r>
        <w:rPr>
          <w:rFonts w:ascii="Times New Roman" w:eastAsia="仿宋_GB2312" w:hAnsi="Times New Roman" w:hint="eastAsia"/>
          <w:sz w:val="32"/>
          <w:szCs w:val="32"/>
        </w:rPr>
        <w:t>，</w:t>
      </w:r>
      <w:r>
        <w:rPr>
          <w:rFonts w:ascii="Times New Roman" w:eastAsia="仿宋_GB2312" w:hAnsi="Times New Roman" w:hint="eastAsia"/>
          <w:sz w:val="32"/>
          <w:szCs w:val="32"/>
        </w:rPr>
        <w:t>决算数大于年初预算数的主要原因是：财政年中一次性追加指标</w:t>
      </w:r>
      <w:r>
        <w:rPr>
          <w:rFonts w:ascii="Times New Roman" w:eastAsia="仿宋_GB2312" w:hAnsi="Times New Roman" w:hint="eastAsia"/>
          <w:sz w:val="32"/>
          <w:szCs w:val="32"/>
        </w:rPr>
        <w:t>2.55</w:t>
      </w:r>
      <w:r>
        <w:rPr>
          <w:rFonts w:ascii="Times New Roman" w:eastAsia="仿宋_GB2312" w:hAnsi="Times New Roman" w:hint="eastAsia"/>
          <w:sz w:val="32"/>
          <w:szCs w:val="32"/>
        </w:rPr>
        <w:t>万元，扩大了相应人员支出。</w:t>
      </w:r>
    </w:p>
    <w:p w:rsidR="00753AFB" w:rsidRDefault="00CA632F" w:rsidP="00753AFB">
      <w:pPr>
        <w:pStyle w:val="Default"/>
        <w:spacing w:line="560" w:lineRule="exact"/>
        <w:ind w:firstLineChars="200" w:firstLine="643"/>
        <w:jc w:val="both"/>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5.</w:t>
      </w:r>
      <w:r>
        <w:rPr>
          <w:rFonts w:ascii="仿宋_GB2312" w:eastAsia="仿宋_GB2312" w:hAnsi="仿宋_GB2312" w:cs="仿宋_GB2312" w:hint="eastAsia"/>
          <w:b/>
          <w:bCs/>
          <w:sz w:val="32"/>
          <w:szCs w:val="32"/>
        </w:rPr>
        <w:t>社会保障和就业（类）行政事业单位养老支出（款）机关事业单位基本养老保险缴费支出（项）。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33</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31.62</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95.82%</w:t>
      </w:r>
      <w:r>
        <w:rPr>
          <w:rFonts w:ascii="Times New Roman" w:eastAsia="仿宋_GB2312" w:hAnsi="Times New Roman" w:hint="eastAsia"/>
          <w:sz w:val="32"/>
          <w:szCs w:val="32"/>
        </w:rPr>
        <w:t>，决算数小于年初预算数的主要原因是：社会保险基数年中存在调整变动且本年有在职人员因病去世，故支出减少。</w:t>
      </w:r>
    </w:p>
    <w:p w:rsidR="00753AFB" w:rsidRDefault="00CA632F" w:rsidP="00753AFB">
      <w:pPr>
        <w:pStyle w:val="Default"/>
        <w:spacing w:line="560" w:lineRule="exact"/>
        <w:ind w:firstLineChars="200" w:firstLine="643"/>
        <w:jc w:val="both"/>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6.</w:t>
      </w:r>
      <w:r>
        <w:rPr>
          <w:rFonts w:ascii="仿宋_GB2312" w:eastAsia="仿宋_GB2312" w:hAnsi="仿宋_GB2312" w:cs="仿宋_GB2312" w:hint="eastAsia"/>
          <w:b/>
          <w:bCs/>
          <w:sz w:val="32"/>
          <w:szCs w:val="32"/>
        </w:rPr>
        <w:t>社会保障和就业（类）抚恤（款）死亡抚恤（项）。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30</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71.06</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236.87%</w:t>
      </w:r>
      <w:r>
        <w:rPr>
          <w:rFonts w:ascii="Times New Roman" w:eastAsia="仿宋_GB2312" w:hAnsi="Times New Roman" w:hint="eastAsia"/>
          <w:sz w:val="32"/>
          <w:szCs w:val="32"/>
        </w:rPr>
        <w:t>，决算数大于年初预算数的主</w:t>
      </w:r>
      <w:r>
        <w:rPr>
          <w:rFonts w:ascii="Times New Roman" w:eastAsia="仿宋_GB2312" w:hAnsi="Times New Roman" w:hint="eastAsia"/>
          <w:sz w:val="32"/>
          <w:szCs w:val="32"/>
        </w:rPr>
        <w:t>要原因是：预算编制时无法完全准确预测去世减员等情况，年中调剂追加指标</w:t>
      </w:r>
      <w:r>
        <w:rPr>
          <w:rFonts w:ascii="Times New Roman" w:eastAsia="仿宋_GB2312" w:hAnsi="Times New Roman" w:hint="eastAsia"/>
          <w:sz w:val="32"/>
          <w:szCs w:val="32"/>
        </w:rPr>
        <w:lastRenderedPageBreak/>
        <w:t>41.21</w:t>
      </w:r>
      <w:r>
        <w:rPr>
          <w:rFonts w:ascii="Times New Roman" w:eastAsia="仿宋_GB2312" w:hAnsi="Times New Roman" w:hint="eastAsia"/>
          <w:sz w:val="32"/>
          <w:szCs w:val="32"/>
        </w:rPr>
        <w:t>万元使用。</w:t>
      </w:r>
    </w:p>
    <w:p w:rsidR="00753AFB" w:rsidRDefault="00CA632F" w:rsidP="00753AFB">
      <w:pPr>
        <w:pStyle w:val="Default"/>
        <w:spacing w:line="560" w:lineRule="exact"/>
        <w:ind w:firstLineChars="200" w:firstLine="643"/>
        <w:jc w:val="both"/>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7.</w:t>
      </w:r>
      <w:r>
        <w:rPr>
          <w:rFonts w:ascii="仿宋_GB2312" w:eastAsia="仿宋_GB2312" w:hAnsi="仿宋_GB2312" w:cs="仿宋_GB2312" w:hint="eastAsia"/>
          <w:b/>
          <w:bCs/>
          <w:sz w:val="32"/>
          <w:szCs w:val="32"/>
        </w:rPr>
        <w:t>社会保障和就业（类）其他社会保障和就业支出（款）其他社会保障和就业支出（项）。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2.8</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2.51</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89.64%</w:t>
      </w:r>
      <w:r>
        <w:rPr>
          <w:rFonts w:ascii="Times New Roman" w:eastAsia="仿宋_GB2312" w:hAnsi="Times New Roman" w:hint="eastAsia"/>
          <w:sz w:val="32"/>
          <w:szCs w:val="32"/>
        </w:rPr>
        <w:t>，决算数小于年初预算数的主要原因是：年中财政追加指标</w:t>
      </w:r>
      <w:r>
        <w:rPr>
          <w:rFonts w:ascii="Times New Roman" w:eastAsia="仿宋_GB2312" w:hAnsi="Times New Roman" w:hint="eastAsia"/>
          <w:sz w:val="32"/>
          <w:szCs w:val="32"/>
        </w:rPr>
        <w:t>0.48</w:t>
      </w:r>
      <w:r>
        <w:rPr>
          <w:rFonts w:ascii="Times New Roman" w:eastAsia="仿宋_GB2312" w:hAnsi="Times New Roman" w:hint="eastAsia"/>
          <w:sz w:val="32"/>
          <w:szCs w:val="32"/>
        </w:rPr>
        <w:t>万元，社会保险基数年中存在调整变动且本年有在职人员因病去世，故支出减少。</w:t>
      </w:r>
    </w:p>
    <w:p w:rsidR="00753AFB" w:rsidRDefault="00CA632F" w:rsidP="00753AFB">
      <w:pPr>
        <w:pStyle w:val="Default"/>
        <w:spacing w:line="560" w:lineRule="exact"/>
        <w:ind w:firstLineChars="200" w:firstLine="643"/>
        <w:jc w:val="both"/>
        <w:rPr>
          <w:rFonts w:ascii="Times New Roman" w:eastAsia="仿宋_GB2312" w:hAnsi="Times New Roman"/>
          <w:sz w:val="32"/>
          <w:szCs w:val="32"/>
        </w:rPr>
      </w:pPr>
      <w:r>
        <w:rPr>
          <w:rFonts w:ascii="仿宋_GB2312" w:eastAsia="仿宋_GB2312" w:hAnsi="仿宋_GB2312" w:cs="仿宋_GB2312" w:hint="eastAsia"/>
          <w:b/>
          <w:bCs/>
          <w:sz w:val="32"/>
          <w:szCs w:val="32"/>
        </w:rPr>
        <w:t>8.</w:t>
      </w:r>
      <w:r>
        <w:rPr>
          <w:rFonts w:ascii="仿宋_GB2312" w:eastAsia="仿宋_GB2312" w:hAnsi="仿宋_GB2312" w:cs="仿宋_GB2312" w:hint="eastAsia"/>
          <w:b/>
          <w:bCs/>
          <w:sz w:val="32"/>
          <w:szCs w:val="32"/>
        </w:rPr>
        <w:t>卫生健康支出（类）行政事业单位医疗（款）事业单位医疗（项）。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88</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88.85</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100.97%</w:t>
      </w:r>
      <w:r>
        <w:rPr>
          <w:rFonts w:ascii="Times New Roman" w:eastAsia="仿宋_GB2312" w:hAnsi="Times New Roman" w:hint="eastAsia"/>
          <w:sz w:val="32"/>
          <w:szCs w:val="32"/>
        </w:rPr>
        <w:t>，决算数大于年初预算数的主要原因是：年中存在跨年退单</w:t>
      </w:r>
      <w:r>
        <w:rPr>
          <w:rFonts w:ascii="Times New Roman" w:eastAsia="仿宋_GB2312" w:hAnsi="Times New Roman" w:hint="eastAsia"/>
          <w:sz w:val="32"/>
          <w:szCs w:val="32"/>
        </w:rPr>
        <w:t>1.4</w:t>
      </w:r>
      <w:r>
        <w:rPr>
          <w:rFonts w:ascii="Times New Roman" w:eastAsia="仿宋_GB2312" w:hAnsi="Times New Roman" w:hint="eastAsia"/>
          <w:sz w:val="32"/>
          <w:szCs w:val="32"/>
        </w:rPr>
        <w:t>万元。</w:t>
      </w:r>
    </w:p>
    <w:p w:rsidR="00753AFB" w:rsidRDefault="00CA632F" w:rsidP="00753AFB">
      <w:pPr>
        <w:pStyle w:val="Default"/>
        <w:spacing w:line="560" w:lineRule="exact"/>
        <w:ind w:firstLineChars="200" w:firstLine="643"/>
        <w:jc w:val="both"/>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9.</w:t>
      </w:r>
      <w:r>
        <w:rPr>
          <w:rFonts w:ascii="仿宋_GB2312" w:eastAsia="仿宋_GB2312" w:hAnsi="仿宋_GB2312" w:cs="仿宋_GB2312" w:hint="eastAsia"/>
          <w:b/>
          <w:bCs/>
          <w:sz w:val="32"/>
          <w:szCs w:val="32"/>
        </w:rPr>
        <w:t>卫生健康支出（类）行政事业单位医疗（款）公务员医疗补助（项）。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22</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21.48</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97.64%</w:t>
      </w:r>
      <w:r>
        <w:rPr>
          <w:rFonts w:ascii="Times New Roman" w:eastAsia="仿宋_GB2312" w:hAnsi="Times New Roman" w:hint="eastAsia"/>
          <w:sz w:val="32"/>
          <w:szCs w:val="32"/>
        </w:rPr>
        <w:t>，决算数小于年初预算数的主要原因是：社会保险基数年中存在调整变动且本年有在职人员因病去世，故支出减少。</w:t>
      </w:r>
    </w:p>
    <w:p w:rsidR="00753AFB" w:rsidRDefault="00CA632F" w:rsidP="00753AFB">
      <w:pPr>
        <w:pStyle w:val="Default"/>
        <w:spacing w:line="560" w:lineRule="exact"/>
        <w:ind w:firstLineChars="200" w:firstLine="643"/>
        <w:jc w:val="both"/>
        <w:rPr>
          <w:rFonts w:ascii="Times New Roman" w:eastAsia="仿宋_GB2312" w:hAnsi="Times New Roman"/>
          <w:sz w:val="32"/>
          <w:szCs w:val="32"/>
        </w:rPr>
      </w:pPr>
      <w:r>
        <w:rPr>
          <w:rFonts w:ascii="仿宋_GB2312" w:eastAsia="仿宋_GB2312" w:hAnsi="仿宋_GB2312" w:cs="仿宋_GB2312" w:hint="eastAsia"/>
          <w:b/>
          <w:bCs/>
          <w:sz w:val="32"/>
          <w:szCs w:val="32"/>
        </w:rPr>
        <w:t>10.</w:t>
      </w:r>
      <w:r>
        <w:rPr>
          <w:rFonts w:ascii="仿宋_GB2312" w:eastAsia="仿宋_GB2312" w:hAnsi="仿宋_GB2312" w:cs="仿宋_GB2312" w:hint="eastAsia"/>
          <w:b/>
          <w:bCs/>
          <w:sz w:val="32"/>
          <w:szCs w:val="32"/>
        </w:rPr>
        <w:t>卫生健康支出（类）其他卫生健康支出（款）其他卫生健康支出（项）。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万元，决算数与年初预算数无</w:t>
      </w:r>
      <w:r>
        <w:rPr>
          <w:rFonts w:ascii="Times New Roman" w:eastAsia="仿宋_GB2312" w:hAnsi="Times New Roman" w:hint="eastAsia"/>
          <w:sz w:val="32"/>
          <w:szCs w:val="32"/>
        </w:rPr>
        <w:t>差异，财政年中追加</w:t>
      </w:r>
      <w:r>
        <w:rPr>
          <w:rFonts w:ascii="Times New Roman" w:eastAsia="仿宋_GB2312" w:hAnsi="Times New Roman" w:hint="eastAsia"/>
          <w:sz w:val="32"/>
          <w:szCs w:val="32"/>
        </w:rPr>
        <w:t>0.8</w:t>
      </w:r>
      <w:r>
        <w:rPr>
          <w:rFonts w:ascii="Times New Roman" w:eastAsia="仿宋_GB2312" w:hAnsi="Times New Roman" w:hint="eastAsia"/>
          <w:sz w:val="32"/>
          <w:szCs w:val="32"/>
        </w:rPr>
        <w:t>万元。</w:t>
      </w:r>
    </w:p>
    <w:p w:rsidR="00753AFB" w:rsidRDefault="00CA632F" w:rsidP="00753AFB">
      <w:pPr>
        <w:pStyle w:val="Default"/>
        <w:spacing w:line="560" w:lineRule="exact"/>
        <w:ind w:firstLineChars="200" w:firstLine="643"/>
        <w:jc w:val="both"/>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11.</w:t>
      </w:r>
      <w:r>
        <w:rPr>
          <w:rFonts w:ascii="仿宋_GB2312" w:eastAsia="仿宋_GB2312" w:hAnsi="仿宋_GB2312" w:cs="仿宋_GB2312" w:hint="eastAsia"/>
          <w:b/>
          <w:bCs/>
          <w:sz w:val="32"/>
          <w:szCs w:val="32"/>
        </w:rPr>
        <w:t>住房保障支出（类）住房改革支出（款）住房公积金</w:t>
      </w:r>
      <w:r>
        <w:rPr>
          <w:rFonts w:ascii="仿宋_GB2312" w:eastAsia="仿宋_GB2312" w:hAnsi="仿宋_GB2312" w:cs="仿宋_GB2312" w:hint="eastAsia"/>
          <w:b/>
          <w:bCs/>
          <w:sz w:val="32"/>
          <w:szCs w:val="32"/>
        </w:rPr>
        <w:lastRenderedPageBreak/>
        <w:t>（项）。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年初预算为</w:t>
      </w:r>
      <w:r>
        <w:rPr>
          <w:rFonts w:ascii="Times New Roman" w:eastAsia="仿宋_GB2312" w:hAnsi="Times New Roman" w:hint="eastAsia"/>
          <w:sz w:val="32"/>
          <w:szCs w:val="32"/>
        </w:rPr>
        <w:t>35</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35</w:t>
      </w:r>
      <w:r>
        <w:rPr>
          <w:rFonts w:ascii="Times New Roman" w:eastAsia="仿宋_GB2312" w:hAnsi="Times New Roman" w:hint="eastAsia"/>
          <w:sz w:val="32"/>
          <w:szCs w:val="32"/>
        </w:rPr>
        <w:t>万元，完成年初预算的</w:t>
      </w:r>
      <w:r>
        <w:rPr>
          <w:rFonts w:ascii="Times New Roman" w:eastAsia="仿宋_GB2312" w:hAnsi="Times New Roman" w:hint="eastAsia"/>
          <w:sz w:val="32"/>
          <w:szCs w:val="32"/>
        </w:rPr>
        <w:t>100%</w:t>
      </w:r>
      <w:r>
        <w:rPr>
          <w:rFonts w:ascii="Times New Roman" w:eastAsia="仿宋_GB2312" w:hAnsi="Times New Roman" w:hint="eastAsia"/>
          <w:sz w:val="32"/>
          <w:szCs w:val="32"/>
        </w:rPr>
        <w:t>，决算数与年初预算数无差异。</w:t>
      </w:r>
    </w:p>
    <w:p w:rsidR="00753AFB" w:rsidRDefault="00CA632F">
      <w:pPr>
        <w:pStyle w:val="Default"/>
        <w:spacing w:line="560" w:lineRule="exact"/>
        <w:ind w:firstLineChars="200" w:firstLine="640"/>
        <w:jc w:val="both"/>
        <w:rPr>
          <w:rFonts w:hAnsi="黑体"/>
          <w:sz w:val="32"/>
          <w:szCs w:val="32"/>
        </w:rPr>
      </w:pPr>
      <w:r>
        <w:rPr>
          <w:rFonts w:hAnsi="黑体" w:hint="eastAsia"/>
          <w:sz w:val="32"/>
          <w:szCs w:val="32"/>
        </w:rPr>
        <w:t>六、一般公共预算财政拨款基本支出决算情况说明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年度财政拨款基本支出</w:t>
      </w:r>
      <w:r>
        <w:rPr>
          <w:rFonts w:ascii="Times New Roman" w:eastAsia="仿宋_GB2312" w:hAnsi="Times New Roman" w:hint="eastAsia"/>
          <w:sz w:val="32"/>
          <w:szCs w:val="32"/>
        </w:rPr>
        <w:t>1180.42</w:t>
      </w:r>
      <w:r>
        <w:rPr>
          <w:rFonts w:ascii="Times New Roman" w:eastAsia="仿宋_GB2312" w:hAnsi="Times New Roman" w:hint="eastAsia"/>
          <w:sz w:val="32"/>
          <w:szCs w:val="32"/>
        </w:rPr>
        <w:t>万元，其中：</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人员经费</w:t>
      </w:r>
      <w:r>
        <w:rPr>
          <w:rFonts w:ascii="Times New Roman" w:eastAsia="仿宋_GB2312" w:hAnsi="Times New Roman" w:hint="eastAsia"/>
          <w:sz w:val="32"/>
          <w:szCs w:val="32"/>
        </w:rPr>
        <w:t>1024.34</w:t>
      </w:r>
      <w:r>
        <w:rPr>
          <w:rFonts w:ascii="Times New Roman" w:eastAsia="仿宋_GB2312" w:hAnsi="Times New Roman" w:hint="eastAsia"/>
          <w:sz w:val="32"/>
          <w:szCs w:val="32"/>
        </w:rPr>
        <w:t>万元，占基本支出的</w:t>
      </w:r>
      <w:r>
        <w:rPr>
          <w:rFonts w:ascii="Times New Roman" w:eastAsia="仿宋_GB2312" w:hAnsi="Times New Roman" w:hint="eastAsia"/>
          <w:sz w:val="32"/>
          <w:szCs w:val="32"/>
        </w:rPr>
        <w:t>86.78%,</w:t>
      </w:r>
      <w:r>
        <w:rPr>
          <w:rFonts w:ascii="Times New Roman" w:eastAsia="仿宋_GB2312" w:hAnsi="Times New Roman" w:hint="eastAsia"/>
          <w:sz w:val="32"/>
          <w:szCs w:val="32"/>
        </w:rPr>
        <w:t>主要包括基本工资、津贴补贴、奖金、伙食补助费、绩效工资、机关事业单位基本养老保险缴费、职工基本医疗保险缴费、公务员医疗补助缴费、其他社会保障缴费、住房公积金、离休费、退休</w:t>
      </w:r>
      <w:r>
        <w:rPr>
          <w:rFonts w:ascii="Times New Roman" w:eastAsia="仿宋_GB2312" w:hAnsi="Times New Roman" w:hint="eastAsia"/>
          <w:sz w:val="32"/>
          <w:szCs w:val="32"/>
        </w:rPr>
        <w:t>费、抚恤金、生活补助、医疗费补助、奖励金</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公用经费</w:t>
      </w:r>
      <w:r>
        <w:rPr>
          <w:rFonts w:ascii="Times New Roman" w:eastAsia="仿宋_GB2312" w:hAnsi="Times New Roman" w:hint="eastAsia"/>
          <w:sz w:val="32"/>
          <w:szCs w:val="32"/>
        </w:rPr>
        <w:t>156.08</w:t>
      </w:r>
      <w:r>
        <w:rPr>
          <w:rFonts w:ascii="Times New Roman" w:eastAsia="仿宋_GB2312" w:hAnsi="Times New Roman" w:hint="eastAsia"/>
          <w:sz w:val="32"/>
          <w:szCs w:val="32"/>
        </w:rPr>
        <w:t>万元，占基本支出的</w:t>
      </w:r>
      <w:r>
        <w:rPr>
          <w:rFonts w:ascii="Times New Roman" w:eastAsia="仿宋_GB2312" w:hAnsi="Times New Roman" w:hint="eastAsia"/>
          <w:sz w:val="32"/>
          <w:szCs w:val="32"/>
        </w:rPr>
        <w:t>13.22%</w:t>
      </w:r>
      <w:r>
        <w:rPr>
          <w:rFonts w:ascii="Times New Roman" w:eastAsia="仿宋_GB2312" w:hAnsi="Times New Roman" w:hint="eastAsia"/>
          <w:sz w:val="32"/>
          <w:szCs w:val="32"/>
        </w:rPr>
        <w:t>，主要包括办公费、水费、电费、邮电费、物业管理费、差旅费、维修（护）费、劳务费、工会经费、公务用车运行维护费、其他交通费用和其他商品和服务支出。</w:t>
      </w:r>
    </w:p>
    <w:p w:rsidR="00753AFB" w:rsidRDefault="00CA632F">
      <w:pPr>
        <w:pStyle w:val="Default"/>
        <w:spacing w:line="560" w:lineRule="exact"/>
        <w:ind w:firstLineChars="200" w:firstLine="640"/>
        <w:jc w:val="both"/>
        <w:rPr>
          <w:rFonts w:hAnsi="黑体"/>
          <w:sz w:val="32"/>
          <w:szCs w:val="32"/>
        </w:rPr>
      </w:pPr>
      <w:r>
        <w:rPr>
          <w:rFonts w:hAnsi="黑体" w:hint="eastAsia"/>
          <w:sz w:val="32"/>
          <w:szCs w:val="32"/>
        </w:rPr>
        <w:t>七、财政拨款三公经费支出决算情况说明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方正楷体_GBK" w:eastAsia="方正楷体_GBK" w:hAnsi="方正楷体_GBK" w:cs="方正楷体_GBK" w:hint="eastAsia"/>
          <w:sz w:val="32"/>
          <w:szCs w:val="32"/>
        </w:rPr>
        <w:t>（一）“三公”经费财政拨款支出决算总体情况说明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“三公”经费财政拨款支出预算为</w:t>
      </w:r>
      <w:r>
        <w:rPr>
          <w:rFonts w:ascii="Times New Roman" w:eastAsia="仿宋_GB2312" w:hAnsi="Times New Roman" w:hint="eastAsia"/>
          <w:sz w:val="32"/>
          <w:szCs w:val="32"/>
        </w:rPr>
        <w:t>1.48</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0.74</w:t>
      </w:r>
      <w:r>
        <w:rPr>
          <w:rFonts w:ascii="Times New Roman" w:eastAsia="仿宋_GB2312" w:hAnsi="Times New Roman" w:hint="eastAsia"/>
          <w:sz w:val="32"/>
          <w:szCs w:val="32"/>
        </w:rPr>
        <w:t>万元，完成预算的</w:t>
      </w:r>
      <w:r>
        <w:rPr>
          <w:rFonts w:ascii="Times New Roman" w:eastAsia="仿宋_GB2312" w:hAnsi="Times New Roman" w:hint="eastAsia"/>
          <w:sz w:val="32"/>
          <w:szCs w:val="32"/>
        </w:rPr>
        <w:t>50%</w:t>
      </w:r>
      <w:r>
        <w:rPr>
          <w:rFonts w:ascii="Times New Roman" w:eastAsia="仿宋_GB2312" w:hAnsi="Times New Roman" w:hint="eastAsia"/>
          <w:sz w:val="32"/>
          <w:szCs w:val="32"/>
        </w:rPr>
        <w:t>，其中：</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因公出国（境）费支出预算为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万元，决算数与年初预算数无差异，与上年相比无差异。</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公务接待费支出预算为</w:t>
      </w:r>
      <w:r>
        <w:rPr>
          <w:rFonts w:ascii="Times New Roman" w:eastAsia="仿宋_GB2312" w:hAnsi="Times New Roman" w:hint="eastAsia"/>
          <w:sz w:val="32"/>
          <w:szCs w:val="32"/>
        </w:rPr>
        <w:t>0.48</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万元，完成预算的</w:t>
      </w:r>
      <w:r>
        <w:rPr>
          <w:rFonts w:ascii="Times New Roman" w:eastAsia="仿宋_GB2312" w:hAnsi="Times New Roman" w:hint="eastAsia"/>
          <w:sz w:val="32"/>
          <w:szCs w:val="32"/>
        </w:rPr>
        <w:t>0%</w:t>
      </w:r>
      <w:r>
        <w:rPr>
          <w:rFonts w:ascii="Times New Roman" w:eastAsia="仿宋_GB2312" w:hAnsi="Times New Roman" w:hint="eastAsia"/>
          <w:sz w:val="32"/>
          <w:szCs w:val="32"/>
        </w:rPr>
        <w:t>，决算数小于预算数的主要原因是湖南省老干部休养所全年无公务接待业务发生。</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lastRenderedPageBreak/>
        <w:t>公务用车购置费支出预算为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w:t>
      </w:r>
      <w:r>
        <w:rPr>
          <w:rFonts w:ascii="Times New Roman" w:eastAsia="仿宋_GB2312" w:hAnsi="Times New Roman" w:hint="eastAsia"/>
          <w:sz w:val="32"/>
          <w:szCs w:val="32"/>
        </w:rPr>
        <w:t>，</w:t>
      </w:r>
      <w:r>
        <w:rPr>
          <w:rFonts w:ascii="Times New Roman" w:eastAsia="仿宋_GB2312" w:hAnsi="Times New Roman" w:hint="eastAsia"/>
          <w:sz w:val="32"/>
          <w:szCs w:val="32"/>
        </w:rPr>
        <w:t>决算数与预算数无差异，与上年相比无差异。</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公务用车运行维护费支出预算为</w:t>
      </w:r>
      <w:r>
        <w:rPr>
          <w:rFonts w:ascii="Times New Roman" w:eastAsia="仿宋_GB2312" w:hAnsi="Times New Roman" w:hint="eastAsia"/>
          <w:sz w:val="32"/>
          <w:szCs w:val="32"/>
        </w:rPr>
        <w:t>1</w:t>
      </w:r>
      <w:r>
        <w:rPr>
          <w:rFonts w:ascii="Times New Roman" w:eastAsia="仿宋_GB2312" w:hAnsi="Times New Roman" w:hint="eastAsia"/>
          <w:sz w:val="32"/>
          <w:szCs w:val="32"/>
        </w:rPr>
        <w:t>万元，支出决算为</w:t>
      </w:r>
      <w:r>
        <w:rPr>
          <w:rFonts w:ascii="Times New Roman" w:eastAsia="仿宋_GB2312" w:hAnsi="Times New Roman" w:hint="eastAsia"/>
          <w:sz w:val="32"/>
          <w:szCs w:val="32"/>
        </w:rPr>
        <w:t>0.74</w:t>
      </w:r>
      <w:r>
        <w:rPr>
          <w:rFonts w:ascii="Times New Roman" w:eastAsia="仿宋_GB2312" w:hAnsi="Times New Roman" w:hint="eastAsia"/>
          <w:sz w:val="32"/>
          <w:szCs w:val="32"/>
        </w:rPr>
        <w:t>万元，完成预算的</w:t>
      </w:r>
      <w:r>
        <w:rPr>
          <w:rFonts w:ascii="Times New Roman" w:eastAsia="仿宋_GB2312" w:hAnsi="Times New Roman" w:hint="eastAsia"/>
          <w:sz w:val="32"/>
          <w:szCs w:val="32"/>
        </w:rPr>
        <w:t>74%</w:t>
      </w:r>
      <w:r>
        <w:rPr>
          <w:rFonts w:ascii="Times New Roman" w:eastAsia="仿宋_GB2312" w:hAnsi="Times New Roman" w:hint="eastAsia"/>
          <w:sz w:val="32"/>
          <w:szCs w:val="32"/>
        </w:rPr>
        <w:t>，决算数小于预算数的主要原因是湖南省老干部休养所厉行节约，减少不必要开支，严格控制“三公”经费支出。</w:t>
      </w:r>
    </w:p>
    <w:p w:rsidR="00753AFB" w:rsidRDefault="00CA632F">
      <w:pPr>
        <w:pStyle w:val="Default"/>
        <w:spacing w:line="560" w:lineRule="exact"/>
        <w:ind w:firstLineChars="200" w:firstLine="640"/>
        <w:jc w:val="both"/>
        <w:rPr>
          <w:rFonts w:ascii="方正楷体_GBK" w:eastAsia="方正楷体_GBK" w:hAnsi="方正楷体_GBK" w:cs="方正楷体_GBK"/>
          <w:sz w:val="32"/>
          <w:szCs w:val="32"/>
        </w:rPr>
      </w:pPr>
      <w:r>
        <w:rPr>
          <w:rFonts w:ascii="方正楷体_GBK" w:eastAsia="方正楷体_GBK" w:hAnsi="方正楷体_GBK" w:cs="方正楷体_GBK" w:hint="eastAsia"/>
          <w:sz w:val="32"/>
          <w:szCs w:val="32"/>
        </w:rPr>
        <w:t>（二</w:t>
      </w:r>
      <w:r>
        <w:rPr>
          <w:rFonts w:ascii="方正楷体_GBK" w:eastAsia="方正楷体_GBK" w:hAnsi="方正楷体_GBK" w:cs="方正楷体_GBK" w:hint="eastAsia"/>
          <w:sz w:val="32"/>
          <w:szCs w:val="32"/>
        </w:rPr>
        <w:t>）“三公”经费财政拨款支出决算具体情况说明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年度“三公”经费财政拨款支出决算中，公务接待费支出决算</w:t>
      </w:r>
      <w:r>
        <w:rPr>
          <w:rFonts w:ascii="Times New Roman" w:eastAsia="仿宋_GB2312" w:hAnsi="Times New Roman" w:hint="eastAsia"/>
          <w:sz w:val="32"/>
          <w:szCs w:val="32"/>
        </w:rPr>
        <w:t>0</w:t>
      </w:r>
      <w:r>
        <w:rPr>
          <w:rFonts w:ascii="Times New Roman" w:eastAsia="仿宋_GB2312" w:hAnsi="Times New Roman" w:hint="eastAsia"/>
          <w:sz w:val="32"/>
          <w:szCs w:val="32"/>
        </w:rPr>
        <w:t>万元，</w:t>
      </w:r>
      <w:bookmarkStart w:id="0" w:name="_GoBack"/>
      <w:bookmarkEnd w:id="0"/>
      <w:r>
        <w:rPr>
          <w:rFonts w:ascii="Times New Roman" w:eastAsia="仿宋_GB2312" w:hAnsi="Times New Roman" w:hint="eastAsia"/>
          <w:sz w:val="32"/>
          <w:szCs w:val="32"/>
        </w:rPr>
        <w:t>因公出国（境）费支出决算</w:t>
      </w:r>
      <w:r>
        <w:rPr>
          <w:rFonts w:ascii="Times New Roman" w:eastAsia="仿宋_GB2312" w:hAnsi="Times New Roman" w:hint="eastAsia"/>
          <w:sz w:val="32"/>
          <w:szCs w:val="32"/>
        </w:rPr>
        <w:t>0</w:t>
      </w:r>
      <w:r>
        <w:rPr>
          <w:rFonts w:ascii="Times New Roman" w:eastAsia="仿宋_GB2312" w:hAnsi="Times New Roman" w:hint="eastAsia"/>
          <w:sz w:val="32"/>
          <w:szCs w:val="32"/>
        </w:rPr>
        <w:t>万元，</w:t>
      </w:r>
      <w:r>
        <w:rPr>
          <w:rFonts w:ascii="Times New Roman" w:eastAsia="仿宋_GB2312" w:hAnsi="Times New Roman" w:hint="eastAsia"/>
          <w:sz w:val="32"/>
          <w:szCs w:val="32"/>
        </w:rPr>
        <w:t>公务用车购置费及运行维护费支出决算</w:t>
      </w:r>
      <w:r>
        <w:rPr>
          <w:rFonts w:ascii="Times New Roman" w:eastAsia="仿宋_GB2312" w:hAnsi="Times New Roman" w:hint="eastAsia"/>
          <w:sz w:val="32"/>
          <w:szCs w:val="32"/>
        </w:rPr>
        <w:t>0.74</w:t>
      </w:r>
      <w:r>
        <w:rPr>
          <w:rFonts w:ascii="Times New Roman" w:eastAsia="仿宋_GB2312" w:hAnsi="Times New Roman" w:hint="eastAsia"/>
          <w:sz w:val="32"/>
          <w:szCs w:val="32"/>
        </w:rPr>
        <w:t>万元，占</w:t>
      </w:r>
      <w:r>
        <w:rPr>
          <w:rFonts w:ascii="Times New Roman" w:eastAsia="仿宋_GB2312" w:hAnsi="Times New Roman" w:hint="eastAsia"/>
          <w:sz w:val="32"/>
          <w:szCs w:val="32"/>
        </w:rPr>
        <w:t>100%</w:t>
      </w:r>
      <w:r>
        <w:rPr>
          <w:rFonts w:ascii="Times New Roman" w:eastAsia="仿宋_GB2312" w:hAnsi="Times New Roman" w:hint="eastAsia"/>
          <w:sz w:val="32"/>
          <w:szCs w:val="32"/>
        </w:rPr>
        <w:t>。其中：</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1.</w:t>
      </w:r>
      <w:r>
        <w:rPr>
          <w:rFonts w:ascii="Times New Roman" w:eastAsia="仿宋_GB2312" w:hAnsi="Times New Roman" w:hint="eastAsia"/>
          <w:sz w:val="32"/>
          <w:szCs w:val="32"/>
        </w:rPr>
        <w:t>因公出国（境）费支出决算为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万元，全年安排因公出国（境）团组</w:t>
      </w:r>
      <w:r>
        <w:rPr>
          <w:rFonts w:ascii="Times New Roman" w:eastAsia="仿宋_GB2312" w:hAnsi="Times New Roman" w:hint="eastAsia"/>
          <w:sz w:val="32"/>
          <w:szCs w:val="32"/>
        </w:rPr>
        <w:t>0</w:t>
      </w:r>
      <w:r>
        <w:rPr>
          <w:rFonts w:ascii="Times New Roman" w:eastAsia="仿宋_GB2312" w:hAnsi="Times New Roman" w:hint="eastAsia"/>
          <w:sz w:val="32"/>
          <w:szCs w:val="32"/>
        </w:rPr>
        <w:t>个，累计</w:t>
      </w:r>
      <w:r>
        <w:rPr>
          <w:rFonts w:ascii="Times New Roman" w:eastAsia="仿宋_GB2312" w:hAnsi="Times New Roman" w:hint="eastAsia"/>
          <w:sz w:val="32"/>
          <w:szCs w:val="32"/>
        </w:rPr>
        <w:t>0</w:t>
      </w:r>
      <w:r>
        <w:rPr>
          <w:rFonts w:ascii="Times New Roman" w:eastAsia="仿宋_GB2312" w:hAnsi="Times New Roman" w:hint="eastAsia"/>
          <w:sz w:val="32"/>
          <w:szCs w:val="32"/>
        </w:rPr>
        <w:t>人次，无开支内容。</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w:t>
      </w:r>
      <w:r>
        <w:rPr>
          <w:rFonts w:ascii="Times New Roman" w:eastAsia="仿宋_GB2312" w:hAnsi="Times New Roman" w:hint="eastAsia"/>
          <w:sz w:val="32"/>
          <w:szCs w:val="32"/>
        </w:rPr>
        <w:t>公务接待费支出决算为</w:t>
      </w:r>
      <w:r>
        <w:rPr>
          <w:rFonts w:ascii="Times New Roman" w:eastAsia="仿宋_GB2312" w:hAnsi="Times New Roman" w:hint="eastAsia"/>
          <w:sz w:val="32"/>
          <w:szCs w:val="32"/>
        </w:rPr>
        <w:t>0</w:t>
      </w:r>
      <w:r>
        <w:rPr>
          <w:rFonts w:ascii="Times New Roman" w:eastAsia="仿宋_GB2312" w:hAnsi="Times New Roman" w:hint="eastAsia"/>
          <w:sz w:val="32"/>
          <w:szCs w:val="32"/>
        </w:rPr>
        <w:t>万元，全年共接待来访团组</w:t>
      </w:r>
      <w:r>
        <w:rPr>
          <w:rFonts w:ascii="Times New Roman" w:eastAsia="仿宋_GB2312" w:hAnsi="Times New Roman" w:hint="eastAsia"/>
          <w:sz w:val="32"/>
          <w:szCs w:val="32"/>
        </w:rPr>
        <w:t>0</w:t>
      </w:r>
      <w:r>
        <w:rPr>
          <w:rFonts w:ascii="Times New Roman" w:eastAsia="仿宋_GB2312" w:hAnsi="Times New Roman" w:hint="eastAsia"/>
          <w:sz w:val="32"/>
          <w:szCs w:val="32"/>
        </w:rPr>
        <w:t>个、来宾</w:t>
      </w:r>
      <w:r>
        <w:rPr>
          <w:rFonts w:ascii="Times New Roman" w:eastAsia="仿宋_GB2312" w:hAnsi="Times New Roman" w:hint="eastAsia"/>
          <w:sz w:val="32"/>
          <w:szCs w:val="32"/>
        </w:rPr>
        <w:t>0</w:t>
      </w:r>
      <w:r>
        <w:rPr>
          <w:rFonts w:ascii="Times New Roman" w:eastAsia="仿宋_GB2312" w:hAnsi="Times New Roman" w:hint="eastAsia"/>
          <w:sz w:val="32"/>
          <w:szCs w:val="32"/>
        </w:rPr>
        <w:t>人次。</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3.</w:t>
      </w:r>
      <w:r>
        <w:rPr>
          <w:rFonts w:ascii="Times New Roman" w:eastAsia="仿宋_GB2312" w:hAnsi="Times New Roman" w:hint="eastAsia"/>
          <w:sz w:val="32"/>
          <w:szCs w:val="32"/>
        </w:rPr>
        <w:t>公务用车购置费及运行维护费支出决算为</w:t>
      </w:r>
      <w:r>
        <w:rPr>
          <w:rFonts w:ascii="Times New Roman" w:eastAsia="仿宋_GB2312" w:hAnsi="Times New Roman" w:hint="eastAsia"/>
          <w:sz w:val="32"/>
          <w:szCs w:val="32"/>
        </w:rPr>
        <w:t>0.74</w:t>
      </w:r>
      <w:r>
        <w:rPr>
          <w:rFonts w:ascii="Times New Roman" w:eastAsia="仿宋_GB2312" w:hAnsi="Times New Roman" w:hint="eastAsia"/>
          <w:sz w:val="32"/>
          <w:szCs w:val="32"/>
        </w:rPr>
        <w:t>万元，其中：公务用车购置费</w:t>
      </w:r>
      <w:r>
        <w:rPr>
          <w:rFonts w:ascii="Times New Roman" w:eastAsia="仿宋_GB2312" w:hAnsi="Times New Roman" w:hint="eastAsia"/>
          <w:sz w:val="32"/>
          <w:szCs w:val="32"/>
        </w:rPr>
        <w:t>0</w:t>
      </w:r>
      <w:r>
        <w:rPr>
          <w:rFonts w:ascii="Times New Roman" w:eastAsia="仿宋_GB2312" w:hAnsi="Times New Roman" w:hint="eastAsia"/>
          <w:sz w:val="32"/>
          <w:szCs w:val="32"/>
        </w:rPr>
        <w:t>万元，湖南省老干部休养所更新公务用车</w:t>
      </w:r>
      <w:r>
        <w:rPr>
          <w:rFonts w:ascii="Times New Roman" w:eastAsia="仿宋_GB2312" w:hAnsi="Times New Roman" w:hint="eastAsia"/>
          <w:sz w:val="32"/>
          <w:szCs w:val="32"/>
        </w:rPr>
        <w:t>0</w:t>
      </w:r>
      <w:r>
        <w:rPr>
          <w:rFonts w:ascii="Times New Roman" w:eastAsia="仿宋_GB2312" w:hAnsi="Times New Roman" w:hint="eastAsia"/>
          <w:sz w:val="32"/>
          <w:szCs w:val="32"/>
        </w:rPr>
        <w:t>辆。公务用车运行维护费</w:t>
      </w:r>
      <w:r>
        <w:rPr>
          <w:rFonts w:ascii="Times New Roman" w:eastAsia="仿宋_GB2312" w:hAnsi="Times New Roman" w:hint="eastAsia"/>
          <w:sz w:val="32"/>
          <w:szCs w:val="32"/>
        </w:rPr>
        <w:t>0.74</w:t>
      </w:r>
      <w:r>
        <w:rPr>
          <w:rFonts w:ascii="Times New Roman" w:eastAsia="仿宋_GB2312" w:hAnsi="Times New Roman" w:hint="eastAsia"/>
          <w:sz w:val="32"/>
          <w:szCs w:val="32"/>
        </w:rPr>
        <w:t>万元，主要是车辆维修、加油及年检保险支出，截止</w:t>
      </w:r>
      <w:r>
        <w:rPr>
          <w:rFonts w:ascii="Times New Roman" w:eastAsia="仿宋_GB2312" w:hAnsi="Times New Roman" w:hint="eastAsia"/>
          <w:sz w:val="32"/>
          <w:szCs w:val="32"/>
        </w:rPr>
        <w:t>2022</w:t>
      </w:r>
      <w:r>
        <w:rPr>
          <w:rFonts w:ascii="Times New Roman" w:eastAsia="仿宋_GB2312" w:hAnsi="Times New Roman" w:hint="eastAsia"/>
          <w:sz w:val="32"/>
          <w:szCs w:val="32"/>
        </w:rPr>
        <w:t>年</w:t>
      </w:r>
      <w:r>
        <w:rPr>
          <w:rFonts w:ascii="Times New Roman" w:eastAsia="仿宋_GB2312" w:hAnsi="Times New Roman" w:hint="eastAsia"/>
          <w:sz w:val="32"/>
          <w:szCs w:val="32"/>
        </w:rPr>
        <w:t>12</w:t>
      </w:r>
      <w:r>
        <w:rPr>
          <w:rFonts w:ascii="Times New Roman" w:eastAsia="仿宋_GB2312" w:hAnsi="Times New Roman" w:hint="eastAsia"/>
          <w:sz w:val="32"/>
          <w:szCs w:val="32"/>
        </w:rPr>
        <w:t>月</w:t>
      </w:r>
      <w:r>
        <w:rPr>
          <w:rFonts w:ascii="Times New Roman" w:eastAsia="仿宋_GB2312" w:hAnsi="Times New Roman" w:hint="eastAsia"/>
          <w:sz w:val="32"/>
          <w:szCs w:val="32"/>
        </w:rPr>
        <w:t>31</w:t>
      </w:r>
      <w:r>
        <w:rPr>
          <w:rFonts w:ascii="Times New Roman" w:eastAsia="仿宋_GB2312" w:hAnsi="Times New Roman" w:hint="eastAsia"/>
          <w:sz w:val="32"/>
          <w:szCs w:val="32"/>
        </w:rPr>
        <w:t>日，湖南省老干部休养所开支财政拨款的公务用车保有量为</w:t>
      </w:r>
      <w:r>
        <w:rPr>
          <w:rFonts w:ascii="Times New Roman" w:eastAsia="仿宋_GB2312" w:hAnsi="Times New Roman" w:hint="eastAsia"/>
          <w:sz w:val="32"/>
          <w:szCs w:val="32"/>
        </w:rPr>
        <w:t>1</w:t>
      </w:r>
      <w:r>
        <w:rPr>
          <w:rFonts w:ascii="Times New Roman" w:eastAsia="仿宋_GB2312" w:hAnsi="Times New Roman" w:hint="eastAsia"/>
          <w:sz w:val="32"/>
          <w:szCs w:val="32"/>
        </w:rPr>
        <w:t>辆。</w:t>
      </w:r>
    </w:p>
    <w:p w:rsidR="00753AFB" w:rsidRDefault="00CA632F">
      <w:pPr>
        <w:pStyle w:val="Default"/>
        <w:spacing w:line="560" w:lineRule="exact"/>
        <w:ind w:firstLineChars="200" w:firstLine="640"/>
        <w:jc w:val="both"/>
        <w:rPr>
          <w:rFonts w:hAnsi="黑体"/>
          <w:sz w:val="32"/>
          <w:szCs w:val="32"/>
        </w:rPr>
      </w:pPr>
      <w:r>
        <w:rPr>
          <w:rFonts w:hAnsi="黑体" w:hint="eastAsia"/>
          <w:sz w:val="32"/>
          <w:szCs w:val="32"/>
        </w:rPr>
        <w:t>八、政府性基金预算收入支出决算情况</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湖南省老干部休养所本级</w:t>
      </w:r>
      <w:r>
        <w:rPr>
          <w:rFonts w:ascii="Times New Roman" w:eastAsia="仿宋_GB2312" w:hAnsi="Times New Roman" w:hint="eastAsia"/>
          <w:sz w:val="32"/>
          <w:szCs w:val="32"/>
        </w:rPr>
        <w:t>2022</w:t>
      </w:r>
      <w:r>
        <w:rPr>
          <w:rFonts w:ascii="Times New Roman" w:eastAsia="仿宋_GB2312" w:hAnsi="Times New Roman" w:hint="eastAsia"/>
          <w:sz w:val="32"/>
          <w:szCs w:val="32"/>
        </w:rPr>
        <w:t>年无政府性基金收支，故</w:t>
      </w:r>
      <w:r>
        <w:rPr>
          <w:rFonts w:ascii="Times New Roman" w:eastAsia="仿宋_GB2312" w:hAnsi="Times New Roman" w:hint="eastAsia"/>
          <w:sz w:val="32"/>
          <w:szCs w:val="32"/>
        </w:rPr>
        <w:t>07</w:t>
      </w:r>
      <w:r>
        <w:rPr>
          <w:rFonts w:ascii="Times New Roman" w:eastAsia="仿宋_GB2312" w:hAnsi="Times New Roman" w:hint="eastAsia"/>
          <w:sz w:val="32"/>
          <w:szCs w:val="32"/>
        </w:rPr>
        <w:t>表为空表。</w:t>
      </w:r>
    </w:p>
    <w:p w:rsidR="00753AFB" w:rsidRDefault="00CA632F">
      <w:pPr>
        <w:pStyle w:val="Default"/>
        <w:spacing w:line="560" w:lineRule="exact"/>
        <w:ind w:firstLineChars="200" w:firstLine="640"/>
        <w:jc w:val="both"/>
        <w:rPr>
          <w:rFonts w:hAnsi="黑体"/>
          <w:sz w:val="32"/>
          <w:szCs w:val="32"/>
        </w:rPr>
      </w:pPr>
      <w:r>
        <w:rPr>
          <w:rFonts w:hAnsi="黑体" w:hint="eastAsia"/>
          <w:sz w:val="32"/>
          <w:szCs w:val="32"/>
        </w:rPr>
        <w:t>九、关于机关运行经费支出说明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lastRenderedPageBreak/>
        <w:t>湖南省老干部休养所</w:t>
      </w:r>
      <w:r>
        <w:rPr>
          <w:rFonts w:ascii="Times New Roman" w:eastAsia="仿宋_GB2312" w:hAnsi="Times New Roman" w:hint="eastAsia"/>
          <w:sz w:val="32"/>
          <w:szCs w:val="32"/>
        </w:rPr>
        <w:t>2022</w:t>
      </w:r>
      <w:r>
        <w:rPr>
          <w:rFonts w:ascii="Times New Roman" w:eastAsia="仿宋_GB2312" w:hAnsi="Times New Roman" w:hint="eastAsia"/>
          <w:sz w:val="32"/>
          <w:szCs w:val="32"/>
        </w:rPr>
        <w:t>年度机关运行经费支出</w:t>
      </w:r>
      <w:r>
        <w:rPr>
          <w:rFonts w:ascii="Times New Roman" w:eastAsia="仿宋_GB2312" w:hAnsi="Times New Roman" w:hint="eastAsia"/>
          <w:sz w:val="32"/>
          <w:szCs w:val="32"/>
        </w:rPr>
        <w:t>156.08</w:t>
      </w:r>
      <w:r>
        <w:rPr>
          <w:rFonts w:ascii="Times New Roman" w:eastAsia="仿宋_GB2312" w:hAnsi="Times New Roman" w:hint="eastAsia"/>
          <w:sz w:val="32"/>
          <w:szCs w:val="32"/>
        </w:rPr>
        <w:t>万元，比上年决算数减少</w:t>
      </w:r>
      <w:r>
        <w:rPr>
          <w:rFonts w:ascii="Times New Roman" w:eastAsia="仿宋_GB2312" w:hAnsi="Times New Roman" w:hint="eastAsia"/>
          <w:sz w:val="32"/>
          <w:szCs w:val="32"/>
        </w:rPr>
        <w:t xml:space="preserve">2.4 </w:t>
      </w:r>
      <w:r>
        <w:rPr>
          <w:rFonts w:ascii="Times New Roman" w:eastAsia="仿宋_GB2312" w:hAnsi="Times New Roman" w:hint="eastAsia"/>
          <w:sz w:val="32"/>
          <w:szCs w:val="32"/>
        </w:rPr>
        <w:t>万元，降低</w:t>
      </w:r>
      <w:r>
        <w:rPr>
          <w:rFonts w:ascii="Times New Roman" w:eastAsia="仿宋_GB2312" w:hAnsi="Times New Roman" w:hint="eastAsia"/>
          <w:sz w:val="32"/>
          <w:szCs w:val="32"/>
        </w:rPr>
        <w:t>1.51%</w:t>
      </w:r>
      <w:r>
        <w:rPr>
          <w:rFonts w:ascii="Times New Roman" w:eastAsia="仿宋_GB2312" w:hAnsi="Times New Roman" w:hint="eastAsia"/>
          <w:sz w:val="32"/>
          <w:szCs w:val="32"/>
        </w:rPr>
        <w:t>。主要原因是：湖南省老干部休养所厉行节约，减少不必要开支，严格控制各项经费支出。</w:t>
      </w:r>
    </w:p>
    <w:p w:rsidR="00753AFB" w:rsidRDefault="00CA632F">
      <w:pPr>
        <w:pStyle w:val="Default"/>
        <w:spacing w:line="560" w:lineRule="exact"/>
        <w:ind w:firstLineChars="200" w:firstLine="640"/>
        <w:jc w:val="both"/>
        <w:rPr>
          <w:rFonts w:hAnsi="黑体"/>
          <w:sz w:val="32"/>
          <w:szCs w:val="32"/>
        </w:rPr>
      </w:pPr>
      <w:r>
        <w:rPr>
          <w:rFonts w:hAnsi="黑体" w:hint="eastAsia"/>
          <w:sz w:val="32"/>
          <w:szCs w:val="32"/>
        </w:rPr>
        <w:t>十、一般性支出情况说明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年湖南省老干部休养所开支会议费</w:t>
      </w:r>
      <w:r>
        <w:rPr>
          <w:rFonts w:ascii="Times New Roman" w:eastAsia="仿宋_GB2312" w:hAnsi="Times New Roman" w:hint="eastAsia"/>
          <w:sz w:val="32"/>
          <w:szCs w:val="32"/>
        </w:rPr>
        <w:t>0</w:t>
      </w:r>
      <w:r>
        <w:rPr>
          <w:rFonts w:ascii="Times New Roman" w:eastAsia="仿宋_GB2312" w:hAnsi="Times New Roman" w:hint="eastAsia"/>
          <w:sz w:val="32"/>
          <w:szCs w:val="32"/>
        </w:rPr>
        <w:t>万元，未召开会议，人数</w:t>
      </w:r>
      <w:r>
        <w:rPr>
          <w:rFonts w:ascii="Times New Roman" w:eastAsia="仿宋_GB2312" w:hAnsi="Times New Roman" w:hint="eastAsia"/>
          <w:sz w:val="32"/>
          <w:szCs w:val="32"/>
        </w:rPr>
        <w:t>0</w:t>
      </w:r>
      <w:r>
        <w:rPr>
          <w:rFonts w:ascii="Times New Roman" w:eastAsia="仿宋_GB2312" w:hAnsi="Times New Roman" w:hint="eastAsia"/>
          <w:sz w:val="32"/>
          <w:szCs w:val="32"/>
        </w:rPr>
        <w:t>人；开支培训费</w:t>
      </w:r>
      <w:r>
        <w:rPr>
          <w:rFonts w:ascii="Times New Roman" w:eastAsia="仿宋_GB2312" w:hAnsi="Times New Roman" w:hint="eastAsia"/>
          <w:sz w:val="32"/>
          <w:szCs w:val="32"/>
        </w:rPr>
        <w:t>0</w:t>
      </w:r>
      <w:r>
        <w:rPr>
          <w:rFonts w:ascii="Times New Roman" w:eastAsia="仿宋_GB2312" w:hAnsi="Times New Roman" w:hint="eastAsia"/>
          <w:sz w:val="32"/>
          <w:szCs w:val="32"/>
        </w:rPr>
        <w:t>万元，未开展培训，人数</w:t>
      </w:r>
      <w:r>
        <w:rPr>
          <w:rFonts w:ascii="Times New Roman" w:eastAsia="仿宋_GB2312" w:hAnsi="Times New Roman" w:hint="eastAsia"/>
          <w:sz w:val="32"/>
          <w:szCs w:val="32"/>
        </w:rPr>
        <w:t>0</w:t>
      </w:r>
      <w:r>
        <w:rPr>
          <w:rFonts w:ascii="Times New Roman" w:eastAsia="仿宋_GB2312" w:hAnsi="Times New Roman" w:hint="eastAsia"/>
          <w:sz w:val="32"/>
          <w:szCs w:val="32"/>
        </w:rPr>
        <w:t>人；为举办节庆、晚会、论坛、赛事活动，开支</w:t>
      </w:r>
      <w:r>
        <w:rPr>
          <w:rFonts w:ascii="Times New Roman" w:eastAsia="仿宋_GB2312" w:hAnsi="Times New Roman" w:hint="eastAsia"/>
          <w:sz w:val="32"/>
          <w:szCs w:val="32"/>
        </w:rPr>
        <w:t>0</w:t>
      </w:r>
      <w:r>
        <w:rPr>
          <w:rFonts w:ascii="Times New Roman" w:eastAsia="仿宋_GB2312" w:hAnsi="Times New Roman" w:hint="eastAsia"/>
          <w:sz w:val="32"/>
          <w:szCs w:val="32"/>
        </w:rPr>
        <w:t>万元。</w:t>
      </w:r>
    </w:p>
    <w:p w:rsidR="00753AFB" w:rsidRDefault="00CA632F">
      <w:pPr>
        <w:pStyle w:val="Default"/>
        <w:spacing w:line="560" w:lineRule="exact"/>
        <w:ind w:firstLineChars="200" w:firstLine="640"/>
        <w:jc w:val="both"/>
        <w:rPr>
          <w:rFonts w:hAnsi="黑体"/>
          <w:sz w:val="32"/>
          <w:szCs w:val="32"/>
        </w:rPr>
      </w:pPr>
      <w:r>
        <w:rPr>
          <w:rFonts w:hAnsi="黑体" w:hint="eastAsia"/>
          <w:sz w:val="32"/>
          <w:szCs w:val="32"/>
        </w:rPr>
        <w:t>十一、关于政府采购支出说明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湖南省老干部休养所</w:t>
      </w:r>
      <w:r>
        <w:rPr>
          <w:rFonts w:ascii="Times New Roman" w:eastAsia="仿宋_GB2312" w:hAnsi="Times New Roman" w:hint="eastAsia"/>
          <w:sz w:val="32"/>
          <w:szCs w:val="32"/>
        </w:rPr>
        <w:t>2022</w:t>
      </w:r>
      <w:r>
        <w:rPr>
          <w:rFonts w:ascii="Times New Roman" w:eastAsia="仿宋_GB2312" w:hAnsi="Times New Roman" w:hint="eastAsia"/>
          <w:sz w:val="32"/>
          <w:szCs w:val="32"/>
        </w:rPr>
        <w:t>年度政府采购支出总额</w:t>
      </w:r>
      <w:r>
        <w:rPr>
          <w:rFonts w:ascii="Times New Roman" w:eastAsia="仿宋_GB2312" w:hAnsi="Times New Roman" w:hint="eastAsia"/>
          <w:sz w:val="32"/>
          <w:szCs w:val="32"/>
        </w:rPr>
        <w:t>127.13</w:t>
      </w:r>
      <w:r>
        <w:rPr>
          <w:rFonts w:ascii="Times New Roman" w:eastAsia="仿宋_GB2312" w:hAnsi="Times New Roman" w:hint="eastAsia"/>
          <w:sz w:val="32"/>
          <w:szCs w:val="32"/>
        </w:rPr>
        <w:t>万元，其中：政府采购货物支出</w:t>
      </w:r>
      <w:r>
        <w:rPr>
          <w:rFonts w:ascii="Times New Roman" w:eastAsia="仿宋_GB2312" w:hAnsi="Times New Roman" w:hint="eastAsia"/>
          <w:sz w:val="32"/>
          <w:szCs w:val="32"/>
        </w:rPr>
        <w:t>127.13</w:t>
      </w:r>
      <w:r>
        <w:rPr>
          <w:rFonts w:ascii="Times New Roman" w:eastAsia="仿宋_GB2312" w:hAnsi="Times New Roman" w:hint="eastAsia"/>
          <w:sz w:val="32"/>
          <w:szCs w:val="32"/>
        </w:rPr>
        <w:t>万元、政府采购工程支出</w:t>
      </w:r>
      <w:r>
        <w:rPr>
          <w:rFonts w:ascii="Times New Roman" w:eastAsia="仿宋_GB2312" w:hAnsi="Times New Roman" w:hint="eastAsia"/>
          <w:sz w:val="32"/>
          <w:szCs w:val="32"/>
        </w:rPr>
        <w:t>0</w:t>
      </w:r>
      <w:r>
        <w:rPr>
          <w:rFonts w:ascii="Times New Roman" w:eastAsia="仿宋_GB2312" w:hAnsi="Times New Roman" w:hint="eastAsia"/>
          <w:sz w:val="32"/>
          <w:szCs w:val="32"/>
        </w:rPr>
        <w:t>万元、政府采购服务支出</w:t>
      </w:r>
      <w:r>
        <w:rPr>
          <w:rFonts w:ascii="Times New Roman" w:eastAsia="仿宋_GB2312" w:hAnsi="Times New Roman" w:hint="eastAsia"/>
          <w:sz w:val="32"/>
          <w:szCs w:val="32"/>
        </w:rPr>
        <w:t>0</w:t>
      </w:r>
      <w:r>
        <w:rPr>
          <w:rFonts w:ascii="Times New Roman" w:eastAsia="仿宋_GB2312" w:hAnsi="Times New Roman" w:hint="eastAsia"/>
          <w:sz w:val="32"/>
          <w:szCs w:val="32"/>
        </w:rPr>
        <w:t>万元。授予中小企业合同金额</w:t>
      </w:r>
      <w:r>
        <w:rPr>
          <w:rFonts w:ascii="Times New Roman" w:eastAsia="仿宋_GB2312" w:hAnsi="Times New Roman" w:hint="eastAsia"/>
          <w:sz w:val="32"/>
          <w:szCs w:val="32"/>
        </w:rPr>
        <w:t>127.13</w:t>
      </w:r>
      <w:r>
        <w:rPr>
          <w:rFonts w:ascii="Times New Roman" w:eastAsia="仿宋_GB2312" w:hAnsi="Times New Roman" w:hint="eastAsia"/>
          <w:sz w:val="32"/>
          <w:szCs w:val="32"/>
        </w:rPr>
        <w:t>万元，占政府采购支出总额的</w:t>
      </w:r>
      <w:r>
        <w:rPr>
          <w:rFonts w:ascii="Times New Roman" w:eastAsia="仿宋_GB2312" w:hAnsi="Times New Roman" w:hint="eastAsia"/>
          <w:sz w:val="32"/>
          <w:szCs w:val="32"/>
        </w:rPr>
        <w:t>100%</w:t>
      </w:r>
      <w:r>
        <w:rPr>
          <w:rFonts w:ascii="Times New Roman" w:eastAsia="仿宋_GB2312" w:hAnsi="Times New Roman" w:hint="eastAsia"/>
          <w:sz w:val="32"/>
          <w:szCs w:val="32"/>
        </w:rPr>
        <w:t>，其</w:t>
      </w:r>
      <w:r>
        <w:rPr>
          <w:rFonts w:ascii="Times New Roman" w:eastAsia="仿宋_GB2312" w:hAnsi="Times New Roman" w:hint="eastAsia"/>
          <w:sz w:val="32"/>
          <w:szCs w:val="32"/>
        </w:rPr>
        <w:t>中：授予小微企业合同金额</w:t>
      </w:r>
      <w:r>
        <w:rPr>
          <w:rFonts w:ascii="Times New Roman" w:eastAsia="仿宋_GB2312" w:hAnsi="Times New Roman" w:hint="eastAsia"/>
          <w:sz w:val="32"/>
          <w:szCs w:val="32"/>
        </w:rPr>
        <w:t>108.79</w:t>
      </w:r>
      <w:r>
        <w:rPr>
          <w:rFonts w:ascii="Times New Roman" w:eastAsia="仿宋_GB2312" w:hAnsi="Times New Roman" w:hint="eastAsia"/>
          <w:sz w:val="32"/>
          <w:szCs w:val="32"/>
        </w:rPr>
        <w:t>万元，占政府采购支出总额的</w:t>
      </w:r>
      <w:r>
        <w:rPr>
          <w:rFonts w:ascii="Times New Roman" w:eastAsia="仿宋_GB2312" w:hAnsi="Times New Roman" w:hint="eastAsia"/>
          <w:sz w:val="32"/>
          <w:szCs w:val="32"/>
        </w:rPr>
        <w:t>85.57%</w:t>
      </w:r>
      <w:r>
        <w:rPr>
          <w:rFonts w:ascii="Times New Roman" w:eastAsia="仿宋_GB2312" w:hAnsi="Times New Roman" w:hint="eastAsia"/>
          <w:sz w:val="32"/>
          <w:szCs w:val="32"/>
        </w:rPr>
        <w:t>。货物采购授予中小企业合同金额占货物支出金额的</w:t>
      </w:r>
      <w:r>
        <w:rPr>
          <w:rFonts w:ascii="Times New Roman" w:eastAsia="仿宋_GB2312" w:hAnsi="Times New Roman" w:hint="eastAsia"/>
          <w:sz w:val="32"/>
          <w:szCs w:val="32"/>
        </w:rPr>
        <w:t>100%</w:t>
      </w:r>
      <w:r>
        <w:rPr>
          <w:rFonts w:ascii="Times New Roman" w:eastAsia="仿宋_GB2312" w:hAnsi="Times New Roman" w:hint="eastAsia"/>
          <w:sz w:val="32"/>
          <w:szCs w:val="32"/>
        </w:rPr>
        <w:t>，</w:t>
      </w:r>
      <w:r w:rsidR="00B4116B">
        <w:rPr>
          <w:rFonts w:ascii="Times New Roman" w:eastAsia="仿宋_GB2312" w:hAnsi="Times New Roman" w:hint="eastAsia"/>
          <w:sz w:val="32"/>
          <w:szCs w:val="32"/>
        </w:rPr>
        <w:t>无</w:t>
      </w:r>
      <w:r>
        <w:rPr>
          <w:rFonts w:ascii="Times New Roman" w:eastAsia="仿宋_GB2312" w:hAnsi="Times New Roman" w:hint="eastAsia"/>
          <w:sz w:val="32"/>
          <w:szCs w:val="32"/>
        </w:rPr>
        <w:t>工程采购</w:t>
      </w:r>
      <w:r w:rsidR="00B4116B">
        <w:rPr>
          <w:rFonts w:ascii="Times New Roman" w:eastAsia="仿宋_GB2312" w:hAnsi="Times New Roman" w:hint="eastAsia"/>
          <w:sz w:val="32"/>
          <w:szCs w:val="32"/>
        </w:rPr>
        <w:t>、</w:t>
      </w:r>
      <w:r>
        <w:rPr>
          <w:rFonts w:ascii="Times New Roman" w:eastAsia="仿宋_GB2312" w:hAnsi="Times New Roman" w:hint="eastAsia"/>
          <w:sz w:val="32"/>
          <w:szCs w:val="32"/>
        </w:rPr>
        <w:t>服务采购</w:t>
      </w:r>
      <w:r>
        <w:rPr>
          <w:rFonts w:ascii="Times New Roman" w:eastAsia="仿宋_GB2312" w:hAnsi="Times New Roman" w:hint="eastAsia"/>
          <w:sz w:val="32"/>
          <w:szCs w:val="32"/>
        </w:rPr>
        <w:t>。</w:t>
      </w:r>
    </w:p>
    <w:p w:rsidR="00753AFB" w:rsidRDefault="00CA632F">
      <w:pPr>
        <w:pStyle w:val="Default"/>
        <w:spacing w:line="560" w:lineRule="exact"/>
        <w:ind w:firstLineChars="200" w:firstLine="640"/>
        <w:jc w:val="both"/>
        <w:rPr>
          <w:rFonts w:hAnsi="黑体"/>
          <w:sz w:val="32"/>
          <w:szCs w:val="32"/>
        </w:rPr>
      </w:pPr>
      <w:r>
        <w:rPr>
          <w:rFonts w:hAnsi="黑体" w:hint="eastAsia"/>
          <w:sz w:val="32"/>
          <w:szCs w:val="32"/>
        </w:rPr>
        <w:t>十二、关于国有资产占用情况说明</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截至</w:t>
      </w:r>
      <w:r>
        <w:rPr>
          <w:rFonts w:ascii="Times New Roman" w:eastAsia="仿宋_GB2312" w:hAnsi="Times New Roman" w:hint="eastAsia"/>
          <w:sz w:val="32"/>
          <w:szCs w:val="32"/>
        </w:rPr>
        <w:t>2022</w:t>
      </w:r>
      <w:r>
        <w:rPr>
          <w:rFonts w:ascii="Times New Roman" w:eastAsia="仿宋_GB2312" w:hAnsi="Times New Roman" w:hint="eastAsia"/>
          <w:sz w:val="32"/>
          <w:szCs w:val="32"/>
        </w:rPr>
        <w:t>年</w:t>
      </w:r>
      <w:r>
        <w:rPr>
          <w:rFonts w:ascii="Times New Roman" w:eastAsia="仿宋_GB2312" w:hAnsi="Times New Roman" w:hint="eastAsia"/>
          <w:sz w:val="32"/>
          <w:szCs w:val="32"/>
        </w:rPr>
        <w:t>12</w:t>
      </w:r>
      <w:r>
        <w:rPr>
          <w:rFonts w:ascii="Times New Roman" w:eastAsia="仿宋_GB2312" w:hAnsi="Times New Roman" w:hint="eastAsia"/>
          <w:sz w:val="32"/>
          <w:szCs w:val="32"/>
        </w:rPr>
        <w:t>月</w:t>
      </w:r>
      <w:r>
        <w:rPr>
          <w:rFonts w:ascii="Times New Roman" w:eastAsia="仿宋_GB2312" w:hAnsi="Times New Roman" w:hint="eastAsia"/>
          <w:sz w:val="32"/>
          <w:szCs w:val="32"/>
        </w:rPr>
        <w:t>31</w:t>
      </w:r>
      <w:r>
        <w:rPr>
          <w:rFonts w:ascii="Times New Roman" w:eastAsia="仿宋_GB2312" w:hAnsi="Times New Roman" w:hint="eastAsia"/>
          <w:sz w:val="32"/>
          <w:szCs w:val="32"/>
        </w:rPr>
        <w:t>日，本所共有车辆</w:t>
      </w:r>
      <w:r>
        <w:rPr>
          <w:rFonts w:ascii="Times New Roman" w:eastAsia="仿宋_GB2312" w:hAnsi="Times New Roman" w:hint="eastAsia"/>
          <w:sz w:val="32"/>
          <w:szCs w:val="32"/>
        </w:rPr>
        <w:t>1</w:t>
      </w:r>
      <w:r>
        <w:rPr>
          <w:rFonts w:ascii="Times New Roman" w:eastAsia="仿宋_GB2312" w:hAnsi="Times New Roman" w:hint="eastAsia"/>
          <w:sz w:val="32"/>
          <w:szCs w:val="32"/>
        </w:rPr>
        <w:t>辆，其中，主要领导干部用车</w:t>
      </w:r>
      <w:r>
        <w:rPr>
          <w:rFonts w:ascii="Times New Roman" w:eastAsia="仿宋_GB2312" w:hAnsi="Times New Roman" w:hint="eastAsia"/>
          <w:sz w:val="32"/>
          <w:szCs w:val="32"/>
        </w:rPr>
        <w:t>0</w:t>
      </w:r>
      <w:r>
        <w:rPr>
          <w:rFonts w:ascii="Times New Roman" w:eastAsia="仿宋_GB2312" w:hAnsi="Times New Roman" w:hint="eastAsia"/>
          <w:sz w:val="32"/>
          <w:szCs w:val="32"/>
        </w:rPr>
        <w:t>辆，机要通信用车</w:t>
      </w:r>
      <w:r>
        <w:rPr>
          <w:rFonts w:ascii="Times New Roman" w:eastAsia="仿宋_GB2312" w:hAnsi="Times New Roman" w:hint="eastAsia"/>
          <w:sz w:val="32"/>
          <w:szCs w:val="32"/>
        </w:rPr>
        <w:t>0</w:t>
      </w:r>
      <w:r>
        <w:rPr>
          <w:rFonts w:ascii="Times New Roman" w:eastAsia="仿宋_GB2312" w:hAnsi="Times New Roman" w:hint="eastAsia"/>
          <w:sz w:val="32"/>
          <w:szCs w:val="32"/>
        </w:rPr>
        <w:t>辆、应急保障用车</w:t>
      </w:r>
      <w:r>
        <w:rPr>
          <w:rFonts w:ascii="Times New Roman" w:eastAsia="仿宋_GB2312" w:hAnsi="Times New Roman" w:hint="eastAsia"/>
          <w:sz w:val="32"/>
          <w:szCs w:val="32"/>
        </w:rPr>
        <w:t>0</w:t>
      </w:r>
      <w:r>
        <w:rPr>
          <w:rFonts w:ascii="Times New Roman" w:eastAsia="仿宋_GB2312" w:hAnsi="Times New Roman" w:hint="eastAsia"/>
          <w:sz w:val="32"/>
          <w:szCs w:val="32"/>
        </w:rPr>
        <w:t>辆、执法执勤用车</w:t>
      </w:r>
      <w:r>
        <w:rPr>
          <w:rFonts w:ascii="Times New Roman" w:eastAsia="仿宋_GB2312" w:hAnsi="Times New Roman" w:hint="eastAsia"/>
          <w:sz w:val="32"/>
          <w:szCs w:val="32"/>
        </w:rPr>
        <w:t>0</w:t>
      </w:r>
      <w:r>
        <w:rPr>
          <w:rFonts w:ascii="Times New Roman" w:eastAsia="仿宋_GB2312" w:hAnsi="Times New Roman" w:hint="eastAsia"/>
          <w:sz w:val="32"/>
          <w:szCs w:val="32"/>
        </w:rPr>
        <w:t>辆、特种专业技术用车</w:t>
      </w:r>
      <w:r>
        <w:rPr>
          <w:rFonts w:ascii="Times New Roman" w:eastAsia="仿宋_GB2312" w:hAnsi="Times New Roman" w:hint="eastAsia"/>
          <w:sz w:val="32"/>
          <w:szCs w:val="32"/>
        </w:rPr>
        <w:t>0</w:t>
      </w:r>
      <w:r>
        <w:rPr>
          <w:rFonts w:ascii="Times New Roman" w:eastAsia="仿宋_GB2312" w:hAnsi="Times New Roman" w:hint="eastAsia"/>
          <w:sz w:val="32"/>
          <w:szCs w:val="32"/>
        </w:rPr>
        <w:t>辆、其他用车</w:t>
      </w:r>
      <w:r>
        <w:rPr>
          <w:rFonts w:ascii="Times New Roman" w:eastAsia="仿宋_GB2312" w:hAnsi="Times New Roman" w:hint="eastAsia"/>
          <w:sz w:val="32"/>
          <w:szCs w:val="32"/>
        </w:rPr>
        <w:t>1</w:t>
      </w:r>
      <w:r>
        <w:rPr>
          <w:rFonts w:ascii="Times New Roman" w:eastAsia="仿宋_GB2312" w:hAnsi="Times New Roman" w:hint="eastAsia"/>
          <w:sz w:val="32"/>
          <w:szCs w:val="32"/>
        </w:rPr>
        <w:t>辆，其他用车主要是离退休干部用车；单位价值</w:t>
      </w:r>
      <w:r>
        <w:rPr>
          <w:rFonts w:ascii="Times New Roman" w:eastAsia="仿宋_GB2312" w:hAnsi="Times New Roman" w:hint="eastAsia"/>
          <w:sz w:val="32"/>
          <w:szCs w:val="32"/>
        </w:rPr>
        <w:t>50</w:t>
      </w:r>
      <w:r>
        <w:rPr>
          <w:rFonts w:ascii="Times New Roman" w:eastAsia="仿宋_GB2312" w:hAnsi="Times New Roman" w:hint="eastAsia"/>
          <w:sz w:val="32"/>
          <w:szCs w:val="32"/>
        </w:rPr>
        <w:t>万元以上通用设备</w:t>
      </w:r>
      <w:r>
        <w:rPr>
          <w:rFonts w:ascii="Times New Roman" w:eastAsia="仿宋_GB2312" w:hAnsi="Times New Roman" w:hint="eastAsia"/>
          <w:sz w:val="32"/>
          <w:szCs w:val="32"/>
        </w:rPr>
        <w:t>0</w:t>
      </w:r>
      <w:r>
        <w:rPr>
          <w:rFonts w:ascii="Times New Roman" w:eastAsia="仿宋_GB2312" w:hAnsi="Times New Roman" w:hint="eastAsia"/>
          <w:sz w:val="32"/>
          <w:szCs w:val="32"/>
        </w:rPr>
        <w:t>台（套）；单位价值</w:t>
      </w:r>
      <w:r>
        <w:rPr>
          <w:rFonts w:ascii="Times New Roman" w:eastAsia="仿宋_GB2312" w:hAnsi="Times New Roman" w:hint="eastAsia"/>
          <w:sz w:val="32"/>
          <w:szCs w:val="32"/>
        </w:rPr>
        <w:t>100</w:t>
      </w:r>
      <w:r>
        <w:rPr>
          <w:rFonts w:ascii="Times New Roman" w:eastAsia="仿宋_GB2312" w:hAnsi="Times New Roman" w:hint="eastAsia"/>
          <w:sz w:val="32"/>
          <w:szCs w:val="32"/>
        </w:rPr>
        <w:t>万元以上专用设备</w:t>
      </w:r>
      <w:r>
        <w:rPr>
          <w:rFonts w:ascii="Times New Roman" w:eastAsia="仿宋_GB2312" w:hAnsi="Times New Roman" w:hint="eastAsia"/>
          <w:sz w:val="32"/>
          <w:szCs w:val="32"/>
        </w:rPr>
        <w:t>0</w:t>
      </w:r>
      <w:r>
        <w:rPr>
          <w:rFonts w:ascii="Times New Roman" w:eastAsia="仿宋_GB2312" w:hAnsi="Times New Roman" w:hint="eastAsia"/>
          <w:sz w:val="32"/>
          <w:szCs w:val="32"/>
        </w:rPr>
        <w:t>台（套）。</w:t>
      </w:r>
    </w:p>
    <w:p w:rsidR="00753AFB" w:rsidRDefault="00CA632F">
      <w:pPr>
        <w:pStyle w:val="Default"/>
        <w:spacing w:line="560" w:lineRule="exact"/>
        <w:ind w:firstLineChars="200" w:firstLine="640"/>
        <w:jc w:val="both"/>
        <w:rPr>
          <w:rFonts w:hAnsi="黑体"/>
          <w:sz w:val="32"/>
          <w:szCs w:val="32"/>
        </w:rPr>
      </w:pPr>
      <w:r>
        <w:rPr>
          <w:rFonts w:hAnsi="黑体" w:hint="eastAsia"/>
          <w:sz w:val="32"/>
          <w:szCs w:val="32"/>
        </w:rPr>
        <w:t>十三、关于</w:t>
      </w:r>
      <w:r>
        <w:rPr>
          <w:rFonts w:hAnsi="黑体" w:hint="eastAsia"/>
          <w:sz w:val="32"/>
          <w:szCs w:val="32"/>
        </w:rPr>
        <w:t>2022</w:t>
      </w:r>
      <w:r>
        <w:rPr>
          <w:rFonts w:hAnsi="黑体" w:hint="eastAsia"/>
          <w:sz w:val="32"/>
          <w:szCs w:val="32"/>
        </w:rPr>
        <w:t>年度预算绩效情况的说明</w:t>
      </w:r>
    </w:p>
    <w:p w:rsidR="00753AFB" w:rsidRDefault="00CA632F">
      <w:pPr>
        <w:pStyle w:val="Default"/>
        <w:spacing w:line="560" w:lineRule="exact"/>
        <w:ind w:firstLineChars="200" w:firstLine="640"/>
        <w:jc w:val="both"/>
        <w:rPr>
          <w:rFonts w:ascii="方正楷体_GBK" w:eastAsia="方正楷体_GBK" w:hAnsi="方正楷体_GBK" w:cs="方正楷体_GBK"/>
          <w:sz w:val="32"/>
          <w:szCs w:val="32"/>
        </w:rPr>
      </w:pPr>
      <w:r>
        <w:rPr>
          <w:rFonts w:ascii="方正楷体_GBK" w:eastAsia="方正楷体_GBK" w:hAnsi="方正楷体_GBK" w:cs="方正楷体_GBK" w:hint="eastAsia"/>
          <w:sz w:val="32"/>
          <w:szCs w:val="32"/>
        </w:rPr>
        <w:lastRenderedPageBreak/>
        <w:t>（一）部门整体支出绩效情况</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2022</w:t>
      </w:r>
      <w:r>
        <w:rPr>
          <w:rFonts w:ascii="Times New Roman" w:eastAsia="仿宋_GB2312" w:hAnsi="Times New Roman" w:hint="eastAsia"/>
          <w:sz w:val="32"/>
          <w:szCs w:val="32"/>
        </w:rPr>
        <w:t>年，湖南省老干部休养所坚持以习近平新时代中国特色社会主义思想为指导，认真学习宣传贯彻党的二十大精神，全面贯彻落实中央、省委和省委老干部局作出的有关老干部工作部署和要求，坚持以党的政治建设为统领，坚持“以人为本、服务为先”，突出抓好“三项建设”，认真落实“两项”待遇，积极引导老同志发挥作用，扎实做好老同志的服务保障，持续加强自身建设，老干部工作水平显著提升，各项工作稳步开展、有序推进。</w:t>
      </w:r>
    </w:p>
    <w:p w:rsidR="00753AFB" w:rsidRDefault="00CA632F" w:rsidP="00753AFB">
      <w:pPr>
        <w:pStyle w:val="Default"/>
        <w:spacing w:line="560" w:lineRule="exact"/>
        <w:ind w:firstLineChars="200" w:firstLine="643"/>
        <w:jc w:val="both"/>
        <w:rPr>
          <w:rFonts w:ascii="Times New Roman" w:eastAsia="仿宋_GB2312" w:hAnsi="Times New Roman"/>
          <w:sz w:val="32"/>
          <w:szCs w:val="32"/>
        </w:rPr>
      </w:pPr>
      <w:r>
        <w:rPr>
          <w:rFonts w:ascii="Times New Roman" w:eastAsia="仿宋_GB2312" w:hAnsi="Times New Roman" w:hint="eastAsia"/>
          <w:b/>
          <w:bCs/>
          <w:sz w:val="32"/>
          <w:szCs w:val="32"/>
        </w:rPr>
        <w:t>一是注重理论学习</w:t>
      </w:r>
      <w:r>
        <w:rPr>
          <w:rFonts w:ascii="Times New Roman" w:eastAsia="仿宋_GB2312" w:hAnsi="Times New Roman" w:hint="eastAsia"/>
          <w:b/>
          <w:bCs/>
          <w:sz w:val="32"/>
          <w:szCs w:val="32"/>
        </w:rPr>
        <w:t>，加强政治引领。</w:t>
      </w:r>
      <w:r>
        <w:rPr>
          <w:rFonts w:ascii="Times New Roman" w:eastAsia="仿宋_GB2312" w:hAnsi="Times New Roman" w:hint="eastAsia"/>
          <w:sz w:val="32"/>
          <w:szCs w:val="32"/>
        </w:rPr>
        <w:t>一年来，湖南省老干部休养所通过联合老干部、学雷锋志愿者、青工委、关工委、妇委会等开展活动</w:t>
      </w:r>
      <w:r>
        <w:rPr>
          <w:rFonts w:ascii="Times New Roman" w:eastAsia="仿宋_GB2312" w:hAnsi="Times New Roman" w:hint="eastAsia"/>
          <w:sz w:val="32"/>
          <w:szCs w:val="32"/>
        </w:rPr>
        <w:t>16</w:t>
      </w:r>
      <w:r>
        <w:rPr>
          <w:rFonts w:ascii="Times New Roman" w:eastAsia="仿宋_GB2312" w:hAnsi="Times New Roman" w:hint="eastAsia"/>
          <w:sz w:val="32"/>
          <w:szCs w:val="32"/>
        </w:rPr>
        <w:t>次，主题党日活动</w:t>
      </w:r>
      <w:r>
        <w:rPr>
          <w:rFonts w:ascii="Times New Roman" w:eastAsia="仿宋_GB2312" w:hAnsi="Times New Roman" w:hint="eastAsia"/>
          <w:sz w:val="32"/>
          <w:szCs w:val="32"/>
        </w:rPr>
        <w:t>12</w:t>
      </w:r>
      <w:r>
        <w:rPr>
          <w:rFonts w:ascii="Times New Roman" w:eastAsia="仿宋_GB2312" w:hAnsi="Times New Roman" w:hint="eastAsia"/>
          <w:sz w:val="32"/>
          <w:szCs w:val="32"/>
        </w:rPr>
        <w:t>次，所党委理论中心组学习、各支部集中学习</w:t>
      </w:r>
      <w:r>
        <w:rPr>
          <w:rFonts w:ascii="Times New Roman" w:eastAsia="仿宋_GB2312" w:hAnsi="Times New Roman" w:hint="eastAsia"/>
          <w:sz w:val="32"/>
          <w:szCs w:val="32"/>
        </w:rPr>
        <w:t>18</w:t>
      </w:r>
      <w:r>
        <w:rPr>
          <w:rFonts w:ascii="Times New Roman" w:eastAsia="仿宋_GB2312" w:hAnsi="Times New Roman" w:hint="eastAsia"/>
          <w:sz w:val="32"/>
          <w:szCs w:val="32"/>
        </w:rPr>
        <w:t>次，完成了所党委和离退休党支部的换届选举。加强阵地建设，改善基础条件，丰富老同志的业余文化生活，夯实组织基础，坚持理论学习和“三会一课”，严格党内政治生活，加强党性教育和锻炼。</w:t>
      </w:r>
    </w:p>
    <w:p w:rsidR="00753AFB" w:rsidRDefault="00CA632F" w:rsidP="00753AFB">
      <w:pPr>
        <w:pStyle w:val="Default"/>
        <w:spacing w:line="560" w:lineRule="exact"/>
        <w:ind w:firstLineChars="200" w:firstLine="643"/>
        <w:jc w:val="both"/>
        <w:rPr>
          <w:rFonts w:ascii="Times New Roman" w:eastAsia="仿宋_GB2312" w:hAnsi="Times New Roman"/>
          <w:sz w:val="32"/>
          <w:szCs w:val="32"/>
        </w:rPr>
      </w:pPr>
      <w:r>
        <w:rPr>
          <w:rFonts w:ascii="Times New Roman" w:eastAsia="仿宋_GB2312" w:hAnsi="Times New Roman" w:hint="eastAsia"/>
          <w:b/>
          <w:bCs/>
          <w:sz w:val="32"/>
          <w:szCs w:val="32"/>
        </w:rPr>
        <w:t>二是抓好服务保障，强化责任担当。</w:t>
      </w:r>
      <w:r>
        <w:rPr>
          <w:rFonts w:ascii="Times New Roman" w:eastAsia="仿宋_GB2312" w:hAnsi="Times New Roman" w:hint="eastAsia"/>
          <w:sz w:val="32"/>
          <w:szCs w:val="32"/>
        </w:rPr>
        <w:t>一年来，湖南省老干部休养所坚持巡诊、慰问制度，为老同志送医送药送学、上门巡诊</w:t>
      </w:r>
      <w:r>
        <w:rPr>
          <w:rFonts w:ascii="Times New Roman" w:eastAsia="仿宋_GB2312" w:hAnsi="Times New Roman" w:hint="eastAsia"/>
          <w:sz w:val="32"/>
          <w:szCs w:val="32"/>
        </w:rPr>
        <w:t>320</w:t>
      </w:r>
      <w:r>
        <w:rPr>
          <w:rFonts w:ascii="Times New Roman" w:eastAsia="仿宋_GB2312" w:hAnsi="Times New Roman" w:hint="eastAsia"/>
          <w:sz w:val="32"/>
          <w:szCs w:val="32"/>
        </w:rPr>
        <w:t>余次，看望慰问老同志</w:t>
      </w:r>
      <w:r>
        <w:rPr>
          <w:rFonts w:ascii="Times New Roman" w:eastAsia="仿宋_GB2312" w:hAnsi="Times New Roman" w:hint="eastAsia"/>
          <w:sz w:val="32"/>
          <w:szCs w:val="32"/>
        </w:rPr>
        <w:t>300</w:t>
      </w:r>
      <w:r>
        <w:rPr>
          <w:rFonts w:ascii="Times New Roman" w:eastAsia="仿宋_GB2312" w:hAnsi="Times New Roman" w:hint="eastAsia"/>
          <w:sz w:val="32"/>
          <w:szCs w:val="32"/>
        </w:rPr>
        <w:t>余人次，为离休干部杜佩</w:t>
      </w:r>
      <w:r>
        <w:rPr>
          <w:rFonts w:ascii="Times New Roman" w:eastAsia="仿宋_GB2312" w:hAnsi="Times New Roman" w:hint="eastAsia"/>
          <w:sz w:val="32"/>
          <w:szCs w:val="32"/>
        </w:rPr>
        <w:t>如同志庆祝百岁寿诞，对困难老同志进行慰问帮扶，落实好老同志的各项待遇，做好他们的服务保障，不断提升老同志的获得感和幸福感。支持乡村振兴，积极开展学雷锋志愿服务活动，全年慰问住院同志</w:t>
      </w:r>
      <w:r>
        <w:rPr>
          <w:rFonts w:ascii="Times New Roman" w:eastAsia="仿宋_GB2312" w:hAnsi="Times New Roman" w:hint="eastAsia"/>
          <w:sz w:val="32"/>
          <w:szCs w:val="32"/>
        </w:rPr>
        <w:t>21</w:t>
      </w:r>
      <w:r>
        <w:rPr>
          <w:rFonts w:ascii="Times New Roman" w:eastAsia="仿宋_GB2312" w:hAnsi="Times New Roman" w:hint="eastAsia"/>
          <w:sz w:val="32"/>
          <w:szCs w:val="32"/>
        </w:rPr>
        <w:t>人次，发放帮扶资金约</w:t>
      </w:r>
      <w:r>
        <w:rPr>
          <w:rFonts w:ascii="Times New Roman" w:eastAsia="仿宋_GB2312" w:hAnsi="Times New Roman" w:hint="eastAsia"/>
          <w:sz w:val="32"/>
          <w:szCs w:val="32"/>
        </w:rPr>
        <w:t>1.5</w:t>
      </w:r>
      <w:r>
        <w:rPr>
          <w:rFonts w:ascii="Times New Roman" w:eastAsia="仿宋_GB2312" w:hAnsi="Times New Roman" w:hint="eastAsia"/>
          <w:sz w:val="32"/>
          <w:szCs w:val="32"/>
        </w:rPr>
        <w:t>万元，充分体</w:t>
      </w:r>
      <w:r>
        <w:rPr>
          <w:rFonts w:ascii="Times New Roman" w:eastAsia="仿宋_GB2312" w:hAnsi="Times New Roman" w:hint="eastAsia"/>
          <w:sz w:val="32"/>
          <w:szCs w:val="32"/>
        </w:rPr>
        <w:lastRenderedPageBreak/>
        <w:t>现“以人民为中心”的发展理念。积极组织力量进行疫情防控，发放防疫物资，组织学雷锋志愿者及离退休老同志志愿服务队</w:t>
      </w:r>
      <w:r>
        <w:rPr>
          <w:rFonts w:ascii="Times New Roman" w:eastAsia="仿宋_GB2312" w:hAnsi="Times New Roman" w:hint="eastAsia"/>
          <w:sz w:val="32"/>
          <w:szCs w:val="32"/>
        </w:rPr>
        <w:t>60</w:t>
      </w:r>
      <w:r>
        <w:rPr>
          <w:rFonts w:ascii="Times New Roman" w:eastAsia="仿宋_GB2312" w:hAnsi="Times New Roman" w:hint="eastAsia"/>
          <w:sz w:val="32"/>
          <w:szCs w:val="32"/>
        </w:rPr>
        <w:t>余人次协助做好门岗的值班值守，取得了良好的防疫效果。</w:t>
      </w:r>
    </w:p>
    <w:p w:rsidR="00753AFB" w:rsidRDefault="00CA632F" w:rsidP="00753AFB">
      <w:pPr>
        <w:pStyle w:val="Default"/>
        <w:spacing w:line="560" w:lineRule="exact"/>
        <w:ind w:firstLineChars="200" w:firstLine="643"/>
        <w:jc w:val="both"/>
        <w:rPr>
          <w:rFonts w:ascii="Times New Roman" w:eastAsia="仿宋_GB2312" w:hAnsi="Times New Roman"/>
          <w:sz w:val="32"/>
          <w:szCs w:val="32"/>
        </w:rPr>
      </w:pPr>
      <w:r>
        <w:rPr>
          <w:rFonts w:ascii="Times New Roman" w:eastAsia="仿宋_GB2312" w:hAnsi="Times New Roman" w:hint="eastAsia"/>
          <w:b/>
          <w:bCs/>
          <w:sz w:val="32"/>
          <w:szCs w:val="32"/>
        </w:rPr>
        <w:t>三是严把财务关口，狠抓风险防控。</w:t>
      </w:r>
      <w:r>
        <w:rPr>
          <w:rFonts w:ascii="Times New Roman" w:eastAsia="仿宋_GB2312" w:hAnsi="Times New Roman" w:hint="eastAsia"/>
          <w:sz w:val="32"/>
          <w:szCs w:val="32"/>
        </w:rPr>
        <w:t>不断强化“过紧日子”观念，厉行节约，开展资产清查及评估工作，摸清家底、盘活资产，严把资金财</w:t>
      </w:r>
      <w:r>
        <w:rPr>
          <w:rFonts w:ascii="Times New Roman" w:eastAsia="仿宋_GB2312" w:hAnsi="Times New Roman" w:hint="eastAsia"/>
          <w:sz w:val="32"/>
          <w:szCs w:val="32"/>
        </w:rPr>
        <w:t>务关口。深刻汲取“</w:t>
      </w:r>
      <w:r>
        <w:rPr>
          <w:rFonts w:ascii="Times New Roman" w:eastAsia="仿宋_GB2312" w:hAnsi="Times New Roman" w:hint="eastAsia"/>
          <w:sz w:val="32"/>
          <w:szCs w:val="32"/>
        </w:rPr>
        <w:t>4.29</w:t>
      </w:r>
      <w:r>
        <w:rPr>
          <w:rFonts w:ascii="Times New Roman" w:eastAsia="仿宋_GB2312" w:hAnsi="Times New Roman" w:hint="eastAsia"/>
          <w:sz w:val="32"/>
          <w:szCs w:val="32"/>
        </w:rPr>
        <w:t>”长沙市自建房倒塌事故教训，严格落实主体责任，全面开展房屋安全隐患及消防隐患排查整治行动，委托第三方机构开展房屋结构安全、消防安全检测，有序清退</w:t>
      </w:r>
      <w:r>
        <w:rPr>
          <w:rFonts w:ascii="Times New Roman" w:eastAsia="仿宋_GB2312" w:hAnsi="Times New Roman" w:hint="eastAsia"/>
          <w:sz w:val="32"/>
          <w:szCs w:val="32"/>
        </w:rPr>
        <w:t>12</w:t>
      </w:r>
      <w:r>
        <w:rPr>
          <w:rFonts w:ascii="Times New Roman" w:eastAsia="仿宋_GB2312" w:hAnsi="Times New Roman" w:hint="eastAsia"/>
          <w:sz w:val="32"/>
          <w:szCs w:val="32"/>
        </w:rPr>
        <w:t>家存在安全隐患的门面，对综合办公楼逃生门及楼栋周围飞线进行有效整改。</w:t>
      </w:r>
    </w:p>
    <w:p w:rsidR="00753AFB" w:rsidRDefault="00CA632F">
      <w:pPr>
        <w:pStyle w:val="Default"/>
        <w:spacing w:line="560" w:lineRule="exact"/>
        <w:ind w:firstLineChars="200" w:firstLine="640"/>
        <w:jc w:val="both"/>
        <w:rPr>
          <w:rFonts w:ascii="方正楷体_GBK" w:eastAsia="方正楷体_GBK" w:hAnsi="方正楷体_GBK" w:cs="方正楷体_GBK"/>
          <w:sz w:val="32"/>
          <w:szCs w:val="32"/>
        </w:rPr>
      </w:pPr>
      <w:r>
        <w:rPr>
          <w:rFonts w:ascii="方正楷体_GBK" w:eastAsia="方正楷体_GBK" w:hAnsi="方正楷体_GBK" w:cs="方正楷体_GBK" w:hint="eastAsia"/>
          <w:sz w:val="32"/>
          <w:szCs w:val="32"/>
        </w:rPr>
        <w:t>（二）存在的问题及原因分析</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1.</w:t>
      </w:r>
      <w:r>
        <w:rPr>
          <w:rFonts w:ascii="Times New Roman" w:eastAsia="仿宋_GB2312" w:hAnsi="Times New Roman" w:hint="eastAsia"/>
          <w:sz w:val="32"/>
          <w:szCs w:val="32"/>
        </w:rPr>
        <w:t>对预算绩效管理在单位内部控制方面必要性和重要性的领悟还不够充分和全面，对预算绩效管理的理解还较片面，单位预算绩效管理工作还存在不足。</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对此，湖南省老干部休养所应通过培训提高全所人员对预算绩效管理的认识，加强科室与科室之间的协调配合，充分认识到预算绩效管理是单位内部控制不可或缺的部分，是实现单位发展规划、最大限度发挥单位职能和完成年度目标任务的有效控制手段。</w:t>
      </w:r>
      <w:r>
        <w:rPr>
          <w:rFonts w:ascii="Times New Roman" w:eastAsia="仿宋_GB2312" w:hAnsi="Times New Roman" w:hint="eastAsia"/>
          <w:sz w:val="32"/>
          <w:szCs w:val="32"/>
        </w:rPr>
        <w:t xml:space="preserve"> </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 xml:space="preserve">2. </w:t>
      </w:r>
      <w:r>
        <w:rPr>
          <w:rFonts w:ascii="Times New Roman" w:eastAsia="仿宋_GB2312" w:hAnsi="Times New Roman" w:hint="eastAsia"/>
          <w:sz w:val="32"/>
          <w:szCs w:val="32"/>
        </w:rPr>
        <w:t>湖南省老干部休养所对于预算执行及绩效管理有关方面的工作机制和管理制度的执行还不够全面充分，还不能完全督促和规范好各项工作行为。</w:t>
      </w:r>
      <w:r>
        <w:rPr>
          <w:rFonts w:ascii="Times New Roman" w:eastAsia="仿宋_GB2312" w:hAnsi="Times New Roman" w:hint="eastAsia"/>
          <w:sz w:val="32"/>
          <w:szCs w:val="32"/>
        </w:rPr>
        <w:t xml:space="preserve"> </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对此，湖南省老干部休养所应把建立健全预算绩效监督管</w:t>
      </w:r>
      <w:r>
        <w:rPr>
          <w:rFonts w:ascii="Times New Roman" w:eastAsia="仿宋_GB2312" w:hAnsi="Times New Roman" w:hint="eastAsia"/>
          <w:sz w:val="32"/>
          <w:szCs w:val="32"/>
        </w:rPr>
        <w:lastRenderedPageBreak/>
        <w:t>理制度作为监督工作的重点，不断完善相关内控制度，定期组织集中学习，认真学习掌握各项文件精神，严格贯</w:t>
      </w:r>
      <w:r>
        <w:rPr>
          <w:rFonts w:ascii="Times New Roman" w:eastAsia="仿宋_GB2312" w:hAnsi="Times New Roman" w:hint="eastAsia"/>
          <w:sz w:val="32"/>
          <w:szCs w:val="32"/>
        </w:rPr>
        <w:t>彻执行相关政策，做好监督和跟踪问效工作，规范单位招标、采购流程，确保每笔资金支出合法合规，保证资金安全。</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 xml:space="preserve">3. </w:t>
      </w:r>
      <w:r>
        <w:rPr>
          <w:rFonts w:ascii="Times New Roman" w:eastAsia="仿宋_GB2312" w:hAnsi="Times New Roman" w:hint="eastAsia"/>
          <w:sz w:val="32"/>
          <w:szCs w:val="32"/>
        </w:rPr>
        <w:t>湖南省老干部休养所对于预算采购方面的编制还不够精准，本年采购执行数与预算数差异较大。</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对此，湖南省老干部休养所在预算编制过程中应加强科室与科室之间的沟通配合，了解和掌握各科室采购需求，完善采购预算编制，确保预算的准确性、完整性。不断健全完善政府采购相关内控制度，规范采购需求和采购流程，做到无预算不采购，减少采购预算执行与预算编制的差异。</w:t>
      </w:r>
    </w:p>
    <w:p w:rsidR="00753AFB" w:rsidRDefault="00753AFB">
      <w:pPr>
        <w:pStyle w:val="Default"/>
        <w:spacing w:line="560" w:lineRule="exact"/>
        <w:jc w:val="both"/>
        <w:rPr>
          <w:rFonts w:ascii="Times New Roman" w:eastAsia="仿宋_GB2312" w:hAnsi="Times New Roman"/>
          <w:sz w:val="32"/>
          <w:szCs w:val="32"/>
        </w:rPr>
        <w:sectPr w:rsidR="00753AFB">
          <w:footerReference w:type="default" r:id="rId24"/>
          <w:pgSz w:w="11906" w:h="16838"/>
          <w:pgMar w:top="1984" w:right="1701" w:bottom="1417" w:left="1701" w:header="851" w:footer="992" w:gutter="0"/>
          <w:pgNumType w:start="1"/>
          <w:cols w:space="425"/>
          <w:docGrid w:type="linesAndChars" w:linePitch="312"/>
        </w:sectPr>
      </w:pPr>
    </w:p>
    <w:p w:rsidR="00753AFB" w:rsidRDefault="00753AFB">
      <w:pPr>
        <w:pStyle w:val="Default"/>
        <w:jc w:val="center"/>
        <w:rPr>
          <w:rFonts w:hint="eastAsia"/>
          <w:sz w:val="72"/>
          <w:szCs w:val="72"/>
        </w:rPr>
      </w:pPr>
    </w:p>
    <w:p w:rsidR="00753AFB" w:rsidRDefault="00753AFB">
      <w:pPr>
        <w:pStyle w:val="Default"/>
        <w:jc w:val="center"/>
        <w:rPr>
          <w:rFonts w:hint="eastAsia"/>
          <w:sz w:val="72"/>
          <w:szCs w:val="72"/>
        </w:rPr>
      </w:pPr>
    </w:p>
    <w:p w:rsidR="00753AFB" w:rsidRDefault="00753AFB">
      <w:pPr>
        <w:pStyle w:val="Default"/>
        <w:jc w:val="both"/>
        <w:rPr>
          <w:rFonts w:hint="eastAsia"/>
          <w:sz w:val="72"/>
          <w:szCs w:val="72"/>
        </w:rPr>
      </w:pPr>
    </w:p>
    <w:p w:rsidR="00753AFB" w:rsidRDefault="00753AFB">
      <w:pPr>
        <w:pStyle w:val="Default"/>
        <w:jc w:val="center"/>
        <w:rPr>
          <w:rFonts w:hint="eastAsia"/>
          <w:b/>
          <w:sz w:val="84"/>
          <w:szCs w:val="84"/>
        </w:rPr>
      </w:pPr>
    </w:p>
    <w:p w:rsidR="00753AFB" w:rsidRDefault="00753AFB">
      <w:pPr>
        <w:pStyle w:val="Default"/>
        <w:jc w:val="center"/>
        <w:rPr>
          <w:rFonts w:hint="eastAsia"/>
          <w:b/>
          <w:sz w:val="84"/>
          <w:szCs w:val="84"/>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第四部分</w:t>
      </w:r>
    </w:p>
    <w:p w:rsidR="00753AFB" w:rsidRDefault="00753AFB">
      <w:pPr>
        <w:pStyle w:val="Default"/>
        <w:jc w:val="center"/>
        <w:rPr>
          <w:rFonts w:ascii="方正小标宋_GBK" w:eastAsia="方正小标宋_GBK" w:hAnsi="方正小标宋_GBK" w:cs="方正小标宋_GBK"/>
          <w:bCs/>
          <w:sz w:val="84"/>
          <w:szCs w:val="84"/>
        </w:rPr>
      </w:pPr>
    </w:p>
    <w:p w:rsidR="00753AFB" w:rsidRDefault="00CA632F">
      <w:pPr>
        <w:pStyle w:val="Default"/>
        <w:jc w:val="center"/>
        <w:rPr>
          <w:rFonts w:ascii="方正小标宋_GBK" w:eastAsia="方正小标宋_GBK" w:hAnsi="方正小标宋_GBK" w:cs="方正小标宋_GBK"/>
          <w:bCs/>
          <w:sz w:val="84"/>
          <w:szCs w:val="84"/>
        </w:rPr>
      </w:pPr>
      <w:r>
        <w:rPr>
          <w:rFonts w:ascii="方正小标宋_GBK" w:eastAsia="方正小标宋_GBK" w:hAnsi="方正小标宋_GBK" w:cs="方正小标宋_GBK" w:hint="eastAsia"/>
          <w:bCs/>
          <w:sz w:val="84"/>
          <w:szCs w:val="84"/>
        </w:rPr>
        <w:t>名词解释</w:t>
      </w:r>
    </w:p>
    <w:p w:rsidR="00753AFB" w:rsidRDefault="00753AFB">
      <w:pPr>
        <w:spacing w:line="600" w:lineRule="exact"/>
        <w:ind w:firstLineChars="200" w:firstLine="1680"/>
        <w:jc w:val="left"/>
        <w:rPr>
          <w:rFonts w:ascii="方正小标宋_GBK" w:eastAsia="方正小标宋_GBK" w:hAnsi="方正小标宋_GBK" w:cs="方正小标宋_GBK"/>
          <w:bCs/>
          <w:color w:val="000000"/>
          <w:kern w:val="0"/>
          <w:sz w:val="84"/>
          <w:szCs w:val="84"/>
        </w:rPr>
        <w:sectPr w:rsidR="00753AFB">
          <w:footerReference w:type="default" r:id="rId25"/>
          <w:pgSz w:w="11906" w:h="16838"/>
          <w:pgMar w:top="1984" w:right="1701" w:bottom="1417" w:left="1701" w:header="851" w:footer="992" w:gutter="0"/>
          <w:cols w:space="425"/>
          <w:docGrid w:type="linesAndChars" w:linePitch="312"/>
        </w:sectPr>
      </w:pPr>
    </w:p>
    <w:p w:rsidR="00753AFB" w:rsidRDefault="00CA632F" w:rsidP="00753AFB">
      <w:pPr>
        <w:spacing w:line="560" w:lineRule="exact"/>
        <w:ind w:firstLineChars="200" w:firstLine="643"/>
        <w:rPr>
          <w:rFonts w:ascii="Times New Roman" w:eastAsia="仿宋_GB2312" w:hAnsi="Times New Roman" w:cs="黑体"/>
          <w:color w:val="000000"/>
          <w:kern w:val="0"/>
          <w:sz w:val="32"/>
          <w:szCs w:val="32"/>
        </w:rPr>
      </w:pPr>
      <w:r>
        <w:rPr>
          <w:rFonts w:ascii="Times New Roman" w:eastAsia="仿宋_GB2312" w:hAnsi="Times New Roman" w:cs="黑体" w:hint="eastAsia"/>
          <w:b/>
          <w:bCs/>
          <w:color w:val="000000"/>
          <w:kern w:val="0"/>
          <w:sz w:val="32"/>
          <w:szCs w:val="32"/>
        </w:rPr>
        <w:lastRenderedPageBreak/>
        <w:t>一、机关运行经费：</w:t>
      </w:r>
      <w:r>
        <w:rPr>
          <w:rFonts w:ascii="Times New Roman" w:eastAsia="仿宋_GB2312" w:hAnsi="Times New Roman" w:cs="黑体" w:hint="eastAsia"/>
          <w:color w:val="000000"/>
          <w:kern w:val="0"/>
          <w:sz w:val="32"/>
          <w:szCs w:val="32"/>
        </w:rPr>
        <w:t>是指各部门的公用经费，包括办公及印刷费、邮电费、差旅费、会议费、福利费、日常维修费、专用资料及一般设备购置费、办公用房水电费、办公用房取暖费、办公用房物业管理费、公务用车运行维护费以及其他费用。</w:t>
      </w:r>
    </w:p>
    <w:p w:rsidR="00753AFB" w:rsidRDefault="00CA632F" w:rsidP="00753AFB">
      <w:pPr>
        <w:spacing w:line="560" w:lineRule="exact"/>
        <w:ind w:firstLineChars="200" w:firstLine="643"/>
        <w:rPr>
          <w:rFonts w:ascii="Times New Roman" w:eastAsia="仿宋_GB2312" w:hAnsi="Times New Roman" w:cs="黑体"/>
          <w:color w:val="000000"/>
          <w:kern w:val="0"/>
          <w:sz w:val="32"/>
          <w:szCs w:val="32"/>
        </w:rPr>
      </w:pPr>
      <w:r>
        <w:rPr>
          <w:rFonts w:ascii="Times New Roman" w:eastAsia="仿宋_GB2312" w:hAnsi="Times New Roman" w:cs="黑体" w:hint="eastAsia"/>
          <w:b/>
          <w:bCs/>
          <w:color w:val="000000"/>
          <w:kern w:val="0"/>
          <w:sz w:val="32"/>
          <w:szCs w:val="32"/>
        </w:rPr>
        <w:t>二、“三公”经费：</w:t>
      </w:r>
      <w:r>
        <w:rPr>
          <w:rFonts w:ascii="Times New Roman" w:eastAsia="仿宋_GB2312" w:hAnsi="Times New Roman" w:cs="黑体" w:hint="eastAsia"/>
          <w:color w:val="000000"/>
          <w:kern w:val="0"/>
          <w:sz w:val="32"/>
          <w:szCs w:val="32"/>
        </w:rPr>
        <w:t>纳入省（市</w:t>
      </w:r>
      <w:r>
        <w:rPr>
          <w:rFonts w:ascii="Times New Roman" w:eastAsia="仿宋_GB2312" w:hAnsi="Times New Roman" w:cs="黑体" w:hint="eastAsia"/>
          <w:color w:val="000000"/>
          <w:kern w:val="0"/>
          <w:sz w:val="32"/>
          <w:szCs w:val="32"/>
        </w:rPr>
        <w:t>/</w:t>
      </w:r>
      <w:r>
        <w:rPr>
          <w:rFonts w:ascii="Times New Roman" w:eastAsia="仿宋_GB2312" w:hAnsi="Times New Roman" w:cs="黑体" w:hint="eastAsia"/>
          <w:color w:val="000000"/>
          <w:kern w:val="0"/>
          <w:sz w:val="32"/>
          <w:szCs w:val="32"/>
        </w:rPr>
        <w:t>县）财政预算管理的“三公“经费，是指用一般公共预算拨款安排的公务接待费、公务用车购置及运行维护费和因公出国（境）费。其中，公务接待费反映单位按规定开支的各类公务接待支出；公务用车购置及运行费反映单位公务用车车辆购置支出（含车辆购置税），以及燃料费、维修费、保险费等支出；因公出国（境）费反映单位公务出国（境）的国际旅费、国外城市间交通费、住宿费、伙食费、培训费、公杂费等等支出。</w:t>
      </w:r>
    </w:p>
    <w:p w:rsidR="00753AFB" w:rsidRDefault="00CA632F">
      <w:pPr>
        <w:pStyle w:val="Default"/>
        <w:spacing w:line="560" w:lineRule="exact"/>
        <w:ind w:firstLineChars="200" w:firstLine="640"/>
        <w:jc w:val="both"/>
        <w:rPr>
          <w:rFonts w:ascii="Times New Roman" w:eastAsia="仿宋_GB2312" w:hAnsi="Times New Roman"/>
          <w:sz w:val="32"/>
          <w:szCs w:val="32"/>
        </w:rPr>
      </w:pPr>
      <w:r>
        <w:rPr>
          <w:rFonts w:ascii="Times New Roman" w:eastAsia="仿宋_GB2312" w:hAnsi="Times New Roman" w:hint="eastAsia"/>
          <w:sz w:val="32"/>
          <w:szCs w:val="32"/>
        </w:rPr>
        <w:t>（名词解释应包含本部门专有名词，如省财政厅应有对“财政事务”科目的解释，可参考中央相关部门的名词解释）</w:t>
      </w:r>
    </w:p>
    <w:p w:rsidR="00753AFB" w:rsidRDefault="00753AFB">
      <w:pPr>
        <w:pStyle w:val="Default"/>
        <w:jc w:val="center"/>
        <w:rPr>
          <w:rFonts w:ascii="Times New Roman" w:eastAsia="仿宋_GB2312" w:hAnsi="Times New Roman"/>
          <w:sz w:val="32"/>
          <w:szCs w:val="32"/>
        </w:rPr>
      </w:pPr>
    </w:p>
    <w:p w:rsidR="00753AFB" w:rsidRDefault="00753AFB">
      <w:pPr>
        <w:pStyle w:val="Default"/>
        <w:jc w:val="center"/>
        <w:rPr>
          <w:rFonts w:hint="eastAsia"/>
          <w:sz w:val="72"/>
          <w:szCs w:val="72"/>
        </w:rPr>
      </w:pPr>
    </w:p>
    <w:p w:rsidR="00753AFB" w:rsidRDefault="00753AFB">
      <w:pPr>
        <w:pStyle w:val="Default"/>
        <w:jc w:val="center"/>
        <w:rPr>
          <w:rFonts w:hint="eastAsia"/>
          <w:sz w:val="72"/>
          <w:szCs w:val="72"/>
        </w:rPr>
      </w:pPr>
    </w:p>
    <w:p w:rsidR="00753AFB" w:rsidRDefault="00753AFB">
      <w:pPr>
        <w:pStyle w:val="Default"/>
        <w:jc w:val="center"/>
        <w:rPr>
          <w:rFonts w:hint="eastAsia"/>
          <w:sz w:val="72"/>
          <w:szCs w:val="72"/>
        </w:rPr>
      </w:pPr>
    </w:p>
    <w:p w:rsidR="00753AFB" w:rsidRDefault="00753AFB">
      <w:pPr>
        <w:pStyle w:val="Default"/>
        <w:jc w:val="center"/>
        <w:rPr>
          <w:rFonts w:hint="eastAsia"/>
          <w:sz w:val="72"/>
          <w:szCs w:val="72"/>
        </w:rPr>
      </w:pPr>
    </w:p>
    <w:sectPr w:rsidR="00753AFB" w:rsidSect="00753AFB">
      <w:footerReference w:type="default" r:id="rId26"/>
      <w:pgSz w:w="11906" w:h="16838"/>
      <w:pgMar w:top="1984" w:right="1701" w:bottom="1417" w:left="1701" w:header="851" w:footer="992" w:gutter="0"/>
      <w:pgNumType w:start="1"/>
      <w:cols w:space="425"/>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3AFB" w:rsidRDefault="00753AFB" w:rsidP="00753AFB">
      <w:r>
        <w:separator/>
      </w:r>
    </w:p>
  </w:endnote>
  <w:endnote w:type="continuationSeparator" w:id="0">
    <w:p w:rsidR="00753AFB" w:rsidRDefault="00753AFB" w:rsidP="00753AF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_GBK">
    <w:altName w:val="微软雅黑"/>
    <w:charset w:val="86"/>
    <w:family w:val="auto"/>
    <w:pitch w:val="default"/>
    <w:sig w:usb0="00000000" w:usb1="00000000" w:usb2="00000000" w:usb3="00000000" w:csb0="00040000" w:csb1="00000000"/>
  </w:font>
  <w:font w:name="仿宋_GB2312">
    <w:altName w:val="仿宋"/>
    <w:charset w:val="86"/>
    <w:family w:val="modern"/>
    <w:pitch w:val="default"/>
    <w:sig w:usb0="00000000" w:usb1="00000000" w:usb2="00000010" w:usb3="00000000" w:csb0="00040000" w:csb1="00000000"/>
  </w:font>
  <w:font w:name="方正楷体_GBK">
    <w:altName w:val="微软雅黑"/>
    <w:charset w:val="86"/>
    <w:family w:val="auto"/>
    <w:pitch w:val="default"/>
    <w:sig w:usb0="00000000" w:usb1="00000000" w:usb2="00000000" w:usb3="00000000" w:csb0="00040000" w:csb1="00000000"/>
  </w:font>
  <w:font w:name="Cambria">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r>
      <w:rPr>
        <w:rFonts w:hint="eastAsia"/>
      </w:rPr>
      <w:pict>
        <v:shapetype id="_x0000_t202" coordsize="21600,21600" o:spt="202" path="m,l,21600r21600,l21600,xe">
          <v:stroke joinstyle="miter"/>
          <v:path gradientshapeok="t" o:connecttype="rect"/>
        </v:shapetype>
        <v:shape id="_x0000_s2053" type="#_x0000_t202" style="position:absolute;margin-left:104pt;margin-top:0;width:2in;height:2in;z-index:251665408;mso-wrap-style:none;mso-position-horizontal:right;mso-position-horizontal-relative:margin;mso-width-relative:page;mso-height-relative:page"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7HhYsAgAAVwQAAA4AAABkcnMvZTJvRG9jLnhtbK1UzY7TMBC+I/EO&#10;lu80aRFL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0zseFiwCAABXBAAADgAAAAAAAAABACAAAAAfAQAAZHJzL2Uyb0RvYy54bWxQSwUGAAAAAAYA&#10;BgBZAQAAvQUAAAAA&#10;" filled="f" stroked="f" strokeweight=".5pt">
          <v:textbox style="mso-fit-shape-to-text:t" inset="0,0,0,0">
            <w:txbxContent>
              <w:p w:rsidR="00753AFB" w:rsidRDefault="00753AFB">
                <w:pPr>
                  <w:pStyle w:val="a4"/>
                  <w:rPr>
                    <w:rFonts w:hint="eastAsia"/>
                  </w:rPr>
                </w:pPr>
                <w:r>
                  <w:fldChar w:fldCharType="begin"/>
                </w:r>
                <w:r w:rsidR="00CA632F">
                  <w:instrText xml:space="preserve"> PAGE  \* MERGEFORMAT </w:instrText>
                </w:r>
                <w:r>
                  <w:fldChar w:fldCharType="separate"/>
                </w:r>
                <w:r w:rsidR="00B4116B">
                  <w:rPr>
                    <w:rFonts w:hint="eastAsia"/>
                    <w:noProof/>
                  </w:rPr>
                  <w:t>2</w:t>
                </w:r>
                <w:r>
                  <w:fldChar w:fldCharType="end"/>
                </w:r>
              </w:p>
            </w:txbxContent>
          </v:textbox>
          <w10:wrap anchorx="margin"/>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r>
      <w:rPr>
        <w:rFonts w:hint="eastAsia"/>
      </w:rPr>
      <w:pict>
        <v:shapetype id="_x0000_t202" coordsize="21600,21600" o:spt="202" path="m,l,21600r21600,l21600,xe">
          <v:stroke joinstyle="miter"/>
          <v:path gradientshapeok="t" o:connecttype="rect"/>
        </v:shapetype>
        <v:shape id="_x0000_s2052" type="#_x0000_t202" style="position:absolute;margin-left:104pt;margin-top:0;width:2in;height:2in;z-index:251666432;mso-wrap-style:none;mso-position-horizontal:right;mso-position-horizontal-relative:margin;mso-width-relative:page;mso-height-relative:page"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H3jSMs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4feNIywCAABXBAAADgAAAAAAAAABACAAAAAfAQAAZHJzL2Uyb0RvYy54bWxQSwUGAAAAAAYA&#10;BgBZAQAAvQUAAAAA&#10;" filled="f" stroked="f" strokeweight=".5pt">
          <v:textbox style="mso-fit-shape-to-text:t" inset="0,0,0,0">
            <w:txbxContent>
              <w:p w:rsidR="00753AFB" w:rsidRDefault="00753AFB">
                <w:pPr>
                  <w:pStyle w:val="a4"/>
                  <w:rPr>
                    <w:rFonts w:hint="eastAsia"/>
                  </w:rPr>
                </w:pPr>
                <w:r>
                  <w:fldChar w:fldCharType="begin"/>
                </w:r>
                <w:r w:rsidR="00CA632F">
                  <w:instrText xml:space="preserve"> PAGE  \* MERGEFORMAT </w:instrText>
                </w:r>
                <w:r>
                  <w:fldChar w:fldCharType="separate"/>
                </w:r>
                <w:r w:rsidR="00B4116B">
                  <w:rPr>
                    <w:rFonts w:hint="eastAsia"/>
                    <w:noProof/>
                  </w:rPr>
                  <w:t>6</w:t>
                </w:r>
                <w:r>
                  <w:fldChar w:fldCharType="end"/>
                </w:r>
              </w:p>
            </w:txbxContent>
          </v:textbox>
          <w10:wrap anchorx="margin"/>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r>
      <w:rPr>
        <w:rFonts w:hint="eastAsia"/>
      </w:rPr>
      <w:pict>
        <v:shapetype id="_x0000_t202" coordsize="21600,21600" o:spt="202" path="m,l,21600r21600,l21600,xe">
          <v:stroke joinstyle="miter"/>
          <v:path gradientshapeok="t" o:connecttype="rect"/>
        </v:shapetype>
        <v:shape id="_x0000_s2051" type="#_x0000_t202" style="position:absolute;margin-left:104pt;margin-top:0;width:2in;height:2in;z-index:251667456;mso-wrap-style:none;mso-position-horizontal:right;mso-position-horizontal-relative:margin;mso-width-relative:page;mso-height-relative:page"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JScb8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QRDOFil++f7v8&#10;+HX5+ZXgDAI11s8Rt7OIDO1b06JthnOPw8i7LZ2KXzAi8APrfJVXtIHweGk2nc3GcHH4hg3ws8fr&#10;1vnwThhFopFTh/olWdlp60MXOoTEbNpsailTDaUmTU5v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yUnG/KwIAAFcEAAAOAAAAAAAAAAEAIAAAAB8BAABkcnMvZTJvRG9jLnhtbFBLBQYAAAAABgAG&#10;AFkBAAC8BQAAAAA=&#10;" filled="f" stroked="f" strokeweight=".5pt">
          <v:textbox style="mso-fit-shape-to-text:t" inset="0,0,0,0">
            <w:txbxContent>
              <w:p w:rsidR="00753AFB" w:rsidRDefault="00753AFB">
                <w:pPr>
                  <w:pStyle w:val="a4"/>
                  <w:rPr>
                    <w:rFonts w:hint="eastAsia"/>
                  </w:rPr>
                </w:pPr>
                <w:r>
                  <w:fldChar w:fldCharType="begin"/>
                </w:r>
                <w:r w:rsidR="00CA632F">
                  <w:instrText xml:space="preserve"> PAGE  \* MERGEFORMAT </w:instrText>
                </w:r>
                <w:r>
                  <w:fldChar w:fldCharType="separate"/>
                </w:r>
                <w:r w:rsidR="00B4116B">
                  <w:rPr>
                    <w:rFonts w:hint="eastAsia"/>
                    <w:noProof/>
                  </w:rPr>
                  <w:t>9</w:t>
                </w:r>
                <w:r>
                  <w:fldChar w:fldCharType="end"/>
                </w:r>
              </w:p>
            </w:txbxContent>
          </v:textbox>
          <w10:wrap anchorx="margin"/>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r>
      <w:rPr>
        <w:rFonts w:hint="eastAsia"/>
      </w:rPr>
      <w:pict>
        <v:shapetype id="_x0000_t202" coordsize="21600,21600" o:spt="202" path="m,l,21600r21600,l21600,xe">
          <v:stroke joinstyle="miter"/>
          <v:path gradientshapeok="t" o:connecttype="rect"/>
        </v:shapetype>
        <v:shape id="_x0000_s2050" type="#_x0000_t202" style="position:absolute;margin-left:104pt;margin-top:0;width:2in;height:2in;z-index:251668480;mso-wrap-style:none;mso-position-horizontal:right;mso-position-horizontal-relative:margin;mso-width-relative:page;mso-height-relative:page"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svHiUtAgAAV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HsvHiUtAgAAVwQAAA4AAAAAAAAAAQAgAAAAHwEAAGRycy9lMm9Eb2MueG1sUEsFBgAAAAAG&#10;AAYAWQEAAL4FAAAAAA==&#10;" filled="f" stroked="f" strokeweight=".5pt">
          <v:textbox style="mso-fit-shape-to-text:t" inset="0,0,0,0">
            <w:txbxContent>
              <w:p w:rsidR="00753AFB" w:rsidRDefault="00753AFB">
                <w:pPr>
                  <w:pStyle w:val="a4"/>
                  <w:rPr>
                    <w:rFonts w:hint="eastAsia"/>
                  </w:rPr>
                </w:pPr>
                <w:r>
                  <w:fldChar w:fldCharType="begin"/>
                </w:r>
                <w:r w:rsidR="00CA632F">
                  <w:instrText xml:space="preserve"> PAGE  \* MERGEFORMAT </w:instrText>
                </w:r>
                <w:r>
                  <w:fldChar w:fldCharType="separate"/>
                </w:r>
                <w:r w:rsidR="00CA632F">
                  <w:rPr>
                    <w:rFonts w:hint="eastAsia"/>
                    <w:noProof/>
                  </w:rPr>
                  <w:t>5</w:t>
                </w:r>
                <w:r>
                  <w:fldChar w:fldCharType="end"/>
                </w:r>
              </w:p>
            </w:txbxContent>
          </v:textbox>
          <w10:wrap anchorx="margin"/>
        </v:shape>
      </w:pict>
    </w:r>
  </w:p>
  <w:p w:rsidR="00753AFB" w:rsidRDefault="00753AFB">
    <w:pPr>
      <w:pStyle w:val="a4"/>
      <w:rPr>
        <w:rFonts w:hint="eastAsia"/>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AFB" w:rsidRDefault="00753AFB">
    <w:pPr>
      <w:pStyle w:val="a4"/>
      <w:rPr>
        <w:rFonts w:hint="eastAsia"/>
      </w:rPr>
    </w:pPr>
    <w:r>
      <w:rPr>
        <w:rFonts w:hint="eastAsia"/>
      </w:rPr>
      <w:pict>
        <v:shapetype id="_x0000_t202" coordsize="21600,21600" o:spt="202" path="m,l,21600r21600,l21600,xe">
          <v:stroke joinstyle="miter"/>
          <v:path gradientshapeok="t" o:connecttype="rect"/>
        </v:shapetype>
        <v:shape id="_x0000_s2049" type="#_x0000_t202" style="position:absolute;margin-left:104pt;margin-top:0;width:2in;height:2in;z-index:251669504;mso-wrap-style:none;mso-position-horizontal:right;mso-position-horizontal-relative:margin;mso-width-relative:page;mso-height-relative:page"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u0uKUtAgAAVwQAAA4AAABkcnMvZTJvRG9jLnhtbK1UzY7TMBC+I/EO&#10;lu80aRFL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Cu0uKUtAgAAVwQAAA4AAAAAAAAAAQAgAAAAHwEAAGRycy9lMm9Eb2MueG1sUEsFBgAAAAAG&#10;AAYAWQEAAL4FAAAAAA==&#10;" filled="f" stroked="f" strokeweight=".5pt">
          <v:textbox style="mso-fit-shape-to-text:t" inset="0,0,0,0">
            <w:txbxContent>
              <w:p w:rsidR="00753AFB" w:rsidRDefault="00753AFB">
                <w:pPr>
                  <w:pStyle w:val="a4"/>
                  <w:rPr>
                    <w:rFonts w:hint="eastAsia"/>
                  </w:rPr>
                </w:pPr>
                <w:r>
                  <w:fldChar w:fldCharType="begin"/>
                </w:r>
                <w:r w:rsidR="00CA632F">
                  <w:instrText xml:space="preserve"> PAGE  \* MERGEFORMAT </w:instrText>
                </w:r>
                <w:r>
                  <w:fldChar w:fldCharType="separate"/>
                </w:r>
                <w:r w:rsidR="00B4116B">
                  <w:rPr>
                    <w:rFonts w:hint="eastAsia"/>
                    <w:noProof/>
                  </w:rPr>
                  <w:t>1</w:t>
                </w:r>
                <w: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3AFB" w:rsidRDefault="00753AFB" w:rsidP="00753AFB">
      <w:r>
        <w:separator/>
      </w:r>
    </w:p>
  </w:footnote>
  <w:footnote w:type="continuationSeparator" w:id="0">
    <w:p w:rsidR="00753AFB" w:rsidRDefault="00753AFB" w:rsidP="00753AFB">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oNotTrackMoves/>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9"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docVars>
    <w:docVar w:name="commondata" w:val="eyJoZGlkIjoiYTQ0MDI4ZTczNTViNGY5YjQ1YzgyMmUxNTVlM2ZmYTgifQ=="/>
  </w:docVars>
  <w:rsids>
    <w:rsidRoot w:val="00751A74"/>
    <w:rsid w:val="8F1FEFC2"/>
    <w:rsid w:val="97BEDB9C"/>
    <w:rsid w:val="9F5D22D2"/>
    <w:rsid w:val="AE9F6660"/>
    <w:rsid w:val="AFDF2865"/>
    <w:rsid w:val="AFFE0135"/>
    <w:rsid w:val="BEEC7B3D"/>
    <w:rsid w:val="BFBD5EFD"/>
    <w:rsid w:val="BFBF84A7"/>
    <w:rsid w:val="BFFBC04E"/>
    <w:rsid w:val="C9BF1594"/>
    <w:rsid w:val="CEFF84F8"/>
    <w:rsid w:val="D7A7CE96"/>
    <w:rsid w:val="D7D73AB8"/>
    <w:rsid w:val="D9F74616"/>
    <w:rsid w:val="DDFF2532"/>
    <w:rsid w:val="DEFF4F75"/>
    <w:rsid w:val="E77B6A39"/>
    <w:rsid w:val="EFF647D5"/>
    <w:rsid w:val="F326BDE7"/>
    <w:rsid w:val="F3FF3131"/>
    <w:rsid w:val="F5B7324D"/>
    <w:rsid w:val="F63F6AC4"/>
    <w:rsid w:val="F6EFCB58"/>
    <w:rsid w:val="F779B81B"/>
    <w:rsid w:val="F7C942DE"/>
    <w:rsid w:val="F7EFC020"/>
    <w:rsid w:val="FB7353B5"/>
    <w:rsid w:val="FBAFEAA9"/>
    <w:rsid w:val="FBFEE579"/>
    <w:rsid w:val="FDCB03E2"/>
    <w:rsid w:val="FDF79EE9"/>
    <w:rsid w:val="FDF7A929"/>
    <w:rsid w:val="FE7E7A3D"/>
    <w:rsid w:val="FE8A4104"/>
    <w:rsid w:val="FEAF9E30"/>
    <w:rsid w:val="FEBF97A3"/>
    <w:rsid w:val="FF9F79DE"/>
    <w:rsid w:val="FFB62959"/>
    <w:rsid w:val="FFBF0247"/>
    <w:rsid w:val="FFDB8B17"/>
    <w:rsid w:val="FFF91186"/>
    <w:rsid w:val="FFFEE31D"/>
    <w:rsid w:val="000903DE"/>
    <w:rsid w:val="00095A42"/>
    <w:rsid w:val="000E5A67"/>
    <w:rsid w:val="0015300E"/>
    <w:rsid w:val="00197882"/>
    <w:rsid w:val="00236D0E"/>
    <w:rsid w:val="002536F6"/>
    <w:rsid w:val="00317AEE"/>
    <w:rsid w:val="003963B8"/>
    <w:rsid w:val="003D7313"/>
    <w:rsid w:val="003E2BC9"/>
    <w:rsid w:val="004A0CA0"/>
    <w:rsid w:val="0052043B"/>
    <w:rsid w:val="00550341"/>
    <w:rsid w:val="00592770"/>
    <w:rsid w:val="005E699C"/>
    <w:rsid w:val="006A596B"/>
    <w:rsid w:val="0070208E"/>
    <w:rsid w:val="00751A74"/>
    <w:rsid w:val="00753AFB"/>
    <w:rsid w:val="007622D3"/>
    <w:rsid w:val="0079295F"/>
    <w:rsid w:val="007F541E"/>
    <w:rsid w:val="00825998"/>
    <w:rsid w:val="00841C47"/>
    <w:rsid w:val="008B13A8"/>
    <w:rsid w:val="008C0759"/>
    <w:rsid w:val="00931DC8"/>
    <w:rsid w:val="009C15F3"/>
    <w:rsid w:val="009D5183"/>
    <w:rsid w:val="00A043E7"/>
    <w:rsid w:val="00A22846"/>
    <w:rsid w:val="00A31604"/>
    <w:rsid w:val="00A828B3"/>
    <w:rsid w:val="00AC45FD"/>
    <w:rsid w:val="00AF024D"/>
    <w:rsid w:val="00B4116B"/>
    <w:rsid w:val="00B452EC"/>
    <w:rsid w:val="00B52D26"/>
    <w:rsid w:val="00BF36D7"/>
    <w:rsid w:val="00C33559"/>
    <w:rsid w:val="00C64845"/>
    <w:rsid w:val="00C75838"/>
    <w:rsid w:val="00CA632F"/>
    <w:rsid w:val="00CC1DEE"/>
    <w:rsid w:val="00D13D17"/>
    <w:rsid w:val="00D32AC3"/>
    <w:rsid w:val="00D519DA"/>
    <w:rsid w:val="00D727CB"/>
    <w:rsid w:val="00DE33E4"/>
    <w:rsid w:val="00EB556D"/>
    <w:rsid w:val="00EC4778"/>
    <w:rsid w:val="00EC5263"/>
    <w:rsid w:val="00ED3D96"/>
    <w:rsid w:val="00EF50D8"/>
    <w:rsid w:val="00F24F0F"/>
    <w:rsid w:val="00F727E7"/>
    <w:rsid w:val="00F90047"/>
    <w:rsid w:val="00F9666F"/>
    <w:rsid w:val="159730F7"/>
    <w:rsid w:val="2C5F196B"/>
    <w:rsid w:val="2CD5B3C0"/>
    <w:rsid w:val="2D7D2ABD"/>
    <w:rsid w:val="2EF748EB"/>
    <w:rsid w:val="2FBB4D1E"/>
    <w:rsid w:val="2FEF6F01"/>
    <w:rsid w:val="33EA572B"/>
    <w:rsid w:val="3B7D3ACB"/>
    <w:rsid w:val="3DFFC9EA"/>
    <w:rsid w:val="3F17DB12"/>
    <w:rsid w:val="3F5F7829"/>
    <w:rsid w:val="3FF5334F"/>
    <w:rsid w:val="46ED8D58"/>
    <w:rsid w:val="4BE96145"/>
    <w:rsid w:val="4EFFC3F5"/>
    <w:rsid w:val="5837FD37"/>
    <w:rsid w:val="5BF14072"/>
    <w:rsid w:val="5CBA7530"/>
    <w:rsid w:val="5FB82BA0"/>
    <w:rsid w:val="5FDD4303"/>
    <w:rsid w:val="5FFF71C5"/>
    <w:rsid w:val="61ECBF09"/>
    <w:rsid w:val="65DE9FE4"/>
    <w:rsid w:val="6BFF7946"/>
    <w:rsid w:val="6DBF1DA1"/>
    <w:rsid w:val="6DCE4A36"/>
    <w:rsid w:val="6EF5DE13"/>
    <w:rsid w:val="6FD4DE76"/>
    <w:rsid w:val="713E07BD"/>
    <w:rsid w:val="73DB258C"/>
    <w:rsid w:val="7558DF7C"/>
    <w:rsid w:val="762E4141"/>
    <w:rsid w:val="777F7F82"/>
    <w:rsid w:val="77951C0E"/>
    <w:rsid w:val="77B61586"/>
    <w:rsid w:val="7959B987"/>
    <w:rsid w:val="7A666C06"/>
    <w:rsid w:val="7ABBB5F9"/>
    <w:rsid w:val="7BF5E1C4"/>
    <w:rsid w:val="7EFEF95F"/>
    <w:rsid w:val="7FAD737E"/>
    <w:rsid w:val="7FB3A581"/>
    <w:rsid w:val="7FB76A33"/>
    <w:rsid w:val="7FBEFFDF"/>
    <w:rsid w:val="7FD69080"/>
    <w:rsid w:val="7FD91CD6"/>
    <w:rsid w:val="7FEDEC06"/>
    <w:rsid w:val="7FEF5911"/>
    <w:rsid w:val="7FFBE610"/>
    <w:rsid w:val="7FFC89CD"/>
    <w:rsid w:val="7FFE5DAC"/>
  </w:rsids>
  <m:mathPr>
    <m:mathFont m:val="Cambria Math"/>
    <m:brkBin m:val="before"/>
    <m:brkBinSub m:val="--"/>
    <m:smallFrac m:val="off"/>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9"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53AFB"/>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753AFB"/>
    <w:rPr>
      <w:sz w:val="18"/>
      <w:szCs w:val="18"/>
    </w:rPr>
  </w:style>
  <w:style w:type="paragraph" w:styleId="a4">
    <w:name w:val="footer"/>
    <w:basedOn w:val="a"/>
    <w:link w:val="Char0"/>
    <w:uiPriority w:val="99"/>
    <w:unhideWhenUsed/>
    <w:qFormat/>
    <w:rsid w:val="00753AFB"/>
    <w:pPr>
      <w:tabs>
        <w:tab w:val="center" w:pos="4153"/>
        <w:tab w:val="right" w:pos="8306"/>
      </w:tabs>
      <w:snapToGrid w:val="0"/>
      <w:jc w:val="left"/>
    </w:pPr>
    <w:rPr>
      <w:sz w:val="18"/>
      <w:szCs w:val="18"/>
    </w:rPr>
  </w:style>
  <w:style w:type="paragraph" w:styleId="a5">
    <w:name w:val="header"/>
    <w:basedOn w:val="a"/>
    <w:link w:val="Char1"/>
    <w:uiPriority w:val="99"/>
    <w:unhideWhenUsed/>
    <w:qFormat/>
    <w:rsid w:val="00753AFB"/>
    <w:pPr>
      <w:pBdr>
        <w:bottom w:val="single" w:sz="6" w:space="1" w:color="auto"/>
      </w:pBdr>
      <w:tabs>
        <w:tab w:val="center" w:pos="4153"/>
        <w:tab w:val="right" w:pos="8306"/>
      </w:tabs>
      <w:snapToGrid w:val="0"/>
      <w:jc w:val="center"/>
    </w:pPr>
    <w:rPr>
      <w:sz w:val="18"/>
      <w:szCs w:val="18"/>
    </w:rPr>
  </w:style>
  <w:style w:type="table" w:styleId="a6">
    <w:name w:val="Table Grid"/>
    <w:qFormat/>
    <w:rsid w:val="00753AF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character" w:customStyle="1" w:styleId="Char1">
    <w:name w:val="页眉 Char"/>
    <w:basedOn w:val="a0"/>
    <w:link w:val="a5"/>
    <w:uiPriority w:val="99"/>
    <w:qFormat/>
    <w:rsid w:val="00753AFB"/>
    <w:rPr>
      <w:sz w:val="18"/>
      <w:szCs w:val="18"/>
    </w:rPr>
  </w:style>
  <w:style w:type="character" w:customStyle="1" w:styleId="Char0">
    <w:name w:val="页脚 Char"/>
    <w:basedOn w:val="a0"/>
    <w:link w:val="a4"/>
    <w:uiPriority w:val="99"/>
    <w:qFormat/>
    <w:rsid w:val="00753AFB"/>
    <w:rPr>
      <w:sz w:val="18"/>
      <w:szCs w:val="18"/>
    </w:rPr>
  </w:style>
  <w:style w:type="paragraph" w:customStyle="1" w:styleId="Default">
    <w:name w:val="Default"/>
    <w:qFormat/>
    <w:rsid w:val="00753AFB"/>
    <w:pPr>
      <w:widowControl w:val="0"/>
      <w:autoSpaceDE w:val="0"/>
      <w:autoSpaceDN w:val="0"/>
      <w:adjustRightInd w:val="0"/>
    </w:pPr>
    <w:rPr>
      <w:rFonts w:ascii="黑体" w:eastAsia="黑体" w:hAnsiTheme="minorHAnsi" w:cs="黑体"/>
      <w:color w:val="000000"/>
      <w:sz w:val="24"/>
      <w:szCs w:val="24"/>
    </w:rPr>
  </w:style>
  <w:style w:type="paragraph" w:styleId="a7">
    <w:name w:val="List Paragraph"/>
    <w:basedOn w:val="a"/>
    <w:uiPriority w:val="34"/>
    <w:qFormat/>
    <w:rsid w:val="00753AFB"/>
    <w:pPr>
      <w:ind w:firstLineChars="200" w:firstLine="420"/>
    </w:pPr>
  </w:style>
  <w:style w:type="character" w:customStyle="1" w:styleId="Char">
    <w:name w:val="批注框文本 Char"/>
    <w:basedOn w:val="a0"/>
    <w:link w:val="a3"/>
    <w:uiPriority w:val="99"/>
    <w:semiHidden/>
    <w:qFormat/>
    <w:rsid w:val="00753AFB"/>
    <w:rPr>
      <w:sz w:val="18"/>
      <w:szCs w:val="18"/>
    </w:rPr>
  </w:style>
  <w:style w:type="character" w:customStyle="1" w:styleId="font01">
    <w:name w:val="font01"/>
    <w:basedOn w:val="a0"/>
    <w:qFormat/>
    <w:rsid w:val="00753AFB"/>
    <w:rPr>
      <w:rFonts w:ascii="宋体" w:eastAsia="宋体" w:hAnsi="宋体" w:cs="宋体" w:hint="eastAsia"/>
      <w:color w:val="000000"/>
      <w:sz w:val="22"/>
      <w:szCs w:val="22"/>
      <w:u w:val="none"/>
    </w:rPr>
  </w:style>
  <w:style w:type="character" w:customStyle="1" w:styleId="font21">
    <w:name w:val="font21"/>
    <w:basedOn w:val="a0"/>
    <w:qFormat/>
    <w:rsid w:val="00753AFB"/>
    <w:rPr>
      <w:rFonts w:ascii="宋体" w:eastAsia="宋体" w:hAnsi="宋体" w:cs="宋体" w:hint="eastAsia"/>
      <w:color w:val="000000"/>
      <w:sz w:val="24"/>
      <w:szCs w:val="24"/>
      <w:u w:val="none"/>
    </w:rPr>
  </w:style>
  <w:style w:type="character" w:customStyle="1" w:styleId="font11">
    <w:name w:val="font11"/>
    <w:basedOn w:val="a0"/>
    <w:qFormat/>
    <w:rsid w:val="00753AFB"/>
    <w:rPr>
      <w:rFonts w:ascii="宋体" w:eastAsia="宋体" w:hAnsi="宋体" w:cs="宋体" w:hint="eastAsia"/>
      <w:color w:val="000000"/>
      <w:sz w:val="24"/>
      <w:szCs w:val="24"/>
      <w:u w:val="non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footer" Target="footer11.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footer" Target="footer1.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footer" Target="footer10.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5.xml"/><Relationship Id="rId24" Type="http://schemas.openxmlformats.org/officeDocument/2006/relationships/footer" Target="footer9.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footer" Target="footer8.xml"/><Relationship Id="rId28" Type="http://schemas.openxmlformats.org/officeDocument/2006/relationships/theme" Target="theme/theme1.xml"/><Relationship Id="rId10" Type="http://schemas.openxmlformats.org/officeDocument/2006/relationships/footer" Target="footer4.xm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footer" Target="footer3.xml"/><Relationship Id="rId14" Type="http://schemas.openxmlformats.org/officeDocument/2006/relationships/footer" Target="footer6.xml"/><Relationship Id="rId22" Type="http://schemas.openxmlformats.org/officeDocument/2006/relationships/footer" Target="footer7.xml"/><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29</Pages>
  <Words>1026</Words>
  <Characters>5851</Characters>
  <Application>Microsoft Office Word</Application>
  <DocSecurity>0</DocSecurity>
  <Lines>48</Lines>
  <Paragraphs>13</Paragraphs>
  <ScaleCrop>false</ScaleCrop>
  <Company>Microsoft</Company>
  <LinksUpToDate>false</LinksUpToDate>
  <CharactersWithSpaces>6864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李航 null</dc:creator>
  <cp:lastModifiedBy>dreamsummit</cp:lastModifiedBy>
  <cp:revision>21</cp:revision>
  <cp:lastPrinted>2023-08-30T23:35:00Z</cp:lastPrinted>
  <dcterms:created xsi:type="dcterms:W3CDTF">2023-08-26T09:44:00Z</dcterms:created>
  <dcterms:modified xsi:type="dcterms:W3CDTF">2024-12-10T07:34:00Z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898DEADE46AC4772A8D74D970EF2F153_13</vt:lpwstr>
  </property>
</Properties>
</file>