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2022年度</w:t>
      </w:r>
    </w:p>
    <w:p>
      <w:pPr>
        <w:pStyle w:val="10"/>
        <w:jc w:val="center"/>
        <w:rPr>
          <w:sz w:val="84"/>
          <w:szCs w:val="84"/>
        </w:rPr>
      </w:pPr>
      <w:r>
        <w:rPr>
          <w:rFonts w:hint="eastAsia"/>
          <w:sz w:val="84"/>
          <w:szCs w:val="84"/>
        </w:rPr>
        <w:t>湖南省老干部活动中心</w:t>
      </w:r>
    </w:p>
    <w:p>
      <w:pPr>
        <w:pStyle w:val="10"/>
        <w:jc w:val="center"/>
        <w:rPr>
          <w:sz w:val="84"/>
          <w:szCs w:val="84"/>
        </w:rPr>
      </w:pPr>
      <w:r>
        <w:rPr>
          <w:rFonts w:hint="eastAsia"/>
          <w:sz w:val="84"/>
          <w:szCs w:val="84"/>
        </w:rPr>
        <w:t>单位决算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both"/>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第一部分湖南省老干部活动中心单位概况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22年度部门决算表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w:t>
      </w:r>
      <w:r>
        <w:rPr>
          <w:rFonts w:hint="eastAsia" w:cs="仿宋_GB2312" w:asciiTheme="minorEastAsia" w:hAnsiTheme="minorEastAsia" w:eastAsiaTheme="minorEastAsia"/>
          <w:sz w:val="28"/>
          <w:szCs w:val="28"/>
        </w:rPr>
        <w:t>国有资本经营预算财政拨款支出决算表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w:t>
      </w:r>
      <w:r>
        <w:rPr>
          <w:rFonts w:cs="仿宋_GB2312" w:asciiTheme="minorEastAsia" w:hAnsiTheme="minorEastAsia" w:eastAsiaTheme="minorEastAsia"/>
          <w:sz w:val="28"/>
          <w:szCs w:val="28"/>
        </w:rPr>
        <w:t>财政拨款“三公”经费支出决算表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22年度部门决算情况说明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lang w:eastAsia="zh-CN"/>
        </w:rPr>
        <w:t>关于</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2022年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72"/>
          <w:szCs w:val="72"/>
        </w:rPr>
      </w:pPr>
      <w:r>
        <w:rPr>
          <w:rFonts w:hint="eastAsia"/>
          <w:sz w:val="72"/>
          <w:szCs w:val="72"/>
        </w:rPr>
        <w:t>第一部分</w:t>
      </w:r>
      <w:r>
        <w:rPr>
          <w:sz w:val="72"/>
          <w:szCs w:val="72"/>
        </w:rPr>
        <w:t xml:space="preserve"> </w:t>
      </w:r>
    </w:p>
    <w:p>
      <w:pPr>
        <w:pStyle w:val="10"/>
        <w:jc w:val="center"/>
        <w:rPr>
          <w:sz w:val="72"/>
          <w:szCs w:val="72"/>
        </w:rPr>
      </w:pPr>
    </w:p>
    <w:p>
      <w:pPr>
        <w:pStyle w:val="10"/>
        <w:jc w:val="center"/>
        <w:rPr>
          <w:sz w:val="72"/>
          <w:szCs w:val="72"/>
        </w:rPr>
      </w:pPr>
      <w:r>
        <w:rPr>
          <w:rFonts w:hint="eastAsia"/>
          <w:sz w:val="72"/>
          <w:szCs w:val="72"/>
        </w:rPr>
        <w:t>湖南省老干部活动中心</w:t>
      </w:r>
    </w:p>
    <w:p>
      <w:pPr>
        <w:pStyle w:val="10"/>
        <w:jc w:val="center"/>
        <w:rPr>
          <w:sz w:val="72"/>
          <w:szCs w:val="72"/>
        </w:rPr>
      </w:pPr>
      <w:r>
        <w:rPr>
          <w:rFonts w:hint="eastAsia"/>
          <w:sz w:val="72"/>
          <w:szCs w:val="72"/>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湖南省老干部活动中心为参照公务员管理，财政全额拨款的公益一类事业单位，是湖南省委老干部局下属二级单位。主要承担着省直机关、中央在长单位和驻长部队离退休干部政治建设、思想建设和组织建设以及开展精神文化健身等活动提供服务保障的工作职能。</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（一）内设机构设置。湖南省老干部活动中心内设机构包括：办公室、人事科、党建指导科、活动一科、活动二科、宣传信息科、后勤保障科、保卫科和退休办。</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（二）决算单位构成。湖南省老干部活动中心单位2022年部门决算汇总公开单位构成包括：湖南省老干部活动中心单位本级。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rFonts w:hint="eastAsia" w:ascii="黑体" w:hAnsi="黑体" w:eastAsia="黑体" w:cs="黑体"/>
          <w:sz w:val="72"/>
          <w:szCs w:val="72"/>
        </w:rPr>
      </w:pPr>
      <w:r>
        <w:rPr>
          <w:rFonts w:hint="eastAsia" w:ascii="黑体" w:hAnsi="黑体" w:eastAsia="黑体" w:cs="黑体"/>
          <w:sz w:val="72"/>
          <w:szCs w:val="72"/>
        </w:rPr>
        <w:t>第二部分</w:t>
      </w:r>
    </w:p>
    <w:p>
      <w:pPr>
        <w:jc w:val="center"/>
        <w:rPr>
          <w:rFonts w:hint="eastAsia" w:ascii="黑体" w:hAnsi="黑体" w:eastAsia="黑体" w:cs="黑体"/>
          <w:sz w:val="72"/>
          <w:szCs w:val="72"/>
        </w:rPr>
      </w:pPr>
    </w:p>
    <w:p>
      <w:pPr>
        <w:jc w:val="center"/>
        <w:rPr>
          <w:rFonts w:hint="eastAsia" w:ascii="黑体" w:hAnsi="黑体" w:eastAsia="黑体" w:cs="黑体"/>
          <w:sz w:val="72"/>
          <w:szCs w:val="72"/>
        </w:rPr>
      </w:pPr>
      <w:r>
        <w:rPr>
          <w:rFonts w:hint="eastAsia" w:ascii="黑体" w:hAnsi="黑体" w:eastAsia="黑体" w:cs="黑体"/>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2"/>
        <w:rPr>
          <w:sz w:val="72"/>
          <w:szCs w:val="72"/>
        </w:rPr>
      </w:pPr>
    </w:p>
    <w:p/>
    <w:p>
      <w:pPr>
        <w:rPr>
          <w:sz w:val="30"/>
          <w:szCs w:val="30"/>
        </w:rPr>
      </w:pPr>
    </w:p>
    <w:tbl>
      <w:tblPr>
        <w:tblStyle w:val="5"/>
        <w:tblW w:w="5000" w:type="pct"/>
        <w:tblInd w:w="0" w:type="dxa"/>
        <w:tblLayout w:type="autofit"/>
        <w:tblCellMar>
          <w:top w:w="0" w:type="dxa"/>
          <w:left w:w="0" w:type="dxa"/>
          <w:bottom w:w="0" w:type="dxa"/>
          <w:right w:w="0" w:type="dxa"/>
        </w:tblCellMar>
      </w:tblPr>
      <w:tblGrid>
        <w:gridCol w:w="3330"/>
        <w:gridCol w:w="430"/>
        <w:gridCol w:w="1706"/>
        <w:gridCol w:w="3030"/>
        <w:gridCol w:w="430"/>
        <w:gridCol w:w="1570"/>
      </w:tblGrid>
      <w:tr>
        <w:tblPrEx>
          <w:tblCellMar>
            <w:top w:w="0" w:type="dxa"/>
            <w:left w:w="0" w:type="dxa"/>
            <w:bottom w:w="0" w:type="dxa"/>
            <w:right w:w="0" w:type="dxa"/>
          </w:tblCellMar>
        </w:tblPrEx>
        <w:trPr>
          <w:trHeight w:val="375" w:hRule="atLeast"/>
        </w:trPr>
        <w:tc>
          <w:tcPr>
            <w:tcW w:w="5000" w:type="pct"/>
            <w:gridSpan w:val="6"/>
            <w:tcBorders>
              <w:top w:val="nil"/>
              <w:left w:val="nil"/>
              <w:bottom w:val="nil"/>
              <w:right w:val="nil"/>
            </w:tcBorders>
            <w:shd w:val="clear" w:color="auto" w:fill="FFFFFF"/>
            <w:noWrap/>
            <w:tcMar>
              <w:top w:w="15" w:type="dxa"/>
              <w:left w:w="15" w:type="dxa"/>
              <w:right w:w="15" w:type="dxa"/>
            </w:tcMar>
            <w:vAlign w:val="center"/>
          </w:tcPr>
          <w:p>
            <w:pPr>
              <w:jc w:val="center"/>
              <w:rPr>
                <w:rFonts w:ascii="宋体" w:hAnsi="宋体" w:eastAsia="宋体" w:cs="宋体"/>
                <w:color w:val="000000"/>
                <w:sz w:val="18"/>
                <w:szCs w:val="18"/>
              </w:rPr>
            </w:pPr>
            <w:r>
              <w:rPr>
                <w:rFonts w:hint="eastAsia" w:ascii="黑体" w:hAnsi="Arial" w:eastAsia="黑体" w:cs="黑体"/>
                <w:color w:val="000000"/>
                <w:kern w:val="0"/>
                <w:sz w:val="30"/>
                <w:szCs w:val="30"/>
              </w:rPr>
              <w:t>收入支出决算总表</w:t>
            </w:r>
          </w:p>
        </w:tc>
      </w:tr>
      <w:tr>
        <w:tblPrEx>
          <w:tblCellMar>
            <w:top w:w="0" w:type="dxa"/>
            <w:left w:w="0" w:type="dxa"/>
            <w:bottom w:w="0" w:type="dxa"/>
            <w:right w:w="0" w:type="dxa"/>
          </w:tblCellMar>
        </w:tblPrEx>
        <w:trPr>
          <w:trHeight w:val="399" w:hRule="atLeast"/>
        </w:trPr>
        <w:tc>
          <w:tcPr>
            <w:tcW w:w="1538"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22"/>
              </w:rPr>
            </w:pPr>
          </w:p>
        </w:tc>
        <w:tc>
          <w:tcPr>
            <w:tcW w:w="204"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856"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443"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04"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751"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r>
      <w:tr>
        <w:tblPrEx>
          <w:tblCellMar>
            <w:top w:w="0" w:type="dxa"/>
            <w:left w:w="0" w:type="dxa"/>
            <w:bottom w:w="0" w:type="dxa"/>
            <w:right w:w="0" w:type="dxa"/>
          </w:tblCellMar>
        </w:tblPrEx>
        <w:trPr>
          <w:trHeight w:val="300" w:hRule="atLeast"/>
        </w:trPr>
        <w:tc>
          <w:tcPr>
            <w:tcW w:w="1538"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04"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856"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443"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04"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751" w:type="pct"/>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公开01表</w:t>
            </w:r>
          </w:p>
        </w:tc>
      </w:tr>
      <w:tr>
        <w:tblPrEx>
          <w:tblCellMar>
            <w:top w:w="0" w:type="dxa"/>
            <w:left w:w="0" w:type="dxa"/>
            <w:bottom w:w="0" w:type="dxa"/>
            <w:right w:w="0" w:type="dxa"/>
          </w:tblCellMar>
        </w:tblPrEx>
        <w:trPr>
          <w:trHeight w:val="300" w:hRule="atLeast"/>
        </w:trPr>
        <w:tc>
          <w:tcPr>
            <w:tcW w:w="1538" w:type="pct"/>
            <w:tcBorders>
              <w:top w:val="nil"/>
              <w:left w:val="nil"/>
              <w:bottom w:val="single" w:color="808080" w:sz="4" w:space="0"/>
              <w:right w:val="nil"/>
            </w:tcBorders>
            <w:shd w:val="clear" w:color="auto" w:fill="FFFFFF"/>
            <w:noWrap/>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eastAsia="zh-CN"/>
              </w:rPr>
              <w:t>编制单位</w:t>
            </w:r>
            <w:r>
              <w:rPr>
                <w:rFonts w:hint="eastAsia" w:ascii="宋体" w:hAnsi="宋体" w:eastAsia="宋体" w:cs="宋体"/>
                <w:color w:val="000000"/>
                <w:kern w:val="0"/>
                <w:sz w:val="22"/>
              </w:rPr>
              <w:t>：湖南省老干部活动中心</w:t>
            </w:r>
          </w:p>
        </w:tc>
        <w:tc>
          <w:tcPr>
            <w:tcW w:w="204" w:type="pct"/>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856" w:type="pct"/>
            <w:tcBorders>
              <w:top w:val="nil"/>
              <w:left w:val="nil"/>
              <w:bottom w:val="single" w:color="808080" w:sz="4" w:space="0"/>
              <w:right w:val="nil"/>
            </w:tcBorders>
            <w:shd w:val="clear" w:color="auto" w:fill="FFFFFF"/>
            <w:noWrap/>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2022年度</w:t>
            </w:r>
          </w:p>
        </w:tc>
        <w:tc>
          <w:tcPr>
            <w:tcW w:w="1443" w:type="pct"/>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04" w:type="pct"/>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751" w:type="pct"/>
            <w:tcBorders>
              <w:top w:val="nil"/>
              <w:left w:val="nil"/>
              <w:bottom w:val="single" w:color="808080" w:sz="4" w:space="0"/>
              <w:right w:val="nil"/>
            </w:tcBorders>
            <w:shd w:val="clear" w:color="auto" w:fill="FFFFFF"/>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金额单位：万元</w:t>
            </w:r>
          </w:p>
        </w:tc>
      </w:tr>
      <w:tr>
        <w:tblPrEx>
          <w:tblCellMar>
            <w:top w:w="0" w:type="dxa"/>
            <w:left w:w="0" w:type="dxa"/>
            <w:bottom w:w="0" w:type="dxa"/>
            <w:right w:w="0" w:type="dxa"/>
          </w:tblCellMar>
        </w:tblPrEx>
        <w:trPr>
          <w:trHeight w:val="300" w:hRule="atLeast"/>
        </w:trPr>
        <w:tc>
          <w:tcPr>
            <w:tcW w:w="2600" w:type="pct"/>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收入</w:t>
            </w:r>
          </w:p>
        </w:tc>
        <w:tc>
          <w:tcPr>
            <w:tcW w:w="2399" w:type="pct"/>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支出</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行次</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金额</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行次</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金额</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栏次</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栏次</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一、一般公共预算财政拨款收入</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3829.56</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一、一般公共服务支出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32</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2894.08</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二、政府性基金预算财政拨款收入</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二、外交支出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33</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三、国有资本经营预算财政拨款收入</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三、国防支出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34</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四、上级补助收入</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四、公共安全支出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35</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五、事业收入</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五、教育支出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36</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六、经营收入</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六、科学技术支出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37</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七、附属单位上缴收入</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七、文化旅游体育与传媒支出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38</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八、其他收入</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33.05</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八、社会保障和就业支出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39</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532.98</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九、卫生健康支出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40</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105.00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十、节能环保支出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41</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十一、城乡社区支出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42</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十二、农林水支出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43</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13</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十三、交通运输支出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44</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十四、资源勘探工业信息等支出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45</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15</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十五、商业服务业等支出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46</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十六、金融支出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47</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十七、援助其他地区支出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48</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十八、自然资源海洋气象等支出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49</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19</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十九、住房保障支出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50</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二十、粮油物资储备支出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51</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二十一、国有资本经营预算支出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52</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二十二、灾害防治及应急管理支出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53</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23</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二十三、其他支出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54</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b/>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24</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二十四、债务还本支出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55</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25</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二十五、债务付息支出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56</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26</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二十六、抗疫特别国债安排的支出</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57</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本年收入合计</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27</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3862.61</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本年支出合计</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58</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3632.06</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使用非财政拨款结余</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28</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结余分配</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59</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年初结转和结余</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29</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年末结转和结余</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60</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250.55</w:t>
            </w: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61</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153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总计</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w:t>
            </w:r>
          </w:p>
        </w:tc>
        <w:tc>
          <w:tcPr>
            <w:tcW w:w="8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3882.61</w:t>
            </w:r>
          </w:p>
        </w:tc>
        <w:tc>
          <w:tcPr>
            <w:tcW w:w="144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总计</w:t>
            </w:r>
          </w:p>
        </w:tc>
        <w:tc>
          <w:tcPr>
            <w:tcW w:w="2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62</w:t>
            </w:r>
          </w:p>
        </w:tc>
        <w:tc>
          <w:tcPr>
            <w:tcW w:w="7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3882.61</w:t>
            </w:r>
          </w:p>
        </w:tc>
      </w:tr>
      <w:tr>
        <w:tblPrEx>
          <w:tblCellMar>
            <w:top w:w="0" w:type="dxa"/>
            <w:left w:w="0" w:type="dxa"/>
            <w:bottom w:w="0" w:type="dxa"/>
            <w:right w:w="0" w:type="dxa"/>
          </w:tblCellMar>
        </w:tblPrEx>
        <w:trPr>
          <w:trHeight w:val="300" w:hRule="atLeast"/>
        </w:trPr>
        <w:tc>
          <w:tcPr>
            <w:tcW w:w="5000" w:type="pct"/>
            <w:gridSpan w:val="6"/>
            <w:tcBorders>
              <w:top w:val="nil"/>
              <w:left w:val="nil"/>
              <w:bottom w:val="nil"/>
              <w:right w:val="nil"/>
            </w:tcBorders>
            <w:shd w:val="clear" w:color="auto" w:fill="FFFFFF"/>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注：1.本表反映部门本年度的总收支和年末结转结余情况。</w:t>
            </w:r>
          </w:p>
        </w:tc>
      </w:tr>
      <w:tr>
        <w:tblPrEx>
          <w:tblCellMar>
            <w:top w:w="0" w:type="dxa"/>
            <w:left w:w="0" w:type="dxa"/>
            <w:bottom w:w="0" w:type="dxa"/>
            <w:right w:w="0" w:type="dxa"/>
          </w:tblCellMar>
        </w:tblPrEx>
        <w:trPr>
          <w:trHeight w:val="300" w:hRule="atLeast"/>
        </w:trPr>
        <w:tc>
          <w:tcPr>
            <w:tcW w:w="5000" w:type="pct"/>
            <w:gridSpan w:val="6"/>
            <w:tcBorders>
              <w:top w:val="nil"/>
              <w:left w:val="nil"/>
              <w:bottom w:val="nil"/>
              <w:right w:val="nil"/>
            </w:tcBorders>
            <w:shd w:val="clear" w:color="auto" w:fill="FFFFFF"/>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2.本套报表金额单位转换时可能存在尾数误差。</w:t>
            </w:r>
          </w:p>
        </w:tc>
      </w:tr>
    </w:tbl>
    <w:p>
      <w:pPr>
        <w:jc w:val="left"/>
        <w:rPr>
          <w:rFonts w:ascii="黑体" w:hAnsi="Arial" w:eastAsia="黑体" w:cs="黑体"/>
          <w:color w:val="000000"/>
          <w:kern w:val="0"/>
          <w:sz w:val="30"/>
          <w:szCs w:val="30"/>
        </w:rPr>
        <w:sectPr>
          <w:pgSz w:w="11906" w:h="16838"/>
          <w:pgMar w:top="720" w:right="720" w:bottom="720" w:left="720" w:header="851" w:footer="992" w:gutter="0"/>
          <w:cols w:space="425" w:num="1"/>
          <w:docGrid w:type="lines" w:linePitch="312" w:charSpace="0"/>
        </w:sectPr>
      </w:pPr>
    </w:p>
    <w:tbl>
      <w:tblPr>
        <w:tblStyle w:val="5"/>
        <w:tblW w:w="0" w:type="auto"/>
        <w:tblInd w:w="91" w:type="dxa"/>
        <w:tblLayout w:type="autofit"/>
        <w:tblCellMar>
          <w:top w:w="0" w:type="dxa"/>
          <w:left w:w="108" w:type="dxa"/>
          <w:bottom w:w="0" w:type="dxa"/>
          <w:right w:w="108" w:type="dxa"/>
        </w:tblCellMar>
      </w:tblPr>
      <w:tblGrid>
        <w:gridCol w:w="365"/>
        <w:gridCol w:w="366"/>
        <w:gridCol w:w="365"/>
        <w:gridCol w:w="3736"/>
        <w:gridCol w:w="1536"/>
        <w:gridCol w:w="2224"/>
        <w:gridCol w:w="1536"/>
        <w:gridCol w:w="1096"/>
        <w:gridCol w:w="1096"/>
        <w:gridCol w:w="1976"/>
        <w:gridCol w:w="1206"/>
      </w:tblGrid>
      <w:tr>
        <w:tblPrEx>
          <w:tblCellMar>
            <w:top w:w="0" w:type="dxa"/>
            <w:left w:w="108" w:type="dxa"/>
            <w:bottom w:w="0" w:type="dxa"/>
            <w:right w:w="108" w:type="dxa"/>
          </w:tblCellMar>
        </w:tblPrEx>
        <w:trPr>
          <w:trHeight w:val="510" w:hRule="atLeast"/>
        </w:trPr>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收入决算表</w:t>
            </w: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公开02表</w:t>
            </w:r>
          </w:p>
        </w:tc>
      </w:tr>
      <w:tr>
        <w:tblPrEx>
          <w:tblCellMar>
            <w:top w:w="0" w:type="dxa"/>
            <w:left w:w="108" w:type="dxa"/>
            <w:bottom w:w="0" w:type="dxa"/>
            <w:right w:w="108" w:type="dxa"/>
          </w:tblCellMar>
        </w:tblPrEx>
        <w:trPr>
          <w:trHeight w:val="270" w:hRule="atLeast"/>
        </w:trPr>
        <w:tc>
          <w:tcPr>
            <w:tcW w:w="0" w:type="auto"/>
            <w:gridSpan w:val="4"/>
            <w:tcBorders>
              <w:top w:val="nil"/>
              <w:left w:val="nil"/>
              <w:bottom w:val="nil"/>
              <w:right w:val="nil"/>
            </w:tcBorders>
            <w:shd w:val="clear" w:color="auto" w:fill="auto"/>
            <w:noWrap/>
            <w:vAlign w:val="bottom"/>
          </w:tcPr>
          <w:p>
            <w:pPr>
              <w:widowControl/>
              <w:jc w:val="left"/>
              <w:rPr>
                <w:rFonts w:ascii="宋体" w:hAnsi="宋体" w:eastAsia="宋体" w:cs="宋体"/>
                <w:kern w:val="0"/>
                <w:sz w:val="20"/>
                <w:szCs w:val="20"/>
              </w:rPr>
            </w:pPr>
            <w:r>
              <w:rPr>
                <w:rFonts w:hint="eastAsia" w:ascii="宋体" w:hAnsi="宋体" w:eastAsia="宋体" w:cs="宋体"/>
                <w:kern w:val="0"/>
                <w:sz w:val="20"/>
                <w:szCs w:val="20"/>
                <w:lang w:eastAsia="zh-CN"/>
              </w:rPr>
              <w:t>编制单位</w:t>
            </w:r>
            <w:r>
              <w:rPr>
                <w:rFonts w:hint="eastAsia" w:ascii="宋体" w:hAnsi="宋体" w:eastAsia="宋体" w:cs="宋体"/>
                <w:kern w:val="0"/>
                <w:sz w:val="20"/>
                <w:szCs w:val="20"/>
              </w:rPr>
              <w:t>：湖南省老干部活动中心</w:t>
            </w: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bottom"/>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万元</w:t>
            </w:r>
          </w:p>
        </w:tc>
      </w:tr>
      <w:tr>
        <w:tblPrEx>
          <w:tblCellMar>
            <w:top w:w="0" w:type="dxa"/>
            <w:left w:w="108" w:type="dxa"/>
            <w:bottom w:w="0" w:type="dxa"/>
            <w:right w:w="108" w:type="dxa"/>
          </w:tblCellMar>
        </w:tblPrEx>
        <w:trPr>
          <w:trHeight w:val="300" w:hRule="atLeast"/>
        </w:trPr>
        <w:tc>
          <w:tcPr>
            <w:tcW w:w="0" w:type="auto"/>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项目</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本年收入合计</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财政拨款收入</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上级补助收入</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事业收入</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经营收入</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附属单位上缴收入</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其他收入</w:t>
            </w:r>
          </w:p>
        </w:tc>
      </w:tr>
      <w:tr>
        <w:tblPrEx>
          <w:tblCellMar>
            <w:top w:w="0" w:type="dxa"/>
            <w:left w:w="108" w:type="dxa"/>
            <w:bottom w:w="0" w:type="dxa"/>
            <w:right w:w="108" w:type="dxa"/>
          </w:tblCellMar>
        </w:tblPrEx>
        <w:trPr>
          <w:trHeight w:val="312" w:hRule="atLeast"/>
        </w:trPr>
        <w:tc>
          <w:tcPr>
            <w:tcW w:w="0" w:type="auto"/>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科目代码</w:t>
            </w:r>
          </w:p>
        </w:tc>
        <w:tc>
          <w:tcPr>
            <w:tcW w:w="0" w:type="auto"/>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科目名称</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312"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312"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300" w:hRule="atLeast"/>
        </w:trPr>
        <w:tc>
          <w:tcPr>
            <w:tcW w:w="0" w:type="auto"/>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栏次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6</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7</w:t>
            </w:r>
          </w:p>
        </w:tc>
      </w:tr>
      <w:tr>
        <w:tblPrEx>
          <w:tblCellMar>
            <w:top w:w="0" w:type="dxa"/>
            <w:left w:w="108" w:type="dxa"/>
            <w:bottom w:w="0" w:type="dxa"/>
            <w:right w:w="108" w:type="dxa"/>
          </w:tblCellMar>
        </w:tblPrEx>
        <w:trPr>
          <w:trHeight w:val="300" w:hRule="atLeast"/>
        </w:trPr>
        <w:tc>
          <w:tcPr>
            <w:tcW w:w="0" w:type="auto"/>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3,862.61</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3,829.56</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33.05</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一般公共服务支出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3,123.35</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3,090.30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33.05</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20104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发展与改革事务</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592.62</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592.62</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2010499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其他发展与改革事务支出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592.62</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592.62</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20136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其他共产党事务支出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2,530.73</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2,497.68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33.05</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2013601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行政运行</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1,728.98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1,695.93</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33.05</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2013602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一般行政管理事务</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801.75</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801.75</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社会保障和就业支出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534.26</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534.26</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行政事业单位养老支出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489.70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489.70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2080501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行政单位离退休</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294.70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294.70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2080502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事业单位离退休</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115.00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115.00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2080505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机关事业单位基本养老保险缴费支出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抚恤</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2080801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死亡抚恤</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其他社会保障和就业支出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2089999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其他社会保障和就业支出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卫生健康支出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21011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行政事业单位医疗</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2101102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事业单位医疗</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60.00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60.00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2101103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公务员医疗补助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221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住房保障支出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22102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住房改革支出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2210201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住房公积金</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11"/>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注：本表反映部门本年度取得的各项收入情况。</w:t>
            </w:r>
          </w:p>
        </w:tc>
      </w:tr>
    </w:tbl>
    <w:p>
      <w:pPr>
        <w:jc w:val="left"/>
        <w:rPr>
          <w:rFonts w:ascii="黑体" w:hAnsi="Arial" w:eastAsia="黑体" w:cs="黑体"/>
          <w:color w:val="000000"/>
          <w:kern w:val="0"/>
          <w:sz w:val="30"/>
          <w:szCs w:val="30"/>
        </w:rPr>
        <w:sectPr>
          <w:pgSz w:w="16838" w:h="11906" w:orient="landscape"/>
          <w:pgMar w:top="720" w:right="720" w:bottom="720" w:left="720" w:header="851" w:footer="992" w:gutter="0"/>
          <w:cols w:space="425" w:num="1"/>
          <w:docGrid w:type="lines" w:linePitch="312" w:charSpace="0"/>
        </w:sectPr>
      </w:pPr>
    </w:p>
    <w:tbl>
      <w:tblPr>
        <w:tblStyle w:val="5"/>
        <w:tblW w:w="0" w:type="auto"/>
        <w:tblInd w:w="91" w:type="dxa"/>
        <w:tblLayout w:type="autofit"/>
        <w:tblCellMar>
          <w:top w:w="0" w:type="dxa"/>
          <w:left w:w="108" w:type="dxa"/>
          <w:bottom w:w="0" w:type="dxa"/>
          <w:right w:w="108" w:type="dxa"/>
        </w:tblCellMar>
      </w:tblPr>
      <w:tblGrid>
        <w:gridCol w:w="365"/>
        <w:gridCol w:w="366"/>
        <w:gridCol w:w="365"/>
        <w:gridCol w:w="3736"/>
        <w:gridCol w:w="3027"/>
        <w:gridCol w:w="1103"/>
        <w:gridCol w:w="1103"/>
        <w:gridCol w:w="1536"/>
        <w:gridCol w:w="1096"/>
        <w:gridCol w:w="2196"/>
      </w:tblGrid>
      <w:tr>
        <w:tblPrEx>
          <w:tblCellMar>
            <w:top w:w="0" w:type="dxa"/>
            <w:left w:w="108" w:type="dxa"/>
            <w:bottom w:w="0" w:type="dxa"/>
            <w:right w:w="108" w:type="dxa"/>
          </w:tblCellMar>
        </w:tblPrEx>
        <w:trPr>
          <w:trHeight w:val="510" w:hRule="atLeast"/>
        </w:trPr>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支出决算表算表</w:t>
            </w: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公开03表</w:t>
            </w:r>
          </w:p>
        </w:tc>
      </w:tr>
      <w:tr>
        <w:tblPrEx>
          <w:tblCellMar>
            <w:top w:w="0" w:type="dxa"/>
            <w:left w:w="108" w:type="dxa"/>
            <w:bottom w:w="0" w:type="dxa"/>
            <w:right w:w="108" w:type="dxa"/>
          </w:tblCellMar>
        </w:tblPrEx>
        <w:trPr>
          <w:trHeight w:val="270" w:hRule="atLeast"/>
        </w:trPr>
        <w:tc>
          <w:tcPr>
            <w:tcW w:w="0" w:type="auto"/>
            <w:gridSpan w:val="4"/>
            <w:tcBorders>
              <w:top w:val="nil"/>
              <w:left w:val="nil"/>
              <w:bottom w:val="nil"/>
              <w:right w:val="nil"/>
            </w:tcBorders>
            <w:shd w:val="clear" w:color="auto" w:fill="auto"/>
            <w:noWrap/>
            <w:vAlign w:val="bottom"/>
          </w:tcPr>
          <w:p>
            <w:pPr>
              <w:widowControl/>
              <w:jc w:val="left"/>
              <w:rPr>
                <w:rFonts w:ascii="宋体" w:hAnsi="宋体" w:eastAsia="宋体" w:cs="宋体"/>
                <w:kern w:val="0"/>
                <w:sz w:val="20"/>
                <w:szCs w:val="20"/>
              </w:rPr>
            </w:pPr>
            <w:r>
              <w:rPr>
                <w:rFonts w:hint="eastAsia" w:ascii="宋体" w:hAnsi="宋体" w:eastAsia="宋体" w:cs="宋体"/>
                <w:kern w:val="0"/>
                <w:sz w:val="20"/>
                <w:szCs w:val="20"/>
                <w:lang w:eastAsia="zh-CN"/>
              </w:rPr>
              <w:t>编制单位</w:t>
            </w:r>
            <w:r>
              <w:rPr>
                <w:rFonts w:hint="eastAsia" w:ascii="宋体" w:hAnsi="宋体" w:eastAsia="宋体" w:cs="宋体"/>
                <w:kern w:val="0"/>
                <w:sz w:val="20"/>
                <w:szCs w:val="20"/>
              </w:rPr>
              <w:t>：湖南省老干部活动中心</w:t>
            </w: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0" w:type="auto"/>
            <w:tcBorders>
              <w:top w:val="nil"/>
              <w:left w:val="nil"/>
              <w:bottom w:val="nil"/>
              <w:right w:val="nil"/>
            </w:tcBorders>
            <w:shd w:val="clear" w:color="auto" w:fill="auto"/>
            <w:noWrap/>
            <w:vAlign w:val="bottom"/>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万元</w:t>
            </w:r>
          </w:p>
        </w:tc>
      </w:tr>
      <w:tr>
        <w:tblPrEx>
          <w:tblCellMar>
            <w:top w:w="0" w:type="dxa"/>
            <w:left w:w="108" w:type="dxa"/>
            <w:bottom w:w="0" w:type="dxa"/>
            <w:right w:w="108" w:type="dxa"/>
          </w:tblCellMar>
        </w:tblPrEx>
        <w:trPr>
          <w:trHeight w:val="300" w:hRule="atLeast"/>
        </w:trPr>
        <w:tc>
          <w:tcPr>
            <w:tcW w:w="0" w:type="auto"/>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项目</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本年支出合计</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基本支出</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项目支出</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上缴上级支出</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经营支出</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对附属单位补助支出</w:t>
            </w:r>
          </w:p>
        </w:tc>
      </w:tr>
      <w:tr>
        <w:tblPrEx>
          <w:tblCellMar>
            <w:top w:w="0" w:type="dxa"/>
            <w:left w:w="108" w:type="dxa"/>
            <w:bottom w:w="0" w:type="dxa"/>
            <w:right w:w="108" w:type="dxa"/>
          </w:tblCellMar>
        </w:tblPrEx>
        <w:trPr>
          <w:trHeight w:val="312" w:hRule="atLeast"/>
        </w:trPr>
        <w:tc>
          <w:tcPr>
            <w:tcW w:w="0" w:type="auto"/>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科目代码</w:t>
            </w:r>
          </w:p>
        </w:tc>
        <w:tc>
          <w:tcPr>
            <w:tcW w:w="0" w:type="auto"/>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科目名称</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312"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312"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300" w:hRule="atLeast"/>
        </w:trPr>
        <w:tc>
          <w:tcPr>
            <w:tcW w:w="0" w:type="auto"/>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栏次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6</w:t>
            </w:r>
          </w:p>
        </w:tc>
      </w:tr>
      <w:tr>
        <w:tblPrEx>
          <w:tblCellMar>
            <w:top w:w="0" w:type="dxa"/>
            <w:left w:w="108" w:type="dxa"/>
            <w:bottom w:w="0" w:type="dxa"/>
            <w:right w:w="108" w:type="dxa"/>
          </w:tblCellMar>
        </w:tblPrEx>
        <w:trPr>
          <w:trHeight w:val="300" w:hRule="atLeast"/>
        </w:trPr>
        <w:tc>
          <w:tcPr>
            <w:tcW w:w="0" w:type="auto"/>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3,632.06</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2,362.41</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1,269.65</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一般公共服务支出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2,894.08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1,624.43</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1,269.65</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20104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发展与改革事务</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398.08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398.08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2010499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其他发展与改革事务支出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398.08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398.08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20136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其他共产党事务支出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2,496.00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1,624.43</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871.57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2013601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行政运行</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1,674.43</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1,624.43</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2013602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一般行政管理事务</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821.57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821.57</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社会保障和就业支出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532.98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532.98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行政事业单位养老支出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488.42</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488.42</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2080501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行政单位离退休</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294.54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294.54</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2080502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事业单位离退休</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113.88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113.88</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2080505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机关事业单位基本养老保险缴费支出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抚恤</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2080801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死亡抚恤</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其他社会保障和就业支出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2089999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其他社会保障和就业支出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卫生健康支出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21011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行政事业单位医疗</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2101102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事业单位医疗</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60.00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60.00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2101103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公务员医疗补助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45.00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221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住房保障支出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22102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住房改革支出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2210201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住房公积金</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trHeight w:val="300" w:hRule="atLeast"/>
        </w:trPr>
        <w:tc>
          <w:tcPr>
            <w:tcW w:w="0" w:type="auto"/>
            <w:gridSpan w:val="10"/>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注：本表反映部门本年度各项支出情况。</w:t>
            </w:r>
          </w:p>
        </w:tc>
      </w:tr>
    </w:tbl>
    <w:p>
      <w:pPr>
        <w:pStyle w:val="2"/>
        <w:sectPr>
          <w:pgSz w:w="16838" w:h="11906" w:orient="landscape"/>
          <w:pgMar w:top="720" w:right="720" w:bottom="720" w:left="720" w:header="851" w:footer="992" w:gutter="0"/>
          <w:cols w:space="425" w:num="1"/>
          <w:docGrid w:type="lines" w:linePitch="312" w:charSpace="0"/>
        </w:sectPr>
      </w:pPr>
    </w:p>
    <w:p/>
    <w:tbl>
      <w:tblPr>
        <w:tblStyle w:val="5"/>
        <w:tblW w:w="0" w:type="auto"/>
        <w:tblInd w:w="0" w:type="dxa"/>
        <w:tblLayout w:type="autofit"/>
        <w:tblCellMar>
          <w:top w:w="0" w:type="dxa"/>
          <w:left w:w="0" w:type="dxa"/>
          <w:bottom w:w="0" w:type="dxa"/>
          <w:right w:w="0" w:type="dxa"/>
        </w:tblCellMar>
      </w:tblPr>
      <w:tblGrid>
        <w:gridCol w:w="2959"/>
        <w:gridCol w:w="430"/>
        <w:gridCol w:w="830"/>
        <w:gridCol w:w="3030"/>
        <w:gridCol w:w="965"/>
        <w:gridCol w:w="830"/>
        <w:gridCol w:w="1769"/>
        <w:gridCol w:w="1645"/>
        <w:gridCol w:w="1530"/>
      </w:tblGrid>
      <w:tr>
        <w:tblPrEx>
          <w:tblCellMar>
            <w:top w:w="0" w:type="dxa"/>
            <w:left w:w="0" w:type="dxa"/>
            <w:bottom w:w="0" w:type="dxa"/>
            <w:right w:w="0" w:type="dxa"/>
          </w:tblCellMar>
        </w:tblPrEx>
        <w:trPr>
          <w:trHeight w:val="375" w:hRule="atLeast"/>
        </w:trPr>
        <w:tc>
          <w:tcPr>
            <w:tcW w:w="0" w:type="auto"/>
            <w:gridSpan w:val="9"/>
            <w:tcBorders>
              <w:top w:val="nil"/>
              <w:left w:val="nil"/>
              <w:bottom w:val="nil"/>
              <w:right w:val="nil"/>
            </w:tcBorders>
            <w:shd w:val="clear" w:color="auto" w:fill="FFFFFF"/>
            <w:noWrap/>
            <w:tcMar>
              <w:top w:w="15" w:type="dxa"/>
              <w:left w:w="15" w:type="dxa"/>
              <w:right w:w="15" w:type="dxa"/>
            </w:tcMar>
            <w:vAlign w:val="center"/>
          </w:tcPr>
          <w:p>
            <w:pPr>
              <w:jc w:val="center"/>
              <w:rPr>
                <w:rFonts w:ascii="宋体" w:hAnsi="宋体" w:eastAsia="宋体" w:cs="宋体"/>
                <w:color w:val="000000"/>
                <w:sz w:val="18"/>
                <w:szCs w:val="18"/>
              </w:rPr>
            </w:pPr>
            <w:r>
              <w:rPr>
                <w:rFonts w:hint="eastAsia" w:ascii="黑体" w:hAnsi="Arial" w:eastAsia="黑体" w:cs="黑体"/>
                <w:color w:val="000000"/>
                <w:kern w:val="0"/>
                <w:sz w:val="30"/>
                <w:szCs w:val="30"/>
              </w:rPr>
              <w:t>财政拨款收入支出决算总表</w:t>
            </w:r>
          </w:p>
        </w:tc>
      </w:tr>
      <w:tr>
        <w:tblPrEx>
          <w:tblCellMar>
            <w:top w:w="0" w:type="dxa"/>
            <w:left w:w="0" w:type="dxa"/>
            <w:bottom w:w="0" w:type="dxa"/>
            <w:right w:w="0" w:type="dxa"/>
          </w:tblCellMar>
        </w:tblPrEx>
        <w:trPr>
          <w:trHeight w:val="300" w:hRule="atLeast"/>
        </w:trPr>
        <w:tc>
          <w:tcPr>
            <w:tcW w:w="0" w:type="auto"/>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公开04表</w:t>
            </w:r>
          </w:p>
        </w:tc>
      </w:tr>
      <w:tr>
        <w:tblPrEx>
          <w:tblCellMar>
            <w:top w:w="0" w:type="dxa"/>
            <w:left w:w="0" w:type="dxa"/>
            <w:bottom w:w="0" w:type="dxa"/>
            <w:right w:w="0" w:type="dxa"/>
          </w:tblCellMar>
        </w:tblPrEx>
        <w:trPr>
          <w:trHeight w:val="300" w:hRule="atLeast"/>
        </w:trPr>
        <w:tc>
          <w:tcPr>
            <w:tcW w:w="0" w:type="auto"/>
            <w:gridSpan w:val="2"/>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lang w:eastAsia="zh-CN"/>
              </w:rPr>
              <w:t>编制单位</w:t>
            </w:r>
            <w:r>
              <w:rPr>
                <w:rFonts w:hint="eastAsia" w:ascii="宋体" w:hAnsi="宋体" w:eastAsia="宋体" w:cs="宋体"/>
                <w:color w:val="000000"/>
                <w:kern w:val="0"/>
                <w:sz w:val="22"/>
              </w:rPr>
              <w:t>：湖南省老干部活动中心</w:t>
            </w:r>
          </w:p>
        </w:tc>
        <w:tc>
          <w:tcPr>
            <w:tcW w:w="0" w:type="auto"/>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tcMar>
              <w:top w:w="15" w:type="dxa"/>
              <w:left w:w="15" w:type="dxa"/>
              <w:right w:w="15"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2022年度</w:t>
            </w:r>
          </w:p>
        </w:tc>
        <w:tc>
          <w:tcPr>
            <w:tcW w:w="0" w:type="auto"/>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gridSpan w:val="2"/>
            <w:tcBorders>
              <w:top w:val="nil"/>
              <w:left w:val="nil"/>
              <w:bottom w:val="single" w:color="808080" w:sz="4" w:space="0"/>
              <w:right w:val="nil"/>
            </w:tcBorders>
            <w:shd w:val="clear" w:color="auto" w:fill="FFFFFF"/>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金额单位：万元</w:t>
            </w:r>
          </w:p>
        </w:tc>
      </w:tr>
      <w:tr>
        <w:tblPrEx>
          <w:tblCellMar>
            <w:top w:w="0" w:type="dxa"/>
            <w:left w:w="0" w:type="dxa"/>
            <w:bottom w:w="0" w:type="dxa"/>
            <w:right w:w="0" w:type="dxa"/>
          </w:tblCellMar>
        </w:tblPrEx>
        <w:trPr>
          <w:trHeight w:val="300" w:hRule="atLeast"/>
        </w:trPr>
        <w:tc>
          <w:tcPr>
            <w:tcW w:w="0" w:type="auto"/>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收     入</w:t>
            </w:r>
          </w:p>
        </w:tc>
        <w:tc>
          <w:tcPr>
            <w:tcW w:w="0" w:type="auto"/>
            <w:gridSpan w:val="6"/>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支     出</w:t>
            </w:r>
          </w:p>
        </w:tc>
      </w:tr>
      <w:tr>
        <w:tblPrEx>
          <w:tblCellMar>
            <w:top w:w="0" w:type="dxa"/>
            <w:left w:w="0" w:type="dxa"/>
            <w:bottom w:w="0" w:type="dxa"/>
            <w:right w:w="0" w:type="dxa"/>
          </w:tblCellMar>
        </w:tblPrEx>
        <w:trPr>
          <w:trHeight w:val="312" w:hRule="atLeast"/>
        </w:trPr>
        <w:tc>
          <w:tcPr>
            <w:tcW w:w="0" w:type="auto"/>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w:t>
            </w:r>
          </w:p>
        </w:tc>
        <w:tc>
          <w:tcPr>
            <w:tcW w:w="0" w:type="auto"/>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行次</w:t>
            </w:r>
          </w:p>
        </w:tc>
        <w:tc>
          <w:tcPr>
            <w:tcW w:w="0" w:type="auto"/>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金额</w:t>
            </w:r>
          </w:p>
        </w:tc>
        <w:tc>
          <w:tcPr>
            <w:tcW w:w="0" w:type="auto"/>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bottom"/>
          </w:tcPr>
          <w:p>
            <w:pPr>
              <w:widowControl/>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rPr>
              <w:t>项目</w:t>
            </w:r>
          </w:p>
        </w:tc>
        <w:tc>
          <w:tcPr>
            <w:tcW w:w="0" w:type="auto"/>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行次</w:t>
            </w:r>
          </w:p>
        </w:tc>
        <w:tc>
          <w:tcPr>
            <w:tcW w:w="0" w:type="auto"/>
            <w:vMerge w:val="restar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合计</w:t>
            </w:r>
          </w:p>
        </w:tc>
        <w:tc>
          <w:tcPr>
            <w:tcW w:w="0" w:type="auto"/>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一般公共预算财政拨款</w:t>
            </w:r>
          </w:p>
        </w:tc>
        <w:tc>
          <w:tcPr>
            <w:tcW w:w="0" w:type="auto"/>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政府性基金预算财政拨款</w:t>
            </w:r>
          </w:p>
        </w:tc>
        <w:tc>
          <w:tcPr>
            <w:tcW w:w="0" w:type="auto"/>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国有资本经营预算财政拨款</w:t>
            </w:r>
          </w:p>
        </w:tc>
      </w:tr>
      <w:tr>
        <w:tblPrEx>
          <w:tblCellMar>
            <w:top w:w="0" w:type="dxa"/>
            <w:left w:w="0" w:type="dxa"/>
            <w:bottom w:w="0" w:type="dxa"/>
            <w:right w:w="0" w:type="dxa"/>
          </w:tblCellMar>
        </w:tblPrEx>
        <w:trPr>
          <w:trHeight w:val="600" w:hRule="atLeast"/>
        </w:trPr>
        <w:tc>
          <w:tcPr>
            <w:tcW w:w="0" w:type="auto"/>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bottom"/>
          </w:tcPr>
          <w:p>
            <w:pP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0" w:type="auto"/>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栏次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bottom"/>
          </w:tcPr>
          <w:p>
            <w:pPr>
              <w:widowControl/>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rPr>
              <w:t>栏次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一、一般公共预算财政拨款</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3829.567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一、一般公共服务支出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2861.039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2861.03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二、政府性基金预算财政拨款</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二、外交支出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三、国有资本经营财政拨款</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三、国防支出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四、公共安全支出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五、教育支出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六、科学技术支出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七、文化旅游体育与传媒支出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八、社会保障和就业支出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532.98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532.98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九、卫生健康支出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105.00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105.00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十、节能环保支出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十一、城乡社区支出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十二、农林水支出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十三、交通运输支出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十四、资源勘探工业信息等支出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十五、商业服务业等支出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十六、金融支出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十七、援助其他地区支出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十八、自然资源海洋气象等支出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十九、住房保障支出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二十、粮油物资储备支出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二十一、国有资本经营预算支出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二十二、灾害防治及应急管理支出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二十三、其他支出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b/>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二十四、债务还本支出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二十五、债务付息支出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二十六、抗疫特别国债安排的支出</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本年收入合计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3829.56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本年支出合计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3599.01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3599.01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年初财政拨款结转和结余</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年末财政拨款结转和结余</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250.55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250.55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一般公共预算财政拨款</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政府性基金预算财政拨款</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国有资本经营预算财政拨款</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0" w:type="auto"/>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总计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3849.56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总计</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3849.56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3849.56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300" w:hRule="atLeast"/>
        </w:trPr>
        <w:tc>
          <w:tcPr>
            <w:tcW w:w="0" w:type="auto"/>
            <w:gridSpan w:val="8"/>
            <w:tcBorders>
              <w:top w:val="nil"/>
              <w:left w:val="nil"/>
              <w:bottom w:val="nil"/>
              <w:right w:val="nil"/>
            </w:tcBorders>
            <w:shd w:val="clear" w:color="auto" w:fill="FFFFFF"/>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0" w:type="auto"/>
            <w:gridSpan w:val="8"/>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0" w:type="auto"/>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r>
    </w:tbl>
    <w:p>
      <w:pPr>
        <w:rPr>
          <w:rFonts w:ascii="黑体" w:hAnsi="黑体" w:eastAsia="黑体"/>
          <w:sz w:val="28"/>
          <w:szCs w:val="28"/>
        </w:rPr>
      </w:pPr>
    </w:p>
    <w:p>
      <w:pPr>
        <w:pStyle w:val="2"/>
      </w:pPr>
    </w:p>
    <w:p>
      <w:pPr>
        <w:pStyle w:val="2"/>
      </w:pPr>
    </w:p>
    <w:p>
      <w:pPr>
        <w:pStyle w:val="2"/>
        <w:sectPr>
          <w:pgSz w:w="16838" w:h="11906" w:orient="landscape"/>
          <w:pgMar w:top="1797" w:right="1440" w:bottom="1797" w:left="1440" w:header="851" w:footer="992" w:gutter="0"/>
          <w:cols w:space="425" w:num="1"/>
          <w:docGrid w:type="linesAndChars" w:linePitch="312" w:charSpace="0"/>
        </w:sectPr>
      </w:pPr>
    </w:p>
    <w:p>
      <w:pPr>
        <w:rPr>
          <w:rFonts w:hint="eastAsia"/>
        </w:rPr>
      </w:pPr>
    </w:p>
    <w:tbl>
      <w:tblPr>
        <w:tblStyle w:val="5"/>
        <w:tblW w:w="8452" w:type="dxa"/>
        <w:tblInd w:w="91" w:type="dxa"/>
        <w:tblLayout w:type="fixed"/>
        <w:tblCellMar>
          <w:top w:w="0" w:type="dxa"/>
          <w:left w:w="108" w:type="dxa"/>
          <w:bottom w:w="0" w:type="dxa"/>
          <w:right w:w="108" w:type="dxa"/>
        </w:tblCellMar>
      </w:tblPr>
      <w:tblGrid>
        <w:gridCol w:w="327"/>
        <w:gridCol w:w="300"/>
        <w:gridCol w:w="280"/>
        <w:gridCol w:w="244"/>
        <w:gridCol w:w="3772"/>
        <w:gridCol w:w="1020"/>
        <w:gridCol w:w="1170"/>
        <w:gridCol w:w="206"/>
        <w:gridCol w:w="1118"/>
        <w:gridCol w:w="15"/>
      </w:tblGrid>
      <w:tr>
        <w:tblPrEx>
          <w:tblCellMar>
            <w:top w:w="0" w:type="dxa"/>
            <w:left w:w="108" w:type="dxa"/>
            <w:bottom w:w="0" w:type="dxa"/>
            <w:right w:w="108" w:type="dxa"/>
          </w:tblCellMar>
        </w:tblPrEx>
        <w:trPr>
          <w:gridAfter w:val="2"/>
          <w:wAfter w:w="1133" w:type="dxa"/>
          <w:trHeight w:val="510" w:hRule="atLeast"/>
        </w:trPr>
        <w:tc>
          <w:tcPr>
            <w:tcW w:w="327"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w:t>
            </w:r>
          </w:p>
        </w:tc>
        <w:tc>
          <w:tcPr>
            <w:tcW w:w="30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2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w:t>
            </w:r>
          </w:p>
        </w:tc>
        <w:tc>
          <w:tcPr>
            <w:tcW w:w="6412" w:type="dxa"/>
            <w:gridSpan w:val="5"/>
            <w:tcBorders>
              <w:top w:val="nil"/>
              <w:left w:val="nil"/>
              <w:bottom w:val="nil"/>
              <w:right w:val="nil"/>
            </w:tcBorders>
            <w:shd w:val="clear" w:color="auto" w:fill="auto"/>
            <w:noWrap/>
            <w:vAlign w:val="center"/>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一般公共预算财政拨款支出决算表</w:t>
            </w:r>
          </w:p>
          <w:p>
            <w:pPr>
              <w:pStyle w:val="2"/>
            </w:pP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5</w:t>
            </w:r>
            <w:r>
              <w:rPr>
                <w:rFonts w:ascii="Times New Roman" w:hAnsi="Times New Roman" w:eastAsia="仿宋_GB2312" w:cs="Times New Roman"/>
                <w:color w:val="000000"/>
                <w:kern w:val="0"/>
                <w:szCs w:val="21"/>
              </w:rPr>
              <w:t>表</w:t>
            </w:r>
          </w:p>
        </w:tc>
      </w:tr>
      <w:tr>
        <w:tblPrEx>
          <w:tblCellMar>
            <w:top w:w="0" w:type="dxa"/>
            <w:left w:w="108" w:type="dxa"/>
            <w:bottom w:w="0" w:type="dxa"/>
            <w:right w:w="108" w:type="dxa"/>
          </w:tblCellMar>
        </w:tblPrEx>
        <w:trPr>
          <w:trHeight w:val="399" w:hRule="atLeast"/>
        </w:trPr>
        <w:tc>
          <w:tcPr>
            <w:tcW w:w="7319" w:type="dxa"/>
            <w:gridSpan w:val="8"/>
            <w:tcBorders>
              <w:top w:val="nil"/>
              <w:left w:val="nil"/>
              <w:bottom w:val="nil"/>
              <w:right w:val="nil"/>
            </w:tcBorders>
            <w:shd w:val="clear" w:color="auto" w:fill="auto"/>
            <w:noWrap/>
            <w:vAlign w:val="bottom"/>
          </w:tcPr>
          <w:p>
            <w:pPr>
              <w:widowControl/>
              <w:jc w:val="left"/>
              <w:rPr>
                <w:rFonts w:ascii="宋体" w:hAnsi="宋体" w:eastAsia="宋体" w:cs="宋体"/>
                <w:kern w:val="0"/>
                <w:sz w:val="20"/>
                <w:szCs w:val="20"/>
              </w:rPr>
            </w:pPr>
            <w:r>
              <w:rPr>
                <w:rFonts w:hint="eastAsia" w:ascii="Times New Roman" w:hAnsi="Times New Roman" w:eastAsia="仿宋_GB2312" w:cs="Times New Roman"/>
                <w:color w:val="000000"/>
                <w:kern w:val="0"/>
                <w:szCs w:val="21"/>
                <w:lang w:eastAsia="zh-CN"/>
              </w:rPr>
              <w:t>编制单位</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湖南省老干部活动中心</w:t>
            </w:r>
          </w:p>
        </w:tc>
        <w:tc>
          <w:tcPr>
            <w:tcW w:w="1133"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kern w:val="0"/>
                <w:sz w:val="20"/>
                <w:szCs w:val="20"/>
              </w:rPr>
              <w:t>万元</w:t>
            </w:r>
          </w:p>
        </w:tc>
      </w:tr>
      <w:tr>
        <w:tblPrEx>
          <w:tblCellMar>
            <w:top w:w="0" w:type="dxa"/>
            <w:left w:w="108" w:type="dxa"/>
            <w:bottom w:w="0" w:type="dxa"/>
            <w:right w:w="108" w:type="dxa"/>
          </w:tblCellMar>
        </w:tblPrEx>
        <w:trPr>
          <w:gridAfter w:val="1"/>
          <w:wAfter w:w="15" w:type="dxa"/>
          <w:trHeight w:val="300" w:hRule="atLeast"/>
        </w:trPr>
        <w:tc>
          <w:tcPr>
            <w:tcW w:w="4923"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项目</w:t>
            </w:r>
          </w:p>
        </w:tc>
        <w:tc>
          <w:tcPr>
            <w:tcW w:w="351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本年支出</w:t>
            </w:r>
          </w:p>
        </w:tc>
      </w:tr>
      <w:tr>
        <w:tblPrEx>
          <w:tblCellMar>
            <w:top w:w="0" w:type="dxa"/>
            <w:left w:w="108" w:type="dxa"/>
            <w:bottom w:w="0" w:type="dxa"/>
            <w:right w:w="108" w:type="dxa"/>
          </w:tblCellMar>
        </w:tblPrEx>
        <w:trPr>
          <w:gridAfter w:val="1"/>
          <w:wAfter w:w="15" w:type="dxa"/>
          <w:trHeight w:val="312" w:hRule="atLeast"/>
        </w:trPr>
        <w:tc>
          <w:tcPr>
            <w:tcW w:w="1151" w:type="dxa"/>
            <w:gridSpan w:val="4"/>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科目代码</w:t>
            </w:r>
          </w:p>
        </w:tc>
        <w:tc>
          <w:tcPr>
            <w:tcW w:w="377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科目名称</w:t>
            </w:r>
          </w:p>
        </w:tc>
        <w:tc>
          <w:tcPr>
            <w:tcW w:w="10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小计</w:t>
            </w:r>
          </w:p>
        </w:tc>
        <w:tc>
          <w:tcPr>
            <w:tcW w:w="117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基本支出</w:t>
            </w:r>
          </w:p>
        </w:tc>
        <w:tc>
          <w:tcPr>
            <w:tcW w:w="132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项目支出</w:t>
            </w:r>
          </w:p>
        </w:tc>
      </w:tr>
      <w:tr>
        <w:tblPrEx>
          <w:tblCellMar>
            <w:top w:w="0" w:type="dxa"/>
            <w:left w:w="108" w:type="dxa"/>
            <w:bottom w:w="0" w:type="dxa"/>
            <w:right w:w="108" w:type="dxa"/>
          </w:tblCellMar>
        </w:tblPrEx>
        <w:trPr>
          <w:gridAfter w:val="1"/>
          <w:wAfter w:w="15" w:type="dxa"/>
          <w:trHeight w:val="312" w:hRule="atLeast"/>
        </w:trPr>
        <w:tc>
          <w:tcPr>
            <w:tcW w:w="1151"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377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0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1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3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gridAfter w:val="1"/>
          <w:wAfter w:w="15" w:type="dxa"/>
          <w:trHeight w:val="312" w:hRule="atLeast"/>
        </w:trPr>
        <w:tc>
          <w:tcPr>
            <w:tcW w:w="1151"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377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0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1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3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gridAfter w:val="1"/>
          <w:wAfter w:w="15" w:type="dxa"/>
          <w:trHeight w:val="300" w:hRule="atLeast"/>
        </w:trPr>
        <w:tc>
          <w:tcPr>
            <w:tcW w:w="4923"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栏次</w:t>
            </w:r>
          </w:p>
        </w:tc>
        <w:tc>
          <w:tcPr>
            <w:tcW w:w="10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117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CellMar>
            <w:top w:w="0" w:type="dxa"/>
            <w:left w:w="108" w:type="dxa"/>
            <w:bottom w:w="0" w:type="dxa"/>
            <w:right w:w="108" w:type="dxa"/>
          </w:tblCellMar>
        </w:tblPrEx>
        <w:trPr>
          <w:gridAfter w:val="1"/>
          <w:wAfter w:w="15" w:type="dxa"/>
          <w:trHeight w:val="300" w:hRule="atLeast"/>
        </w:trPr>
        <w:tc>
          <w:tcPr>
            <w:tcW w:w="4923"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合计</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3,599.01</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2,329.36</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color w:val="000000"/>
                <w:kern w:val="0"/>
                <w:sz w:val="22"/>
              </w:rPr>
            </w:pPr>
            <w:r>
              <w:rPr>
                <w:rFonts w:hint="eastAsia" w:ascii="宋体" w:hAnsi="宋体" w:eastAsia="宋体" w:cs="宋体"/>
                <w:b/>
                <w:bCs/>
                <w:color w:val="000000"/>
                <w:kern w:val="0"/>
                <w:sz w:val="22"/>
              </w:rPr>
              <w:t>1,269.65</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一般公共服务支出</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2,861.03</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1,591.38</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1,269.65</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20104</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发展与改革事务</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398.08</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398.08</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2010499</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其他发展与改革事务支出</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398.08</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398.08</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20136</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其他共产党事务支出</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2,462.95</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1,591.38</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871.57</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2013601</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行政运行</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1,641.38</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1,591.38</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2013602</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一般行政管理事务</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821.57</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821.57</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社会保障和就业支出</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532.98</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532.98</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20805</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行政事业单位养老支出</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488.42</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488.42</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2080501</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行政单位离退休</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294.54</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294.54</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2080502</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事业单位离退休</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113.88</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113.88</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2080505</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机关事业单位基本养老保险缴费支出</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80.00</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80.00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20808</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抚恤</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2080801</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死亡抚恤</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20899</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其他社会保障和就业支出</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2089999</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其他社会保障和就业支出</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210</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卫生健康支出</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105.00</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105.00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21011</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行政事业单位医疗</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105.00</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105.00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2101102</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事业单位医疗</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60.00</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60.00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2101103</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公务员医疗补助</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45.00</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45.00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221</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住房保障支出</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22102</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住房改革支出</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115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2210201</w:t>
            </w:r>
          </w:p>
        </w:tc>
        <w:tc>
          <w:tcPr>
            <w:tcW w:w="37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住房公积金</w:t>
            </w:r>
          </w:p>
        </w:tc>
        <w:tc>
          <w:tcPr>
            <w:tcW w:w="102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11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132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15" w:type="dxa"/>
          <w:trHeight w:val="300" w:hRule="atLeast"/>
        </w:trPr>
        <w:tc>
          <w:tcPr>
            <w:tcW w:w="8437"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注：本表反映部门本年度一般公共预算财政拨款支出情况。</w:t>
            </w:r>
          </w:p>
        </w:tc>
      </w:tr>
    </w:tbl>
    <w:p>
      <w:pPr>
        <w:rPr>
          <w:rFonts w:ascii="黑体" w:hAnsi="黑体" w:eastAsia="黑体"/>
          <w:sz w:val="28"/>
          <w:szCs w:val="28"/>
        </w:rPr>
        <w:sectPr>
          <w:pgSz w:w="11906" w:h="16838"/>
          <w:pgMar w:top="1440" w:right="1797" w:bottom="1440" w:left="1797" w:header="851" w:footer="992" w:gutter="0"/>
          <w:cols w:space="425" w:num="1"/>
          <w:docGrid w:type="linesAndChars" w:linePitch="312" w:charSpace="0"/>
        </w:sectPr>
      </w:pPr>
    </w:p>
    <w:p>
      <w:pPr>
        <w:widowControl/>
        <w:jc w:val="center"/>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一般公共预算财政拨款基本支出决算明细表</w:t>
      </w:r>
    </w:p>
    <w:p>
      <w:pPr>
        <w:pStyle w:val="2"/>
      </w:pPr>
      <w:r>
        <w:rPr>
          <w:rFonts w:hint="eastAsia" w:ascii="Times New Roman" w:hAnsi="Times New Roman" w:eastAsia="仿宋_GB2312" w:cs="Times New Roman"/>
          <w:color w:val="000000"/>
          <w:kern w:val="0"/>
          <w:szCs w:val="21"/>
          <w:lang w:eastAsia="zh-CN"/>
        </w:rPr>
        <w:t>编制单位</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湖南省老干部活动中心</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6</w:t>
      </w:r>
      <w:r>
        <w:rPr>
          <w:rFonts w:ascii="Times New Roman" w:hAnsi="Times New Roman" w:eastAsia="仿宋_GB2312" w:cs="Times New Roman"/>
          <w:color w:val="000000"/>
          <w:kern w:val="0"/>
          <w:szCs w:val="21"/>
        </w:rPr>
        <w:t>表</w:t>
      </w:r>
    </w:p>
    <w:tbl>
      <w:tblPr>
        <w:tblStyle w:val="5"/>
        <w:tblW w:w="15727" w:type="dxa"/>
        <w:tblInd w:w="91" w:type="dxa"/>
        <w:tblLayout w:type="fixed"/>
        <w:tblCellMar>
          <w:top w:w="0" w:type="dxa"/>
          <w:left w:w="108" w:type="dxa"/>
          <w:bottom w:w="0" w:type="dxa"/>
          <w:right w:w="108" w:type="dxa"/>
        </w:tblCellMar>
      </w:tblPr>
      <w:tblGrid>
        <w:gridCol w:w="1161"/>
        <w:gridCol w:w="2880"/>
        <w:gridCol w:w="1260"/>
        <w:gridCol w:w="236"/>
        <w:gridCol w:w="1054"/>
        <w:gridCol w:w="2505"/>
        <w:gridCol w:w="1335"/>
        <w:gridCol w:w="787"/>
        <w:gridCol w:w="458"/>
        <w:gridCol w:w="231"/>
        <w:gridCol w:w="610"/>
        <w:gridCol w:w="1889"/>
        <w:gridCol w:w="1121"/>
        <w:gridCol w:w="200"/>
      </w:tblGrid>
      <w:tr>
        <w:tblPrEx>
          <w:tblCellMar>
            <w:top w:w="0" w:type="dxa"/>
            <w:left w:w="108" w:type="dxa"/>
            <w:bottom w:w="0" w:type="dxa"/>
            <w:right w:w="108" w:type="dxa"/>
          </w:tblCellMar>
        </w:tblPrEx>
        <w:trPr>
          <w:trHeight w:val="270" w:hRule="atLeast"/>
        </w:trPr>
        <w:tc>
          <w:tcPr>
            <w:tcW w:w="4041" w:type="dxa"/>
            <w:gridSpan w:val="2"/>
            <w:tcBorders>
              <w:top w:val="nil"/>
              <w:left w:val="nil"/>
              <w:bottom w:val="nil"/>
              <w:right w:val="nil"/>
            </w:tcBorders>
            <w:shd w:val="clear" w:color="auto" w:fill="auto"/>
            <w:noWrap/>
            <w:vAlign w:val="bottom"/>
          </w:tcPr>
          <w:p>
            <w:pPr>
              <w:widowControl/>
              <w:jc w:val="left"/>
              <w:rPr>
                <w:rFonts w:ascii="宋体" w:hAnsi="宋体" w:eastAsia="宋体" w:cs="宋体"/>
                <w:kern w:val="0"/>
                <w:sz w:val="20"/>
                <w:szCs w:val="20"/>
              </w:rPr>
            </w:pPr>
          </w:p>
        </w:tc>
        <w:tc>
          <w:tcPr>
            <w:tcW w:w="126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236"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5681" w:type="dxa"/>
            <w:gridSpan w:val="4"/>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689"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61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3210" w:type="dxa"/>
            <w:gridSpan w:val="3"/>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万元</w:t>
            </w:r>
          </w:p>
        </w:tc>
      </w:tr>
      <w:tr>
        <w:tblPrEx>
          <w:tblCellMar>
            <w:top w:w="0" w:type="dxa"/>
            <w:left w:w="108" w:type="dxa"/>
            <w:bottom w:w="0" w:type="dxa"/>
            <w:right w:w="108" w:type="dxa"/>
          </w:tblCellMar>
        </w:tblPrEx>
        <w:trPr>
          <w:gridAfter w:val="1"/>
          <w:wAfter w:w="200" w:type="dxa"/>
          <w:trHeight w:val="300" w:hRule="atLeast"/>
        </w:trPr>
        <w:tc>
          <w:tcPr>
            <w:tcW w:w="530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人员经费</w:t>
            </w:r>
          </w:p>
        </w:tc>
        <w:tc>
          <w:tcPr>
            <w:tcW w:w="10226" w:type="dxa"/>
            <w:gridSpan w:val="10"/>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公用经费</w:t>
            </w:r>
          </w:p>
        </w:tc>
      </w:tr>
      <w:tr>
        <w:tblPrEx>
          <w:tblCellMar>
            <w:top w:w="0" w:type="dxa"/>
            <w:left w:w="108" w:type="dxa"/>
            <w:bottom w:w="0" w:type="dxa"/>
            <w:right w:w="108" w:type="dxa"/>
          </w:tblCellMar>
        </w:tblPrEx>
        <w:trPr>
          <w:gridAfter w:val="1"/>
          <w:wAfter w:w="200" w:type="dxa"/>
          <w:trHeight w:val="312" w:hRule="atLeast"/>
        </w:trPr>
        <w:tc>
          <w:tcPr>
            <w:tcW w:w="116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科目代码</w:t>
            </w:r>
          </w:p>
        </w:tc>
        <w:tc>
          <w:tcPr>
            <w:tcW w:w="28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科目名称</w:t>
            </w:r>
          </w:p>
        </w:tc>
        <w:tc>
          <w:tcPr>
            <w:tcW w:w="12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决算数</w:t>
            </w:r>
          </w:p>
        </w:tc>
        <w:tc>
          <w:tcPr>
            <w:tcW w:w="129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科目代码</w:t>
            </w:r>
          </w:p>
        </w:tc>
        <w:tc>
          <w:tcPr>
            <w:tcW w:w="250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科目名称</w:t>
            </w:r>
          </w:p>
        </w:tc>
        <w:tc>
          <w:tcPr>
            <w:tcW w:w="13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决算数</w:t>
            </w:r>
          </w:p>
        </w:tc>
        <w:tc>
          <w:tcPr>
            <w:tcW w:w="1245"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科目代码</w:t>
            </w:r>
          </w:p>
        </w:tc>
        <w:tc>
          <w:tcPr>
            <w:tcW w:w="2730" w:type="dxa"/>
            <w:gridSpan w:val="3"/>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科目名称</w:t>
            </w:r>
          </w:p>
        </w:tc>
        <w:tc>
          <w:tcPr>
            <w:tcW w:w="112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决算数</w:t>
            </w:r>
          </w:p>
        </w:tc>
      </w:tr>
      <w:tr>
        <w:tblPrEx>
          <w:tblCellMar>
            <w:top w:w="0" w:type="dxa"/>
            <w:left w:w="108" w:type="dxa"/>
            <w:bottom w:w="0" w:type="dxa"/>
            <w:right w:w="108" w:type="dxa"/>
          </w:tblCellMar>
        </w:tblPrEx>
        <w:trPr>
          <w:gridAfter w:val="1"/>
          <w:wAfter w:w="200" w:type="dxa"/>
          <w:trHeight w:val="312" w:hRule="atLeast"/>
        </w:trPr>
        <w:tc>
          <w:tcPr>
            <w:tcW w:w="116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2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2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29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25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3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245"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2730"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1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工资福利支出</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1,573.52</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商品和服务支出</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312.86</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307</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债务利息及费用支出</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30101</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基本工资</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310.04</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30201</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办公费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30701</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国内债务付息</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30102</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津贴补贴</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250.00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30202</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印刷费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30702</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国外债务付息</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30103</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奖金</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573.49</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30203</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咨询费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资本性支出</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30106</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伙食补助费</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30204</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手续费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31001</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房屋建筑物购建</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30107</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绩效工资</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95.00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30205</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水费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31002</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办公设备购置</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30108</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机关事业单位基本养老保险缴费</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81.88</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30206</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电费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31003</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专用设备购置</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30109</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职业年金缴费</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1.57</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30207</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邮电费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31005</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基础设施建设</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30110</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职工基本医疗保险缴费</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60.00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30208</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取暖费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73.00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31006</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大型修缮</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30111</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公务员医疗补助缴费</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45.00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30209</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物业管理费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63.00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31007</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信息网络及软件购置更新</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30112</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其他社会保障缴费</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6.54</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30211</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差旅费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2.30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31008</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物资储备</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30113</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住房公积金</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30212</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因公出国（境）费用</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31009</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土地补偿</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30114</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医疗费</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30213</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维修（护）费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15.00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31010</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安置补助</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30199</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其他工资福利支出</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30214</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租赁费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31011</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地上附着物和青苗补偿</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对个人和家庭的补助</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442.98</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30215</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会议费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31012</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拆迁补偿</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30301</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离休费</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30216</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培训费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31013</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公务用车购置</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30302</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退休费</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329.42</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30217</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公务接待费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0.38</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31019</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其他交通工具购置</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30303</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退职（役）费</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30218</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专用材料费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31021</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文物和陈列品购置</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30304</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抚恤金</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34.56</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30224</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被装购置费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31022</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无形资产购置</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30305</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生活补助</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30225</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专用燃料费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31099</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其他资本性支出</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30306</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救济费</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30226</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劳务费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399</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其他支出</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30307</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医疗费补助</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30227</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委托业务费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39907</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国家赔偿费用支出</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30308</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助学金</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30228</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工会经费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39908</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对民间非营利组织和群众性自治组织补贴</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30309</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奖励金</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50.26</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30229</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福利费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15.00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39909</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经常性赠与</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30310</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个人农业生产补贴</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30231</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公务用车运行维护费</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39910</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资本性赠与</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30311</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代缴社会保险费</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30239</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其他交通费用</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55.00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39999</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其他支出</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30399</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其他对个人和家庭的补助</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28.74</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30240</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税金及附加费用</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0.00</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gridAfter w:val="1"/>
          <w:wAfter w:w="200" w:type="dxa"/>
          <w:trHeight w:val="300" w:hRule="atLeast"/>
        </w:trPr>
        <w:tc>
          <w:tcPr>
            <w:tcW w:w="11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28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9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30299</w:t>
            </w:r>
          </w:p>
        </w:tc>
        <w:tc>
          <w:tcPr>
            <w:tcW w:w="2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  其他商品和服务支出</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59.18</w:t>
            </w:r>
          </w:p>
        </w:tc>
        <w:tc>
          <w:tcPr>
            <w:tcW w:w="124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273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gridAfter w:val="1"/>
          <w:wAfter w:w="200" w:type="dxa"/>
          <w:trHeight w:val="300" w:hRule="atLeast"/>
        </w:trPr>
        <w:tc>
          <w:tcPr>
            <w:tcW w:w="404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人员经费合计</w:t>
            </w:r>
          </w:p>
        </w:tc>
        <w:tc>
          <w:tcPr>
            <w:tcW w:w="12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2,016.50</w:t>
            </w:r>
          </w:p>
        </w:tc>
        <w:tc>
          <w:tcPr>
            <w:tcW w:w="9105" w:type="dxa"/>
            <w:gridSpan w:val="9"/>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公用经费合计</w:t>
            </w:r>
          </w:p>
        </w:tc>
        <w:tc>
          <w:tcPr>
            <w:tcW w:w="11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312.86</w:t>
            </w:r>
          </w:p>
        </w:tc>
      </w:tr>
      <w:tr>
        <w:tblPrEx>
          <w:tblCellMar>
            <w:top w:w="0" w:type="dxa"/>
            <w:left w:w="108" w:type="dxa"/>
            <w:bottom w:w="0" w:type="dxa"/>
            <w:right w:w="108" w:type="dxa"/>
          </w:tblCellMar>
        </w:tblPrEx>
        <w:trPr>
          <w:gridAfter w:val="1"/>
          <w:wAfter w:w="200" w:type="dxa"/>
          <w:trHeight w:val="300" w:hRule="atLeast"/>
        </w:trPr>
        <w:tc>
          <w:tcPr>
            <w:tcW w:w="15527" w:type="dxa"/>
            <w:gridSpan w:val="13"/>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注：本表反映部门本年度一般公共预算财政拨款基本支出明细情况。</w:t>
            </w:r>
          </w:p>
        </w:tc>
      </w:tr>
    </w:tbl>
    <w:p>
      <w:pPr>
        <w:widowControl/>
        <w:jc w:val="left"/>
        <w:rPr>
          <w:rFonts w:ascii="Times New Roman" w:hAnsi="Times New Roman" w:eastAsia="黑体" w:cs="Times New Roman"/>
          <w:bCs/>
          <w:kern w:val="0"/>
          <w:sz w:val="32"/>
          <w:szCs w:val="32"/>
        </w:rPr>
      </w:pPr>
    </w:p>
    <w:p>
      <w:pPr>
        <w:widowControl/>
        <w:jc w:val="left"/>
        <w:rPr>
          <w:rFonts w:ascii="Times New Roman" w:hAnsi="Times New Roman" w:eastAsia="黑体" w:cs="Times New Roman"/>
          <w:bCs/>
          <w:kern w:val="0"/>
          <w:sz w:val="32"/>
          <w:szCs w:val="32"/>
        </w:rPr>
      </w:pPr>
    </w:p>
    <w:p>
      <w:pPr>
        <w:pStyle w:val="2"/>
        <w:rPr>
          <w:rFonts w:ascii="Times New Roman" w:hAnsi="Times New Roman" w:eastAsia="黑体" w:cs="Times New Roman"/>
          <w:bCs/>
          <w:kern w:val="0"/>
          <w:sz w:val="32"/>
          <w:szCs w:val="32"/>
        </w:rPr>
      </w:pPr>
    </w:p>
    <w:p>
      <w:pPr>
        <w:rPr>
          <w:rFonts w:ascii="Times New Roman" w:hAnsi="Times New Roman" w:eastAsia="黑体" w:cs="Times New Roman"/>
          <w:bCs/>
          <w:kern w:val="0"/>
          <w:sz w:val="32"/>
          <w:szCs w:val="32"/>
        </w:rPr>
      </w:pPr>
    </w:p>
    <w:p>
      <w:pPr>
        <w:pStyle w:val="2"/>
        <w:rPr>
          <w:rFonts w:ascii="Times New Roman" w:hAnsi="Times New Roman" w:eastAsia="黑体" w:cs="Times New Roman"/>
          <w:bCs/>
          <w:kern w:val="0"/>
          <w:sz w:val="32"/>
          <w:szCs w:val="32"/>
        </w:rPr>
      </w:pPr>
    </w:p>
    <w:p>
      <w:pPr>
        <w:rPr>
          <w:rFonts w:ascii="Times New Roman" w:hAnsi="Times New Roman" w:eastAsia="黑体" w:cs="Times New Roman"/>
          <w:bCs/>
          <w:kern w:val="0"/>
          <w:sz w:val="32"/>
          <w:szCs w:val="32"/>
        </w:rPr>
      </w:pPr>
    </w:p>
    <w:p>
      <w:pPr>
        <w:pStyle w:val="2"/>
        <w:rPr>
          <w:rFonts w:ascii="Times New Roman" w:hAnsi="Times New Roman" w:eastAsia="黑体" w:cs="Times New Roman"/>
          <w:bCs/>
          <w:kern w:val="0"/>
          <w:sz w:val="32"/>
          <w:szCs w:val="32"/>
        </w:rPr>
      </w:pPr>
    </w:p>
    <w:p>
      <w:pPr>
        <w:rPr>
          <w:rFonts w:ascii="Times New Roman" w:hAnsi="Times New Roman" w:eastAsia="黑体" w:cs="Times New Roman"/>
          <w:bCs/>
          <w:kern w:val="0"/>
          <w:sz w:val="32"/>
          <w:szCs w:val="32"/>
        </w:rPr>
      </w:pPr>
    </w:p>
    <w:p>
      <w:pPr>
        <w:pStyle w:val="2"/>
        <w:rPr>
          <w:rFonts w:ascii="Times New Roman" w:hAnsi="Times New Roman" w:eastAsia="黑体" w:cs="Times New Roman"/>
          <w:bCs/>
          <w:kern w:val="0"/>
          <w:sz w:val="32"/>
          <w:szCs w:val="32"/>
        </w:rPr>
      </w:pPr>
    </w:p>
    <w:p>
      <w:pPr>
        <w:rPr>
          <w:rFonts w:ascii="Times New Roman" w:hAnsi="Times New Roman" w:eastAsia="黑体" w:cs="Times New Roman"/>
          <w:bCs/>
          <w:kern w:val="0"/>
          <w:sz w:val="32"/>
          <w:szCs w:val="32"/>
        </w:rPr>
      </w:pPr>
    </w:p>
    <w:p>
      <w:pPr>
        <w:pStyle w:val="2"/>
        <w:rPr>
          <w:rFonts w:ascii="Times New Roman" w:hAnsi="Times New Roman" w:eastAsia="黑体" w:cs="Times New Roman"/>
          <w:bCs/>
          <w:kern w:val="0"/>
          <w:sz w:val="32"/>
          <w:szCs w:val="32"/>
        </w:rPr>
      </w:pPr>
    </w:p>
    <w:p>
      <w:pPr>
        <w:rPr>
          <w:rFonts w:ascii="Times New Roman" w:hAnsi="Times New Roman" w:eastAsia="黑体" w:cs="Times New Roman"/>
          <w:bCs/>
          <w:kern w:val="0"/>
          <w:sz w:val="32"/>
          <w:szCs w:val="32"/>
        </w:rPr>
      </w:pPr>
    </w:p>
    <w:p>
      <w:pPr>
        <w:pStyle w:val="2"/>
        <w:rPr>
          <w:rFonts w:ascii="Times New Roman" w:hAnsi="Times New Roman" w:eastAsia="黑体" w:cs="Times New Roman"/>
          <w:bCs/>
          <w:kern w:val="0"/>
          <w:sz w:val="32"/>
          <w:szCs w:val="32"/>
        </w:rPr>
      </w:pPr>
    </w:p>
    <w:p/>
    <w:p>
      <w:pPr>
        <w:widowControl/>
        <w:rPr>
          <w:rFonts w:ascii="Times New Roman" w:hAnsi="Times New Roman" w:eastAsia="仿宋_GB2312" w:cs="Times New Roman"/>
          <w:bCs/>
          <w:kern w:val="0"/>
          <w:szCs w:val="21"/>
        </w:rPr>
      </w:pPr>
      <w:bookmarkStart w:id="0" w:name="RANGE!A1:I22"/>
      <w:bookmarkEnd w:id="0"/>
    </w:p>
    <w:p>
      <w:pPr>
        <w:pStyle w:val="2"/>
        <w:rPr>
          <w:rFonts w:ascii="Times New Roman" w:hAnsi="Times New Roman" w:eastAsia="仿宋_GB2312" w:cs="Times New Roman"/>
          <w:bCs/>
          <w:kern w:val="0"/>
          <w:szCs w:val="21"/>
        </w:rPr>
      </w:pPr>
    </w:p>
    <w:p>
      <w:pPr>
        <w:rPr>
          <w:rFonts w:ascii="Times New Roman" w:hAnsi="Times New Roman" w:eastAsia="仿宋_GB2312" w:cs="Times New Roman"/>
          <w:bCs/>
          <w:kern w:val="0"/>
          <w:szCs w:val="21"/>
        </w:rPr>
      </w:pPr>
    </w:p>
    <w:p>
      <w:pPr>
        <w:widowControl/>
        <w:jc w:val="left"/>
        <w:rPr>
          <w:rFonts w:ascii="宋体" w:eastAsia="宋体" w:cs="宋体"/>
          <w:kern w:val="0"/>
          <w:sz w:val="24"/>
          <w:szCs w:val="24"/>
        </w:rPr>
      </w:pPr>
    </w:p>
    <w:p>
      <w:pPr>
        <w:widowControl/>
        <w:ind w:firstLine="4320" w:firstLineChars="1200"/>
        <w:jc w:val="left"/>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eastAsia="zh-CN"/>
        </w:rPr>
        <w:t>编制单位</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湖南省老干部活动中心</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w:t>
      </w:r>
      <w:r>
        <w:rPr>
          <w:rFonts w:hint="eastAsia" w:ascii="Times New Roman" w:hAnsi="Times New Roman" w:eastAsia="仿宋_GB2312" w:cs="Times New Roman"/>
          <w:kern w:val="0"/>
          <w:szCs w:val="21"/>
        </w:rPr>
        <w:t>说明：湖南省老干部活动中心没有政府性基金收入，也没有使用政府性基金安排的支出，故本表无数据</w:t>
      </w:r>
      <w:r>
        <w:rPr>
          <w:rFonts w:ascii="Times New Roman" w:hAnsi="Times New Roman" w:eastAsia="仿宋_GB2312" w:cs="Times New Roman"/>
          <w:kern w:val="0"/>
          <w:szCs w:val="21"/>
        </w:rPr>
        <w:t>)。</w:t>
      </w:r>
    </w:p>
    <w:p>
      <w:pPr>
        <w:pStyle w:val="2"/>
        <w:rPr>
          <w:rFonts w:ascii="Times New Roman" w:hAnsi="Times New Roman" w:eastAsia="仿宋_GB2312" w:cs="Times New Roman"/>
          <w:kern w:val="0"/>
          <w:szCs w:val="21"/>
        </w:rPr>
      </w:pPr>
    </w:p>
    <w:p>
      <w:pPr>
        <w:rPr>
          <w:rFonts w:ascii="Times New Roman" w:hAnsi="Times New Roman" w:eastAsia="仿宋_GB2312" w:cs="Times New Roman"/>
          <w:kern w:val="0"/>
          <w:szCs w:val="21"/>
        </w:rPr>
      </w:pPr>
    </w:p>
    <w:p>
      <w:pPr>
        <w:pStyle w:val="2"/>
        <w:rPr>
          <w:rFonts w:ascii="Times New Roman" w:hAnsi="Times New Roman" w:eastAsia="仿宋_GB2312" w:cs="Times New Roman"/>
          <w:kern w:val="0"/>
          <w:szCs w:val="21"/>
        </w:rPr>
      </w:pPr>
    </w:p>
    <w:p>
      <w:pPr>
        <w:rPr>
          <w:rFonts w:ascii="Times New Roman" w:hAnsi="Times New Roman" w:eastAsia="仿宋_GB2312" w:cs="Times New Roman"/>
          <w:kern w:val="0"/>
          <w:szCs w:val="21"/>
        </w:rPr>
      </w:pPr>
    </w:p>
    <w:p>
      <w:pPr>
        <w:pStyle w:val="2"/>
        <w:rPr>
          <w:rFonts w:ascii="Times New Roman" w:hAnsi="Times New Roman" w:eastAsia="仿宋_GB2312" w:cs="Times New Roman"/>
          <w:kern w:val="0"/>
          <w:szCs w:val="21"/>
        </w:rPr>
      </w:pPr>
    </w:p>
    <w:p>
      <w:pPr>
        <w:rPr>
          <w:rFonts w:ascii="Times New Roman" w:hAnsi="Times New Roman" w:eastAsia="仿宋_GB2312" w:cs="Times New Roman"/>
          <w:kern w:val="0"/>
          <w:szCs w:val="21"/>
        </w:rPr>
      </w:pPr>
    </w:p>
    <w:p>
      <w:pPr>
        <w:pStyle w:val="2"/>
      </w:pPr>
    </w:p>
    <w:p>
      <w:pPr>
        <w:widowControl/>
        <w:jc w:val="left"/>
        <w:rPr>
          <w:rFonts w:ascii="黑体" w:hAnsi="黑体" w:eastAsia="黑体"/>
          <w:szCs w:val="21"/>
        </w:rPr>
      </w:pPr>
    </w:p>
    <w:tbl>
      <w:tblPr>
        <w:tblStyle w:val="5"/>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公开08表</w:t>
            </w:r>
          </w:p>
        </w:tc>
      </w:tr>
      <w:tr>
        <w:tblPrEx>
          <w:tblCellMar>
            <w:top w:w="0" w:type="dxa"/>
            <w:left w:w="108" w:type="dxa"/>
            <w:bottom w:w="0" w:type="dxa"/>
            <w:right w:w="108" w:type="dxa"/>
          </w:tblCellMar>
        </w:tblPrEx>
        <w:trPr>
          <w:trHeight w:val="350" w:hRule="atLeast"/>
        </w:trPr>
        <w:tc>
          <w:tcPr>
            <w:tcW w:w="4835"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lang w:eastAsia="zh-CN"/>
              </w:rPr>
              <w:t>编制单位</w:t>
            </w:r>
            <w:r>
              <w:rPr>
                <w:rFonts w:hint="eastAsia" w:ascii="宋体" w:hAnsi="宋体" w:eastAsia="宋体" w:cs="宋体"/>
                <w:color w:val="000000"/>
                <w:kern w:val="0"/>
                <w:sz w:val="20"/>
                <w:szCs w:val="20"/>
              </w:rPr>
              <w:t>：湖南省老干部活动中心</w:t>
            </w:r>
          </w:p>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jc w:val="left"/>
              <w:rPr>
                <w:rFonts w:ascii="宋体" w:hAnsi="宋体" w:eastAsia="仿宋_GB2312" w:cs="宋体"/>
                <w:kern w:val="0"/>
                <w:sz w:val="24"/>
                <w:szCs w:val="24"/>
              </w:rPr>
            </w:pPr>
            <w:r>
              <w:rPr>
                <w:rFonts w:hint="eastAsia" w:ascii="Times New Roman" w:hAnsi="Times New Roman" w:eastAsia="仿宋_GB2312" w:cs="Times New Roman"/>
                <w:kern w:val="0"/>
                <w:szCs w:val="21"/>
              </w:rPr>
              <w:t>（说明：湖南省老干部活动中心没有国有资本经营预算财政拨款收入，也没有使用国有资本经营预算财政拨款安排的支出，故本表无数据。）</w:t>
            </w:r>
          </w:p>
        </w:tc>
      </w:tr>
    </w:tbl>
    <w:p>
      <w:pPr>
        <w:pStyle w:val="10"/>
        <w:rPr>
          <w:sz w:val="72"/>
          <w:szCs w:val="72"/>
        </w:rPr>
      </w:pPr>
    </w:p>
    <w:p>
      <w:pPr>
        <w:pStyle w:val="10"/>
        <w:rPr>
          <w:sz w:val="72"/>
          <w:szCs w:val="72"/>
        </w:rPr>
      </w:pPr>
    </w:p>
    <w:p>
      <w:pPr>
        <w:pStyle w:val="10"/>
        <w:rPr>
          <w:sz w:val="72"/>
          <w:szCs w:val="72"/>
        </w:rPr>
      </w:pPr>
    </w:p>
    <w:p>
      <w:pPr>
        <w:pStyle w:val="10"/>
        <w:rPr>
          <w:sz w:val="72"/>
          <w:szCs w:val="72"/>
        </w:rPr>
      </w:pPr>
    </w:p>
    <w:tbl>
      <w:tblPr>
        <w:tblStyle w:val="5"/>
        <w:tblW w:w="4998" w:type="pct"/>
        <w:tblInd w:w="0" w:type="dxa"/>
        <w:tblLayout w:type="fixed"/>
        <w:tblCellMar>
          <w:top w:w="0" w:type="dxa"/>
          <w:left w:w="0" w:type="dxa"/>
          <w:bottom w:w="0" w:type="dxa"/>
          <w:right w:w="0" w:type="dxa"/>
        </w:tblCellMar>
      </w:tblPr>
      <w:tblGrid>
        <w:gridCol w:w="1357"/>
        <w:gridCol w:w="1897"/>
        <w:gridCol w:w="688"/>
        <w:gridCol w:w="1203"/>
        <w:gridCol w:w="1857"/>
        <w:gridCol w:w="1721"/>
        <w:gridCol w:w="1200"/>
        <w:gridCol w:w="1786"/>
        <w:gridCol w:w="802"/>
        <w:gridCol w:w="913"/>
        <w:gridCol w:w="1104"/>
        <w:gridCol w:w="894"/>
      </w:tblGrid>
      <w:tr>
        <w:tblPrEx>
          <w:tblCellMar>
            <w:top w:w="0" w:type="dxa"/>
            <w:left w:w="0" w:type="dxa"/>
            <w:bottom w:w="0" w:type="dxa"/>
            <w:right w:w="0" w:type="dxa"/>
          </w:tblCellMar>
        </w:tblPrEx>
        <w:trPr>
          <w:trHeight w:val="375" w:hRule="atLeast"/>
        </w:trPr>
        <w:tc>
          <w:tcPr>
            <w:tcW w:w="5000" w:type="pct"/>
            <w:gridSpan w:val="12"/>
            <w:tcBorders>
              <w:top w:val="nil"/>
              <w:left w:val="nil"/>
              <w:bottom w:val="nil"/>
              <w:right w:val="nil"/>
            </w:tcBorders>
            <w:shd w:val="clear" w:color="auto" w:fill="FFFFFF"/>
            <w:noWrap/>
            <w:tcMar>
              <w:top w:w="15" w:type="dxa"/>
              <w:left w:w="15" w:type="dxa"/>
              <w:right w:w="15" w:type="dxa"/>
            </w:tcMar>
            <w:vAlign w:val="center"/>
          </w:tcPr>
          <w:p>
            <w:pPr>
              <w:jc w:val="center"/>
              <w:rPr>
                <w:rFonts w:ascii="宋体" w:hAnsi="宋体" w:eastAsia="宋体" w:cs="宋体"/>
                <w:color w:val="000000"/>
                <w:sz w:val="18"/>
                <w:szCs w:val="18"/>
              </w:rPr>
            </w:pPr>
            <w:r>
              <w:rPr>
                <w:rFonts w:hint="eastAsia" w:ascii="黑体" w:hAnsi="Arial" w:eastAsia="黑体" w:cs="黑体"/>
                <w:color w:val="000000"/>
                <w:kern w:val="0"/>
                <w:sz w:val="30"/>
                <w:szCs w:val="30"/>
              </w:rPr>
              <w:t>财政拨款“三公”经费支出决算表</w:t>
            </w:r>
          </w:p>
        </w:tc>
      </w:tr>
      <w:tr>
        <w:tblPrEx>
          <w:tblCellMar>
            <w:top w:w="0" w:type="dxa"/>
            <w:left w:w="0" w:type="dxa"/>
            <w:bottom w:w="0" w:type="dxa"/>
            <w:right w:w="0" w:type="dxa"/>
          </w:tblCellMar>
        </w:tblPrEx>
        <w:trPr>
          <w:trHeight w:val="300" w:hRule="atLeast"/>
        </w:trPr>
        <w:tc>
          <w:tcPr>
            <w:tcW w:w="440" w:type="pct"/>
            <w:tcBorders>
              <w:top w:val="nil"/>
              <w:left w:val="nil"/>
              <w:bottom w:val="nil"/>
              <w:right w:val="nil"/>
            </w:tcBorders>
            <w:shd w:val="clear" w:color="auto" w:fill="FFFFFF"/>
            <w:noWrap/>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预算代码：</w:t>
            </w:r>
          </w:p>
        </w:tc>
        <w:tc>
          <w:tcPr>
            <w:tcW w:w="614"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23"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390"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601"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556"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389"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579"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60"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96" w:type="pct"/>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646" w:type="pct"/>
            <w:gridSpan w:val="2"/>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公开09表</w:t>
            </w:r>
          </w:p>
        </w:tc>
      </w:tr>
      <w:tr>
        <w:tblPrEx>
          <w:tblCellMar>
            <w:top w:w="0" w:type="dxa"/>
            <w:left w:w="0" w:type="dxa"/>
            <w:bottom w:w="0" w:type="dxa"/>
            <w:right w:w="0" w:type="dxa"/>
          </w:tblCellMar>
        </w:tblPrEx>
        <w:trPr>
          <w:trHeight w:val="300" w:hRule="atLeast"/>
        </w:trPr>
        <w:tc>
          <w:tcPr>
            <w:tcW w:w="1055" w:type="pct"/>
            <w:gridSpan w:val="2"/>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lang w:eastAsia="zh-CN"/>
              </w:rPr>
              <w:t>编制单位</w:t>
            </w:r>
            <w:r>
              <w:rPr>
                <w:rFonts w:hint="eastAsia" w:ascii="宋体" w:hAnsi="宋体" w:eastAsia="宋体" w:cs="宋体"/>
                <w:color w:val="000000"/>
                <w:kern w:val="0"/>
                <w:sz w:val="22"/>
              </w:rPr>
              <w:t>：湖南省老干部活动中心</w:t>
            </w:r>
          </w:p>
        </w:tc>
        <w:tc>
          <w:tcPr>
            <w:tcW w:w="223" w:type="pct"/>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390" w:type="pct"/>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601" w:type="pct"/>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946" w:type="pct"/>
            <w:gridSpan w:val="2"/>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579" w:type="pct"/>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60" w:type="pct"/>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942" w:type="pct"/>
            <w:gridSpan w:val="3"/>
            <w:tcBorders>
              <w:top w:val="nil"/>
              <w:left w:val="nil"/>
              <w:bottom w:val="single" w:color="808080" w:sz="4" w:space="0"/>
              <w:right w:val="nil"/>
            </w:tcBorders>
            <w:shd w:val="clear" w:color="auto" w:fill="FFFFFF"/>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金额单位：万元</w:t>
            </w:r>
          </w:p>
        </w:tc>
      </w:tr>
      <w:tr>
        <w:tblPrEx>
          <w:tblCellMar>
            <w:top w:w="0" w:type="dxa"/>
            <w:left w:w="0" w:type="dxa"/>
            <w:bottom w:w="0" w:type="dxa"/>
            <w:right w:w="0" w:type="dxa"/>
          </w:tblCellMar>
        </w:tblPrEx>
        <w:trPr>
          <w:trHeight w:val="369" w:hRule="atLeast"/>
        </w:trPr>
        <w:tc>
          <w:tcPr>
            <w:tcW w:w="2828" w:type="pct"/>
            <w:gridSpan w:val="6"/>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预算数</w:t>
            </w:r>
          </w:p>
        </w:tc>
        <w:tc>
          <w:tcPr>
            <w:tcW w:w="2171" w:type="pct"/>
            <w:gridSpan w:val="6"/>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决算数</w:t>
            </w:r>
          </w:p>
        </w:tc>
      </w:tr>
      <w:tr>
        <w:tblPrEx>
          <w:tblCellMar>
            <w:top w:w="0" w:type="dxa"/>
            <w:left w:w="0" w:type="dxa"/>
            <w:bottom w:w="0" w:type="dxa"/>
            <w:right w:w="0" w:type="dxa"/>
          </w:tblCellMar>
        </w:tblPrEx>
        <w:trPr>
          <w:trHeight w:val="300" w:hRule="atLeast"/>
        </w:trPr>
        <w:tc>
          <w:tcPr>
            <w:tcW w:w="44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合计</w:t>
            </w:r>
          </w:p>
        </w:tc>
        <w:tc>
          <w:tcPr>
            <w:tcW w:w="614" w:type="pct"/>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因公出国（境）费</w:t>
            </w:r>
          </w:p>
        </w:tc>
        <w:tc>
          <w:tcPr>
            <w:tcW w:w="1215" w:type="pct"/>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公务用车购置及运行费</w:t>
            </w:r>
          </w:p>
        </w:tc>
        <w:tc>
          <w:tcPr>
            <w:tcW w:w="556" w:type="pct"/>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公务接待费</w:t>
            </w:r>
          </w:p>
        </w:tc>
        <w:tc>
          <w:tcPr>
            <w:tcW w:w="389" w:type="pct"/>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合计</w:t>
            </w:r>
          </w:p>
        </w:tc>
        <w:tc>
          <w:tcPr>
            <w:tcW w:w="579" w:type="pct"/>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因公出国（境）费</w:t>
            </w:r>
          </w:p>
        </w:tc>
        <w:tc>
          <w:tcPr>
            <w:tcW w:w="914" w:type="pct"/>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公务用车购置及运行费</w:t>
            </w:r>
          </w:p>
        </w:tc>
        <w:tc>
          <w:tcPr>
            <w:tcW w:w="288" w:type="pct"/>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公务接待费</w:t>
            </w:r>
          </w:p>
        </w:tc>
      </w:tr>
      <w:tr>
        <w:tblPrEx>
          <w:tblCellMar>
            <w:top w:w="0" w:type="dxa"/>
            <w:left w:w="0" w:type="dxa"/>
            <w:bottom w:w="0" w:type="dxa"/>
            <w:right w:w="0" w:type="dxa"/>
          </w:tblCellMar>
        </w:tblPrEx>
        <w:trPr>
          <w:trHeight w:val="600" w:hRule="atLeast"/>
        </w:trPr>
        <w:tc>
          <w:tcPr>
            <w:tcW w:w="44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614" w:type="pct"/>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23"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小计</w:t>
            </w:r>
          </w:p>
        </w:tc>
        <w:tc>
          <w:tcPr>
            <w:tcW w:w="390"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公务用车购置费</w:t>
            </w:r>
          </w:p>
        </w:tc>
        <w:tc>
          <w:tcPr>
            <w:tcW w:w="601"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公务用车运行费</w:t>
            </w:r>
          </w:p>
        </w:tc>
        <w:tc>
          <w:tcPr>
            <w:tcW w:w="556" w:type="pct"/>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89" w:type="pct"/>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579" w:type="pct"/>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60"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小计</w:t>
            </w:r>
          </w:p>
        </w:tc>
        <w:tc>
          <w:tcPr>
            <w:tcW w:w="296"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公务用车购置费</w:t>
            </w:r>
          </w:p>
        </w:tc>
        <w:tc>
          <w:tcPr>
            <w:tcW w:w="357"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公务用车运行费</w:t>
            </w:r>
          </w:p>
        </w:tc>
        <w:tc>
          <w:tcPr>
            <w:tcW w:w="288" w:type="pct"/>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440"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614"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223"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390"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601"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556"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c>
          <w:tcPr>
            <w:tcW w:w="389"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w:t>
            </w:r>
          </w:p>
        </w:tc>
        <w:tc>
          <w:tcPr>
            <w:tcW w:w="579"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w:t>
            </w:r>
          </w:p>
        </w:tc>
        <w:tc>
          <w:tcPr>
            <w:tcW w:w="260"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w:t>
            </w:r>
          </w:p>
        </w:tc>
        <w:tc>
          <w:tcPr>
            <w:tcW w:w="296"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357"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w:t>
            </w:r>
          </w:p>
        </w:tc>
        <w:tc>
          <w:tcPr>
            <w:tcW w:w="288" w:type="pc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w:t>
            </w:r>
          </w:p>
        </w:tc>
      </w:tr>
      <w:tr>
        <w:tblPrEx>
          <w:tblCellMar>
            <w:top w:w="0" w:type="dxa"/>
            <w:left w:w="0" w:type="dxa"/>
            <w:bottom w:w="0" w:type="dxa"/>
            <w:right w:w="0" w:type="dxa"/>
          </w:tblCellMar>
        </w:tblPrEx>
        <w:trPr>
          <w:trHeight w:val="300" w:hRule="atLeast"/>
        </w:trPr>
        <w:tc>
          <w:tcPr>
            <w:tcW w:w="440"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0.75</w:t>
            </w:r>
          </w:p>
        </w:tc>
        <w:tc>
          <w:tcPr>
            <w:tcW w:w="61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2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390"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60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55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0.75</w:t>
            </w:r>
          </w:p>
        </w:tc>
        <w:tc>
          <w:tcPr>
            <w:tcW w:w="38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0.38</w:t>
            </w:r>
          </w:p>
        </w:tc>
        <w:tc>
          <w:tcPr>
            <w:tcW w:w="5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60"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9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35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8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0.38</w:t>
            </w:r>
          </w:p>
        </w:tc>
      </w:tr>
      <w:tr>
        <w:tblPrEx>
          <w:tblCellMar>
            <w:top w:w="0" w:type="dxa"/>
            <w:left w:w="0" w:type="dxa"/>
            <w:bottom w:w="0" w:type="dxa"/>
            <w:right w:w="0" w:type="dxa"/>
          </w:tblCellMar>
        </w:tblPrEx>
        <w:trPr>
          <w:trHeight w:val="600" w:hRule="atLeast"/>
        </w:trPr>
        <w:tc>
          <w:tcPr>
            <w:tcW w:w="5000" w:type="pct"/>
            <w:gridSpan w:val="12"/>
            <w:tcBorders>
              <w:top w:val="nil"/>
              <w:left w:val="nil"/>
              <w:bottom w:val="nil"/>
              <w:right w:val="nil"/>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widowControl/>
        <w:jc w:val="left"/>
        <w:rPr>
          <w:rFonts w:ascii="宋体" w:eastAsia="宋体" w:cs="宋体"/>
          <w:kern w:val="0"/>
          <w:sz w:val="24"/>
          <w:szCs w:val="24"/>
        </w:rPr>
      </w:pPr>
      <w:r>
        <w:rPr>
          <w:rFonts w:ascii="Times New Roman" w:hAnsi="Times New Roman" w:eastAsia="仿宋_GB2312" w:cs="Times New Roman"/>
          <w:bCs/>
          <w:kern w:val="0"/>
          <w:szCs w:val="21"/>
        </w:rPr>
        <w:br w:type="page"/>
      </w:r>
    </w:p>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2"/>
          <w:szCs w:val="72"/>
        </w:rPr>
      </w:pPr>
    </w:p>
    <w:p>
      <w:pPr>
        <w:pStyle w:val="10"/>
        <w:jc w:val="center"/>
        <w:rPr>
          <w:sz w:val="72"/>
          <w:szCs w:val="72"/>
        </w:rPr>
      </w:pPr>
      <w:r>
        <w:rPr>
          <w:sz w:val="72"/>
          <w:szCs w:val="72"/>
        </w:rPr>
        <w:t>20</w:t>
      </w:r>
      <w:r>
        <w:rPr>
          <w:rFonts w:hint="eastAsia"/>
          <w:sz w:val="72"/>
          <w:szCs w:val="72"/>
        </w:rPr>
        <w:t>22年度部门决算情况说明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ind w:firstLine="640" w:firstLineChars="200"/>
        <w:rPr>
          <w:rFonts w:hAnsi="黑体"/>
          <w:sz w:val="32"/>
          <w:szCs w:val="32"/>
        </w:rPr>
      </w:pPr>
      <w:r>
        <w:rPr>
          <w:rFonts w:hint="eastAsia" w:hAnsi="黑体"/>
          <w:sz w:val="32"/>
          <w:szCs w:val="32"/>
        </w:rPr>
        <w:t>一、收入支出决算总体情况说明</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收入总计3882.61万元，与上年相比，增加2199.01万元，增加130.61%。支出总计3882.61元，与上年相比，增加2199.01万元，增加130.61%。主要是因为南山楼维修改造经费以及人员经费增加导致收支总计较上年度增加。</w:t>
      </w:r>
    </w:p>
    <w:p>
      <w:pPr>
        <w:pStyle w:val="10"/>
        <w:ind w:firstLine="640" w:firstLineChars="200"/>
        <w:rPr>
          <w:rFonts w:hAnsi="黑体"/>
          <w:sz w:val="32"/>
          <w:szCs w:val="32"/>
        </w:rPr>
      </w:pPr>
      <w:r>
        <w:rPr>
          <w:rFonts w:hint="eastAsia" w:hAnsi="黑体"/>
          <w:sz w:val="32"/>
          <w:szCs w:val="32"/>
        </w:rPr>
        <w:t>二、收入决算情况说明</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2022年度收入合计3862.61万元，其中：财政拨款收入3829.56万元，占99.14%；上级补助收入0万元，占0%；事业收入0万元，占0%；经营收入0万元，占0%；附属单位上缴收入0万元，占0%；其他收入33.05万元，占0.86%。</w:t>
      </w:r>
    </w:p>
    <w:p>
      <w:pPr>
        <w:pStyle w:val="10"/>
        <w:ind w:firstLine="640" w:firstLineChars="200"/>
        <w:rPr>
          <w:rFonts w:hAnsi="黑体"/>
          <w:sz w:val="32"/>
          <w:szCs w:val="32"/>
        </w:rPr>
      </w:pPr>
      <w:r>
        <w:rPr>
          <w:rFonts w:hint="eastAsia" w:hAnsi="黑体"/>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imes New Roman" w:hAnsi="Times New Roman" w:eastAsia="仿宋_GB2312"/>
          <w:sz w:val="32"/>
          <w:szCs w:val="32"/>
        </w:rPr>
        <w:t>2022年度支出合计3632.06万元，其中：基本支出2362.41.41万元，占65.04%；项目支出1269.65万元，占34.96%；上缴上级支出0万元，占0%；经营支出0万元，占0%；对附属单位补助支出0万元，占0%。</w:t>
      </w:r>
    </w:p>
    <w:p>
      <w:pPr>
        <w:pStyle w:val="10"/>
        <w:ind w:firstLine="640" w:firstLineChars="200"/>
        <w:rPr>
          <w:rFonts w:hAnsi="黑体"/>
          <w:sz w:val="32"/>
          <w:szCs w:val="32"/>
        </w:rPr>
      </w:pPr>
      <w:r>
        <w:rPr>
          <w:rFonts w:hint="eastAsia" w:hAnsi="黑体"/>
          <w:sz w:val="32"/>
          <w:szCs w:val="32"/>
        </w:rPr>
        <w:t>四、财政拨款收入支出决算总体情况说明</w:t>
      </w:r>
    </w:p>
    <w:p>
      <w:pPr>
        <w:pStyle w:val="1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w:t>
      </w:r>
      <w:r>
        <w:rPr>
          <w:rFonts w:hint="eastAsia" w:ascii="Times New Roman" w:hAnsi="Times New Roman" w:eastAsia="仿宋_GB2312"/>
          <w:sz w:val="32"/>
          <w:szCs w:val="32"/>
        </w:rPr>
        <w:t xml:space="preserve"> 2022年度财政拨款收入总计3849.56</w:t>
      </w:r>
      <w:r>
        <w:rPr>
          <w:rFonts w:hint="eastAsia" w:ascii="Times New Roman" w:hAnsi="Times New Roman" w:eastAsia="仿宋_GB2312"/>
          <w:sz w:val="32"/>
          <w:szCs w:val="32"/>
          <w:lang w:eastAsia="zh-CN"/>
        </w:rPr>
        <w:t>万</w:t>
      </w:r>
      <w:r>
        <w:rPr>
          <w:rFonts w:hint="eastAsia" w:ascii="Times New Roman" w:hAnsi="Times New Roman" w:eastAsia="仿宋_GB2312"/>
          <w:sz w:val="32"/>
          <w:szCs w:val="32"/>
        </w:rPr>
        <w:t>元，与上年相比，增加2196.71万元,增加132.9%。2022年度财政拨款支出总计3849.56</w:t>
      </w:r>
      <w:r>
        <w:rPr>
          <w:rFonts w:hint="eastAsia" w:ascii="Times New Roman" w:hAnsi="Times New Roman" w:eastAsia="仿宋_GB2312"/>
          <w:sz w:val="32"/>
          <w:szCs w:val="32"/>
          <w:lang w:eastAsia="zh-CN"/>
        </w:rPr>
        <w:t>万</w:t>
      </w:r>
      <w:r>
        <w:rPr>
          <w:rFonts w:hint="eastAsia" w:ascii="Times New Roman" w:hAnsi="Times New Roman" w:eastAsia="仿宋_GB2312"/>
          <w:sz w:val="32"/>
          <w:szCs w:val="32"/>
        </w:rPr>
        <w:t>元，与上年相比，增加2196.71万元,增加132.9%。主要因为南山楼维修改造经费以及人员经费增加导致收支总计较上年度减少。</w:t>
      </w:r>
    </w:p>
    <w:p>
      <w:pPr>
        <w:pStyle w:val="10"/>
        <w:ind w:firstLine="640" w:firstLineChars="200"/>
        <w:rPr>
          <w:rFonts w:hAnsi="黑体"/>
          <w:sz w:val="32"/>
          <w:szCs w:val="32"/>
        </w:rPr>
      </w:pPr>
      <w:r>
        <w:rPr>
          <w:rFonts w:hint="eastAsia" w:hAnsi="黑体"/>
          <w:sz w:val="32"/>
          <w:szCs w:val="32"/>
        </w:rPr>
        <w:t>五、一般公共预算财政拨款支出决算情况说明</w:t>
      </w:r>
    </w:p>
    <w:p>
      <w:pPr>
        <w:pStyle w:val="10"/>
        <w:ind w:firstLine="640" w:firstLineChars="200"/>
        <w:rPr>
          <w:rFonts w:ascii="楷体" w:hAnsi="楷体" w:eastAsia="楷体" w:cs="楷体"/>
          <w:bCs/>
          <w:sz w:val="32"/>
          <w:szCs w:val="32"/>
        </w:rPr>
      </w:pPr>
      <w:r>
        <w:rPr>
          <w:rFonts w:hint="eastAsia" w:ascii="楷体" w:hAnsi="楷体" w:eastAsia="楷体" w:cs="楷体"/>
          <w:bCs/>
          <w:sz w:val="32"/>
          <w:szCs w:val="32"/>
        </w:rPr>
        <w:t>（一）财政拨款支出决算总体情况</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2022年度财政拨款支出3599.01</w:t>
      </w:r>
      <w:r>
        <w:rPr>
          <w:rFonts w:hint="eastAsia" w:ascii="Times New Roman" w:hAnsi="Times New Roman" w:eastAsia="仿宋_GB2312"/>
          <w:sz w:val="32"/>
          <w:szCs w:val="32"/>
          <w:lang w:eastAsia="zh-CN"/>
        </w:rPr>
        <w:t>万</w:t>
      </w:r>
      <w:r>
        <w:rPr>
          <w:rFonts w:hint="eastAsia" w:ascii="Times New Roman" w:hAnsi="Times New Roman" w:eastAsia="仿宋_GB2312"/>
          <w:sz w:val="32"/>
          <w:szCs w:val="32"/>
        </w:rPr>
        <w:t>元，占本年支出合计的99.09%，与上年相比，财政拨款支出增加1966.81万元，增加120.5%，主要是因为南山楼维修改造经费以及人员经费增加导致财政拨款支出较上年度增加。</w:t>
      </w:r>
    </w:p>
    <w:p>
      <w:pPr>
        <w:pStyle w:val="10"/>
        <w:ind w:firstLine="640" w:firstLineChars="200"/>
        <w:rPr>
          <w:rFonts w:ascii="楷体" w:hAnsi="楷体" w:eastAsia="楷体" w:cs="楷体"/>
          <w:bCs/>
          <w:sz w:val="32"/>
          <w:szCs w:val="32"/>
        </w:rPr>
      </w:pPr>
      <w:r>
        <w:rPr>
          <w:rFonts w:hint="eastAsia" w:ascii="楷体" w:hAnsi="楷体" w:eastAsia="楷体" w:cs="楷体"/>
          <w:bCs/>
          <w:sz w:val="32"/>
          <w:szCs w:val="32"/>
        </w:rPr>
        <w:t>（二）财政拨款支出决算结构情况</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支出3599.01万元，主要用于以下方面：一般公共服务（类）支出2861.03万元，占79.50%；教育（类）支出0万元，占0%;社会保障和就业（类）支出532.98万元，占14.81%；卫生健康（类）支出105万元，占2.92%；节能环保（类）支出0万元，占0%；住房保障（类）支出100万元，占2.77%。</w:t>
      </w:r>
    </w:p>
    <w:p>
      <w:pPr>
        <w:pStyle w:val="10"/>
        <w:ind w:firstLine="640" w:firstLineChars="200"/>
        <w:rPr>
          <w:rFonts w:ascii="楷体" w:hAnsi="楷体" w:eastAsia="楷体" w:cs="楷体"/>
          <w:bCs/>
          <w:sz w:val="32"/>
          <w:szCs w:val="32"/>
        </w:rPr>
      </w:pPr>
      <w:r>
        <w:rPr>
          <w:rFonts w:hint="eastAsia" w:ascii="楷体" w:hAnsi="楷体" w:eastAsia="楷体" w:cs="楷体"/>
          <w:bCs/>
          <w:sz w:val="32"/>
          <w:szCs w:val="32"/>
        </w:rPr>
        <w:t>（三）财政拨款支出决算具体情况</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2022年度财政拨款支出年初预算数为1496.08万元，支出决算数为3599.01万元，完成年初预算的240.56%，其中：</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1、一般公共服务支出（类）发展与改革事务（款）其他发展与改革事务支出（项）。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年初预算为0万元，支出决算为398.08万元，无年初预算，决算数大于年初预算数的主要原因是：年中追加南山楼维修改造经费。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2、一般公共服务支出（类）其他共产党事务支出（款）行政运行（项）。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年初预算为767.33万元，支出决算为1641.3万元，完成年初预算的213.90%，决算数大于年初预算数的主要原因是：年中追加了政府绩效考核经费等。</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3、一般公共服务支出（类）其他共产党事务支出（款）一般行政管理事务（项）。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年初预算为318.75元，支出决算为821.57万元，完成年初预算的257.75%，决算数大于年初预算数的主要原因是：年中追加了南山楼前期经费以及省直单位专项经费等。</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4、社会保障和就业支出（类）行政事业单位养老支出（款）行政单位离退休（项）。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年初预算为0万元，支出决算为294.54万元，无年初预算，决算数大于年初预算数的主要原因是：年中追加退休人员绩效考核经费。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5、社会保障和就业支出（类）行政事业单位养老支出（款）事业单位离退休（项）。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年初预算为115万元，支出决算为113.88万元，完成年初预算的99.02%，决算数大于年初预算数的主要原因是：年终追加退休人员绩效考核经费。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6、社会保障和就业支出（类）行政事业单位养老支出（款）机关事业单位基本养老保险缴费支出（项）。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年初预算为80万元，支出决算为80万元，完成年初预算的100%，决算数约等于年初预算数。</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7、社会保障和就业支出（类）抚恤（款）死亡抚恤（项）。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年初预算为0万元，支出决算为34.56万元，无年初预算，决算数大于年初预算数的主要原因是：年中有离退休人员去世追加抚恤金。</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8、社会保障和就业支出（类）其他社会保障和就业支出（款）其他社会保障和就业支出（项）。</w:t>
      </w:r>
    </w:p>
    <w:p>
      <w:pPr>
        <w:pStyle w:val="10"/>
        <w:rPr>
          <w:rFonts w:ascii="Times New Roman" w:hAnsi="Times New Roman" w:eastAsia="仿宋_GB2312"/>
          <w:sz w:val="32"/>
          <w:szCs w:val="32"/>
        </w:rPr>
      </w:pPr>
      <w:r>
        <w:rPr>
          <w:rFonts w:hint="eastAsia" w:ascii="Times New Roman" w:hAnsi="Times New Roman" w:eastAsia="仿宋_GB2312"/>
          <w:sz w:val="32"/>
          <w:szCs w:val="32"/>
        </w:rPr>
        <w:t>年初预算为10万元，支出决算为10万元，完成年初预算的100%，决算数等于年初预算数。</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9、卫生健康支出（类）行政事业单位医疗（款）事业单位医疗（项）。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年初预算为60万元，支出决算为60万元，完成年初预算的100%，决算数等于年初预算数。</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10、卫生健康支出（类）行政事业单位医疗（款）公务员医疗补助（项）。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年初预算为45万元，支出决算为45万元，完成年初预算的100%，决算数等于年初预算数。</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11、住房保障支出（类）住房改革支出（款）住房公积金（项）。</w:t>
      </w:r>
    </w:p>
    <w:p>
      <w:pPr>
        <w:pStyle w:val="10"/>
        <w:rPr>
          <w:rFonts w:ascii="Times New Roman" w:hAnsi="Times New Roman" w:eastAsia="仿宋_GB2312"/>
          <w:sz w:val="32"/>
          <w:szCs w:val="32"/>
        </w:rPr>
      </w:pPr>
      <w:r>
        <w:rPr>
          <w:rFonts w:hint="eastAsia" w:ascii="Times New Roman" w:hAnsi="Times New Roman" w:eastAsia="仿宋_GB2312"/>
          <w:sz w:val="32"/>
          <w:szCs w:val="32"/>
        </w:rPr>
        <w:t>年初预算为100万元，支出决算为100万元，完成年初预算的100%，决算数等于年初预算数。</w:t>
      </w:r>
    </w:p>
    <w:p>
      <w:pPr>
        <w:pStyle w:val="10"/>
        <w:ind w:firstLine="640" w:firstLineChars="200"/>
        <w:rPr>
          <w:rFonts w:hAnsi="黑体"/>
          <w:sz w:val="32"/>
          <w:szCs w:val="32"/>
        </w:rPr>
      </w:pPr>
      <w:r>
        <w:rPr>
          <w:rFonts w:hint="eastAsia" w:hAnsi="黑体"/>
          <w:sz w:val="32"/>
          <w:szCs w:val="32"/>
        </w:rPr>
        <w:t>六、一般公共预算财政拨款基本支出决算情况说明</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2022年度财政拨款基本支出2329.36万元，其中：人员经费201</w:t>
      </w: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5万元，占基本支出的86.44%,主要包括基本工资、津贴补贴、奖金、伙食补助费、机关事业单位基本养老保险缴费、职工基本医疗保险缴费、公务员医疗补助缴费、其他社会保障缴费、住房公积金、退休费、抚恤金、奖励金和其他对个人和家庭的补助等；公用经费312.86万元，占基本支出的13.56%，主要包括办公费、印刷费、手续费、水费、电费、邮电费、物业管理费、差旅费、维修（护）费、租赁费、公务接待费、劳务费、工会经费、福利费、其他交通费用和其他商品服务支出等。</w:t>
      </w:r>
    </w:p>
    <w:p>
      <w:pPr>
        <w:pStyle w:val="10"/>
        <w:ind w:firstLine="640" w:firstLineChars="200"/>
        <w:rPr>
          <w:rFonts w:hAnsi="黑体"/>
          <w:sz w:val="32"/>
          <w:szCs w:val="32"/>
        </w:rPr>
      </w:pPr>
      <w:r>
        <w:rPr>
          <w:rFonts w:hint="eastAsia" w:hAnsi="黑体"/>
          <w:sz w:val="32"/>
          <w:szCs w:val="32"/>
        </w:rPr>
        <w:t>七、一般公共预算财政拨款“三公”经费支出决算情况说明</w:t>
      </w:r>
    </w:p>
    <w:p>
      <w:pPr>
        <w:pStyle w:val="10"/>
        <w:spacing w:line="600" w:lineRule="exact"/>
        <w:ind w:firstLine="640" w:firstLineChars="200"/>
        <w:rPr>
          <w:rFonts w:ascii="楷体" w:hAnsi="楷体" w:eastAsia="楷体" w:cs="楷体"/>
          <w:bCs/>
          <w:sz w:val="32"/>
          <w:szCs w:val="32"/>
        </w:rPr>
      </w:pPr>
      <w:r>
        <w:rPr>
          <w:rFonts w:hint="eastAsia" w:ascii="楷体" w:hAnsi="楷体" w:eastAsia="楷体" w:cs="楷体"/>
          <w:bCs/>
          <w:sz w:val="32"/>
          <w:szCs w:val="32"/>
        </w:rPr>
        <w:t>（一）“三公”经费财政拨款支出决算总体情况说明</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年度“三公”经费财政拨款支出预算为0.75万元，支出决算为0.38万元，完成预算的50.6%，其中：</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因公出国（境）费支出预算为0万元，支出决算为0万元，无因公出国（境）费支出，上年度也无因公出国（境）费支出。</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公务接待费支出预算为0.75万元，支出决算为0.38万元，完成预算的50.56%，决算数小于预算数的主要原因是严格控制三公经费开支，与上年相比增加0.18万元，减90%,减少的主要原因是受疫情影响，公务接待活动较上年度减少。</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公务用车购置费支出预算为0万元，支出决算为0万元，无公务用车购置费支出。</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公务用车运行维护费支出预算为0万元，支出决算为0万元，无公务用车运行维护费支出。</w:t>
      </w:r>
    </w:p>
    <w:p>
      <w:pPr>
        <w:pStyle w:val="10"/>
        <w:spacing w:line="600" w:lineRule="exact"/>
        <w:ind w:firstLine="640" w:firstLineChars="200"/>
        <w:rPr>
          <w:rFonts w:ascii="楷体" w:hAnsi="楷体" w:eastAsia="楷体" w:cs="楷体"/>
          <w:bCs/>
          <w:sz w:val="32"/>
          <w:szCs w:val="32"/>
        </w:rPr>
      </w:pPr>
      <w:r>
        <w:rPr>
          <w:rFonts w:hint="eastAsia" w:ascii="楷体" w:hAnsi="楷体" w:eastAsia="楷体" w:cs="楷体"/>
          <w:bCs/>
          <w:sz w:val="32"/>
          <w:szCs w:val="32"/>
        </w:rPr>
        <w:t>（二）“三公”经费财政拨款支出决算具体情况说明</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2022年度“三公”经费财政拨款支出决算中，公务接待费支出决算0.38万元，占100%,因公出国（境）费支出决算0万元，占0%,公务用车购置费及运行维护费支出决算0万元，占0%。其中：</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1、因公出国（境）费支出决算为0万元，全年安排因公出国（境）团组0个，累计0人次,无开支内容。</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2、公务接待费支出决算为0.38万元，全年共接待来访团组3个，来访人次21人，主要是外省及市州老干部工作部门调研学习发生的接待支出。</w:t>
      </w:r>
    </w:p>
    <w:p>
      <w:pPr>
        <w:ind w:firstLine="640" w:firstLineChars="200"/>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3、公务用车购置费及运行维护费支出决算为0万元，其中：公务用车购置费0万元，无更新公务用车辆。公务用车运行维护费0万元，截止2022年12月31日，我单位开支财政拨款的公务用车保有量为0辆。</w:t>
      </w:r>
    </w:p>
    <w:p>
      <w:pPr>
        <w:pStyle w:val="10"/>
        <w:ind w:firstLine="640" w:firstLineChars="200"/>
        <w:rPr>
          <w:rFonts w:hAnsi="黑体"/>
          <w:sz w:val="32"/>
          <w:szCs w:val="32"/>
        </w:rPr>
      </w:pPr>
      <w:r>
        <w:rPr>
          <w:rFonts w:hint="eastAsia" w:hAnsi="黑体"/>
          <w:sz w:val="32"/>
          <w:szCs w:val="32"/>
        </w:rPr>
        <w:t>八、政府性基金预算收入支出决算情况</w:t>
      </w:r>
    </w:p>
    <w:p>
      <w:pPr>
        <w:pStyle w:val="10"/>
        <w:ind w:firstLine="627" w:firstLineChars="196"/>
        <w:rPr>
          <w:rFonts w:hAnsi="黑体"/>
          <w:b/>
          <w:sz w:val="32"/>
          <w:szCs w:val="32"/>
        </w:rPr>
      </w:pPr>
      <w:r>
        <w:rPr>
          <w:rFonts w:hint="eastAsia" w:ascii="Times New Roman" w:hAnsi="Times New Roman" w:eastAsia="仿宋_GB2312"/>
          <w:sz w:val="32"/>
          <w:szCs w:val="32"/>
        </w:rPr>
        <w:t>2022年度本单位无政府性基金预算收入支出，故公开表08表为空表。</w:t>
      </w:r>
    </w:p>
    <w:p>
      <w:pPr>
        <w:pStyle w:val="10"/>
        <w:ind w:firstLine="640" w:firstLineChars="200"/>
        <w:rPr>
          <w:rFonts w:hAnsi="黑体"/>
          <w:sz w:val="32"/>
          <w:szCs w:val="32"/>
        </w:rPr>
      </w:pPr>
      <w:r>
        <w:rPr>
          <w:rFonts w:hint="eastAsia" w:hAnsi="黑体"/>
          <w:sz w:val="32"/>
          <w:szCs w:val="32"/>
        </w:rPr>
        <w:t>九、</w:t>
      </w:r>
      <w:r>
        <w:rPr>
          <w:rFonts w:hint="eastAsia" w:hAnsi="黑体"/>
          <w:sz w:val="32"/>
          <w:szCs w:val="32"/>
          <w:lang w:eastAsia="zh-CN"/>
        </w:rPr>
        <w:t>关于</w:t>
      </w:r>
      <w:r>
        <w:rPr>
          <w:rFonts w:hint="eastAsia" w:hAnsi="黑体"/>
          <w:sz w:val="32"/>
          <w:szCs w:val="32"/>
        </w:rPr>
        <w:t>机关运行经费支出说明</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本单位2022年度机关运行经费支出312.85万元，比上年决算数增加198.55 万元，增加173.7%。主要原因是：活动场馆运行经费的增加。</w:t>
      </w:r>
    </w:p>
    <w:p>
      <w:pPr>
        <w:pStyle w:val="10"/>
        <w:ind w:firstLine="640" w:firstLineChars="200"/>
        <w:rPr>
          <w:rFonts w:hAnsi="黑体"/>
          <w:sz w:val="32"/>
          <w:szCs w:val="32"/>
        </w:rPr>
      </w:pPr>
      <w:r>
        <w:rPr>
          <w:rFonts w:hint="eastAsia" w:hAnsi="黑体"/>
          <w:sz w:val="32"/>
          <w:szCs w:val="32"/>
        </w:rPr>
        <w:t>十、一般性支出情况说明</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2022年本部门开支会议费0万元，无召开会议，人数0人；开支培训费0万元，无开展培训，人数0人；没有举办节庆、晚会、论坛、赛事活动，开支0万元。</w:t>
      </w:r>
    </w:p>
    <w:p>
      <w:pPr>
        <w:pStyle w:val="10"/>
        <w:ind w:firstLine="640" w:firstLineChars="200"/>
        <w:rPr>
          <w:rFonts w:hAnsi="黑体"/>
          <w:sz w:val="32"/>
          <w:szCs w:val="32"/>
        </w:rPr>
      </w:pPr>
      <w:r>
        <w:rPr>
          <w:rFonts w:hint="eastAsia" w:hAnsi="黑体"/>
          <w:sz w:val="32"/>
          <w:szCs w:val="32"/>
        </w:rPr>
        <w:t>十一、政府采购支出说明</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部门2022年度政府采购支出总额286.9万元，其中：政府采购货物支出208.57万元、政府采购工程支出78.33万元、政府采购服务支出0万元。授予中小企业合同金额208.57万元，占政府采购支出总额的100%，其中：授予小微企业合同金额208.27万元，占授予中小企业合同金额的99.86%；货物采购授予中小企业合同金额占货物支出金额的100%，工程采购授予中小企业合同金额占工程支出金额的99.86%</w:t>
      </w:r>
      <w:bookmarkStart w:id="1" w:name="_GoBack"/>
      <w:bookmarkEnd w:id="1"/>
      <w:r>
        <w:rPr>
          <w:rFonts w:hint="eastAsia" w:ascii="Times New Roman" w:hAnsi="Times New Roman" w:eastAsia="仿宋_GB2312"/>
          <w:sz w:val="32"/>
          <w:szCs w:val="32"/>
        </w:rPr>
        <w:t>。</w:t>
      </w:r>
    </w:p>
    <w:p>
      <w:pPr>
        <w:pStyle w:val="10"/>
        <w:ind w:firstLine="640" w:firstLineChars="200"/>
        <w:rPr>
          <w:rFonts w:hAnsi="黑体"/>
          <w:sz w:val="32"/>
          <w:szCs w:val="32"/>
        </w:rPr>
      </w:pPr>
      <w:r>
        <w:rPr>
          <w:rFonts w:hint="eastAsia" w:hAnsi="黑体"/>
          <w:sz w:val="32"/>
          <w:szCs w:val="32"/>
        </w:rPr>
        <w:t>十二、国有资产占用情况说明</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截至2022年12月31日，单位共有车辆0辆，其中，主要领导干部用车0辆，机要通信用车0辆、应急保障用车0辆、执法执勤用车0辆、特种专业技术用车0辆、其他用车0辆；单位价值50万元以上通用设备2台（套）；单位价值100万元以上专用设备0台（套）。</w:t>
      </w:r>
    </w:p>
    <w:p>
      <w:pPr>
        <w:pStyle w:val="10"/>
        <w:ind w:firstLine="640" w:firstLineChars="200"/>
        <w:rPr>
          <w:rFonts w:hAnsi="黑体"/>
          <w:sz w:val="32"/>
          <w:szCs w:val="32"/>
        </w:rPr>
      </w:pPr>
      <w:r>
        <w:rPr>
          <w:rFonts w:hint="eastAsia" w:hAnsi="黑体"/>
          <w:sz w:val="32"/>
          <w:szCs w:val="32"/>
        </w:rPr>
        <w:t>十三、2022年度预算绩效情况说明</w:t>
      </w:r>
    </w:p>
    <w:p>
      <w:pPr>
        <w:pStyle w:val="10"/>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（一）部门整体支出绩效情况</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2022年活动中心年初预算数1516.08万元。按收入性质分，其中：一般公共预算财政拨款收入1476.08万元（经费拨款1326.08万元，国有资产有偿使用收入150万元），其他收入20万元，上年结转结余20万元。全年实际执行</w:t>
      </w:r>
      <w:r>
        <w:rPr>
          <w:rFonts w:hint="eastAsia" w:ascii="仿宋_GB2312" w:hAnsi="仿宋_GB2312" w:eastAsia="仿宋_GB2312" w:cs="仿宋_GB2312"/>
          <w:sz w:val="32"/>
          <w:szCs w:val="32"/>
        </w:rPr>
        <w:t>数3632.06万元，按支出性质分，其中：基本支出2362.41万元，项目支出12</w:t>
      </w:r>
      <w:r>
        <w:rPr>
          <w:rFonts w:hint="eastAsia" w:ascii="Times New Roman" w:hAnsi="Times New Roman" w:eastAsia="仿宋_GB2312"/>
          <w:sz w:val="32"/>
          <w:szCs w:val="32"/>
        </w:rPr>
        <w:t>69.65万元；按经济分类分，其中：工资福利支出1573.52万元，商品和服务支出744.47万元，对个人和家庭的补助支出442.98万元，资本性支出（基本建设）398.08万元，资本性支出473万元。</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1、产出指标完成情况分析</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在数量指标方面，中心党委理论学习中心组学习16次，各党支部和协会临时党支部按照“六好”要求加强标准化规范化建设，更好发挥战斗堡垒作用，围绕中心组学习内容组织开展学习100余次。全年累计推送信息750余条，共计17万余人次点击阅读，阅读量近27万次，关注微信公众号的粉丝达到1.8万余人。承办金秋大讲堂7期，共1200余人参与；接待全省15个单位420余人来中心开展主题党日活动。承办全省离退休干部学习贯彻党的十九届六中全会和省第十二次党代会精神线上培训班，共700余人参与培训学习。迎春游艺活动累计103个单位近1700名老同志参加；圆满完成象棋、扑克牌、桥牌、书画等主题赛事，106个单位580余人次参赛；庆“七一”文艺汇演共计449人次参演。精心举办好7个专业兴趣班，接待服务省级老领导519人次，日常活动接待服务405人次。南山楼维修项目改造中整体的拆除工程、电气工程、排水工程、消防工程、暖通工程的完工进度都已达100%。</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在质量指标方面，维修工程付款时间按合同约定时间付款，办公楼维护修缮验收合格率为100%，工程验收均合格。</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在时效指标方面，本年度物业服务完成时间为2022年12月31日，2021年我们邀请第三方鉴定单位对南山楼房屋安全性进行了鉴定，在局务会的带领下，积极争取省发改委、省财政厅、省机关事务管理局、长沙市政府、市住建局、市资规局的支持，于2021年7月取得《南山楼维修改造项目可行性研究报告的批复》、2021年11月取得长沙市住建局《南山楼维修改造项目初步设计文件审批表》、2021年12月取得省发改委《关于南山楼维修改造项目概算总投资进行批复》，2022年1月取得省财政投资评审中心出具《南山楼维修改造项目预算评审报告》。2022年1月至2月，我们将该项目监理和总承包公开挂网招标。2022年3月5日南山楼维修改造项目进场施工至9月底竣工。</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在成本指标方面，物业补贴标准为300元/人，物业服务单位成本为68.13元/平方米，劳务费总成本为8.1万元，维修修缮总成本为30.66万元。</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2、效益指标完成情况分析</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是高站位加强学习教育，办好党建第一要事。中心始终坚持把党的建设摆在首位，把做好离退休干部党建作为一项重要工作来抓，聚焦“三项建设”，不断提升离退休干部的政治认同、理论认同和感情认同。将党史学习教育贯穿专题学习、活动组织和平台建设全过程，立足“三个强化”，确保学习教育成效。强化党史专题学习。一年来，扎实开展党史学习教育，巩固党史学习教育成果，不断加强理论武装。强化正能量活动引领。办好省级老领导兴趣班，量身定制书画赏析、太极养生、古典文学等9门课程。强化党建品牌。着力推进“两个基地”建设，率先在中心打造“美在金秋”老党员之家，在全省起到示范引领作用。</w:t>
      </w:r>
    </w:p>
    <w:p>
      <w:pPr>
        <w:pStyle w:val="10"/>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（2）存在的问题及原因分析。</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本年度整体支出及项目支出预算执行存在差额。年初预算收入1516.08万元，全年预算数3882.61万元，全年执行数3632.06万元。项目支出年初预算数338.75万元，全年预算数1464.37万元，全年执行数1269.68万元。主要原因是项目经费里南山楼维修改造经费预算追加。</w:t>
      </w:r>
    </w:p>
    <w:p>
      <w:pPr>
        <w:pStyle w:val="10"/>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在部门整体支出的资金安排和使用上仍有不可预见性，在科学设置预算绩效指标上还需进一步加强，使之更加贴合老干部工作的实际。尽管中心的部门整体绩效取得了一定成绩，但也存在预算管理不够精细、预算控制率相对较低等问题。在预算管理过程中，需加强中心内设机构的联动协调，保证预算编制的合理与精细，并加强与财政部门的沟通和协调，确保预算资金及时足额下达。</w:t>
      </w: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rFonts w:hint="eastAsia"/>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一、财政拨款收入：指省本级财政当年拨付的资金。</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二、事业收入：指事业单位开展专业业务活动及其辅助活动所取得的收入。</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三、基本支出：指为保障机构正常运转、完成日常工作任务而发生的人员支出和公用支出。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四、项目支出：指在基本支出以外为完成特定任务和事业发展目标所发生的支出。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五、机关运行经费：为保障单位（包括参照公务员管理的事业单位）运行，用一般公共预算拨款安排用于购买货物和服务的各项资金，包括办公费、印刷费、邮电费、差旅费、会议费、福利费、维修（护）费、水电费、取暖费、物业管理费及其他费用。</w:t>
      </w:r>
    </w:p>
    <w:p>
      <w:pPr>
        <w:ind w:firstLine="640" w:firstLineChars="200"/>
        <w:jc w:val="left"/>
        <w:rPr>
          <w:rFonts w:asciiTheme="minorEastAsia" w:hAnsiTheme="minorEastAsia"/>
          <w:sz w:val="32"/>
          <w:szCs w:val="32"/>
        </w:rPr>
      </w:pPr>
      <w:r>
        <w:rPr>
          <w:rFonts w:hint="eastAsia" w:cs="黑体" w:asciiTheme="minorEastAsia" w:hAnsiTheme="minorEastAsia"/>
          <w:color w:val="000000"/>
          <w:kern w:val="0"/>
          <w:sz w:val="32"/>
          <w:szCs w:val="32"/>
        </w:rPr>
        <w:t>六、“三公”经费：纳入省财政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修费等支出；因公出国（境）费反映单位因公务出国（境）的国际旅费、国外城市间交通费、食宿费等支出。</w:t>
      </w: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C90B47AC-5754-42BA-B71A-73A179A99BA9}"/>
  </w:font>
  <w:font w:name="黑体">
    <w:panose1 w:val="02010609060101010101"/>
    <w:charset w:val="86"/>
    <w:family w:val="auto"/>
    <w:pitch w:val="default"/>
    <w:sig w:usb0="800002BF" w:usb1="38CF7CFA" w:usb2="00000016" w:usb3="00000000" w:csb0="00040001" w:csb1="00000000"/>
    <w:embedRegular r:id="rId2" w:fontKey="{1F07357A-AA1B-4CF9-A9D8-8DA3E4AFFBF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embedRegular r:id="rId3" w:fontKey="{6416D3ED-7B81-4F97-927A-C281C6F78825}"/>
  </w:font>
  <w:font w:name="仿宋_GB2312">
    <w:panose1 w:val="02010609030101010101"/>
    <w:charset w:val="86"/>
    <w:family w:val="auto"/>
    <w:pitch w:val="default"/>
    <w:sig w:usb0="00000000" w:usb1="00000000" w:usb2="00000000" w:usb3="00000000" w:csb0="00000000" w:csb1="00000000"/>
    <w:embedRegular r:id="rId4" w:fontKey="{7038F148-3EC2-419D-9A96-72626B58EE8B}"/>
  </w:font>
  <w:font w:name="华文中宋">
    <w:altName w:val="微软雅黑"/>
    <w:panose1 w:val="00000000000000000000"/>
    <w:charset w:val="86"/>
    <w:family w:val="auto"/>
    <w:pitch w:val="default"/>
    <w:sig w:usb0="00000000" w:usb1="00000000" w:usb2="00000000" w:usb3="00000000" w:csb0="0004009F" w:csb1="DFD70000"/>
    <w:embedRegular r:id="rId5" w:fontKey="{7DFD39A9-125B-4BCF-949F-C56E9CDBB3A8}"/>
  </w:font>
  <w:font w:name="楷体">
    <w:panose1 w:val="02010609060101010101"/>
    <w:charset w:val="86"/>
    <w:family w:val="modern"/>
    <w:pitch w:val="default"/>
    <w:sig w:usb0="800002BF" w:usb1="38CF7CFA" w:usb2="00000016" w:usb3="00000000" w:csb0="00040001" w:csb1="00000000"/>
    <w:embedRegular r:id="rId6" w:fontKey="{D193A8B9-488B-4CF1-86CF-DB850EA77984}"/>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C163D"/>
    <w:multiLevelType w:val="multilevel"/>
    <w:tmpl w:val="6E4C163D"/>
    <w:lvl w:ilvl="0" w:tentative="0">
      <w:start w:val="1"/>
      <w:numFmt w:val="japaneseCounting"/>
      <w:lvlText w:val="%1、"/>
      <w:lvlJc w:val="left"/>
      <w:pPr>
        <w:ind w:left="1440" w:hanging="72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kxM2QwZTA0MDYxN2RjODU5YzkyMmNkNmU3YjMzZmQifQ=="/>
  </w:docVars>
  <w:rsids>
    <w:rsidRoot w:val="004506F9"/>
    <w:rsid w:val="0002229B"/>
    <w:rsid w:val="000273BD"/>
    <w:rsid w:val="000415B7"/>
    <w:rsid w:val="00041E3F"/>
    <w:rsid w:val="0005030C"/>
    <w:rsid w:val="00055DAA"/>
    <w:rsid w:val="00061F7B"/>
    <w:rsid w:val="000658A3"/>
    <w:rsid w:val="00074155"/>
    <w:rsid w:val="000873EF"/>
    <w:rsid w:val="000A3F69"/>
    <w:rsid w:val="00103957"/>
    <w:rsid w:val="00124A1F"/>
    <w:rsid w:val="00152C6D"/>
    <w:rsid w:val="001557EB"/>
    <w:rsid w:val="00162D39"/>
    <w:rsid w:val="001678BD"/>
    <w:rsid w:val="00182373"/>
    <w:rsid w:val="001A67DB"/>
    <w:rsid w:val="001C3C29"/>
    <w:rsid w:val="001D51E5"/>
    <w:rsid w:val="001E080D"/>
    <w:rsid w:val="001E53D0"/>
    <w:rsid w:val="001F0C3B"/>
    <w:rsid w:val="00202C14"/>
    <w:rsid w:val="00202C82"/>
    <w:rsid w:val="0020365D"/>
    <w:rsid w:val="00214427"/>
    <w:rsid w:val="00226CB7"/>
    <w:rsid w:val="00264552"/>
    <w:rsid w:val="00264EF9"/>
    <w:rsid w:val="00265724"/>
    <w:rsid w:val="0027426B"/>
    <w:rsid w:val="0029431A"/>
    <w:rsid w:val="002E0A30"/>
    <w:rsid w:val="002E36F3"/>
    <w:rsid w:val="003130C4"/>
    <w:rsid w:val="00316C4B"/>
    <w:rsid w:val="0032192B"/>
    <w:rsid w:val="003479BD"/>
    <w:rsid w:val="0037197D"/>
    <w:rsid w:val="0037565F"/>
    <w:rsid w:val="003768D5"/>
    <w:rsid w:val="003C4197"/>
    <w:rsid w:val="003C47E6"/>
    <w:rsid w:val="003C4FC2"/>
    <w:rsid w:val="003E2331"/>
    <w:rsid w:val="00400F68"/>
    <w:rsid w:val="00416E61"/>
    <w:rsid w:val="0042790C"/>
    <w:rsid w:val="004506F9"/>
    <w:rsid w:val="00462B36"/>
    <w:rsid w:val="004717A2"/>
    <w:rsid w:val="00473DF3"/>
    <w:rsid w:val="00487911"/>
    <w:rsid w:val="00491741"/>
    <w:rsid w:val="004B0CEE"/>
    <w:rsid w:val="00500E5F"/>
    <w:rsid w:val="005075F0"/>
    <w:rsid w:val="005122EF"/>
    <w:rsid w:val="0051441A"/>
    <w:rsid w:val="00517C33"/>
    <w:rsid w:val="00517D5F"/>
    <w:rsid w:val="005200DE"/>
    <w:rsid w:val="00521AF2"/>
    <w:rsid w:val="00523644"/>
    <w:rsid w:val="0054069E"/>
    <w:rsid w:val="00544866"/>
    <w:rsid w:val="005532F1"/>
    <w:rsid w:val="005767CC"/>
    <w:rsid w:val="00590D9F"/>
    <w:rsid w:val="005915E3"/>
    <w:rsid w:val="00595D26"/>
    <w:rsid w:val="005A74E6"/>
    <w:rsid w:val="005B404E"/>
    <w:rsid w:val="005D4D55"/>
    <w:rsid w:val="005E2CFB"/>
    <w:rsid w:val="005F2103"/>
    <w:rsid w:val="005F3D1C"/>
    <w:rsid w:val="005F6D52"/>
    <w:rsid w:val="006103A2"/>
    <w:rsid w:val="0062378F"/>
    <w:rsid w:val="006328E6"/>
    <w:rsid w:val="00641842"/>
    <w:rsid w:val="00651EEC"/>
    <w:rsid w:val="006740C5"/>
    <w:rsid w:val="00686673"/>
    <w:rsid w:val="00691E8C"/>
    <w:rsid w:val="006A22C4"/>
    <w:rsid w:val="006A348B"/>
    <w:rsid w:val="006A351B"/>
    <w:rsid w:val="006B0422"/>
    <w:rsid w:val="006C1B53"/>
    <w:rsid w:val="006D7730"/>
    <w:rsid w:val="006E5284"/>
    <w:rsid w:val="006F3EB5"/>
    <w:rsid w:val="00702E34"/>
    <w:rsid w:val="00704395"/>
    <w:rsid w:val="007063FA"/>
    <w:rsid w:val="00710FE7"/>
    <w:rsid w:val="00717621"/>
    <w:rsid w:val="00720FF1"/>
    <w:rsid w:val="00727A53"/>
    <w:rsid w:val="00754B7B"/>
    <w:rsid w:val="00787B42"/>
    <w:rsid w:val="007C4539"/>
    <w:rsid w:val="007F3657"/>
    <w:rsid w:val="00812ED5"/>
    <w:rsid w:val="008277D9"/>
    <w:rsid w:val="0084478C"/>
    <w:rsid w:val="0086638C"/>
    <w:rsid w:val="008A3E8D"/>
    <w:rsid w:val="009237C4"/>
    <w:rsid w:val="00944C48"/>
    <w:rsid w:val="00950252"/>
    <w:rsid w:val="00966A08"/>
    <w:rsid w:val="00967F5D"/>
    <w:rsid w:val="00994823"/>
    <w:rsid w:val="009A0F95"/>
    <w:rsid w:val="009A4ACB"/>
    <w:rsid w:val="009B3ADF"/>
    <w:rsid w:val="009C3B52"/>
    <w:rsid w:val="009E6817"/>
    <w:rsid w:val="009E6E9A"/>
    <w:rsid w:val="00A01D2B"/>
    <w:rsid w:val="00A42218"/>
    <w:rsid w:val="00A70249"/>
    <w:rsid w:val="00A70B02"/>
    <w:rsid w:val="00A71D9F"/>
    <w:rsid w:val="00A92CD6"/>
    <w:rsid w:val="00A92E9F"/>
    <w:rsid w:val="00AF3CC5"/>
    <w:rsid w:val="00B33BEA"/>
    <w:rsid w:val="00B57C9F"/>
    <w:rsid w:val="00B63572"/>
    <w:rsid w:val="00B845B3"/>
    <w:rsid w:val="00B85D8B"/>
    <w:rsid w:val="00BB4A40"/>
    <w:rsid w:val="00BD6C3E"/>
    <w:rsid w:val="00BE3674"/>
    <w:rsid w:val="00C10681"/>
    <w:rsid w:val="00C3049A"/>
    <w:rsid w:val="00C31B1E"/>
    <w:rsid w:val="00C46555"/>
    <w:rsid w:val="00C77645"/>
    <w:rsid w:val="00CE04C3"/>
    <w:rsid w:val="00CE6B79"/>
    <w:rsid w:val="00CE76A0"/>
    <w:rsid w:val="00D148C6"/>
    <w:rsid w:val="00D17A8A"/>
    <w:rsid w:val="00D415BA"/>
    <w:rsid w:val="00D44AA4"/>
    <w:rsid w:val="00D63780"/>
    <w:rsid w:val="00D644EE"/>
    <w:rsid w:val="00D75489"/>
    <w:rsid w:val="00D97567"/>
    <w:rsid w:val="00DC2DB5"/>
    <w:rsid w:val="00DD06FF"/>
    <w:rsid w:val="00DD5FE9"/>
    <w:rsid w:val="00E00C7A"/>
    <w:rsid w:val="00E209CF"/>
    <w:rsid w:val="00E37D6C"/>
    <w:rsid w:val="00E4112C"/>
    <w:rsid w:val="00E55B68"/>
    <w:rsid w:val="00E67BE6"/>
    <w:rsid w:val="00E8683C"/>
    <w:rsid w:val="00EA2B72"/>
    <w:rsid w:val="00F74360"/>
    <w:rsid w:val="00FB462F"/>
    <w:rsid w:val="00FD1297"/>
    <w:rsid w:val="00FE16FA"/>
    <w:rsid w:val="00FE328A"/>
    <w:rsid w:val="00FE6269"/>
    <w:rsid w:val="00FF5CD6"/>
    <w:rsid w:val="09083A04"/>
    <w:rsid w:val="0B5E711B"/>
    <w:rsid w:val="0CD3401B"/>
    <w:rsid w:val="0D2C58D1"/>
    <w:rsid w:val="12C8199D"/>
    <w:rsid w:val="20CD5A9C"/>
    <w:rsid w:val="227C683C"/>
    <w:rsid w:val="24A82BE9"/>
    <w:rsid w:val="2D2348EF"/>
    <w:rsid w:val="31D0638F"/>
    <w:rsid w:val="35C91817"/>
    <w:rsid w:val="3E03257B"/>
    <w:rsid w:val="3E56634F"/>
    <w:rsid w:val="40225EBF"/>
    <w:rsid w:val="42E51000"/>
    <w:rsid w:val="44084EC8"/>
    <w:rsid w:val="46837BCE"/>
    <w:rsid w:val="481E3A02"/>
    <w:rsid w:val="4AC41274"/>
    <w:rsid w:val="52A749EB"/>
    <w:rsid w:val="547C3E5C"/>
    <w:rsid w:val="61376214"/>
    <w:rsid w:val="66D46979"/>
    <w:rsid w:val="66EA1D04"/>
    <w:rsid w:val="75D90662"/>
    <w:rsid w:val="782D7E7D"/>
    <w:rsid w:val="7DCD0298"/>
    <w:rsid w:val="7FC10CA1"/>
    <w:rsid w:val="7FEF4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link w:val="9"/>
    <w:unhideWhenUsed/>
    <w:qFormat/>
    <w:uiPriority w:val="99"/>
    <w:pPr>
      <w:tabs>
        <w:tab w:val="center" w:pos="4153"/>
        <w:tab w:val="right" w:pos="8306"/>
      </w:tabs>
      <w:snapToGrid w:val="0"/>
      <w:jc w:val="left"/>
    </w:pPr>
    <w:rPr>
      <w:sz w:val="18"/>
      <w:szCs w:val="18"/>
    </w:rPr>
  </w:style>
  <w:style w:type="paragraph" w:styleId="3">
    <w:name w:val="Balloon Text"/>
    <w:basedOn w:val="1"/>
    <w:link w:val="12"/>
    <w:semiHidden/>
    <w:unhideWhenUsed/>
    <w:qFormat/>
    <w:uiPriority w:val="99"/>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99"/>
    <w:rPr>
      <w:sz w:val="18"/>
      <w:szCs w:val="18"/>
    </w:rPr>
  </w:style>
  <w:style w:type="character" w:customStyle="1" w:styleId="9">
    <w:name w:val="页脚 Char"/>
    <w:basedOn w:val="6"/>
    <w:link w:val="2"/>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6"/>
    <w:link w:val="3"/>
    <w:semiHidden/>
    <w:qFormat/>
    <w:uiPriority w:val="99"/>
    <w:rPr>
      <w:sz w:val="18"/>
      <w:szCs w:val="18"/>
    </w:rPr>
  </w:style>
  <w:style w:type="character" w:customStyle="1" w:styleId="13">
    <w:name w:val="font161"/>
    <w:basedOn w:val="6"/>
    <w:qFormat/>
    <w:uiPriority w:val="0"/>
    <w:rPr>
      <w:rFonts w:ascii="黑体" w:eastAsia="黑体" w:cs="黑体"/>
      <w:color w:val="000000"/>
      <w:sz w:val="32"/>
      <w:szCs w:val="32"/>
      <w:u w:val="none"/>
    </w:rPr>
  </w:style>
  <w:style w:type="character" w:customStyle="1" w:styleId="14">
    <w:name w:val="font81"/>
    <w:basedOn w:val="6"/>
    <w:qFormat/>
    <w:uiPriority w:val="0"/>
    <w:rPr>
      <w:rFonts w:hint="default" w:ascii="Times New Roman" w:hAnsi="Times New Roman" w:cs="Times New Roman"/>
      <w:color w:val="000000"/>
      <w:sz w:val="32"/>
      <w:szCs w:val="32"/>
      <w:u w:val="none"/>
    </w:rPr>
  </w:style>
  <w:style w:type="character" w:customStyle="1" w:styleId="15">
    <w:name w:val="font31"/>
    <w:basedOn w:val="6"/>
    <w:qFormat/>
    <w:uiPriority w:val="0"/>
    <w:rPr>
      <w:rFonts w:hint="default" w:ascii="Times New Roman" w:hAnsi="Times New Roman" w:cs="Times New Roman"/>
      <w:color w:val="000000"/>
      <w:sz w:val="36"/>
      <w:szCs w:val="36"/>
      <w:u w:val="none"/>
    </w:rPr>
  </w:style>
  <w:style w:type="character" w:customStyle="1" w:styleId="16">
    <w:name w:val="font151"/>
    <w:basedOn w:val="6"/>
    <w:qFormat/>
    <w:uiPriority w:val="0"/>
    <w:rPr>
      <w:rFonts w:ascii="方正小标宋_GBK" w:hAnsi="方正小标宋_GBK" w:eastAsia="方正小标宋_GBK" w:cs="方正小标宋_GBK"/>
      <w:color w:val="000000"/>
      <w:sz w:val="36"/>
      <w:szCs w:val="36"/>
      <w:u w:val="none"/>
    </w:rPr>
  </w:style>
  <w:style w:type="character" w:customStyle="1" w:styleId="17">
    <w:name w:val="font21"/>
    <w:basedOn w:val="6"/>
    <w:qFormat/>
    <w:uiPriority w:val="0"/>
    <w:rPr>
      <w:rFonts w:ascii="仿宋_GB2312" w:eastAsia="仿宋_GB2312" w:cs="仿宋_GB2312"/>
      <w:color w:val="000000"/>
      <w:sz w:val="21"/>
      <w:szCs w:val="21"/>
      <w:u w:val="none"/>
    </w:rPr>
  </w:style>
  <w:style w:type="character" w:customStyle="1" w:styleId="18">
    <w:name w:val="font131"/>
    <w:basedOn w:val="6"/>
    <w:qFormat/>
    <w:uiPriority w:val="0"/>
    <w:rPr>
      <w:rFonts w:hint="eastAsia" w:ascii="仿宋_GB2312" w:eastAsia="仿宋_GB2312" w:cs="仿宋_GB2312"/>
      <w:color w:val="000000"/>
      <w:sz w:val="21"/>
      <w:szCs w:val="21"/>
      <w:u w:val="none"/>
    </w:rPr>
  </w:style>
  <w:style w:type="character" w:customStyle="1" w:styleId="19">
    <w:name w:val="font91"/>
    <w:basedOn w:val="6"/>
    <w:qFormat/>
    <w:uiPriority w:val="0"/>
    <w:rPr>
      <w:rFonts w:hint="default" w:ascii="Times New Roman" w:hAnsi="Times New Roman" w:cs="Times New Roman"/>
      <w:color w:val="000000"/>
      <w:sz w:val="21"/>
      <w:szCs w:val="21"/>
      <w:u w:val="none"/>
    </w:rPr>
  </w:style>
  <w:style w:type="character" w:customStyle="1" w:styleId="20">
    <w:name w:val="font41"/>
    <w:basedOn w:val="6"/>
    <w:qFormat/>
    <w:uiPriority w:val="0"/>
    <w:rPr>
      <w:rFonts w:hint="eastAsia" w:ascii="宋体" w:hAnsi="宋体" w:eastAsia="宋体" w:cs="宋体"/>
      <w:color w:val="000000"/>
      <w:sz w:val="21"/>
      <w:szCs w:val="21"/>
      <w:u w:val="none"/>
    </w:rPr>
  </w:style>
  <w:style w:type="character" w:customStyle="1" w:styleId="21">
    <w:name w:val="font01"/>
    <w:basedOn w:val="6"/>
    <w:qFormat/>
    <w:uiPriority w:val="0"/>
    <w:rPr>
      <w:rFonts w:hint="eastAsia" w:ascii="宋体" w:hAnsi="宋体" w:eastAsia="宋体" w:cs="宋体"/>
      <w:color w:val="000000"/>
      <w:sz w:val="21"/>
      <w:szCs w:val="21"/>
      <w:u w:val="none"/>
    </w:rPr>
  </w:style>
  <w:style w:type="character" w:customStyle="1" w:styleId="22">
    <w:name w:val="font71"/>
    <w:basedOn w:val="6"/>
    <w:qFormat/>
    <w:uiPriority w:val="0"/>
    <w:rPr>
      <w:rFonts w:hint="default" w:ascii="Times New Roman" w:hAnsi="Times New Roman" w:cs="Times New Roman"/>
      <w:color w:val="000000"/>
      <w:sz w:val="21"/>
      <w:szCs w:val="21"/>
      <w:u w:val="none"/>
    </w:rPr>
  </w:style>
  <w:style w:type="character" w:customStyle="1" w:styleId="23">
    <w:name w:val="font141"/>
    <w:basedOn w:val="6"/>
    <w:qFormat/>
    <w:uiPriority w:val="0"/>
    <w:rPr>
      <w:rFonts w:hint="eastAsia" w:ascii="宋体" w:hAnsi="宋体" w:eastAsia="宋体" w:cs="宋体"/>
      <w:color w:val="000000"/>
      <w:sz w:val="20"/>
      <w:szCs w:val="20"/>
      <w:u w:val="none"/>
    </w:rPr>
  </w:style>
  <w:style w:type="character" w:customStyle="1" w:styleId="24">
    <w:name w:val="font11"/>
    <w:basedOn w:val="6"/>
    <w:qFormat/>
    <w:uiPriority w:val="0"/>
    <w:rPr>
      <w:rFonts w:ascii="宋体" w:hAnsi="宋体" w:eastAsia="宋体" w:cs="宋体"/>
      <w:color w:val="000000"/>
      <w:sz w:val="21"/>
      <w:szCs w:val="21"/>
      <w:u w:val="none"/>
    </w:rPr>
  </w:style>
  <w:style w:type="character" w:customStyle="1" w:styleId="25">
    <w:name w:val="font61"/>
    <w:basedOn w:val="6"/>
    <w:qFormat/>
    <w:uiPriority w:val="0"/>
    <w:rPr>
      <w:rFonts w:hint="default" w:ascii="Times New Roman" w:hAnsi="Times New Roman" w:cs="Times New Roman"/>
      <w:color w:val="000000"/>
      <w:sz w:val="21"/>
      <w:szCs w:val="21"/>
      <w:u w:val="none"/>
    </w:rPr>
  </w:style>
  <w:style w:type="character" w:customStyle="1" w:styleId="26">
    <w:name w:val="font101"/>
    <w:basedOn w:val="6"/>
    <w:qFormat/>
    <w:uiPriority w:val="0"/>
    <w:rPr>
      <w:rFonts w:ascii="宋体" w:hAnsi="宋体" w:eastAsia="宋体" w:cs="宋体"/>
      <w:color w:val="000000"/>
      <w:sz w:val="21"/>
      <w:szCs w:val="21"/>
      <w:u w:val="none"/>
    </w:rPr>
  </w:style>
  <w:style w:type="character" w:customStyle="1" w:styleId="27">
    <w:name w:val="font112"/>
    <w:basedOn w:val="6"/>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9657</Words>
  <Characters>13396</Characters>
  <Lines>55</Lines>
  <Paragraphs>32</Paragraphs>
  <TotalTime>23</TotalTime>
  <ScaleCrop>false</ScaleCrop>
  <LinksUpToDate>false</LinksUpToDate>
  <CharactersWithSpaces>14081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2023-08-29T09:07:00Z</dcterms:created>
  <dc:creator>李航 null</dc:creator>
  <cp:lastModifiedBy>Administrator</cp:lastModifiedBy>
  <cp:lastPrinted>2022-07-27T20:55:00Z</cp:lastPrinted>
  <dcterms:modified xsi:type="dcterms:W3CDTF">2024-12-10T01:20:40Z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640579492_cloud</vt:lpwstr>
  </property>
  <property fmtid="{D5CDD505-2E9C-101B-9397-08002B2CF9AE}" pid="3" name="KSOProductBuildVer">
    <vt:lpwstr>2052-11.1.0.10314</vt:lpwstr>
  </property>
  <property fmtid="{D5CDD505-2E9C-101B-9397-08002B2CF9AE}" pid="4" name="ICV">
    <vt:lpwstr>FD874F9681FA43FB9EAE4A70C825163C_12</vt:lpwstr>
  </property>
</Properties>
</file>