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2019年度</w:t>
      </w: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中共湖南省委讲师团部门决算</w:t>
      </w: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spacing w:line="520" w:lineRule="exac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目录</w:t>
      </w:r>
    </w:p>
    <w:p>
      <w:pPr>
        <w:pStyle w:val="9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第一部分中共湖南省委讲师团概况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9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9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第三部分</w:t>
      </w: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年度部门决算情况说明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spacing w:line="52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、预算绩效情况说明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、其他重要事项情况说明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第四部分名词解释</w:t>
      </w:r>
    </w:p>
    <w:p>
      <w:pPr>
        <w:spacing w:line="52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第五部分附件</w:t>
      </w: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中共湖南省委讲师团概况</w:t>
      </w:r>
    </w:p>
    <w:p>
      <w:pPr>
        <w:pStyle w:val="10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pStyle w:val="10"/>
        <w:widowControl/>
        <w:ind w:left="720" w:firstLine="0" w:firstLineChars="0"/>
        <w:jc w:val="left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一、部门职责</w:t>
      </w:r>
    </w:p>
    <w:p>
      <w:pPr>
        <w:widowControl/>
        <w:ind w:firstLine="640" w:firstLineChars="200"/>
        <w:jc w:val="left"/>
        <w:rPr>
          <w:bCs/>
          <w:kern w:val="0"/>
          <w:szCs w:val="32"/>
        </w:rPr>
      </w:pPr>
      <w:r>
        <w:rPr>
          <w:rFonts w:hint="eastAsia" w:ascii="仿宋_GB2312" w:hAnsi="宋体" w:eastAsia="仿宋_GB2312"/>
          <w:sz w:val="32"/>
        </w:rPr>
        <w:t>省委讲师团是省委领导下对干部进行理论教育、参照公务员管理并由财政全额拨款的正厅级事业单位，归口宣传部管理。</w:t>
      </w:r>
    </w:p>
    <w:p>
      <w:pPr>
        <w:pStyle w:val="10"/>
        <w:widowControl/>
        <w:numPr>
          <w:ilvl w:val="0"/>
          <w:numId w:val="2"/>
        </w:numPr>
        <w:ind w:firstLineChars="0"/>
        <w:jc w:val="left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机构设置</w:t>
      </w:r>
      <w:r>
        <w:rPr>
          <w:rFonts w:hint="eastAsia" w:ascii="仿宋_GB2312" w:hAnsi="宋体" w:eastAsia="仿宋_GB2312"/>
          <w:sz w:val="32"/>
        </w:rPr>
        <w:t>及决算单位构成</w:t>
      </w:r>
    </w:p>
    <w:p>
      <w:pPr>
        <w:widowControl/>
        <w:ind w:firstLine="480" w:firstLineChars="150"/>
        <w:jc w:val="left"/>
        <w:rPr>
          <w:bCs/>
          <w:kern w:val="0"/>
          <w:szCs w:val="32"/>
        </w:rPr>
      </w:pPr>
      <w:r>
        <w:rPr>
          <w:rFonts w:hint="eastAsia" w:ascii="仿宋_GB2312" w:hAnsi="宋体" w:eastAsia="仿宋_GB2312"/>
          <w:sz w:val="32"/>
        </w:rPr>
        <w:t>（一）内设机构设置。省委讲师团下设综合处、党委中心组学习服务处、干部理论学习辅导处和干部理论教学科研处等四个职能处室。无二级单位。共有参照公务员法管理人员事业编制29人。2019年底实有在职人员24人，离休人员1人，共25人。</w:t>
      </w:r>
    </w:p>
    <w:p>
      <w:pPr>
        <w:widowControl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（二）决算单位构成。省委讲师团2019年部门决算汇总公开单位构成包括：省委讲师团本级，无二级单位。</w:t>
      </w: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第二部分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部门决算表</w:t>
      </w:r>
    </w:p>
    <w:p>
      <w:pPr>
        <w:jc w:val="left"/>
        <w:rPr>
          <w:rFonts w:asciiTheme="minorEastAsia" w:hAnsiTheme="min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ascii="黑体" w:hAnsi="黑体" w:eastAsia="黑体"/>
          <w:sz w:val="28"/>
          <w:szCs w:val="28"/>
        </w:rPr>
        <w:drawing>
          <wp:inline distT="0" distB="0" distL="0" distR="0">
            <wp:extent cx="7376160" cy="54864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616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drawing>
          <wp:inline distT="0" distB="0" distL="0" distR="0">
            <wp:extent cx="6517005" cy="284988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588" cy="285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 xml:space="preserve"> 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drawing>
          <wp:inline distT="0" distB="0" distL="0" distR="0">
            <wp:extent cx="6468110" cy="3147060"/>
            <wp:effectExtent l="19050" t="0" r="8378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8622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 xml:space="preserve"> 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drawing>
          <wp:inline distT="0" distB="0" distL="0" distR="0">
            <wp:extent cx="5559425" cy="4282440"/>
            <wp:effectExtent l="19050" t="0" r="2941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791" cy="428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 xml:space="preserve"> 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drawing>
          <wp:inline distT="0" distB="0" distL="0" distR="0">
            <wp:extent cx="6096635" cy="398526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899" cy="398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 xml:space="preserve"> 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drawing>
          <wp:inline distT="0" distB="0" distL="0" distR="0">
            <wp:extent cx="6816090" cy="4166870"/>
            <wp:effectExtent l="19050" t="0" r="381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6090" cy="416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drawing>
          <wp:inline distT="0" distB="0" distL="114300" distR="114300">
            <wp:extent cx="6635750" cy="1501775"/>
            <wp:effectExtent l="0" t="0" r="12700" b="3175"/>
            <wp:docPr id="2" name="图片 2" descr="16220188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2018839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jc w:val="center"/>
        <w:rPr>
          <w:rFonts w:hint="eastAsia"/>
          <w:sz w:val="72"/>
          <w:szCs w:val="72"/>
        </w:rPr>
      </w:pPr>
      <w:r>
        <w:drawing>
          <wp:inline distT="0" distB="0" distL="114300" distR="114300">
            <wp:extent cx="6643370" cy="2301875"/>
            <wp:effectExtent l="0" t="0" r="508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jc w:val="center"/>
        <w:rPr>
          <w:rFonts w:hint="eastAsia"/>
          <w:sz w:val="72"/>
          <w:szCs w:val="72"/>
        </w:rPr>
      </w:pPr>
    </w:p>
    <w:p>
      <w:pPr>
        <w:pStyle w:val="9"/>
        <w:jc w:val="center"/>
        <w:rPr>
          <w:rFonts w:hint="eastAsia"/>
          <w:sz w:val="72"/>
          <w:szCs w:val="72"/>
        </w:rPr>
      </w:pPr>
      <w:bookmarkStart w:id="0" w:name="_GoBack"/>
      <w:bookmarkEnd w:id="0"/>
    </w:p>
    <w:p>
      <w:pPr>
        <w:pStyle w:val="9"/>
        <w:jc w:val="center"/>
        <w:rPr>
          <w:rFonts w:hint="eastAsia"/>
          <w:sz w:val="72"/>
          <w:szCs w:val="72"/>
        </w:rPr>
      </w:pPr>
    </w:p>
    <w:p>
      <w:pPr>
        <w:pStyle w:val="9"/>
        <w:jc w:val="center"/>
        <w:rPr>
          <w:rFonts w:hint="eastAsia"/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第三部分</w:t>
      </w:r>
    </w:p>
    <w:p>
      <w:pPr>
        <w:pStyle w:val="9"/>
        <w:jc w:val="center"/>
        <w:rPr>
          <w:sz w:val="70"/>
          <w:szCs w:val="70"/>
        </w:rPr>
      </w:pPr>
    </w:p>
    <w:p>
      <w:pPr>
        <w:pStyle w:val="9"/>
        <w:jc w:val="center"/>
        <w:rPr>
          <w:sz w:val="70"/>
          <w:szCs w:val="70"/>
        </w:rPr>
      </w:pPr>
      <w:r>
        <w:rPr>
          <w:sz w:val="70"/>
          <w:szCs w:val="70"/>
        </w:rPr>
        <w:t>2019</w:t>
      </w:r>
      <w:r>
        <w:rPr>
          <w:rFonts w:hint="eastAsia"/>
          <w:sz w:val="70"/>
          <w:szCs w:val="70"/>
        </w:rPr>
        <w:t>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9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2019年度收、支总计1175.51万元。与2018年相比，减少106.77万元，主要是因为人员减少，机构改革。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本年收入合计1115.14万元，其中：财政拨款收入1115.14万元，占100%；上级补助收入0万元，占0%；事业收入0万元，占0%；经营收入0万元，占0%；附属单位上缴收入0万元，占0%；其他收入0万元，占0%。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本年支出合计887.06万元，其中：基本支出850.47万元，占96%；项目支出36.58万元，占4%；上缴上级支出0万元，占0%；经营支出0万元，占0%；对附属单位补助支出0万元，占0%。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2019年度收、支总计1175.51万元。与2018年相比，减少106.77万元，主要是因为人员减少，机构改革。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2019年度财政拨款支出887.06万元，占本年支出合计的100%，与2018年相比，财政拨款支出减少282.23万元，主要是因为人员减少，机构改革。</w:t>
      </w:r>
    </w:p>
    <w:p>
      <w:pPr>
        <w:pStyle w:val="9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2019年度财政拨款支出887.06万元，主要用于以下方面：一般公共服务（类）支出734.32万元，占83%；社会保障和就业支出63.23万元，占7%;卫生健康支出48.5万元，占5%;住房保障支出41万元，占5%。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2019年度财政拨款支出年初预算数为1002.53万元，支出决算数为887.06万元，完成年初预算的88%，其中：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1、一般公共服务（类）支出。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年初预算为839.91万元，支出决算为734.32万元，完成年初预算的87%，决算数小于年初预算数的主要原因是：人员减少，机构改革。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2、其他支出年初预算与支出决算持平。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基本支出850.47万元，其中：人员经费777.75万元，占基本支出的91%,主要包括基本工资、津贴补贴、奖金、伙食补助费等；公用经费72.72万元，占基本支出的9%，主要包括办公费、印刷费、咨询费、手续费等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七、一般公共预算财政拨款三公经费支出决算情况说明</w:t>
      </w:r>
    </w:p>
    <w:p>
      <w:pPr>
        <w:pStyle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“三公”经费财政拨款支出预算为28.5万元，支出决算为2.09万元，完成预算的7%，其中：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因公出国（境）费支出预算为5万元，支出决算为0万元，完成预算的0%，决算数小于年初预算数的主要原因是机构改革，与上年相比持平。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公务接待费支出预算为10万元，支出决算为0.07万元，完成预算的1%，决算数小于年初预算数的主要原因是机构改革，与上年相比减少0.29万元，减少81%,减少的主要原因是机构改革。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公务用车购置费及运行维护费支出预算为13.5万元，支出决算为2.02万元，完成预算的15%，决算数小于年初预算数的主要原因是机构改革，与上年相比减少1.98万元，减少50%,减少的主要原因是机构改革。</w:t>
      </w:r>
    </w:p>
    <w:p>
      <w:pPr>
        <w:pStyle w:val="9"/>
        <w:numPr>
          <w:ilvl w:val="0"/>
          <w:numId w:val="3"/>
        </w:numPr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“三公”经费财政拨款支出决算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具体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情况说明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因公出国（境）费支出预算为5万元，支出决算为0万元，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2019年没有因公出国（境）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公务接待费支出预算为10万元，支出决算为0.07万元，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公务接待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1次，7人，常德、衡阳市委讲师团来单位汇报工作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公务用车购置费及运行维护费支出预算为13.5万元，支出决算为2.02万元，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是公务用车运行维护费支出，油费、保险、维修开支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本单位无政府性基金收支。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九、关于2019年度预算绩效情况说明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提高财政资金使用效益，促进事业发展，加强了预算绩效管理。一是合理制定绩效目标，做到准确、客观，与预算同时申报。二是加强对绩效目标运行情况进行跟踪管理和督促检查，发现项目运行与绩效目标发生偏离时，及时采取措施纠正。三是做好评价工作，将实际取得的绩效与绩效目标进行对比，总结经验，改进管理，提高资金使用效益，增强支出责任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十、其他重要事项情况说明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（一）机关运行经费支出情况。</w:t>
      </w:r>
      <w:r>
        <w:rPr>
          <w:rFonts w:hint="eastAsia" w:ascii="仿宋_GB2312" w:hAnsi="宋体" w:eastAsia="仿宋_GB2312"/>
          <w:sz w:val="32"/>
          <w:szCs w:val="32"/>
        </w:rPr>
        <w:t>省委讲师团</w:t>
      </w:r>
      <w:r>
        <w:rPr>
          <w:rFonts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</w:rPr>
        <w:t>9</w:t>
      </w:r>
      <w:r>
        <w:rPr>
          <w:rFonts w:ascii="仿宋_GB2312" w:hAnsi="宋体" w:eastAsia="仿宋_GB2312"/>
          <w:sz w:val="32"/>
          <w:szCs w:val="32"/>
        </w:rPr>
        <w:t>年度机关运行经费支出</w:t>
      </w:r>
      <w:r>
        <w:rPr>
          <w:rFonts w:hint="eastAsia" w:ascii="仿宋_GB2312" w:hAnsi="宋体" w:eastAsia="仿宋_GB2312"/>
          <w:sz w:val="32"/>
          <w:szCs w:val="32"/>
        </w:rPr>
        <w:t>72.72</w:t>
      </w:r>
      <w:r>
        <w:rPr>
          <w:rFonts w:ascii="仿宋_GB2312" w:hAnsi="宋体" w:eastAsia="仿宋_GB2312"/>
          <w:sz w:val="32"/>
          <w:szCs w:val="32"/>
        </w:rPr>
        <w:t>万元，比</w:t>
      </w:r>
      <w:r>
        <w:rPr>
          <w:rFonts w:hint="eastAsia" w:ascii="仿宋_GB2312" w:hAnsi="宋体" w:eastAsia="仿宋_GB2312"/>
          <w:sz w:val="32"/>
          <w:szCs w:val="32"/>
        </w:rPr>
        <w:t>年初预算数减少49.01</w:t>
      </w:r>
      <w:r>
        <w:rPr>
          <w:rFonts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</w:rPr>
        <w:t>减少40</w:t>
      </w:r>
      <w:r>
        <w:rPr>
          <w:rFonts w:ascii="仿宋_GB2312" w:hAnsi="宋体" w:eastAsia="仿宋_GB2312"/>
          <w:sz w:val="32"/>
          <w:szCs w:val="32"/>
        </w:rPr>
        <w:t>%。主要原因是：</w:t>
      </w:r>
      <w:r>
        <w:rPr>
          <w:rFonts w:hint="eastAsia" w:ascii="仿宋_GB2312" w:hAnsi="宋体" w:eastAsia="仿宋_GB2312"/>
          <w:sz w:val="32"/>
          <w:szCs w:val="32"/>
        </w:rPr>
        <w:t>人员减少，</w:t>
      </w:r>
      <w:r>
        <w:rPr>
          <w:rFonts w:hint="eastAsia" w:asciiTheme="minorEastAsia" w:hAnsiTheme="minorEastAsia" w:eastAsiaTheme="minorEastAsia"/>
          <w:sz w:val="32"/>
          <w:szCs w:val="32"/>
        </w:rPr>
        <w:t>机构改革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（二）一般性支出情况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2019年省委讲师团开支会议费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0.59</w:t>
      </w:r>
      <w:r>
        <w:rPr>
          <w:rFonts w:hint="eastAsia" w:ascii="仿宋_GB2312" w:hAnsi="宋体" w:eastAsia="仿宋_GB2312"/>
          <w:sz w:val="32"/>
          <w:szCs w:val="32"/>
        </w:rPr>
        <w:t>万元；开支培训费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万元；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没有</w:t>
      </w:r>
      <w:r>
        <w:rPr>
          <w:rFonts w:hint="eastAsia" w:ascii="仿宋_GB2312" w:hAnsi="宋体" w:eastAsia="仿宋_GB2312"/>
          <w:sz w:val="32"/>
          <w:szCs w:val="32"/>
        </w:rPr>
        <w:t>举办节庆、晚会、论坛、赛事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/>
          <w:sz w:val="32"/>
          <w:szCs w:val="32"/>
        </w:rPr>
        <w:t>活动。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</w:t>
      </w:r>
      <w:r>
        <w:rPr>
          <w:rFonts w:ascii="仿宋_GB2312" w:hAnsi="宋体" w:eastAsia="仿宋_GB2312"/>
          <w:sz w:val="32"/>
          <w:szCs w:val="32"/>
        </w:rPr>
        <w:t>）政府采购支出情况。</w:t>
      </w:r>
      <w:r>
        <w:rPr>
          <w:rFonts w:hint="eastAsia" w:ascii="仿宋_GB2312" w:hAnsi="宋体" w:eastAsia="仿宋_GB2312"/>
          <w:sz w:val="32"/>
          <w:szCs w:val="32"/>
        </w:rPr>
        <w:t>省委讲师团</w:t>
      </w:r>
      <w:r>
        <w:rPr>
          <w:rFonts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</w:rPr>
        <w:t>9</w:t>
      </w:r>
      <w:r>
        <w:rPr>
          <w:rFonts w:ascii="仿宋_GB2312" w:hAnsi="宋体" w:eastAsia="仿宋_GB2312"/>
          <w:sz w:val="32"/>
          <w:szCs w:val="32"/>
        </w:rPr>
        <w:t>年度政府采购支出总额</w:t>
      </w:r>
      <w:r>
        <w:rPr>
          <w:rFonts w:hint="eastAsia" w:ascii="仿宋_GB2312" w:hAnsi="宋体" w:eastAsia="仿宋_GB2312"/>
          <w:sz w:val="32"/>
          <w:szCs w:val="32"/>
        </w:rPr>
        <w:t>0.27</w:t>
      </w:r>
      <w:r>
        <w:rPr>
          <w:rFonts w:ascii="仿宋_GB2312" w:hAnsi="宋体" w:eastAsia="仿宋_GB2312"/>
          <w:sz w:val="32"/>
          <w:szCs w:val="32"/>
        </w:rPr>
        <w:t>万元，其中：政府采购货物支出</w:t>
      </w:r>
      <w:r>
        <w:rPr>
          <w:rFonts w:hint="eastAsia" w:ascii="仿宋_GB2312" w:hAnsi="宋体" w:eastAsia="仿宋_GB2312"/>
          <w:sz w:val="32"/>
          <w:szCs w:val="32"/>
        </w:rPr>
        <w:t>0.27</w:t>
      </w:r>
      <w:r>
        <w:rPr>
          <w:rFonts w:ascii="仿宋_GB2312" w:hAnsi="宋体" w:eastAsia="仿宋_GB2312"/>
          <w:sz w:val="32"/>
          <w:szCs w:val="32"/>
        </w:rPr>
        <w:t>万元、政府采购工程支出</w:t>
      </w:r>
      <w:r>
        <w:rPr>
          <w:rFonts w:hint="eastAsia" w:ascii="仿宋_GB2312" w:hAnsi="宋体" w:eastAsia="仿宋_GB2312"/>
          <w:sz w:val="32"/>
          <w:szCs w:val="32"/>
        </w:rPr>
        <w:t>0</w:t>
      </w:r>
      <w:r>
        <w:rPr>
          <w:rFonts w:ascii="仿宋_GB2312" w:hAnsi="宋体" w:eastAsia="仿宋_GB2312"/>
          <w:sz w:val="32"/>
          <w:szCs w:val="32"/>
        </w:rPr>
        <w:t>万元、政府采购服务支出</w:t>
      </w:r>
      <w:r>
        <w:rPr>
          <w:rFonts w:hint="eastAsia" w:ascii="仿宋_GB2312" w:hAnsi="宋体" w:eastAsia="仿宋_GB2312"/>
          <w:sz w:val="32"/>
          <w:szCs w:val="32"/>
        </w:rPr>
        <w:t>0</w:t>
      </w:r>
      <w:r>
        <w:rPr>
          <w:rFonts w:ascii="仿宋_GB2312" w:hAnsi="宋体" w:eastAsia="仿宋_GB2312"/>
          <w:sz w:val="32"/>
          <w:szCs w:val="32"/>
        </w:rPr>
        <w:t>万元。授予中小企业合同金额</w:t>
      </w:r>
      <w:r>
        <w:rPr>
          <w:rFonts w:hint="eastAsia" w:ascii="仿宋_GB2312" w:hAnsi="宋体" w:eastAsia="仿宋_GB2312"/>
          <w:sz w:val="32"/>
          <w:szCs w:val="32"/>
        </w:rPr>
        <w:t>0</w:t>
      </w:r>
      <w:r>
        <w:rPr>
          <w:rFonts w:ascii="仿宋_GB2312" w:hAnsi="宋体" w:eastAsia="仿宋_GB2312"/>
          <w:sz w:val="32"/>
          <w:szCs w:val="32"/>
        </w:rPr>
        <w:t>万元，其中：授予小微企业合同金额</w:t>
      </w:r>
      <w:r>
        <w:rPr>
          <w:rFonts w:hint="eastAsia" w:ascii="仿宋_GB2312" w:hAnsi="宋体" w:eastAsia="仿宋_GB2312"/>
          <w:sz w:val="32"/>
          <w:szCs w:val="32"/>
        </w:rPr>
        <w:t>0</w:t>
      </w:r>
      <w:r>
        <w:rPr>
          <w:rFonts w:ascii="仿宋_GB2312" w:hAnsi="宋体" w:eastAsia="仿宋_GB2312"/>
          <w:sz w:val="32"/>
          <w:szCs w:val="32"/>
        </w:rPr>
        <w:t>万元，占政府采购支出金额的</w:t>
      </w:r>
      <w:r>
        <w:rPr>
          <w:rFonts w:hint="eastAsia" w:ascii="仿宋_GB2312" w:hAnsi="宋体" w:eastAsia="仿宋_GB2312"/>
          <w:sz w:val="32"/>
          <w:szCs w:val="32"/>
        </w:rPr>
        <w:t>0</w:t>
      </w:r>
      <w:r>
        <w:rPr>
          <w:rFonts w:ascii="仿宋_GB2312" w:hAnsi="宋体" w:eastAsia="仿宋_GB2312"/>
          <w:sz w:val="32"/>
          <w:szCs w:val="32"/>
        </w:rPr>
        <w:t>%。</w:t>
      </w:r>
    </w:p>
    <w:p>
      <w:pPr>
        <w:pStyle w:val="9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ascii="仿宋_GB2312" w:hAnsi="宋体" w:eastAsia="仿宋_GB2312"/>
          <w:sz w:val="32"/>
          <w:szCs w:val="32"/>
        </w:rPr>
        <w:t>）国有资产占用情况。截至201</w:t>
      </w:r>
      <w:r>
        <w:rPr>
          <w:rFonts w:hint="eastAsia" w:ascii="仿宋_GB2312" w:hAnsi="宋体" w:eastAsia="仿宋_GB2312"/>
          <w:sz w:val="32"/>
          <w:szCs w:val="32"/>
        </w:rPr>
        <w:t>9</w:t>
      </w:r>
      <w:r>
        <w:rPr>
          <w:rFonts w:ascii="仿宋_GB2312" w:hAnsi="宋体" w:eastAsia="仿宋_GB2312"/>
          <w:sz w:val="32"/>
          <w:szCs w:val="32"/>
        </w:rPr>
        <w:t>年12月31日，</w:t>
      </w:r>
      <w:r>
        <w:rPr>
          <w:rFonts w:hint="eastAsia" w:ascii="仿宋_GB2312" w:hAnsi="宋体" w:eastAsia="仿宋_GB2312"/>
          <w:sz w:val="32"/>
          <w:szCs w:val="32"/>
        </w:rPr>
        <w:t>省委讲师团</w:t>
      </w:r>
      <w:r>
        <w:rPr>
          <w:rFonts w:ascii="仿宋_GB2312" w:hAnsi="宋体" w:eastAsia="仿宋_GB2312"/>
          <w:sz w:val="32"/>
          <w:szCs w:val="32"/>
        </w:rPr>
        <w:t>共有车辆</w:t>
      </w: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辆，其中，部级领导干部用车</w:t>
      </w:r>
      <w:r>
        <w:rPr>
          <w:rFonts w:hint="eastAsia" w:ascii="仿宋_GB2312" w:hAnsi="宋体" w:eastAsia="仿宋_GB2312"/>
          <w:sz w:val="32"/>
          <w:szCs w:val="32"/>
        </w:rPr>
        <w:t>0</w:t>
      </w:r>
      <w:r>
        <w:rPr>
          <w:rFonts w:ascii="仿宋_GB2312" w:hAnsi="宋体" w:eastAsia="仿宋_GB2312"/>
          <w:sz w:val="32"/>
          <w:szCs w:val="32"/>
        </w:rPr>
        <w:t>辆、一般公务用车</w:t>
      </w: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辆、一般执法执勤用车</w:t>
      </w:r>
      <w:r>
        <w:rPr>
          <w:rFonts w:hint="eastAsia" w:ascii="仿宋_GB2312" w:hAnsi="宋体" w:eastAsia="仿宋_GB2312"/>
          <w:sz w:val="32"/>
          <w:szCs w:val="32"/>
        </w:rPr>
        <w:t>0</w:t>
      </w:r>
      <w:r>
        <w:rPr>
          <w:rFonts w:ascii="仿宋_GB2312" w:hAnsi="宋体" w:eastAsia="仿宋_GB2312"/>
          <w:sz w:val="32"/>
          <w:szCs w:val="32"/>
        </w:rPr>
        <w:t>辆、特种专业技术用车</w:t>
      </w:r>
      <w:r>
        <w:rPr>
          <w:rFonts w:hint="eastAsia" w:ascii="仿宋_GB2312" w:hAnsi="宋体" w:eastAsia="仿宋_GB2312"/>
          <w:sz w:val="32"/>
          <w:szCs w:val="32"/>
        </w:rPr>
        <w:t>0</w:t>
      </w:r>
      <w:r>
        <w:rPr>
          <w:rFonts w:ascii="仿宋_GB2312" w:hAnsi="宋体" w:eastAsia="仿宋_GB2312"/>
          <w:sz w:val="32"/>
          <w:szCs w:val="32"/>
        </w:rPr>
        <w:t>辆、其他用车</w:t>
      </w:r>
      <w:r>
        <w:rPr>
          <w:rFonts w:hint="eastAsia" w:ascii="仿宋_GB2312" w:hAnsi="宋体" w:eastAsia="仿宋_GB2312"/>
          <w:sz w:val="32"/>
          <w:szCs w:val="32"/>
        </w:rPr>
        <w:t>0</w:t>
      </w:r>
      <w:r>
        <w:rPr>
          <w:rFonts w:ascii="仿宋_GB2312" w:hAnsi="宋体" w:eastAsia="仿宋_GB2312"/>
          <w:sz w:val="32"/>
          <w:szCs w:val="32"/>
        </w:rPr>
        <w:t>辆，；单位价值50万元以上通用设备</w:t>
      </w:r>
      <w:r>
        <w:rPr>
          <w:rFonts w:hint="eastAsia" w:ascii="仿宋_GB2312" w:hAnsi="宋体" w:eastAsia="仿宋_GB2312"/>
          <w:sz w:val="32"/>
          <w:szCs w:val="32"/>
        </w:rPr>
        <w:t>0</w:t>
      </w:r>
      <w:r>
        <w:rPr>
          <w:rFonts w:ascii="仿宋_GB2312" w:hAnsi="宋体" w:eastAsia="仿宋_GB2312"/>
          <w:sz w:val="32"/>
          <w:szCs w:val="32"/>
        </w:rPr>
        <w:t>台（套），单价100万元以上专用设备</w:t>
      </w:r>
      <w:r>
        <w:rPr>
          <w:rFonts w:hint="eastAsia" w:ascii="仿宋_GB2312" w:hAnsi="宋体" w:eastAsia="仿宋_GB2312"/>
          <w:sz w:val="32"/>
          <w:szCs w:val="32"/>
        </w:rPr>
        <w:t>0</w:t>
      </w:r>
      <w:r>
        <w:rPr>
          <w:rFonts w:ascii="仿宋_GB2312" w:hAnsi="宋体" w:eastAsia="仿宋_GB2312"/>
          <w:sz w:val="32"/>
          <w:szCs w:val="32"/>
        </w:rPr>
        <w:t>台（套）。</w:t>
      </w:r>
    </w:p>
    <w:p>
      <w:pPr>
        <w:pStyle w:val="9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第四部分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autoSpaceDE w:val="0"/>
        <w:autoSpaceDN w:val="0"/>
        <w:adjustRightInd w:val="0"/>
        <w:ind w:firstLine="640"/>
        <w:jc w:val="left"/>
        <w:rPr>
          <w:rFonts w:ascii="仿宋_GB2312" w:hAnsi="宋体"/>
          <w:kern w:val="0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一）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autoSpaceDE w:val="0"/>
        <w:autoSpaceDN w:val="0"/>
        <w:adjustRightInd w:val="0"/>
        <w:ind w:firstLine="640"/>
        <w:jc w:val="left"/>
        <w:rPr>
          <w:rFonts w:ascii="仿宋_GB2312" w:hAnsi="宋体"/>
          <w:kern w:val="0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二）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5174CF"/>
    <w:multiLevelType w:val="singleLevel"/>
    <w:tmpl w:val="8C5174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DB7D23"/>
    <w:multiLevelType w:val="multilevel"/>
    <w:tmpl w:val="1EDB7D23"/>
    <w:lvl w:ilvl="0" w:tentative="0">
      <w:start w:val="2"/>
      <w:numFmt w:val="japaneseCounting"/>
      <w:lvlText w:val="%1、"/>
      <w:lvlJc w:val="left"/>
      <w:pPr>
        <w:ind w:left="1392" w:hanging="6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6F9"/>
    <w:rsid w:val="0002229B"/>
    <w:rsid w:val="000273BD"/>
    <w:rsid w:val="000415B7"/>
    <w:rsid w:val="000658A3"/>
    <w:rsid w:val="00074155"/>
    <w:rsid w:val="000A3F69"/>
    <w:rsid w:val="00152C6D"/>
    <w:rsid w:val="00162D39"/>
    <w:rsid w:val="00180B36"/>
    <w:rsid w:val="001A67DB"/>
    <w:rsid w:val="001B3DC0"/>
    <w:rsid w:val="001D51E5"/>
    <w:rsid w:val="001F0C3B"/>
    <w:rsid w:val="00214427"/>
    <w:rsid w:val="00265724"/>
    <w:rsid w:val="0027426B"/>
    <w:rsid w:val="00277B88"/>
    <w:rsid w:val="002B1C10"/>
    <w:rsid w:val="003479BD"/>
    <w:rsid w:val="003768D5"/>
    <w:rsid w:val="004506F9"/>
    <w:rsid w:val="004717A2"/>
    <w:rsid w:val="00491741"/>
    <w:rsid w:val="00500E5F"/>
    <w:rsid w:val="005122EF"/>
    <w:rsid w:val="00517C33"/>
    <w:rsid w:val="00523644"/>
    <w:rsid w:val="0054069E"/>
    <w:rsid w:val="005767CC"/>
    <w:rsid w:val="00590D9F"/>
    <w:rsid w:val="00595D26"/>
    <w:rsid w:val="005A74E6"/>
    <w:rsid w:val="005D4D55"/>
    <w:rsid w:val="005E2CFB"/>
    <w:rsid w:val="0062378F"/>
    <w:rsid w:val="00651EEC"/>
    <w:rsid w:val="006A351B"/>
    <w:rsid w:val="006B0422"/>
    <w:rsid w:val="006C1B53"/>
    <w:rsid w:val="006D7730"/>
    <w:rsid w:val="006E5284"/>
    <w:rsid w:val="006F3EB5"/>
    <w:rsid w:val="00702E34"/>
    <w:rsid w:val="00704395"/>
    <w:rsid w:val="00720FF1"/>
    <w:rsid w:val="00812ED5"/>
    <w:rsid w:val="008277D9"/>
    <w:rsid w:val="0083031F"/>
    <w:rsid w:val="008A06EF"/>
    <w:rsid w:val="008A3E8D"/>
    <w:rsid w:val="008B30F3"/>
    <w:rsid w:val="009237C4"/>
    <w:rsid w:val="00950252"/>
    <w:rsid w:val="00967F5D"/>
    <w:rsid w:val="009A0F95"/>
    <w:rsid w:val="009B3ADF"/>
    <w:rsid w:val="009C3B52"/>
    <w:rsid w:val="00A42218"/>
    <w:rsid w:val="00A70249"/>
    <w:rsid w:val="00B33BEA"/>
    <w:rsid w:val="00B57C9F"/>
    <w:rsid w:val="00B845B3"/>
    <w:rsid w:val="00B85D8B"/>
    <w:rsid w:val="00BE3674"/>
    <w:rsid w:val="00C3049A"/>
    <w:rsid w:val="00C31B1E"/>
    <w:rsid w:val="00C77645"/>
    <w:rsid w:val="00CE04C3"/>
    <w:rsid w:val="00CE76A0"/>
    <w:rsid w:val="00D148C6"/>
    <w:rsid w:val="00D30784"/>
    <w:rsid w:val="00DD06FF"/>
    <w:rsid w:val="00DD5FE9"/>
    <w:rsid w:val="00E00C7A"/>
    <w:rsid w:val="00E55B68"/>
    <w:rsid w:val="00F74360"/>
    <w:rsid w:val="00FB462F"/>
    <w:rsid w:val="00FE16FA"/>
    <w:rsid w:val="00FE328A"/>
    <w:rsid w:val="35CF7134"/>
    <w:rsid w:val="37FD0252"/>
    <w:rsid w:val="40040739"/>
    <w:rsid w:val="6EBD5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CA967F-99A7-44AE-8CB3-A0222E97A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431</Words>
  <Characters>2460</Characters>
  <Lines>20</Lines>
  <Paragraphs>5</Paragraphs>
  <TotalTime>73</TotalTime>
  <ScaleCrop>false</ScaleCrop>
  <LinksUpToDate>false</LinksUpToDate>
  <CharactersWithSpaces>2886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lenovo</cp:lastModifiedBy>
  <cp:lastPrinted>2020-07-15T07:25:00Z</cp:lastPrinted>
  <dcterms:modified xsi:type="dcterms:W3CDTF">2021-07-02T03:14:33Z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