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jc w:val="center"/>
        <w:rPr>
          <w:rFonts w:hint="eastAsia"/>
          <w:sz w:val="56"/>
          <w:szCs w:val="56"/>
        </w:rPr>
      </w:pPr>
    </w:p>
    <w:p>
      <w:pPr>
        <w:pStyle w:val="9"/>
        <w:jc w:val="center"/>
        <w:rPr>
          <w:sz w:val="56"/>
          <w:szCs w:val="56"/>
        </w:rPr>
      </w:pPr>
    </w:p>
    <w:p>
      <w:pPr>
        <w:pStyle w:val="9"/>
        <w:jc w:val="center"/>
        <w:rPr>
          <w:sz w:val="84"/>
          <w:szCs w:val="84"/>
        </w:rPr>
      </w:pPr>
    </w:p>
    <w:p>
      <w:pPr>
        <w:pStyle w:val="9"/>
        <w:jc w:val="center"/>
        <w:rPr>
          <w:sz w:val="84"/>
          <w:szCs w:val="84"/>
        </w:rPr>
      </w:pPr>
    </w:p>
    <w:p>
      <w:pPr>
        <w:pStyle w:val="9"/>
        <w:jc w:val="center"/>
        <w:rPr>
          <w:sz w:val="84"/>
          <w:szCs w:val="84"/>
        </w:rPr>
      </w:pPr>
    </w:p>
    <w:p>
      <w:pPr>
        <w:pStyle w:val="9"/>
        <w:jc w:val="center"/>
        <w:rPr>
          <w:sz w:val="84"/>
          <w:szCs w:val="84"/>
        </w:rPr>
      </w:pPr>
      <w:r>
        <w:rPr>
          <w:rFonts w:hint="eastAsia"/>
          <w:sz w:val="84"/>
          <w:szCs w:val="84"/>
        </w:rPr>
        <w:t>2021年度</w:t>
      </w:r>
    </w:p>
    <w:p>
      <w:pPr>
        <w:pStyle w:val="9"/>
        <w:jc w:val="center"/>
        <w:rPr>
          <w:sz w:val="84"/>
          <w:szCs w:val="84"/>
        </w:rPr>
      </w:pPr>
      <w:r>
        <w:rPr>
          <w:rFonts w:hint="eastAsia"/>
          <w:sz w:val="84"/>
          <w:szCs w:val="84"/>
          <w:lang w:val="en-US" w:eastAsia="zh-CN"/>
        </w:rPr>
        <w:t>湖南省艺术研究院</w:t>
      </w:r>
      <w:r>
        <w:rPr>
          <w:rFonts w:hint="eastAsia"/>
          <w:sz w:val="84"/>
          <w:szCs w:val="84"/>
        </w:rPr>
        <w:t>部门决算</w:t>
      </w:r>
    </w:p>
    <w:p>
      <w:pPr>
        <w:pStyle w:val="9"/>
        <w:jc w:val="center"/>
        <w:rPr>
          <w:sz w:val="56"/>
          <w:szCs w:val="56"/>
        </w:rPr>
      </w:pPr>
    </w:p>
    <w:p>
      <w:pPr>
        <w:pStyle w:val="9"/>
        <w:jc w:val="center"/>
        <w:rPr>
          <w:sz w:val="56"/>
          <w:szCs w:val="56"/>
        </w:rPr>
      </w:pPr>
    </w:p>
    <w:p>
      <w:pPr>
        <w:pStyle w:val="9"/>
        <w:jc w:val="center"/>
        <w:rPr>
          <w:sz w:val="56"/>
          <w:szCs w:val="56"/>
        </w:rPr>
      </w:pPr>
    </w:p>
    <w:p>
      <w:pPr>
        <w:pStyle w:val="9"/>
        <w:jc w:val="center"/>
        <w:rPr>
          <w:sz w:val="56"/>
          <w:szCs w:val="56"/>
        </w:rPr>
      </w:pPr>
    </w:p>
    <w:p>
      <w:pPr>
        <w:pStyle w:val="9"/>
        <w:jc w:val="center"/>
        <w:rPr>
          <w:sz w:val="32"/>
          <w:szCs w:val="32"/>
        </w:rPr>
      </w:pPr>
    </w:p>
    <w:p>
      <w:pPr>
        <w:pStyle w:val="9"/>
        <w:jc w:val="center"/>
        <w:rPr>
          <w:sz w:val="32"/>
          <w:szCs w:val="32"/>
        </w:rPr>
      </w:pPr>
    </w:p>
    <w:p>
      <w:pPr>
        <w:rPr>
          <w:sz w:val="32"/>
          <w:szCs w:val="32"/>
        </w:rPr>
      </w:pPr>
      <w:r>
        <w:rPr>
          <w:sz w:val="32"/>
          <w:szCs w:val="32"/>
        </w:rPr>
        <w:br w:type="page"/>
      </w:r>
    </w:p>
    <w:p>
      <w:pPr>
        <w:pStyle w:val="9"/>
        <w:spacing w:line="500" w:lineRule="exact"/>
        <w:jc w:val="center"/>
        <w:rPr>
          <w:b/>
          <w:sz w:val="36"/>
          <w:szCs w:val="28"/>
        </w:rPr>
      </w:pPr>
      <w:r>
        <w:rPr>
          <w:rFonts w:hint="eastAsia"/>
          <w:b/>
          <w:sz w:val="36"/>
          <w:szCs w:val="28"/>
        </w:rPr>
        <w:t>目录</w:t>
      </w:r>
    </w:p>
    <w:p>
      <w:pPr>
        <w:pStyle w:val="9"/>
        <w:spacing w:line="500" w:lineRule="exact"/>
        <w:rPr>
          <w:rFonts w:ascii="仿宋_GB2312" w:hAnsi="仿宋_GB2312" w:cs="仿宋_GB2312"/>
          <w:b/>
          <w:sz w:val="28"/>
          <w:szCs w:val="28"/>
        </w:rPr>
      </w:pPr>
      <w:r>
        <w:rPr>
          <w:rFonts w:hint="eastAsia"/>
          <w:b/>
          <w:sz w:val="28"/>
          <w:szCs w:val="28"/>
        </w:rPr>
        <w:t>第一部分</w:t>
      </w:r>
      <w:r>
        <w:rPr>
          <w:rFonts w:hint="eastAsia"/>
          <w:b/>
          <w:sz w:val="28"/>
          <w:szCs w:val="28"/>
          <w:lang w:val="en-US" w:eastAsia="zh-CN"/>
        </w:rPr>
        <w:t xml:space="preserve"> 湖南省艺术研究院</w:t>
      </w:r>
      <w:r>
        <w:rPr>
          <w:rFonts w:hint="eastAsia"/>
          <w:b/>
          <w:sz w:val="28"/>
          <w:szCs w:val="28"/>
        </w:rPr>
        <w:t>概况</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一、部门职责</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二、机构设置</w:t>
      </w:r>
    </w:p>
    <w:p>
      <w:pPr>
        <w:pStyle w:val="9"/>
        <w:spacing w:line="500" w:lineRule="exact"/>
        <w:rPr>
          <w:rFonts w:ascii="仿宋_GB2312" w:hAnsi="仿宋_GB2312" w:cs="仿宋_GB2312"/>
          <w:b/>
          <w:sz w:val="28"/>
          <w:szCs w:val="28"/>
        </w:rPr>
      </w:pPr>
      <w:r>
        <w:rPr>
          <w:rFonts w:hint="eastAsia" w:hAnsi="仿宋_GB2312"/>
          <w:b/>
          <w:sz w:val="28"/>
          <w:szCs w:val="28"/>
        </w:rPr>
        <w:t>第二部分</w:t>
      </w:r>
      <w:r>
        <w:rPr>
          <w:rFonts w:hint="eastAsia" w:hAnsi="仿宋_GB2312"/>
          <w:b/>
          <w:sz w:val="28"/>
          <w:szCs w:val="28"/>
          <w:lang w:val="en-US" w:eastAsia="zh-CN"/>
        </w:rPr>
        <w:t xml:space="preserve"> </w:t>
      </w:r>
      <w:r>
        <w:rPr>
          <w:rFonts w:hAnsi="仿宋_GB2312"/>
          <w:b/>
          <w:sz w:val="28"/>
          <w:szCs w:val="28"/>
        </w:rPr>
        <w:t>20</w:t>
      </w:r>
      <w:r>
        <w:rPr>
          <w:rFonts w:hint="eastAsia" w:hAnsi="仿宋_GB2312"/>
          <w:b/>
          <w:sz w:val="28"/>
          <w:szCs w:val="28"/>
        </w:rPr>
        <w:t>21年度部门决算表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一、收入支出决算总表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二、收入决算表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三、支出决算表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四、财政拨款收入支出决算总表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五、一般公共预算财政拨款支出决算表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六、一般公共预算财政拨款基本支出决算</w:t>
      </w:r>
      <w:r>
        <w:rPr>
          <w:rFonts w:hint="eastAsia" w:cs="仿宋_GB2312" w:asciiTheme="minorEastAsia" w:hAnsiTheme="minorEastAsia" w:eastAsiaTheme="minorEastAsia"/>
          <w:sz w:val="28"/>
          <w:szCs w:val="28"/>
        </w:rPr>
        <w:t>明细</w:t>
      </w:r>
      <w:r>
        <w:rPr>
          <w:rFonts w:cs="仿宋_GB2312" w:asciiTheme="minorEastAsia" w:hAnsiTheme="minorEastAsia" w:eastAsiaTheme="minorEastAsia"/>
          <w:sz w:val="28"/>
          <w:szCs w:val="28"/>
        </w:rPr>
        <w:t>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七、一般公共预算财政拨款“三公”经费支出决算表</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八、政府性基金预算财政拨款收入支出决算表</w:t>
      </w:r>
    </w:p>
    <w:p>
      <w:pPr>
        <w:pStyle w:val="9"/>
        <w:spacing w:line="500" w:lineRule="exact"/>
        <w:ind w:firstLine="700" w:firstLineChars="250"/>
        <w:rPr>
          <w:rFonts w:cs="仿宋_GB2312" w:asciiTheme="minorEastAsia" w:hAnsiTheme="minorEastAsia" w:eastAsiaTheme="minorEastAsia"/>
          <w:sz w:val="28"/>
          <w:szCs w:val="28"/>
        </w:rPr>
      </w:pPr>
      <w:r>
        <w:rPr>
          <w:rFonts w:hint="eastAsia" w:cs="仿宋_GB2312" w:asciiTheme="minorEastAsia" w:hAnsiTheme="minorEastAsia" w:eastAsiaTheme="minorEastAsia"/>
          <w:sz w:val="28"/>
          <w:szCs w:val="28"/>
        </w:rPr>
        <w:t>九、国有资本经营预算财政拨款支出决算表</w:t>
      </w:r>
    </w:p>
    <w:p>
      <w:pPr>
        <w:pStyle w:val="9"/>
        <w:spacing w:line="500" w:lineRule="exact"/>
        <w:rPr>
          <w:rFonts w:ascii="仿宋_GB2312" w:hAnsi="仿宋_GB2312" w:cs="仿宋_GB2312"/>
          <w:b/>
          <w:sz w:val="28"/>
          <w:szCs w:val="28"/>
        </w:rPr>
      </w:pPr>
      <w:r>
        <w:rPr>
          <w:rFonts w:hint="eastAsia" w:hAnsi="仿宋_GB2312"/>
          <w:b/>
          <w:sz w:val="28"/>
          <w:szCs w:val="28"/>
        </w:rPr>
        <w:t>第三部分</w:t>
      </w:r>
      <w:r>
        <w:rPr>
          <w:rFonts w:hAnsi="仿宋_GB2312"/>
          <w:b/>
          <w:sz w:val="28"/>
          <w:szCs w:val="28"/>
        </w:rPr>
        <w:t>20</w:t>
      </w:r>
      <w:r>
        <w:rPr>
          <w:rFonts w:hint="eastAsia" w:hAnsi="仿宋_GB2312"/>
          <w:b/>
          <w:sz w:val="28"/>
          <w:szCs w:val="28"/>
        </w:rPr>
        <w:t>21年度部门决算情况说明</w:t>
      </w:r>
    </w:p>
    <w:p>
      <w:pPr>
        <w:pStyle w:val="9"/>
        <w:spacing w:line="500" w:lineRule="exact"/>
        <w:ind w:firstLine="700" w:firstLineChars="250"/>
        <w:rPr>
          <w:rFonts w:cs="仿宋_GB2312" w:asciiTheme="minorEastAsia" w:hAnsiTheme="minorEastAsia" w:eastAsiaTheme="minorEastAsia"/>
          <w:sz w:val="28"/>
          <w:szCs w:val="28"/>
        </w:rPr>
      </w:pPr>
      <w:r>
        <w:rPr>
          <w:rFonts w:cs="仿宋_GB2312" w:asciiTheme="minorEastAsia" w:hAnsiTheme="minorEastAsia" w:eastAsiaTheme="minorEastAsia"/>
          <w:sz w:val="28"/>
          <w:szCs w:val="28"/>
        </w:rPr>
        <w:t>一、收入支出决算总体情况说明</w:t>
      </w:r>
    </w:p>
    <w:p>
      <w:pPr>
        <w:spacing w:line="500" w:lineRule="exact"/>
        <w:ind w:firstLine="700" w:firstLineChars="250"/>
        <w:jc w:val="left"/>
        <w:rPr>
          <w:rFonts w:ascii="仿宋_GB2312" w:hAnsi="仿宋_GB2312" w:cs="仿宋_GB2312"/>
          <w:sz w:val="28"/>
          <w:szCs w:val="28"/>
        </w:rPr>
      </w:pPr>
      <w:r>
        <w:rPr>
          <w:rFonts w:ascii="仿宋_GB2312" w:hAnsi="仿宋_GB2312" w:cs="仿宋_GB2312"/>
          <w:sz w:val="28"/>
          <w:szCs w:val="28"/>
        </w:rPr>
        <w:t>二、收入决算情况说明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ascii="仿宋_GB2312" w:hAnsi="仿宋_GB2312" w:cs="仿宋_GB2312"/>
          <w:color w:val="000000"/>
          <w:kern w:val="0"/>
          <w:sz w:val="28"/>
          <w:szCs w:val="28"/>
        </w:rPr>
        <w:t>三、支出决算情况说明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ascii="仿宋_GB2312" w:hAnsi="仿宋_GB2312" w:cs="仿宋_GB2312"/>
          <w:color w:val="000000"/>
          <w:kern w:val="0"/>
          <w:sz w:val="28"/>
          <w:szCs w:val="28"/>
        </w:rPr>
        <w:t>四、财政拨款收入支出决算总体情况说明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ascii="仿宋_GB2312" w:hAnsi="仿宋_GB2312" w:cs="仿宋_GB2312"/>
          <w:color w:val="000000"/>
          <w:kern w:val="0"/>
          <w:sz w:val="28"/>
          <w:szCs w:val="28"/>
        </w:rPr>
        <w:t>五、一般公共预算财政拨款支出决算情况说明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ascii="仿宋_GB2312" w:hAnsi="仿宋_GB2312" w:cs="仿宋_GB2312"/>
          <w:color w:val="000000"/>
          <w:kern w:val="0"/>
          <w:sz w:val="28"/>
          <w:szCs w:val="28"/>
        </w:rPr>
        <w:t>六、一般公共预算财政拨款基本支出决算情况说明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ascii="仿宋_GB2312" w:hAnsi="仿宋_GB2312" w:cs="仿宋_GB2312"/>
          <w:color w:val="000000"/>
          <w:kern w:val="0"/>
          <w:sz w:val="28"/>
          <w:szCs w:val="28"/>
        </w:rPr>
        <w:t>七、一般公共预算财政拨款</w:t>
      </w:r>
      <w:r>
        <w:rPr>
          <w:rFonts w:hint="eastAsia" w:ascii="仿宋_GB2312" w:hAnsi="仿宋_GB2312" w:cs="仿宋_GB2312"/>
          <w:color w:val="000000"/>
          <w:kern w:val="0"/>
          <w:sz w:val="28"/>
          <w:szCs w:val="28"/>
        </w:rPr>
        <w:t>“</w:t>
      </w:r>
      <w:r>
        <w:rPr>
          <w:rFonts w:ascii="仿宋_GB2312" w:hAnsi="仿宋_GB2312" w:cs="仿宋_GB2312"/>
          <w:color w:val="000000"/>
          <w:kern w:val="0"/>
          <w:sz w:val="28"/>
          <w:szCs w:val="28"/>
        </w:rPr>
        <w:t>三公</w:t>
      </w:r>
      <w:r>
        <w:rPr>
          <w:rFonts w:hint="eastAsia" w:ascii="仿宋_GB2312" w:hAnsi="仿宋_GB2312" w:cs="仿宋_GB2312"/>
          <w:color w:val="000000"/>
          <w:kern w:val="0"/>
          <w:sz w:val="28"/>
          <w:szCs w:val="28"/>
        </w:rPr>
        <w:t>”</w:t>
      </w:r>
      <w:r>
        <w:rPr>
          <w:rFonts w:ascii="仿宋_GB2312" w:hAnsi="仿宋_GB2312" w:cs="仿宋_GB2312"/>
          <w:color w:val="000000"/>
          <w:kern w:val="0"/>
          <w:sz w:val="28"/>
          <w:szCs w:val="28"/>
        </w:rPr>
        <w:t>经费支出决算情况说明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hint="eastAsia" w:ascii="仿宋_GB2312" w:hAnsi="仿宋_GB2312" w:cs="仿宋_GB2312"/>
          <w:color w:val="000000"/>
          <w:kern w:val="0"/>
          <w:sz w:val="28"/>
          <w:szCs w:val="28"/>
        </w:rPr>
        <w:t>八</w:t>
      </w:r>
      <w:r>
        <w:rPr>
          <w:rFonts w:ascii="仿宋_GB2312" w:hAnsi="仿宋_GB2312" w:cs="仿宋_GB2312"/>
          <w:color w:val="000000"/>
          <w:kern w:val="0"/>
          <w:sz w:val="28"/>
          <w:szCs w:val="28"/>
        </w:rPr>
        <w:t>、</w:t>
      </w:r>
      <w:r>
        <w:rPr>
          <w:rFonts w:hint="eastAsia" w:ascii="仿宋_GB2312" w:hAnsi="仿宋_GB2312" w:cs="仿宋_GB2312"/>
          <w:color w:val="000000"/>
          <w:kern w:val="0"/>
          <w:sz w:val="28"/>
          <w:szCs w:val="28"/>
        </w:rPr>
        <w:t>政府性基金预算收入支出决算情况</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hint="eastAsia" w:ascii="仿宋_GB2312" w:hAnsi="仿宋_GB2312" w:cs="仿宋_GB2312"/>
          <w:color w:val="000000"/>
          <w:kern w:val="0"/>
          <w:sz w:val="28"/>
          <w:szCs w:val="28"/>
        </w:rPr>
        <w:t>九</w:t>
      </w:r>
      <w:r>
        <w:rPr>
          <w:rFonts w:ascii="仿宋_GB2312" w:hAnsi="仿宋_GB2312" w:cs="仿宋_GB2312"/>
          <w:color w:val="000000"/>
          <w:kern w:val="0"/>
          <w:sz w:val="28"/>
          <w:szCs w:val="28"/>
        </w:rPr>
        <w:t>、</w:t>
      </w:r>
      <w:r>
        <w:rPr>
          <w:rFonts w:hint="eastAsia" w:ascii="仿宋_GB2312" w:hAnsi="仿宋_GB2312" w:cs="仿宋_GB2312"/>
          <w:color w:val="000000"/>
          <w:kern w:val="0"/>
          <w:sz w:val="28"/>
          <w:szCs w:val="28"/>
        </w:rPr>
        <w:t>机关运行经费支出说明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hint="eastAsia" w:ascii="仿宋_GB2312" w:hAnsi="仿宋_GB2312" w:cs="仿宋_GB2312"/>
          <w:color w:val="000000"/>
          <w:kern w:val="0"/>
          <w:sz w:val="28"/>
          <w:szCs w:val="28"/>
        </w:rPr>
        <w:t>十、一般性支出情况说明</w:t>
      </w:r>
    </w:p>
    <w:p>
      <w:pPr>
        <w:autoSpaceDE w:val="0"/>
        <w:autoSpaceDN w:val="0"/>
        <w:adjustRightInd w:val="0"/>
        <w:spacing w:line="500" w:lineRule="exact"/>
        <w:ind w:firstLine="700" w:firstLineChars="250"/>
        <w:jc w:val="left"/>
        <w:rPr>
          <w:rFonts w:ascii="仿宋_GB2312" w:hAnsi="仿宋_GB2312" w:cs="仿宋_GB2312"/>
          <w:color w:val="000000"/>
          <w:kern w:val="0"/>
          <w:sz w:val="28"/>
          <w:szCs w:val="28"/>
        </w:rPr>
      </w:pPr>
      <w:r>
        <w:rPr>
          <w:rFonts w:hint="eastAsia" w:ascii="仿宋_GB2312" w:hAnsi="仿宋_GB2312" w:cs="仿宋_GB2312"/>
          <w:color w:val="000000"/>
          <w:kern w:val="0"/>
          <w:sz w:val="28"/>
          <w:szCs w:val="28"/>
        </w:rPr>
        <w:t>十一、政府采购支出说明</w:t>
      </w:r>
    </w:p>
    <w:p>
      <w:pPr>
        <w:pStyle w:val="9"/>
        <w:spacing w:line="500" w:lineRule="exact"/>
        <w:ind w:firstLine="700" w:firstLineChars="250"/>
        <w:rPr>
          <w:rFonts w:ascii="仿宋_GB2312" w:hAnsi="仿宋_GB2312" w:cs="仿宋_GB2312" w:eastAsiaTheme="minorEastAsia"/>
          <w:sz w:val="28"/>
          <w:szCs w:val="28"/>
        </w:rPr>
      </w:pPr>
      <w:r>
        <w:rPr>
          <w:rFonts w:hint="eastAsia" w:ascii="仿宋_GB2312" w:hAnsi="仿宋_GB2312" w:cs="仿宋_GB2312" w:eastAsiaTheme="minorEastAsia"/>
          <w:sz w:val="28"/>
          <w:szCs w:val="28"/>
        </w:rPr>
        <w:t>十二、国有资产占用情况说明</w:t>
      </w:r>
    </w:p>
    <w:p>
      <w:pPr>
        <w:pStyle w:val="9"/>
        <w:spacing w:line="500" w:lineRule="exact"/>
        <w:ind w:firstLine="700" w:firstLineChars="250"/>
        <w:rPr>
          <w:rFonts w:ascii="仿宋_GB2312" w:hAnsi="仿宋_GB2312" w:cs="仿宋_GB2312" w:eastAsiaTheme="minorEastAsia"/>
          <w:sz w:val="28"/>
          <w:szCs w:val="28"/>
        </w:rPr>
      </w:pPr>
      <w:r>
        <w:rPr>
          <w:rFonts w:hint="eastAsia" w:ascii="仿宋_GB2312" w:hAnsi="仿宋_GB2312" w:cs="仿宋_GB2312" w:eastAsiaTheme="minorEastAsia"/>
          <w:sz w:val="28"/>
          <w:szCs w:val="28"/>
        </w:rPr>
        <w:t>十三、</w:t>
      </w:r>
      <w:r>
        <w:rPr>
          <w:rFonts w:hint="eastAsia" w:cs="仿宋_GB2312" w:asciiTheme="minorEastAsia" w:hAnsiTheme="minorEastAsia" w:eastAsiaTheme="minorEastAsia"/>
          <w:sz w:val="28"/>
          <w:szCs w:val="28"/>
        </w:rPr>
        <w:t>2021年</w:t>
      </w:r>
      <w:r>
        <w:rPr>
          <w:rFonts w:hint="eastAsia" w:ascii="仿宋_GB2312" w:hAnsi="仿宋_GB2312" w:cs="仿宋_GB2312" w:eastAsiaTheme="minorEastAsia"/>
          <w:sz w:val="28"/>
          <w:szCs w:val="28"/>
        </w:rPr>
        <w:t>度预算绩效情况说明</w:t>
      </w:r>
    </w:p>
    <w:p>
      <w:pPr>
        <w:autoSpaceDE w:val="0"/>
        <w:autoSpaceDN w:val="0"/>
        <w:adjustRightInd w:val="0"/>
        <w:spacing w:line="500" w:lineRule="exact"/>
        <w:jc w:val="left"/>
        <w:rPr>
          <w:rFonts w:ascii="黑体" w:hAnsi="黑体" w:eastAsia="黑体" w:cs="黑体"/>
          <w:b/>
          <w:color w:val="000000"/>
          <w:kern w:val="0"/>
          <w:sz w:val="28"/>
          <w:szCs w:val="28"/>
        </w:rPr>
      </w:pPr>
      <w:r>
        <w:rPr>
          <w:rFonts w:ascii="黑体" w:hAnsi="黑体" w:eastAsia="黑体" w:cs="黑体"/>
          <w:b/>
          <w:color w:val="000000"/>
          <w:kern w:val="0"/>
          <w:sz w:val="28"/>
          <w:szCs w:val="28"/>
        </w:rPr>
        <w:t>第四部分名词解释</w:t>
      </w:r>
    </w:p>
    <w:p>
      <w:pPr>
        <w:autoSpaceDE w:val="0"/>
        <w:autoSpaceDN w:val="0"/>
        <w:adjustRightInd w:val="0"/>
        <w:spacing w:line="500" w:lineRule="exact"/>
        <w:jc w:val="left"/>
        <w:rPr>
          <w:rFonts w:hint="eastAsia" w:ascii="黑体" w:hAnsi="黑体" w:eastAsia="黑体" w:cs="黑体"/>
          <w:b/>
          <w:color w:val="000000"/>
          <w:kern w:val="0"/>
          <w:sz w:val="28"/>
          <w:szCs w:val="28"/>
        </w:rPr>
        <w:sectPr>
          <w:pgSz w:w="11906" w:h="16839"/>
          <w:pgMar w:top="1134" w:right="608" w:bottom="0" w:left="737" w:header="0" w:footer="0" w:gutter="0"/>
          <w:cols w:space="0" w:num="1"/>
          <w:rtlGutter w:val="0"/>
          <w:docGrid w:linePitch="0" w:charSpace="0"/>
        </w:sectPr>
      </w:pPr>
      <w:r>
        <w:rPr>
          <w:rFonts w:hint="eastAsia" w:ascii="黑体" w:hAnsi="黑体" w:eastAsia="黑体" w:cs="黑体"/>
          <w:b/>
          <w:color w:val="000000"/>
          <w:kern w:val="0"/>
          <w:sz w:val="28"/>
          <w:szCs w:val="28"/>
        </w:rPr>
        <w:t>第五部分附件</w:t>
      </w:r>
    </w:p>
    <w:p>
      <w:pPr>
        <w:autoSpaceDE w:val="0"/>
        <w:autoSpaceDN w:val="0"/>
        <w:adjustRightInd w:val="0"/>
        <w:spacing w:line="500" w:lineRule="exact"/>
        <w:jc w:val="left"/>
        <w:rPr>
          <w:rFonts w:hint="eastAsia" w:ascii="黑体" w:hAnsi="黑体" w:eastAsia="黑体" w:cs="黑体"/>
          <w:b/>
          <w:color w:val="000000"/>
          <w:kern w:val="0"/>
          <w:sz w:val="28"/>
          <w:szCs w:val="28"/>
        </w:rPr>
      </w:pPr>
    </w:p>
    <w:p>
      <w:pPr>
        <w:rPr>
          <w:sz w:val="72"/>
          <w:szCs w:val="72"/>
        </w:rPr>
      </w:pPr>
    </w:p>
    <w:p>
      <w:pPr>
        <w:rPr>
          <w:sz w:val="72"/>
          <w:szCs w:val="72"/>
        </w:rPr>
      </w:pPr>
    </w:p>
    <w:p>
      <w:pPr>
        <w:rPr>
          <w:sz w:val="72"/>
          <w:szCs w:val="72"/>
        </w:rPr>
      </w:pPr>
    </w:p>
    <w:p>
      <w:pPr>
        <w:rPr>
          <w:sz w:val="72"/>
          <w:szCs w:val="72"/>
        </w:rPr>
      </w:pPr>
    </w:p>
    <w:p>
      <w:pPr>
        <w:pStyle w:val="9"/>
        <w:jc w:val="center"/>
        <w:rPr>
          <w:sz w:val="84"/>
          <w:szCs w:val="84"/>
        </w:rPr>
      </w:pPr>
      <w:r>
        <w:rPr>
          <w:rFonts w:hint="eastAsia"/>
          <w:sz w:val="84"/>
          <w:szCs w:val="84"/>
        </w:rPr>
        <w:t>第一部分</w:t>
      </w:r>
      <w:r>
        <w:rPr>
          <w:sz w:val="84"/>
          <w:szCs w:val="84"/>
        </w:rPr>
        <w:t xml:space="preserve"> </w:t>
      </w:r>
    </w:p>
    <w:p>
      <w:pPr>
        <w:pStyle w:val="9"/>
        <w:jc w:val="center"/>
        <w:rPr>
          <w:sz w:val="84"/>
          <w:szCs w:val="84"/>
        </w:rPr>
      </w:pPr>
    </w:p>
    <w:p>
      <w:pPr>
        <w:pStyle w:val="9"/>
        <w:jc w:val="center"/>
        <w:rPr>
          <w:sz w:val="84"/>
          <w:szCs w:val="84"/>
        </w:rPr>
      </w:pPr>
      <w:r>
        <w:rPr>
          <w:rFonts w:hint="eastAsia"/>
          <w:sz w:val="84"/>
          <w:szCs w:val="84"/>
          <w:lang w:val="en-US" w:eastAsia="zh-CN"/>
        </w:rPr>
        <w:t>湖南省艺术研究院</w:t>
      </w:r>
      <w:r>
        <w:rPr>
          <w:rFonts w:hint="eastAsia"/>
          <w:sz w:val="84"/>
          <w:szCs w:val="84"/>
        </w:rPr>
        <w:t>概况</w:t>
      </w:r>
    </w:p>
    <w:p>
      <w:pPr>
        <w:jc w:val="center"/>
        <w:rPr>
          <w:sz w:val="72"/>
          <w:szCs w:val="72"/>
        </w:rPr>
      </w:pPr>
    </w:p>
    <w:p>
      <w:pPr>
        <w:jc w:val="center"/>
        <w:rPr>
          <w:sz w:val="72"/>
          <w:szCs w:val="72"/>
        </w:rPr>
      </w:pPr>
    </w:p>
    <w:p>
      <w:pPr>
        <w:jc w:val="center"/>
        <w:rPr>
          <w:sz w:val="72"/>
          <w:szCs w:val="72"/>
        </w:rPr>
      </w:pPr>
    </w:p>
    <w:p>
      <w:pPr>
        <w:jc w:val="center"/>
        <w:rPr>
          <w:sz w:val="72"/>
          <w:szCs w:val="72"/>
        </w:rPr>
      </w:pPr>
    </w:p>
    <w:p>
      <w:pPr>
        <w:jc w:val="center"/>
        <w:rPr>
          <w:sz w:val="72"/>
          <w:szCs w:val="72"/>
        </w:rPr>
      </w:pPr>
    </w:p>
    <w:p>
      <w:pPr>
        <w:rPr>
          <w:rFonts w:ascii="黑体" w:hAnsi="黑体" w:eastAsia="黑体"/>
          <w:sz w:val="32"/>
          <w:szCs w:val="32"/>
        </w:rPr>
      </w:pPr>
      <w:r>
        <w:rPr>
          <w:rFonts w:ascii="黑体" w:hAnsi="黑体" w:eastAsia="黑体"/>
          <w:sz w:val="32"/>
          <w:szCs w:val="32"/>
        </w:rPr>
        <w:br w:type="page"/>
      </w:r>
    </w:p>
    <w:p>
      <w:pPr>
        <w:pStyle w:val="10"/>
        <w:numPr>
          <w:ilvl w:val="0"/>
          <w:numId w:val="1"/>
        </w:numPr>
        <w:ind w:firstLineChars="0"/>
        <w:jc w:val="left"/>
        <w:rPr>
          <w:rFonts w:hint="default" w:ascii="黑体" w:hAnsi="黑体" w:eastAsia="黑体"/>
          <w:sz w:val="32"/>
          <w:szCs w:val="32"/>
          <w:lang w:val="en-US" w:eastAsia="zh-CN"/>
        </w:rPr>
      </w:pPr>
      <w:r>
        <w:rPr>
          <w:rFonts w:ascii="黑体" w:hAnsi="黑体" w:eastAsia="黑体"/>
          <w:sz w:val="32"/>
          <w:szCs w:val="32"/>
        </w:rPr>
        <w:t>部门职责</w:t>
      </w:r>
    </w:p>
    <w:p>
      <w:pPr>
        <w:pStyle w:val="10"/>
        <w:numPr>
          <w:ilvl w:val="0"/>
          <w:numId w:val="0"/>
        </w:numPr>
        <w:ind w:left="0" w:leftChars="0" w:firstLine="457" w:firstLineChars="143"/>
        <w:jc w:val="left"/>
        <w:rPr>
          <w:rFonts w:hint="default" w:ascii="黑体" w:hAnsi="黑体" w:eastAsia="黑体"/>
          <w:sz w:val="32"/>
          <w:szCs w:val="32"/>
          <w:lang w:val="en-US" w:eastAsia="zh-CN"/>
        </w:rPr>
      </w:pPr>
      <w:r>
        <w:rPr>
          <w:rFonts w:hint="eastAsia" w:ascii="黑体" w:hAnsi="黑体" w:eastAsia="黑体"/>
          <w:sz w:val="32"/>
          <w:szCs w:val="32"/>
          <w:lang w:val="en-US" w:eastAsia="zh-CN"/>
        </w:rPr>
        <w:t>（一）基本情况</w:t>
      </w:r>
    </w:p>
    <w:p>
      <w:pPr>
        <w:snapToGrid w:val="0"/>
        <w:spacing w:line="520" w:lineRule="exact"/>
        <w:ind w:left="0" w:leftChars="0" w:firstLine="640" w:firstLineChars="200"/>
        <w:outlineLvl w:val="2"/>
        <w:rPr>
          <w:rFonts w:hint="eastAsia" w:ascii="宋体" w:hAnsi="宋体" w:eastAsia="宋体" w:cs="宋体"/>
          <w:sz w:val="32"/>
          <w:szCs w:val="32"/>
        </w:rPr>
      </w:pPr>
      <w:r>
        <w:rPr>
          <w:rFonts w:hint="eastAsia" w:ascii="宋体" w:hAnsi="宋体" w:eastAsia="宋体" w:cs="宋体"/>
          <w:sz w:val="32"/>
          <w:szCs w:val="32"/>
        </w:rPr>
        <w:t>主要职能</w:t>
      </w:r>
    </w:p>
    <w:p>
      <w:pPr>
        <w:snapToGrid w:val="0"/>
        <w:spacing w:line="520" w:lineRule="exact"/>
        <w:ind w:left="0" w:leftChars="0" w:firstLine="640" w:firstLineChars="200"/>
        <w:rPr>
          <w:rFonts w:hint="eastAsia" w:ascii="宋体" w:hAnsi="宋体" w:eastAsia="宋体" w:cs="宋体"/>
          <w:sz w:val="32"/>
          <w:szCs w:val="32"/>
        </w:rPr>
      </w:pPr>
      <w:r>
        <w:rPr>
          <w:rFonts w:hint="eastAsia" w:ascii="宋体" w:hAnsi="宋体" w:eastAsia="宋体" w:cs="宋体"/>
          <w:sz w:val="32"/>
          <w:szCs w:val="32"/>
        </w:rPr>
        <w:t>湖南省艺术研究院为财政全额拨款的公益性事业单位，担负着全省舞台艺术创作指导咨询；艺术理论历史研究；全省艺术信息档案采集管理发布利用；艺术培训宣传《艺海》杂志出版；组织开展书法研究和创作；培养书法人才；开展书法交流、普及</w:t>
      </w:r>
      <w:r>
        <w:rPr>
          <w:rFonts w:hint="eastAsia" w:ascii="宋体" w:hAnsi="宋体" w:eastAsia="宋体" w:cs="宋体"/>
          <w:sz w:val="32"/>
          <w:szCs w:val="32"/>
          <w:lang w:eastAsia="zh-CN"/>
        </w:rPr>
        <w:t>与</w:t>
      </w:r>
      <w:r>
        <w:rPr>
          <w:rFonts w:hint="eastAsia" w:ascii="宋体" w:hAnsi="宋体" w:eastAsia="宋体" w:cs="宋体"/>
          <w:sz w:val="32"/>
          <w:szCs w:val="32"/>
        </w:rPr>
        <w:t>推广活动等任务，是</w:t>
      </w:r>
      <w:r>
        <w:rPr>
          <w:rFonts w:hint="eastAsia" w:ascii="宋体" w:hAnsi="宋体" w:eastAsia="宋体" w:cs="宋体"/>
          <w:sz w:val="32"/>
          <w:szCs w:val="32"/>
          <w:lang w:val="en-US" w:eastAsia="zh-CN"/>
        </w:rPr>
        <w:t>具有</w:t>
      </w:r>
      <w:r>
        <w:rPr>
          <w:rFonts w:hint="eastAsia" w:ascii="宋体" w:hAnsi="宋体" w:eastAsia="宋体" w:cs="宋体"/>
          <w:sz w:val="32"/>
          <w:szCs w:val="32"/>
        </w:rPr>
        <w:t>全国影响</w:t>
      </w:r>
      <w:r>
        <w:rPr>
          <w:rFonts w:hint="eastAsia" w:ascii="宋体" w:hAnsi="宋体" w:eastAsia="宋体" w:cs="宋体"/>
          <w:sz w:val="32"/>
          <w:szCs w:val="32"/>
          <w:lang w:val="en-US" w:eastAsia="zh-CN"/>
        </w:rPr>
        <w:t>力</w:t>
      </w:r>
      <w:r>
        <w:rPr>
          <w:rFonts w:hint="eastAsia" w:ascii="宋体" w:hAnsi="宋体" w:eastAsia="宋体" w:cs="宋体"/>
          <w:sz w:val="32"/>
          <w:szCs w:val="32"/>
        </w:rPr>
        <w:t>的省级基础性艺术科研单位。</w:t>
      </w:r>
    </w:p>
    <w:p>
      <w:pPr>
        <w:numPr>
          <w:ilvl w:val="0"/>
          <w:numId w:val="0"/>
        </w:numPr>
        <w:snapToGrid w:val="0"/>
        <w:spacing w:line="520" w:lineRule="exact"/>
        <w:ind w:left="0" w:leftChars="0" w:firstLine="640" w:firstLineChars="200"/>
        <w:outlineLvl w:val="2"/>
        <w:rPr>
          <w:rFonts w:hint="eastAsia" w:ascii="宋体" w:hAnsi="宋体" w:eastAsia="宋体" w:cs="宋体"/>
          <w:sz w:val="32"/>
          <w:szCs w:val="32"/>
        </w:rPr>
      </w:pPr>
      <w:r>
        <w:rPr>
          <w:rFonts w:hint="eastAsia" w:ascii="宋体" w:hAnsi="宋体" w:eastAsia="宋体" w:cs="宋体"/>
          <w:sz w:val="32"/>
          <w:szCs w:val="32"/>
        </w:rPr>
        <w:t>人员情况</w:t>
      </w:r>
    </w:p>
    <w:p>
      <w:pPr>
        <w:numPr>
          <w:ilvl w:val="0"/>
          <w:numId w:val="0"/>
        </w:numPr>
        <w:snapToGrid w:val="0"/>
        <w:spacing w:line="520" w:lineRule="exact"/>
        <w:ind w:left="0" w:leftChars="0" w:firstLine="640" w:firstLineChars="200"/>
        <w:rPr>
          <w:rFonts w:hint="default" w:ascii="黑体" w:hAnsi="黑体" w:eastAsia="黑体"/>
          <w:sz w:val="32"/>
          <w:szCs w:val="32"/>
          <w:lang w:val="en-US" w:eastAsia="zh-CN"/>
        </w:rPr>
      </w:pPr>
      <w:r>
        <w:rPr>
          <w:rFonts w:hint="eastAsia" w:ascii="宋体" w:hAnsi="宋体" w:eastAsia="宋体" w:cs="宋体"/>
          <w:sz w:val="32"/>
          <w:szCs w:val="32"/>
        </w:rPr>
        <w:t>全院现有人员</w:t>
      </w:r>
      <w:r>
        <w:rPr>
          <w:rFonts w:hint="eastAsia" w:ascii="宋体" w:hAnsi="宋体" w:cs="宋体"/>
          <w:sz w:val="32"/>
          <w:szCs w:val="32"/>
          <w:lang w:val="en-US" w:eastAsia="zh-CN"/>
        </w:rPr>
        <w:t>86</w:t>
      </w:r>
      <w:r>
        <w:rPr>
          <w:rFonts w:hint="eastAsia" w:ascii="宋体" w:hAnsi="宋体" w:eastAsia="宋体" w:cs="宋体"/>
          <w:sz w:val="32"/>
          <w:szCs w:val="32"/>
        </w:rPr>
        <w:t>人，在职</w:t>
      </w:r>
      <w:r>
        <w:rPr>
          <w:rFonts w:hint="eastAsia" w:ascii="宋体" w:hAnsi="宋体" w:cs="宋体"/>
          <w:sz w:val="32"/>
          <w:szCs w:val="32"/>
          <w:lang w:val="en-US" w:eastAsia="zh-CN"/>
        </w:rPr>
        <w:t>44</w:t>
      </w:r>
      <w:r>
        <w:rPr>
          <w:rFonts w:hint="eastAsia" w:ascii="宋体" w:hAnsi="宋体" w:eastAsia="宋体" w:cs="宋体"/>
          <w:sz w:val="32"/>
          <w:szCs w:val="32"/>
        </w:rPr>
        <w:t>人，离休</w:t>
      </w:r>
      <w:r>
        <w:rPr>
          <w:rFonts w:hint="eastAsia" w:ascii="宋体" w:hAnsi="宋体" w:cs="宋体"/>
          <w:sz w:val="32"/>
          <w:szCs w:val="32"/>
          <w:lang w:val="en-US" w:eastAsia="zh-CN"/>
        </w:rPr>
        <w:t>1</w:t>
      </w:r>
      <w:r>
        <w:rPr>
          <w:rFonts w:hint="eastAsia" w:ascii="宋体" w:hAnsi="宋体" w:eastAsia="宋体" w:cs="宋体"/>
          <w:sz w:val="32"/>
          <w:szCs w:val="32"/>
        </w:rPr>
        <w:t>人，退休</w:t>
      </w:r>
      <w:r>
        <w:rPr>
          <w:rFonts w:hint="eastAsia" w:ascii="宋体" w:hAnsi="宋体" w:cs="宋体"/>
          <w:sz w:val="32"/>
          <w:szCs w:val="32"/>
          <w:lang w:val="en-US" w:eastAsia="zh-CN"/>
        </w:rPr>
        <w:t>33</w:t>
      </w:r>
      <w:r>
        <w:rPr>
          <w:rFonts w:hint="eastAsia" w:ascii="宋体" w:hAnsi="宋体" w:eastAsia="宋体" w:cs="宋体"/>
          <w:sz w:val="32"/>
          <w:szCs w:val="32"/>
        </w:rPr>
        <w:t>人，编外合同聘用</w:t>
      </w:r>
      <w:r>
        <w:rPr>
          <w:rFonts w:hint="eastAsia" w:ascii="宋体" w:hAnsi="宋体" w:eastAsia="宋体" w:cs="宋体"/>
          <w:sz w:val="32"/>
          <w:szCs w:val="32"/>
          <w:lang w:val="en-US" w:eastAsia="zh-CN"/>
        </w:rPr>
        <w:t>8</w:t>
      </w:r>
      <w:r>
        <w:rPr>
          <w:rFonts w:hint="eastAsia" w:ascii="宋体" w:hAnsi="宋体" w:eastAsia="宋体" w:cs="宋体"/>
          <w:sz w:val="32"/>
          <w:szCs w:val="32"/>
        </w:rPr>
        <w:t>人。</w:t>
      </w:r>
    </w:p>
    <w:p>
      <w:pPr>
        <w:pStyle w:val="10"/>
        <w:widowControl w:val="0"/>
        <w:numPr>
          <w:ilvl w:val="0"/>
          <w:numId w:val="0"/>
        </w:numPr>
        <w:ind w:left="0" w:leftChars="0" w:firstLine="457" w:firstLineChars="143"/>
        <w:jc w:val="left"/>
        <w:rPr>
          <w:rFonts w:hint="default" w:ascii="黑体" w:hAnsi="黑体" w:eastAsia="黑体"/>
          <w:sz w:val="32"/>
          <w:szCs w:val="32"/>
          <w:lang w:val="en-US" w:eastAsia="zh-CN"/>
        </w:rPr>
      </w:pPr>
      <w:r>
        <w:rPr>
          <w:rFonts w:hint="eastAsia" w:ascii="黑体" w:hAnsi="黑体" w:eastAsia="黑体"/>
          <w:sz w:val="32"/>
          <w:szCs w:val="32"/>
          <w:lang w:val="en-US" w:eastAsia="zh-CN"/>
        </w:rPr>
        <w:t>（二）2021取得的主要事业成效</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 xml:space="preserve">1.文艺抗疫 众志成城 </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新年伊始，新冠疫情波及全国。我院在省文旅厅部署下，开展“湖南文艺抗疫”主题创作和文艺精品展播展示活动，共发布43期“人民的文艺，人民的战疫”微信公众号专题展播，取得了良好广泛的社会影响。向文旅部上报了湖南剧作者创作的抗疫题材的小戏剧本9个。</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 xml:space="preserve">2.科研精进 久久为功 </w:t>
      </w:r>
    </w:p>
    <w:p>
      <w:pPr>
        <w:snapToGrid w:val="0"/>
        <w:spacing w:line="520" w:lineRule="exact"/>
        <w:ind w:left="0" w:leftChars="0" w:firstLine="438" w:firstLineChars="137"/>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（1）精心组织 加速推进《中国戏曲剧种全集》编撰工作《中国戏曲剧种全集》是文旅部下达的重点科研项目，湖南省承担了17部书稿的撰写、审稿和出版工作。已完成《湘剧》《荆河戏》《祁剧》《巴陵戏》《长沙花鼓戏》《湖南傩戏》《苗剧》《邵阳花鼓戏》《湖南阳戏》《岳阳花鼓戏》《常德花鼓戏》《零陵花鼓戏》《辰河戏》等13部初稿撰写及书稿审稿工作。《湖南花灯戏》之《麻阳花灯戏》《平江花灯戏》完成初稿撰写等待审稿。《常德汉剧》《衡阳湘剧》《衡州花鼓戏》和《湖南花灯戏》之《嘉禾花灯戏》等书稿项目正在抓紧推进，力争2021年七一前完成全套书籍出版，向建党百年隆重献礼。</w:t>
      </w:r>
    </w:p>
    <w:p>
      <w:pPr>
        <w:snapToGrid w:val="0"/>
        <w:spacing w:line="520" w:lineRule="exact"/>
        <w:ind w:left="0" w:leftChars="0" w:firstLine="537" w:firstLineChars="168"/>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（2）《湖南省非物质文化遗产（传统戏剧类）传承现状考察与研究》已完成初稿撰写，正继续修改、校订，印制出书。</w:t>
      </w:r>
    </w:p>
    <w:p>
      <w:pPr>
        <w:snapToGrid w:val="0"/>
        <w:spacing w:line="520" w:lineRule="exact"/>
        <w:ind w:left="0" w:leftChars="0" w:firstLine="377" w:firstLineChars="118"/>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（3）《左宗棠书法艺术研究》和《晚清湖湘名臣士大夫书风研究》课题研究工作顺利开展。</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3.创作辅导 硕果累累</w:t>
      </w:r>
    </w:p>
    <w:p>
      <w:pPr>
        <w:snapToGrid w:val="0"/>
        <w:spacing w:line="520" w:lineRule="exact"/>
        <w:ind w:left="0" w:leftChars="0" w:firstLine="499" w:firstLineChars="156"/>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1）本年度，我院创作人员创作花鼓戏《河长玉莲》、祁剧《种子》、话剧《梦想芙蓉路八千》、音乐剧《阿炳》，歌曲《神州之颂》《崀山揽月》，参与创作京剧《向警予》，花鼓戏《胡幼松》，导演雷剧《陈瑸》、话剧《林基路》、粤剧《梁启超》、话剧《先生》等。</w:t>
      </w:r>
    </w:p>
    <w:p>
      <w:pPr>
        <w:snapToGrid w:val="0"/>
        <w:spacing w:line="520" w:lineRule="exact"/>
        <w:ind w:left="0" w:leftChars="0" w:firstLine="499" w:firstLineChars="156"/>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（2）开展“建党百年、脱贫攻坚全省剧本、音乐舞蹈主题创作工程”系列活动。组织创作者深入革命老区、脱贫攻坚地区进行采风，本活动目前正在实施。</w:t>
      </w:r>
    </w:p>
    <w:p>
      <w:pPr>
        <w:snapToGrid w:val="0"/>
        <w:spacing w:line="520" w:lineRule="exact"/>
        <w:ind w:left="0" w:leftChars="0" w:firstLine="499" w:firstLineChars="156"/>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（3）继续沿用分组模式，开展全省艺术基金申报情况调研工作。全年接受电话咨询、接待到访咨询共计50余次。</w:t>
      </w:r>
    </w:p>
    <w:p>
      <w:pPr>
        <w:snapToGrid w:val="0"/>
        <w:spacing w:line="520" w:lineRule="exact"/>
        <w:ind w:left="0" w:leftChars="0" w:firstLine="499" w:firstLineChars="156"/>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（4）湖南知音合唱团获七彩西双版纳全国民族歌舞盛典“金像奖”。</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 xml:space="preserve">4.推荐剧本 服务院团   </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搭建服务平台，解决创作供需。利用微信平台，向省内各院团推荐剧本，服务创作生产。制作《湖南省舞台艺术创作服务中心剧本推荐表》，共收到剧本42个，其中大戏剧本 18 个，小戏剧本 24 个。积极协助推介国家艺术基金戏剧、曲艺编剧类成果运用，共收集到全省4个院团的拟选剧本意向。</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 xml:space="preserve">5.传播艺术 强化影响 </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始终坚持正确的舆论导向，积极发挥社会服务职能。围绕“精准扶贫”、湖南艺术节优秀剧目和国家艺术基金创作项目等予以重点宣传。全年完成《艺海》12期、《艺海·创作》6期的组稿、编辑、终审、校对、出版工作。</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6.书法传播 精彩纷呈</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着力展示我省书法艺术新成果。拟举办“湖南省书法晋京展”“书道湖湘”——湖南省书法院首届学术交流展，目前工作进入征稿阶段。完成全国第十二届书法篆刻展的收尾工作。积极做好当代湖湘艺术人才与艺术作品的推广工作，与荣宝斋合作出版“湖湘书法系列丛书”，现已完成11 名艺术家作品集样书。</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7.艺术培训 多头并举</w:t>
      </w:r>
    </w:p>
    <w:p>
      <w:pPr>
        <w:snapToGrid w:val="0"/>
        <w:spacing w:line="520" w:lineRule="exact"/>
        <w:ind w:left="0" w:leftChars="0" w:firstLine="640" w:firstLineChars="200"/>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 xml:space="preserve">探索培训新模式，开展多门类艺术培训。与厅科教处合作举办2020年省直文化艺术系列继续教育培训班。举办湖南省书法院第四届书法高级研修班。   </w:t>
      </w:r>
    </w:p>
    <w:p>
      <w:pPr>
        <w:widowControl/>
        <w:spacing w:line="600" w:lineRule="exact"/>
        <w:rPr>
          <w:rFonts w:ascii="黑体" w:hAnsi="黑体" w:eastAsia="黑体"/>
          <w:bCs/>
          <w:kern w:val="0"/>
          <w:sz w:val="32"/>
          <w:szCs w:val="32"/>
        </w:rPr>
      </w:pPr>
      <w:r>
        <w:rPr>
          <w:rFonts w:hint="eastAsia" w:ascii="黑体" w:hAnsi="黑体" w:eastAsia="黑体"/>
          <w:bCs/>
          <w:kern w:val="0"/>
          <w:sz w:val="32"/>
          <w:szCs w:val="32"/>
        </w:rPr>
        <w:t>二、机构设置及决算单位构成</w:t>
      </w:r>
    </w:p>
    <w:p>
      <w:pPr>
        <w:spacing w:before="185" w:line="357" w:lineRule="auto"/>
        <w:ind w:left="4" w:right="113" w:firstLine="629"/>
        <w:rPr>
          <w:rFonts w:hint="eastAsia" w:ascii="宋体" w:hAnsi="宋体" w:eastAsia="宋体" w:cs="宋体"/>
          <w:b w:val="0"/>
          <w:bCs/>
          <w:kern w:val="0"/>
          <w:sz w:val="32"/>
          <w:szCs w:val="32"/>
        </w:rPr>
      </w:pPr>
      <w:r>
        <w:rPr>
          <w:rFonts w:hint="eastAsia" w:ascii="宋体" w:hAnsi="宋体" w:eastAsia="宋体" w:cs="宋体"/>
          <w:b w:val="0"/>
          <w:bCs/>
          <w:kern w:val="0"/>
          <w:sz w:val="32"/>
          <w:szCs w:val="32"/>
        </w:rPr>
        <w:t>（一）内设机构设置。</w:t>
      </w:r>
      <w:r>
        <w:rPr>
          <w:rFonts w:hint="eastAsia" w:ascii="宋体" w:hAnsi="宋体" w:eastAsia="宋体" w:cs="宋体"/>
          <w:b w:val="0"/>
          <w:bCs/>
          <w:kern w:val="0"/>
          <w:sz w:val="32"/>
          <w:szCs w:val="32"/>
          <w:lang w:val="en-US" w:eastAsia="zh-CN"/>
        </w:rPr>
        <w:t>湖南省艺术研究院</w:t>
      </w:r>
      <w:r>
        <w:rPr>
          <w:rFonts w:hint="eastAsia" w:ascii="宋体" w:hAnsi="宋体" w:eastAsia="宋体" w:cs="宋体"/>
          <w:b w:val="0"/>
          <w:bCs/>
          <w:kern w:val="0"/>
          <w:sz w:val="32"/>
          <w:szCs w:val="32"/>
        </w:rPr>
        <w:t>内设机构包括：剧目和非遗研 究工作部、湖南舞台艺术创作服务中心、《艺海》编辑部、湖南文化艺术档 案馆筹备办公室、艺术信息部、办公室、政工人事科、国家艺术基金湖南项目管理办公室、知音合唱团。</w:t>
      </w:r>
    </w:p>
    <w:p>
      <w:pPr>
        <w:spacing w:before="160" w:line="359" w:lineRule="auto"/>
        <w:ind w:left="11" w:firstLine="681"/>
        <w:rPr>
          <w:rFonts w:hint="default" w:eastAsiaTheme="minorEastAsia"/>
          <w:lang w:val="en-US" w:eastAsia="zh-CN"/>
        </w:rPr>
        <w:sectPr>
          <w:pgSz w:w="11906" w:h="16839"/>
          <w:pgMar w:top="1429" w:right="608" w:bottom="1134" w:left="737" w:header="0" w:footer="0" w:gutter="0"/>
          <w:cols w:space="0" w:num="1"/>
          <w:rtlGutter w:val="0"/>
          <w:docGrid w:linePitch="0" w:charSpace="0"/>
        </w:sectPr>
      </w:pPr>
      <w:r>
        <w:rPr>
          <w:rFonts w:hint="eastAsia" w:asciiTheme="minorEastAsia" w:hAnsiTheme="minorEastAsia"/>
          <w:bCs/>
          <w:kern w:val="0"/>
          <w:sz w:val="32"/>
          <w:szCs w:val="32"/>
        </w:rPr>
        <w:t>（二）决算单位构成。</w:t>
      </w:r>
      <w:r>
        <w:rPr>
          <w:rFonts w:hint="eastAsia" w:asciiTheme="minorEastAsia" w:hAnsiTheme="minorEastAsia"/>
          <w:bCs/>
          <w:kern w:val="0"/>
          <w:sz w:val="32"/>
          <w:szCs w:val="32"/>
          <w:lang w:val="en-US" w:eastAsia="zh-CN"/>
        </w:rPr>
        <w:t>湖南省艺术研究院</w:t>
      </w:r>
      <w:r>
        <w:rPr>
          <w:rFonts w:asciiTheme="minorEastAsia" w:hAnsiTheme="minorEastAsia"/>
          <w:bCs/>
          <w:kern w:val="0"/>
          <w:sz w:val="32"/>
          <w:szCs w:val="32"/>
        </w:rPr>
        <w:t>20</w:t>
      </w:r>
      <w:r>
        <w:rPr>
          <w:rFonts w:hint="eastAsia" w:asciiTheme="minorEastAsia" w:hAnsiTheme="minorEastAsia"/>
          <w:bCs/>
          <w:kern w:val="0"/>
          <w:sz w:val="32"/>
          <w:szCs w:val="32"/>
        </w:rPr>
        <w:t>21年部门决算汇总公开单位构成包括：</w:t>
      </w:r>
      <w:r>
        <w:rPr>
          <w:rFonts w:hint="eastAsia" w:asciiTheme="minorEastAsia" w:hAnsiTheme="minorEastAsia"/>
          <w:bCs/>
          <w:kern w:val="0"/>
          <w:sz w:val="32"/>
          <w:szCs w:val="32"/>
          <w:lang w:val="en-US" w:eastAsia="zh-CN"/>
        </w:rPr>
        <w:t>湖南省艺术研究院</w:t>
      </w:r>
      <w:r>
        <w:rPr>
          <w:rFonts w:hint="eastAsia" w:asciiTheme="minorEastAsia" w:hAnsiTheme="minorEastAsia"/>
          <w:bCs/>
          <w:kern w:val="0"/>
          <w:sz w:val="32"/>
          <w:szCs w:val="32"/>
        </w:rPr>
        <w:t>本级</w:t>
      </w:r>
      <w:r>
        <w:rPr>
          <w:rFonts w:hint="eastAsia" w:asciiTheme="minorEastAsia" w:hAnsiTheme="minorEastAsia"/>
          <w:bCs/>
          <w:kern w:val="0"/>
          <w:sz w:val="32"/>
          <w:szCs w:val="32"/>
          <w:lang w:eastAsia="zh-CN"/>
        </w:rPr>
        <w:t>，</w:t>
      </w:r>
      <w:r>
        <w:rPr>
          <w:rFonts w:hint="eastAsia" w:asciiTheme="minorEastAsia" w:hAnsiTheme="minorEastAsia"/>
          <w:bCs/>
          <w:kern w:val="0"/>
          <w:sz w:val="32"/>
          <w:szCs w:val="32"/>
          <w:lang w:val="en-US" w:eastAsia="zh-CN"/>
        </w:rPr>
        <w:t>仅包含本级。</w:t>
      </w:r>
    </w:p>
    <w:p>
      <w:pPr>
        <w:keepNext w:val="0"/>
        <w:keepLines w:val="0"/>
        <w:pageBreakBefore w:val="0"/>
        <w:widowControl/>
        <w:kinsoku/>
        <w:wordWrap/>
        <w:overflowPunct/>
        <w:topLinePunct w:val="0"/>
        <w:autoSpaceDE/>
        <w:autoSpaceDN/>
        <w:bidi w:val="0"/>
        <w:adjustRightInd/>
        <w:snapToGrid/>
        <w:spacing w:line="600" w:lineRule="exact"/>
        <w:textAlignment w:val="auto"/>
        <w:rPr>
          <w:rFonts w:hint="eastAsia" w:ascii="宋体" w:hAnsi="宋体"/>
          <w:bCs/>
          <w:kern w:val="0"/>
          <w:sz w:val="32"/>
          <w:szCs w:val="32"/>
        </w:rPr>
      </w:pPr>
    </w:p>
    <w:p>
      <w:pPr>
        <w:keepNext w:val="0"/>
        <w:keepLines w:val="0"/>
        <w:pageBreakBefore w:val="0"/>
        <w:widowControl/>
        <w:kinsoku/>
        <w:wordWrap/>
        <w:overflowPunct/>
        <w:topLinePunct w:val="0"/>
        <w:autoSpaceDE/>
        <w:autoSpaceDN/>
        <w:bidi w:val="0"/>
        <w:adjustRightInd/>
        <w:snapToGrid/>
        <w:spacing w:line="600" w:lineRule="exact"/>
        <w:ind w:firstLine="640" w:firstLineChars="200"/>
        <w:textAlignment w:val="auto"/>
        <w:rPr>
          <w:rFonts w:hint="eastAsia" w:ascii="宋体" w:hAnsi="宋体"/>
          <w:bCs/>
          <w:kern w:val="0"/>
          <w:sz w:val="32"/>
          <w:szCs w:val="32"/>
        </w:rPr>
      </w:pPr>
    </w:p>
    <w:p>
      <w:pPr>
        <w:keepNext w:val="0"/>
        <w:keepLines w:val="0"/>
        <w:pageBreakBefore w:val="0"/>
        <w:widowControl/>
        <w:kinsoku/>
        <w:wordWrap/>
        <w:overflowPunct/>
        <w:topLinePunct w:val="0"/>
        <w:autoSpaceDE/>
        <w:autoSpaceDN/>
        <w:bidi w:val="0"/>
        <w:adjustRightInd/>
        <w:snapToGrid/>
        <w:spacing w:line="600" w:lineRule="exact"/>
        <w:ind w:firstLine="640" w:firstLineChars="200"/>
        <w:textAlignment w:val="auto"/>
        <w:rPr>
          <w:rFonts w:hint="eastAsia" w:ascii="宋体" w:hAnsi="宋体"/>
          <w:bCs/>
          <w:kern w:val="0"/>
          <w:sz w:val="32"/>
          <w:szCs w:val="32"/>
        </w:rPr>
      </w:pPr>
    </w:p>
    <w:p>
      <w:pPr>
        <w:rPr>
          <w:sz w:val="72"/>
          <w:szCs w:val="72"/>
        </w:rPr>
      </w:pPr>
    </w:p>
    <w:p>
      <w:pPr>
        <w:jc w:val="center"/>
        <w:rPr>
          <w:sz w:val="72"/>
          <w:szCs w:val="72"/>
        </w:rPr>
      </w:pPr>
    </w:p>
    <w:p>
      <w:pPr>
        <w:jc w:val="center"/>
        <w:rPr>
          <w:sz w:val="72"/>
          <w:szCs w:val="72"/>
        </w:rPr>
      </w:pPr>
    </w:p>
    <w:p>
      <w:pPr>
        <w:jc w:val="center"/>
        <w:rPr>
          <w:sz w:val="72"/>
          <w:szCs w:val="72"/>
        </w:rPr>
      </w:pPr>
    </w:p>
    <w:p>
      <w:pPr>
        <w:jc w:val="center"/>
        <w:rPr>
          <w:sz w:val="72"/>
          <w:szCs w:val="72"/>
        </w:rPr>
      </w:pPr>
      <w:r>
        <w:rPr>
          <w:rFonts w:hint="eastAsia"/>
          <w:sz w:val="72"/>
          <w:szCs w:val="72"/>
        </w:rPr>
        <w:t>第二部分</w:t>
      </w:r>
    </w:p>
    <w:p>
      <w:pPr>
        <w:jc w:val="center"/>
        <w:rPr>
          <w:sz w:val="72"/>
          <w:szCs w:val="72"/>
        </w:rPr>
      </w:pPr>
    </w:p>
    <w:p>
      <w:pPr>
        <w:jc w:val="center"/>
        <w:rPr>
          <w:rFonts w:hint="eastAsia"/>
          <w:sz w:val="72"/>
          <w:szCs w:val="72"/>
        </w:rPr>
        <w:sectPr>
          <w:pgSz w:w="11906" w:h="16838"/>
          <w:pgMar w:top="720" w:right="720" w:bottom="720" w:left="720" w:header="851" w:footer="992" w:gutter="0"/>
          <w:cols w:space="425" w:num="1"/>
          <w:docGrid w:type="lines" w:linePitch="312" w:charSpace="0"/>
        </w:sectPr>
      </w:pPr>
      <w:r>
        <w:rPr>
          <w:rFonts w:hint="eastAsia"/>
          <w:sz w:val="72"/>
          <w:szCs w:val="72"/>
        </w:rPr>
        <w:t>部门决算表</w:t>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7960360" cy="6641465"/>
            <wp:effectExtent l="0" t="0" r="2540" b="6985"/>
            <wp:docPr id="4" name="图片 4"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1"/>
                    <pic:cNvPicPr>
                      <a:picLocks noChangeAspect="1"/>
                    </pic:cNvPicPr>
                  </pic:nvPicPr>
                  <pic:blipFill>
                    <a:blip r:embed="rId4"/>
                    <a:stretch>
                      <a:fillRect/>
                    </a:stretch>
                  </pic:blipFill>
                  <pic:spPr>
                    <a:xfrm>
                      <a:off x="0" y="0"/>
                      <a:ext cx="7960360" cy="6641465"/>
                    </a:xfrm>
                    <a:prstGeom prst="rect">
                      <a:avLst/>
                    </a:prstGeom>
                  </pic:spPr>
                </pic:pic>
              </a:graphicData>
            </a:graphic>
          </wp:inline>
        </w:drawing>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9763760" cy="6315075"/>
            <wp:effectExtent l="0" t="0" r="8890" b="9525"/>
            <wp:docPr id="5" name="图片 5"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3"/>
                    <pic:cNvPicPr>
                      <a:picLocks noChangeAspect="1"/>
                    </pic:cNvPicPr>
                  </pic:nvPicPr>
                  <pic:blipFill>
                    <a:blip r:embed="rId5"/>
                    <a:stretch>
                      <a:fillRect/>
                    </a:stretch>
                  </pic:blipFill>
                  <pic:spPr>
                    <a:xfrm>
                      <a:off x="0" y="0"/>
                      <a:ext cx="9763760" cy="6315075"/>
                    </a:xfrm>
                    <a:prstGeom prst="rect">
                      <a:avLst/>
                    </a:prstGeom>
                  </pic:spPr>
                </pic:pic>
              </a:graphicData>
            </a:graphic>
          </wp:inline>
        </w:drawing>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9769475" cy="6574155"/>
            <wp:effectExtent l="0" t="0" r="3175" b="17145"/>
            <wp:docPr id="6" name="图片 6"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4"/>
                    <pic:cNvPicPr>
                      <a:picLocks noChangeAspect="1"/>
                    </pic:cNvPicPr>
                  </pic:nvPicPr>
                  <pic:blipFill>
                    <a:blip r:embed="rId6"/>
                    <a:stretch>
                      <a:fillRect/>
                    </a:stretch>
                  </pic:blipFill>
                  <pic:spPr>
                    <a:xfrm>
                      <a:off x="0" y="0"/>
                      <a:ext cx="9769475" cy="6574155"/>
                    </a:xfrm>
                    <a:prstGeom prst="rect">
                      <a:avLst/>
                    </a:prstGeom>
                  </pic:spPr>
                </pic:pic>
              </a:graphicData>
            </a:graphic>
          </wp:inline>
        </w:drawing>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8912860" cy="6640830"/>
            <wp:effectExtent l="0" t="0" r="2540" b="7620"/>
            <wp:docPr id="7" name="图片 7" descr="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5"/>
                    <pic:cNvPicPr>
                      <a:picLocks noChangeAspect="1"/>
                    </pic:cNvPicPr>
                  </pic:nvPicPr>
                  <pic:blipFill>
                    <a:blip r:embed="rId7"/>
                    <a:stretch>
                      <a:fillRect/>
                    </a:stretch>
                  </pic:blipFill>
                  <pic:spPr>
                    <a:xfrm>
                      <a:off x="0" y="0"/>
                      <a:ext cx="8912860" cy="6640830"/>
                    </a:xfrm>
                    <a:prstGeom prst="rect">
                      <a:avLst/>
                    </a:prstGeom>
                  </pic:spPr>
                </pic:pic>
              </a:graphicData>
            </a:graphic>
          </wp:inline>
        </w:drawing>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7381240" cy="6637655"/>
            <wp:effectExtent l="0" t="0" r="10160" b="10795"/>
            <wp:docPr id="8" name="图片 8" descr="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7"/>
                    <pic:cNvPicPr>
                      <a:picLocks noChangeAspect="1"/>
                    </pic:cNvPicPr>
                  </pic:nvPicPr>
                  <pic:blipFill>
                    <a:blip r:embed="rId8"/>
                    <a:stretch>
                      <a:fillRect/>
                    </a:stretch>
                  </pic:blipFill>
                  <pic:spPr>
                    <a:xfrm>
                      <a:off x="0" y="0"/>
                      <a:ext cx="7381240" cy="6637655"/>
                    </a:xfrm>
                    <a:prstGeom prst="rect">
                      <a:avLst/>
                    </a:prstGeom>
                  </pic:spPr>
                </pic:pic>
              </a:graphicData>
            </a:graphic>
          </wp:inline>
        </w:drawing>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9763760" cy="5776595"/>
            <wp:effectExtent l="0" t="0" r="8890" b="14605"/>
            <wp:docPr id="9" name="图片 9" descr="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8"/>
                    <pic:cNvPicPr>
                      <a:picLocks noChangeAspect="1"/>
                    </pic:cNvPicPr>
                  </pic:nvPicPr>
                  <pic:blipFill>
                    <a:blip r:embed="rId9"/>
                    <a:stretch>
                      <a:fillRect/>
                    </a:stretch>
                  </pic:blipFill>
                  <pic:spPr>
                    <a:xfrm>
                      <a:off x="0" y="0"/>
                      <a:ext cx="9763760" cy="5776595"/>
                    </a:xfrm>
                    <a:prstGeom prst="rect">
                      <a:avLst/>
                    </a:prstGeom>
                  </pic:spPr>
                </pic:pic>
              </a:graphicData>
            </a:graphic>
          </wp:inline>
        </w:drawing>
      </w:r>
    </w:p>
    <w:p>
      <w:pPr>
        <w:jc w:val="center"/>
        <w:rPr>
          <w:rFonts w:hint="eastAsia" w:eastAsiaTheme="minorEastAsia"/>
          <w:sz w:val="72"/>
          <w:szCs w:val="72"/>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72"/>
          <w:szCs w:val="72"/>
          <w:lang w:eastAsia="zh-CN"/>
        </w:rPr>
        <w:drawing>
          <wp:inline distT="0" distB="0" distL="114300" distR="114300">
            <wp:extent cx="9763125" cy="2031365"/>
            <wp:effectExtent l="0" t="0" r="9525" b="6985"/>
            <wp:docPr id="10" name="图片 10" descr="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09"/>
                    <pic:cNvPicPr>
                      <a:picLocks noChangeAspect="1"/>
                    </pic:cNvPicPr>
                  </pic:nvPicPr>
                  <pic:blipFill>
                    <a:blip r:embed="rId10"/>
                    <a:stretch>
                      <a:fillRect/>
                    </a:stretch>
                  </pic:blipFill>
                  <pic:spPr>
                    <a:xfrm>
                      <a:off x="0" y="0"/>
                      <a:ext cx="9763125" cy="2031365"/>
                    </a:xfrm>
                    <a:prstGeom prst="rect">
                      <a:avLst/>
                    </a:prstGeom>
                  </pic:spPr>
                </pic:pic>
              </a:graphicData>
            </a:graphic>
          </wp:inline>
        </w:drawing>
      </w:r>
    </w:p>
    <w:p>
      <w:pPr>
        <w:jc w:val="center"/>
        <w:rPr>
          <w:rFonts w:hint="eastAsia" w:eastAsiaTheme="minorEastAsia"/>
          <w:sz w:val="72"/>
          <w:szCs w:val="72"/>
          <w:lang w:eastAsia="zh-CN"/>
        </w:rPr>
      </w:pPr>
      <w:r>
        <w:rPr>
          <w:rFonts w:hint="eastAsia" w:eastAsiaTheme="minorEastAsia"/>
          <w:sz w:val="72"/>
          <w:szCs w:val="72"/>
          <w:lang w:eastAsia="zh-CN"/>
        </w:rPr>
        <w:drawing>
          <wp:inline distT="0" distB="0" distL="114300" distR="114300">
            <wp:extent cx="9773920" cy="3232150"/>
            <wp:effectExtent l="0" t="0" r="17780" b="6350"/>
            <wp:docPr id="11" name="图片 1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0"/>
                    <pic:cNvPicPr>
                      <a:picLocks noChangeAspect="1"/>
                    </pic:cNvPicPr>
                  </pic:nvPicPr>
                  <pic:blipFill>
                    <a:blip r:embed="rId11"/>
                    <a:stretch>
                      <a:fillRect/>
                    </a:stretch>
                  </pic:blipFill>
                  <pic:spPr>
                    <a:xfrm>
                      <a:off x="0" y="0"/>
                      <a:ext cx="9773920" cy="3232150"/>
                    </a:xfrm>
                    <a:prstGeom prst="rect">
                      <a:avLst/>
                    </a:prstGeom>
                  </pic:spPr>
                </pic:pic>
              </a:graphicData>
            </a:graphic>
          </wp:inline>
        </w:drawing>
      </w:r>
    </w:p>
    <w:p>
      <w:pPr>
        <w:jc w:val="left"/>
        <w:rPr>
          <w:rFonts w:hint="eastAsia" w:eastAsiaTheme="minorEastAsia"/>
          <w:sz w:val="24"/>
          <w:szCs w:val="24"/>
          <w:lang w:eastAsia="zh-CN"/>
        </w:rPr>
        <w:sectPr>
          <w:pgSz w:w="16838" w:h="11906" w:orient="landscape"/>
          <w:pgMar w:top="720" w:right="720" w:bottom="720" w:left="720" w:header="851" w:footer="992" w:gutter="0"/>
          <w:cols w:space="425" w:num="1"/>
          <w:docGrid w:type="lines" w:linePitch="312" w:charSpace="0"/>
        </w:sectPr>
      </w:pPr>
      <w:r>
        <w:rPr>
          <w:rFonts w:hint="eastAsia" w:eastAsiaTheme="minorEastAsia"/>
          <w:sz w:val="24"/>
          <w:szCs w:val="24"/>
          <w:lang w:eastAsia="zh-CN"/>
        </w:rPr>
        <w:t>（湖南省艺术研究院没有政府性基金收入，也没有使用政府性基金安排的支出，故本表无数据）。</w:t>
      </w:r>
    </w:p>
    <w:p>
      <w:pPr>
        <w:jc w:val="center"/>
        <w:rPr>
          <w:rFonts w:hint="eastAsia" w:eastAsiaTheme="minorEastAsia"/>
          <w:sz w:val="72"/>
          <w:szCs w:val="72"/>
          <w:lang w:eastAsia="zh-CN"/>
        </w:rPr>
      </w:pPr>
      <w:r>
        <w:rPr>
          <w:rFonts w:hint="eastAsia" w:eastAsiaTheme="minorEastAsia"/>
          <w:sz w:val="72"/>
          <w:szCs w:val="72"/>
          <w:lang w:eastAsia="zh-CN"/>
        </w:rPr>
        <w:drawing>
          <wp:inline distT="0" distB="0" distL="114300" distR="114300">
            <wp:extent cx="9767570" cy="4378960"/>
            <wp:effectExtent l="0" t="0" r="5080" b="2540"/>
            <wp:docPr id="12" name="图片 1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1"/>
                    <pic:cNvPicPr>
                      <a:picLocks noChangeAspect="1"/>
                    </pic:cNvPicPr>
                  </pic:nvPicPr>
                  <pic:blipFill>
                    <a:blip r:embed="rId12"/>
                    <a:stretch>
                      <a:fillRect/>
                    </a:stretch>
                  </pic:blipFill>
                  <pic:spPr>
                    <a:xfrm>
                      <a:off x="0" y="0"/>
                      <a:ext cx="9767570" cy="4378960"/>
                    </a:xfrm>
                    <a:prstGeom prst="rect">
                      <a:avLst/>
                    </a:prstGeom>
                  </pic:spPr>
                </pic:pic>
              </a:graphicData>
            </a:graphic>
          </wp:inline>
        </w:drawing>
      </w:r>
      <w:bookmarkStart w:id="0" w:name="_GoBack"/>
      <w:bookmarkEnd w:id="0"/>
    </w:p>
    <w:p>
      <w:pPr>
        <w:widowControl/>
        <w:jc w:val="left"/>
        <w:rPr>
          <w:rFonts w:hint="eastAsia" w:ascii="宋体" w:hAnsi="宋体" w:eastAsia="宋体" w:cs="宋体"/>
          <w:kern w:val="0"/>
          <w:sz w:val="24"/>
          <w:szCs w:val="24"/>
          <w:highlight w:val="none"/>
        </w:rPr>
      </w:pPr>
      <w:r>
        <w:rPr>
          <w:rFonts w:hint="eastAsia" w:cstheme="minorBidi"/>
          <w:kern w:val="2"/>
          <w:sz w:val="21"/>
          <w:szCs w:val="22"/>
          <w:lang w:val="en-US" w:eastAsia="zh-CN" w:bidi="ar-SA"/>
        </w:rPr>
        <w:tab/>
      </w:r>
      <w:r>
        <w:rPr>
          <w:rFonts w:hint="eastAsia" w:ascii="宋体" w:hAnsi="宋体" w:eastAsia="宋体" w:cs="宋体"/>
          <w:kern w:val="0"/>
          <w:sz w:val="24"/>
          <w:szCs w:val="24"/>
          <w:highlight w:val="none"/>
          <w:lang w:eastAsia="zh-CN"/>
        </w:rPr>
        <w:t>湖南省</w:t>
      </w:r>
      <w:r>
        <w:rPr>
          <w:rFonts w:hint="eastAsia" w:ascii="宋体" w:hAnsi="宋体" w:eastAsia="宋体" w:cs="宋体"/>
          <w:kern w:val="0"/>
          <w:sz w:val="24"/>
          <w:szCs w:val="24"/>
          <w:highlight w:val="none"/>
          <w:lang w:val="en-US" w:eastAsia="zh-CN"/>
        </w:rPr>
        <w:t>艺术研究院</w:t>
      </w:r>
      <w:r>
        <w:rPr>
          <w:rFonts w:hint="eastAsia" w:ascii="宋体" w:hAnsi="宋体" w:eastAsia="宋体" w:cs="宋体"/>
          <w:kern w:val="0"/>
          <w:sz w:val="24"/>
          <w:szCs w:val="24"/>
          <w:highlight w:val="none"/>
        </w:rPr>
        <w:t>没有</w:t>
      </w:r>
      <w:r>
        <w:rPr>
          <w:rFonts w:hint="eastAsia" w:ascii="宋体" w:hAnsi="宋体" w:eastAsia="宋体" w:cs="宋体"/>
          <w:kern w:val="0"/>
          <w:sz w:val="24"/>
          <w:szCs w:val="24"/>
          <w:highlight w:val="none"/>
          <w:lang w:eastAsia="zh-CN"/>
        </w:rPr>
        <w:t>国有资本经营预算收入</w:t>
      </w:r>
      <w:r>
        <w:rPr>
          <w:rFonts w:hint="eastAsia" w:ascii="宋体" w:hAnsi="宋体" w:eastAsia="宋体" w:cs="宋体"/>
          <w:kern w:val="0"/>
          <w:sz w:val="24"/>
          <w:szCs w:val="24"/>
          <w:highlight w:val="none"/>
        </w:rPr>
        <w:t>，也没有使用</w:t>
      </w:r>
      <w:r>
        <w:rPr>
          <w:rFonts w:hint="eastAsia" w:ascii="宋体" w:hAnsi="宋体" w:eastAsia="宋体" w:cs="宋体"/>
          <w:kern w:val="0"/>
          <w:sz w:val="24"/>
          <w:szCs w:val="24"/>
          <w:highlight w:val="none"/>
          <w:lang w:eastAsia="zh-CN"/>
        </w:rPr>
        <w:t>国有资本经营预算</w:t>
      </w:r>
      <w:r>
        <w:rPr>
          <w:rFonts w:hint="eastAsia" w:ascii="宋体" w:hAnsi="宋体" w:eastAsia="宋体" w:cs="宋体"/>
          <w:kern w:val="0"/>
          <w:sz w:val="24"/>
          <w:szCs w:val="24"/>
          <w:highlight w:val="none"/>
        </w:rPr>
        <w:t>安排的支出，故本表无数据。</w:t>
      </w:r>
    </w:p>
    <w:p>
      <w:pPr>
        <w:tabs>
          <w:tab w:val="center" w:pos="7699"/>
        </w:tabs>
        <w:bidi w:val="0"/>
        <w:jc w:val="left"/>
        <w:rPr>
          <w:rFonts w:hint="eastAsia" w:asciiTheme="minorHAnsi" w:hAnsiTheme="minorHAnsi" w:eastAsiaTheme="minorEastAsia" w:cstheme="minorBidi"/>
          <w:kern w:val="2"/>
          <w:sz w:val="21"/>
          <w:szCs w:val="22"/>
          <w:lang w:val="en-US" w:eastAsia="zh-CN" w:bidi="ar-SA"/>
        </w:rPr>
        <w:sectPr>
          <w:pgSz w:w="16838" w:h="11906" w:orient="landscape"/>
          <w:pgMar w:top="720" w:right="720" w:bottom="720" w:left="720" w:header="851" w:footer="992" w:gutter="0"/>
          <w:cols w:space="425" w:num="1"/>
          <w:docGrid w:type="lines" w:linePitch="312" w:charSpace="0"/>
        </w:sectPr>
      </w:pPr>
    </w:p>
    <w:p>
      <w:pPr>
        <w:pStyle w:val="9"/>
        <w:rPr>
          <w:sz w:val="72"/>
          <w:szCs w:val="72"/>
        </w:rPr>
      </w:pPr>
    </w:p>
    <w:p>
      <w:pPr>
        <w:pStyle w:val="9"/>
        <w:rPr>
          <w:sz w:val="72"/>
          <w:szCs w:val="72"/>
        </w:rPr>
      </w:pPr>
    </w:p>
    <w:p>
      <w:pPr>
        <w:pStyle w:val="9"/>
        <w:rPr>
          <w:sz w:val="72"/>
          <w:szCs w:val="72"/>
        </w:rPr>
      </w:pPr>
    </w:p>
    <w:p>
      <w:pPr>
        <w:pStyle w:val="9"/>
        <w:rPr>
          <w:sz w:val="72"/>
          <w:szCs w:val="72"/>
        </w:rPr>
      </w:pPr>
    </w:p>
    <w:p>
      <w:pPr>
        <w:pStyle w:val="9"/>
        <w:jc w:val="center"/>
        <w:rPr>
          <w:sz w:val="72"/>
          <w:szCs w:val="72"/>
        </w:rPr>
      </w:pPr>
    </w:p>
    <w:p>
      <w:pPr>
        <w:pStyle w:val="9"/>
        <w:jc w:val="center"/>
        <w:rPr>
          <w:sz w:val="72"/>
          <w:szCs w:val="72"/>
        </w:rPr>
      </w:pPr>
    </w:p>
    <w:p>
      <w:pPr>
        <w:pStyle w:val="9"/>
        <w:jc w:val="center"/>
        <w:rPr>
          <w:sz w:val="72"/>
          <w:szCs w:val="72"/>
        </w:rPr>
      </w:pPr>
      <w:r>
        <w:rPr>
          <w:rFonts w:hint="eastAsia"/>
          <w:sz w:val="72"/>
          <w:szCs w:val="72"/>
        </w:rPr>
        <w:t>第三部分</w:t>
      </w:r>
    </w:p>
    <w:p>
      <w:pPr>
        <w:pStyle w:val="9"/>
        <w:jc w:val="center"/>
        <w:rPr>
          <w:sz w:val="70"/>
          <w:szCs w:val="70"/>
        </w:rPr>
      </w:pPr>
    </w:p>
    <w:p>
      <w:pPr>
        <w:pStyle w:val="9"/>
        <w:jc w:val="center"/>
        <w:rPr>
          <w:sz w:val="70"/>
          <w:szCs w:val="70"/>
        </w:rPr>
      </w:pPr>
      <w:r>
        <w:rPr>
          <w:sz w:val="70"/>
          <w:szCs w:val="70"/>
        </w:rPr>
        <w:t>20</w:t>
      </w:r>
      <w:r>
        <w:rPr>
          <w:rFonts w:hint="eastAsia"/>
          <w:sz w:val="70"/>
          <w:szCs w:val="70"/>
        </w:rPr>
        <w:t>21年度部门决算情况说明</w:t>
      </w:r>
    </w:p>
    <w:p>
      <w:pPr>
        <w:widowControl/>
        <w:jc w:val="left"/>
        <w:rPr>
          <w:rFonts w:ascii="黑体" w:eastAsia="黑体" w:cs="黑体"/>
          <w:color w:val="000000"/>
          <w:kern w:val="0"/>
          <w:sz w:val="70"/>
          <w:szCs w:val="70"/>
        </w:rPr>
      </w:pPr>
      <w:r>
        <w:rPr>
          <w:sz w:val="70"/>
          <w:szCs w:val="70"/>
        </w:rPr>
        <w:br w:type="page"/>
      </w:r>
    </w:p>
    <w:p>
      <w:pPr>
        <w:pStyle w:val="9"/>
        <w:rPr>
          <w:rFonts w:hAnsi="黑体"/>
          <w:b/>
          <w:sz w:val="32"/>
          <w:szCs w:val="32"/>
        </w:rPr>
      </w:pPr>
      <w:r>
        <w:rPr>
          <w:rFonts w:hint="eastAsia" w:hAnsi="黑体"/>
          <w:b/>
          <w:sz w:val="32"/>
          <w:szCs w:val="32"/>
        </w:rPr>
        <w:t>一、收入支出决算总体情况说明</w:t>
      </w:r>
    </w:p>
    <w:p>
      <w:pPr>
        <w:numPr>
          <w:ilvl w:val="0"/>
          <w:numId w:val="0"/>
        </w:numPr>
        <w:snapToGrid w:val="0"/>
        <w:spacing w:line="520" w:lineRule="exact"/>
        <w:ind w:firstLine="640" w:firstLineChars="200"/>
        <w:rPr>
          <w:rFonts w:hint="eastAsia" w:ascii="宋体" w:hAnsi="宋体" w:cs="宋体"/>
          <w:b w:val="0"/>
          <w:bCs/>
          <w:sz w:val="32"/>
          <w:szCs w:val="32"/>
          <w:lang w:val="en-US" w:eastAsia="zh-CN"/>
        </w:rPr>
      </w:pPr>
      <w:r>
        <w:rPr>
          <w:rFonts w:hint="eastAsia" w:asciiTheme="minorEastAsia" w:hAnsiTheme="minorEastAsia" w:eastAsiaTheme="minorEastAsia"/>
          <w:sz w:val="32"/>
          <w:szCs w:val="32"/>
        </w:rPr>
        <w:t>2021年度收、支总计</w:t>
      </w:r>
      <w:r>
        <w:rPr>
          <w:rFonts w:hint="eastAsia" w:asciiTheme="minorEastAsia" w:hAnsiTheme="minorEastAsia"/>
          <w:sz w:val="32"/>
          <w:szCs w:val="32"/>
          <w:lang w:val="en-US" w:eastAsia="zh-CN"/>
        </w:rPr>
        <w:t>3300.86</w:t>
      </w:r>
      <w:r>
        <w:rPr>
          <w:rFonts w:hint="eastAsia" w:asciiTheme="minorEastAsia" w:hAnsiTheme="minorEastAsia" w:eastAsiaTheme="minorEastAsia"/>
          <w:sz w:val="32"/>
          <w:szCs w:val="32"/>
        </w:rPr>
        <w:t>万元。与上年相比，</w:t>
      </w:r>
      <w:r>
        <w:rPr>
          <w:rFonts w:hint="eastAsia" w:asciiTheme="minorEastAsia" w:hAnsiTheme="minorEastAsia" w:eastAsiaTheme="minorEastAsia"/>
          <w:sz w:val="32"/>
          <w:szCs w:val="32"/>
          <w:lang w:val="en-US" w:eastAsia="zh-CN"/>
        </w:rPr>
        <w:t>增加</w:t>
      </w:r>
      <w:r>
        <w:rPr>
          <w:rFonts w:hint="eastAsia" w:asciiTheme="minorEastAsia" w:hAnsiTheme="minorEastAsia"/>
          <w:sz w:val="32"/>
          <w:szCs w:val="32"/>
          <w:lang w:val="en-US" w:eastAsia="zh-CN"/>
        </w:rPr>
        <w:t>783.58</w:t>
      </w:r>
      <w:r>
        <w:rPr>
          <w:rFonts w:hint="eastAsia" w:asciiTheme="minorEastAsia" w:hAnsiTheme="minorEastAsia" w:eastAsiaTheme="minorEastAsia"/>
          <w:sz w:val="32"/>
          <w:szCs w:val="32"/>
        </w:rPr>
        <w:t>万元，</w:t>
      </w:r>
      <w:r>
        <w:rPr>
          <w:rFonts w:hint="eastAsia" w:asciiTheme="minorEastAsia" w:hAnsiTheme="minorEastAsia" w:eastAsiaTheme="minorEastAsia"/>
          <w:sz w:val="32"/>
          <w:szCs w:val="32"/>
          <w:lang w:val="en-US" w:eastAsia="zh-CN"/>
        </w:rPr>
        <w:t>增加</w:t>
      </w:r>
      <w:r>
        <w:rPr>
          <w:rFonts w:hint="eastAsia" w:asciiTheme="minorEastAsia" w:hAnsiTheme="minorEastAsia"/>
          <w:sz w:val="32"/>
          <w:szCs w:val="32"/>
          <w:lang w:val="en-US" w:eastAsia="zh-CN"/>
        </w:rPr>
        <w:t>31.13</w:t>
      </w:r>
      <w:r>
        <w:rPr>
          <w:rFonts w:hint="eastAsia" w:asciiTheme="minorEastAsia" w:hAnsiTheme="minorEastAsia" w:eastAsiaTheme="minorEastAsia"/>
          <w:sz w:val="32"/>
          <w:szCs w:val="32"/>
        </w:rPr>
        <w:t>%，主要</w:t>
      </w:r>
      <w:r>
        <w:rPr>
          <w:rFonts w:hint="eastAsia" w:asciiTheme="minorEastAsia" w:hAnsiTheme="minorEastAsia"/>
          <w:sz w:val="32"/>
          <w:szCs w:val="32"/>
          <w:lang w:val="en-US" w:eastAsia="zh-CN"/>
        </w:rPr>
        <w:t>是因为</w:t>
      </w:r>
      <w:r>
        <w:rPr>
          <w:rFonts w:hint="eastAsia" w:ascii="宋体" w:hAnsi="宋体" w:cs="宋体"/>
          <w:b w:val="0"/>
          <w:bCs/>
          <w:sz w:val="32"/>
          <w:szCs w:val="32"/>
          <w:lang w:val="en-US" w:eastAsia="zh-CN"/>
        </w:rPr>
        <w:t>2021年增加院办公楼装修、办公家具购买、搬家经费及租赁物业费。</w:t>
      </w:r>
    </w:p>
    <w:p>
      <w:pPr>
        <w:pStyle w:val="9"/>
        <w:rPr>
          <w:rFonts w:hAnsi="黑体"/>
          <w:b/>
          <w:sz w:val="32"/>
          <w:szCs w:val="32"/>
        </w:rPr>
      </w:pPr>
      <w:r>
        <w:rPr>
          <w:rFonts w:hint="eastAsia" w:hAnsi="黑体"/>
          <w:b/>
          <w:sz w:val="32"/>
          <w:szCs w:val="32"/>
        </w:rPr>
        <w:t>二、收入决算情况说明</w:t>
      </w:r>
    </w:p>
    <w:p>
      <w:pPr>
        <w:pStyle w:val="9"/>
        <w:ind w:firstLine="640" w:firstLineChars="200"/>
        <w:rPr>
          <w:rFonts w:asciiTheme="minorEastAsia" w:hAnsiTheme="minorEastAsia" w:eastAsiaTheme="minorEastAsia"/>
          <w:sz w:val="32"/>
          <w:szCs w:val="32"/>
        </w:rPr>
      </w:pPr>
      <w:r>
        <w:rPr>
          <w:rFonts w:hint="eastAsia" w:asciiTheme="minorEastAsia" w:hAnsiTheme="minorEastAsia" w:eastAsiaTheme="minorEastAsia"/>
          <w:sz w:val="32"/>
          <w:szCs w:val="32"/>
        </w:rPr>
        <w:t>2021年度收入合计</w:t>
      </w:r>
      <w:r>
        <w:rPr>
          <w:rFonts w:hint="eastAsia" w:asciiTheme="minorEastAsia" w:hAnsiTheme="minorEastAsia" w:eastAsiaTheme="minorEastAsia"/>
          <w:sz w:val="32"/>
          <w:szCs w:val="32"/>
          <w:lang w:val="en-US" w:eastAsia="zh-CN"/>
        </w:rPr>
        <w:t>1716.39</w:t>
      </w:r>
      <w:r>
        <w:rPr>
          <w:rFonts w:hint="eastAsia" w:asciiTheme="minorEastAsia" w:hAnsiTheme="minorEastAsia" w:eastAsiaTheme="minorEastAsia"/>
          <w:sz w:val="32"/>
          <w:szCs w:val="32"/>
        </w:rPr>
        <w:t>万元，其中：财政拨款收入</w:t>
      </w:r>
      <w:r>
        <w:rPr>
          <w:rFonts w:hint="eastAsia" w:asciiTheme="minorEastAsia" w:hAnsiTheme="minorEastAsia" w:eastAsiaTheme="minorEastAsia"/>
          <w:sz w:val="32"/>
          <w:szCs w:val="32"/>
          <w:lang w:val="en-US" w:eastAsia="zh-CN"/>
        </w:rPr>
        <w:t>1708.45</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99.54</w:t>
      </w:r>
      <w:r>
        <w:rPr>
          <w:rFonts w:hint="eastAsia" w:asciiTheme="minorEastAsia" w:hAnsiTheme="minorEastAsia" w:eastAsiaTheme="minorEastAsia"/>
          <w:sz w:val="32"/>
          <w:szCs w:val="32"/>
        </w:rPr>
        <w:t>%；事业收入</w:t>
      </w:r>
      <w:r>
        <w:rPr>
          <w:rFonts w:hint="eastAsia" w:asciiTheme="minorEastAsia" w:hAnsiTheme="minorEastAsia" w:eastAsiaTheme="minorEastAsia"/>
          <w:sz w:val="32"/>
          <w:szCs w:val="32"/>
          <w:lang w:val="en-US" w:eastAsia="zh-CN"/>
        </w:rPr>
        <w:t>7.84</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0.46</w:t>
      </w:r>
      <w:r>
        <w:rPr>
          <w:rFonts w:hint="eastAsia" w:asciiTheme="minorEastAsia" w:hAnsiTheme="minorEastAsia" w:eastAsiaTheme="minorEastAsia"/>
          <w:sz w:val="32"/>
          <w:szCs w:val="32"/>
        </w:rPr>
        <w:t>%；其他收入</w:t>
      </w:r>
      <w:r>
        <w:rPr>
          <w:rFonts w:hint="eastAsia" w:asciiTheme="minorEastAsia" w:hAnsiTheme="minorEastAsia" w:eastAsiaTheme="minorEastAsia"/>
          <w:sz w:val="32"/>
          <w:szCs w:val="32"/>
          <w:lang w:val="en-US" w:eastAsia="zh-CN"/>
        </w:rPr>
        <w:t>0.10</w:t>
      </w:r>
      <w:r>
        <w:rPr>
          <w:rFonts w:hint="eastAsia" w:asciiTheme="minorEastAsia" w:hAnsiTheme="minorEastAsia" w:eastAsiaTheme="minorEastAsia"/>
          <w:sz w:val="32"/>
          <w:szCs w:val="32"/>
        </w:rPr>
        <w:t>万元。</w:t>
      </w:r>
    </w:p>
    <w:p>
      <w:pPr>
        <w:pStyle w:val="9"/>
        <w:rPr>
          <w:rFonts w:hAnsi="黑体"/>
          <w:b/>
          <w:sz w:val="32"/>
          <w:szCs w:val="32"/>
        </w:rPr>
      </w:pPr>
      <w:r>
        <w:rPr>
          <w:rFonts w:hint="eastAsia" w:hAnsi="黑体"/>
          <w:b/>
          <w:sz w:val="32"/>
          <w:szCs w:val="32"/>
        </w:rPr>
        <w:t>三、支出决算情况说明</w:t>
      </w:r>
    </w:p>
    <w:p>
      <w:pPr>
        <w:pStyle w:val="9"/>
        <w:ind w:firstLine="640" w:firstLineChars="200"/>
        <w:rPr>
          <w:rFonts w:asciiTheme="minorEastAsia" w:hAnsiTheme="minorEastAsia" w:eastAsiaTheme="minorEastAsia"/>
          <w:sz w:val="32"/>
          <w:szCs w:val="32"/>
        </w:rPr>
      </w:pPr>
      <w:r>
        <w:rPr>
          <w:rFonts w:hint="eastAsia" w:asciiTheme="minorEastAsia" w:hAnsiTheme="minorEastAsia" w:eastAsiaTheme="minorEastAsia"/>
          <w:sz w:val="32"/>
          <w:szCs w:val="32"/>
        </w:rPr>
        <w:t>2021年度支出合计</w:t>
      </w:r>
      <w:r>
        <w:rPr>
          <w:rFonts w:hint="eastAsia" w:asciiTheme="minorEastAsia" w:hAnsiTheme="minorEastAsia" w:eastAsiaTheme="minorEastAsia"/>
          <w:sz w:val="32"/>
          <w:szCs w:val="32"/>
          <w:lang w:val="en-US" w:eastAsia="zh-CN"/>
        </w:rPr>
        <w:t>1584.47</w:t>
      </w:r>
      <w:r>
        <w:rPr>
          <w:rFonts w:hint="eastAsia" w:asciiTheme="minorEastAsia" w:hAnsiTheme="minorEastAsia" w:eastAsiaTheme="minorEastAsia"/>
          <w:sz w:val="32"/>
          <w:szCs w:val="32"/>
        </w:rPr>
        <w:t>万元，其中：基本支出</w:t>
      </w:r>
      <w:r>
        <w:rPr>
          <w:rFonts w:hint="eastAsia" w:asciiTheme="minorEastAsia" w:hAnsiTheme="minorEastAsia" w:eastAsiaTheme="minorEastAsia"/>
          <w:sz w:val="32"/>
          <w:szCs w:val="32"/>
          <w:lang w:val="en-US" w:eastAsia="zh-CN"/>
        </w:rPr>
        <w:t>876.66</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55.33</w:t>
      </w:r>
      <w:r>
        <w:rPr>
          <w:rFonts w:hint="eastAsia" w:asciiTheme="minorEastAsia" w:hAnsiTheme="minorEastAsia" w:eastAsiaTheme="minorEastAsia"/>
          <w:sz w:val="32"/>
          <w:szCs w:val="32"/>
        </w:rPr>
        <w:t>%；项目支出</w:t>
      </w:r>
      <w:r>
        <w:rPr>
          <w:rFonts w:hint="eastAsia" w:asciiTheme="minorEastAsia" w:hAnsiTheme="minorEastAsia" w:eastAsiaTheme="minorEastAsia"/>
          <w:sz w:val="32"/>
          <w:szCs w:val="32"/>
          <w:lang w:val="en-US" w:eastAsia="zh-CN"/>
        </w:rPr>
        <w:t>707.81</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44.67</w:t>
      </w:r>
      <w:r>
        <w:rPr>
          <w:rFonts w:hint="eastAsia" w:asciiTheme="minorEastAsia" w:hAnsiTheme="minorEastAsia" w:eastAsiaTheme="minorEastAsia"/>
          <w:sz w:val="32"/>
          <w:szCs w:val="32"/>
        </w:rPr>
        <w:t>%。</w:t>
      </w:r>
    </w:p>
    <w:p>
      <w:pPr>
        <w:pStyle w:val="9"/>
        <w:rPr>
          <w:rFonts w:hAnsi="黑体"/>
          <w:b/>
          <w:sz w:val="32"/>
          <w:szCs w:val="32"/>
        </w:rPr>
      </w:pPr>
      <w:r>
        <w:rPr>
          <w:rFonts w:hint="eastAsia" w:hAnsi="黑体"/>
          <w:b/>
          <w:sz w:val="32"/>
          <w:szCs w:val="32"/>
        </w:rPr>
        <w:t>四、财政拨款收入支出决算总体情况说明</w:t>
      </w:r>
    </w:p>
    <w:p>
      <w:pPr>
        <w:numPr>
          <w:ilvl w:val="0"/>
          <w:numId w:val="0"/>
        </w:numPr>
        <w:snapToGrid w:val="0"/>
        <w:spacing w:line="520" w:lineRule="exact"/>
        <w:ind w:firstLine="640" w:firstLineChars="200"/>
        <w:rPr>
          <w:rFonts w:hint="eastAsia" w:ascii="宋体" w:hAnsi="宋体" w:cs="宋体"/>
          <w:b w:val="0"/>
          <w:bCs/>
          <w:sz w:val="32"/>
          <w:szCs w:val="32"/>
          <w:lang w:val="en-US" w:eastAsia="zh-CN"/>
        </w:rPr>
      </w:pPr>
      <w:r>
        <w:rPr>
          <w:rFonts w:hint="eastAsia" w:asciiTheme="minorEastAsia" w:hAnsiTheme="minorEastAsia" w:eastAsiaTheme="minorEastAsia"/>
          <w:sz w:val="32"/>
          <w:szCs w:val="32"/>
        </w:rPr>
        <w:t>2021年度财政拨款收、支总计</w:t>
      </w:r>
      <w:r>
        <w:rPr>
          <w:rFonts w:hint="eastAsia" w:asciiTheme="minorEastAsia" w:hAnsiTheme="minorEastAsia"/>
          <w:sz w:val="32"/>
          <w:szCs w:val="32"/>
          <w:lang w:val="en-US" w:eastAsia="zh-CN"/>
        </w:rPr>
        <w:t>3300.86</w:t>
      </w:r>
      <w:r>
        <w:rPr>
          <w:rFonts w:hint="eastAsia" w:asciiTheme="minorEastAsia" w:hAnsiTheme="minorEastAsia" w:eastAsiaTheme="minorEastAsia"/>
          <w:sz w:val="32"/>
          <w:szCs w:val="32"/>
        </w:rPr>
        <w:t>万元，与上年相比，</w:t>
      </w:r>
      <w:r>
        <w:rPr>
          <w:rFonts w:hint="eastAsia" w:asciiTheme="minorEastAsia" w:hAnsiTheme="minorEastAsia" w:eastAsiaTheme="minorEastAsia"/>
          <w:sz w:val="32"/>
          <w:szCs w:val="32"/>
          <w:lang w:val="en-US" w:eastAsia="zh-CN"/>
        </w:rPr>
        <w:t>增加</w:t>
      </w:r>
      <w:r>
        <w:rPr>
          <w:rFonts w:hint="eastAsia" w:asciiTheme="minorEastAsia" w:hAnsiTheme="minorEastAsia"/>
          <w:sz w:val="32"/>
          <w:szCs w:val="32"/>
          <w:lang w:val="en-US" w:eastAsia="zh-CN"/>
        </w:rPr>
        <w:t>783.58</w:t>
      </w:r>
      <w:r>
        <w:rPr>
          <w:rFonts w:hint="eastAsia" w:asciiTheme="minorEastAsia" w:hAnsiTheme="minorEastAsia" w:eastAsiaTheme="minorEastAsia"/>
          <w:sz w:val="32"/>
          <w:szCs w:val="32"/>
        </w:rPr>
        <w:t>万元</w:t>
      </w:r>
      <w:r>
        <w:rPr>
          <w:rFonts w:hint="eastAsia" w:asciiTheme="minorEastAsia" w:hAnsiTheme="minorEastAsia"/>
          <w:sz w:val="32"/>
          <w:szCs w:val="32"/>
          <w:lang w:eastAsia="zh-CN"/>
        </w:rPr>
        <w:t>，</w:t>
      </w:r>
      <w:r>
        <w:rPr>
          <w:rFonts w:hint="eastAsia" w:asciiTheme="minorEastAsia" w:hAnsiTheme="minorEastAsia" w:eastAsiaTheme="minorEastAsia"/>
          <w:sz w:val="32"/>
          <w:szCs w:val="32"/>
          <w:lang w:val="en-US" w:eastAsia="zh-CN"/>
        </w:rPr>
        <w:t>增加31.1</w:t>
      </w:r>
      <w:r>
        <w:rPr>
          <w:rFonts w:hint="eastAsia" w:asciiTheme="minorEastAsia" w:hAnsiTheme="minorEastAsia"/>
          <w:sz w:val="32"/>
          <w:szCs w:val="32"/>
          <w:lang w:val="en-US" w:eastAsia="zh-CN"/>
        </w:rPr>
        <w:t>3</w:t>
      </w:r>
      <w:r>
        <w:rPr>
          <w:rFonts w:hint="eastAsia" w:asciiTheme="minorEastAsia" w:hAnsiTheme="minorEastAsia" w:eastAsiaTheme="minorEastAsia"/>
          <w:sz w:val="32"/>
          <w:szCs w:val="32"/>
        </w:rPr>
        <w:t>%，主要是因为</w:t>
      </w:r>
      <w:r>
        <w:rPr>
          <w:rFonts w:hint="eastAsia" w:ascii="宋体" w:hAnsi="宋体" w:cs="宋体"/>
          <w:b w:val="0"/>
          <w:bCs/>
          <w:sz w:val="32"/>
          <w:szCs w:val="32"/>
          <w:lang w:val="en-US" w:eastAsia="zh-CN"/>
        </w:rPr>
        <w:t>2021年增加院办公楼装修、办公家具购买、搬家经费及租赁物业费。</w:t>
      </w:r>
    </w:p>
    <w:p>
      <w:pPr>
        <w:pStyle w:val="9"/>
        <w:rPr>
          <w:rFonts w:hAnsi="黑体"/>
          <w:b/>
          <w:sz w:val="32"/>
          <w:szCs w:val="32"/>
          <w:highlight w:val="none"/>
        </w:rPr>
      </w:pPr>
      <w:r>
        <w:rPr>
          <w:rFonts w:hint="eastAsia" w:hAnsi="黑体"/>
          <w:b/>
          <w:sz w:val="32"/>
          <w:szCs w:val="32"/>
          <w:highlight w:val="none"/>
        </w:rPr>
        <w:t>五、一般公共预算财政拨款支出决算情况说明</w:t>
      </w:r>
    </w:p>
    <w:p>
      <w:pPr>
        <w:pStyle w:val="9"/>
        <w:ind w:left="0" w:leftChars="0" w:firstLine="518" w:firstLineChars="162"/>
        <w:rPr>
          <w:rFonts w:asciiTheme="minorEastAsia" w:hAnsiTheme="minorEastAsia" w:eastAsiaTheme="minorEastAsia"/>
          <w:b/>
          <w:sz w:val="32"/>
          <w:szCs w:val="32"/>
          <w:highlight w:val="none"/>
        </w:rPr>
      </w:pPr>
      <w:r>
        <w:rPr>
          <w:rFonts w:hint="eastAsia" w:asciiTheme="minorEastAsia" w:hAnsiTheme="minorEastAsia" w:eastAsiaTheme="minorEastAsia"/>
          <w:b/>
          <w:sz w:val="32"/>
          <w:szCs w:val="32"/>
          <w:highlight w:val="none"/>
        </w:rPr>
        <w:t>（一）财政拨款支出决算总体情况</w:t>
      </w:r>
    </w:p>
    <w:p>
      <w:pPr>
        <w:numPr>
          <w:ilvl w:val="0"/>
          <w:numId w:val="0"/>
        </w:numPr>
        <w:snapToGrid w:val="0"/>
        <w:spacing w:line="520" w:lineRule="exact"/>
        <w:ind w:firstLine="640" w:firstLineChars="200"/>
        <w:rPr>
          <w:rFonts w:hint="eastAsia" w:asciiTheme="minorEastAsia" w:hAnsiTheme="minorEastAsia" w:eastAsiaTheme="minorEastAsia"/>
          <w:sz w:val="32"/>
          <w:szCs w:val="32"/>
          <w:highlight w:val="yellow"/>
          <w:lang w:val="en-US" w:eastAsia="zh-CN"/>
        </w:rPr>
      </w:pPr>
      <w:r>
        <w:rPr>
          <w:rFonts w:hint="eastAsia" w:asciiTheme="minorEastAsia" w:hAnsiTheme="minorEastAsia" w:eastAsiaTheme="minorEastAsia"/>
          <w:sz w:val="32"/>
          <w:szCs w:val="32"/>
          <w:highlight w:val="none"/>
        </w:rPr>
        <w:t>2021年度财政拨款支出</w:t>
      </w:r>
      <w:r>
        <w:rPr>
          <w:rFonts w:hint="eastAsia" w:asciiTheme="minorEastAsia" w:hAnsiTheme="minorEastAsia" w:eastAsiaTheme="minorEastAsia"/>
          <w:sz w:val="32"/>
          <w:szCs w:val="32"/>
          <w:highlight w:val="none"/>
          <w:lang w:val="en-US" w:eastAsia="zh-CN"/>
        </w:rPr>
        <w:t>1</w:t>
      </w:r>
      <w:r>
        <w:rPr>
          <w:rFonts w:hint="eastAsia" w:asciiTheme="minorEastAsia" w:hAnsiTheme="minorEastAsia"/>
          <w:sz w:val="32"/>
          <w:szCs w:val="32"/>
          <w:highlight w:val="none"/>
          <w:lang w:val="en-US" w:eastAsia="zh-CN"/>
        </w:rPr>
        <w:t>478.64</w:t>
      </w:r>
      <w:r>
        <w:rPr>
          <w:rFonts w:hint="eastAsia" w:asciiTheme="minorEastAsia" w:hAnsiTheme="minorEastAsia" w:eastAsiaTheme="minorEastAsia"/>
          <w:sz w:val="32"/>
          <w:szCs w:val="32"/>
          <w:highlight w:val="none"/>
        </w:rPr>
        <w:t>万元，占本年支出合计的</w:t>
      </w:r>
      <w:r>
        <w:rPr>
          <w:rFonts w:hint="eastAsia" w:asciiTheme="minorEastAsia" w:hAnsiTheme="minorEastAsia" w:eastAsiaTheme="minorEastAsia"/>
          <w:sz w:val="32"/>
          <w:szCs w:val="32"/>
          <w:highlight w:val="none"/>
          <w:lang w:val="en-US" w:eastAsia="zh-CN"/>
        </w:rPr>
        <w:t>93.32</w:t>
      </w:r>
      <w:r>
        <w:rPr>
          <w:rFonts w:hint="eastAsia" w:asciiTheme="minorEastAsia" w:hAnsiTheme="minorEastAsia" w:eastAsiaTheme="minorEastAsia"/>
          <w:sz w:val="32"/>
          <w:szCs w:val="32"/>
          <w:highlight w:val="none"/>
        </w:rPr>
        <w:t>%，与上年相比，财政拨款支出</w:t>
      </w:r>
      <w:r>
        <w:rPr>
          <w:rFonts w:hint="eastAsia" w:asciiTheme="minorEastAsia" w:hAnsiTheme="minorEastAsia" w:eastAsiaTheme="minorEastAsia"/>
          <w:sz w:val="32"/>
          <w:szCs w:val="32"/>
          <w:highlight w:val="none"/>
          <w:lang w:val="en-US" w:eastAsia="zh-CN"/>
        </w:rPr>
        <w:t>增加276.69</w:t>
      </w:r>
      <w:r>
        <w:rPr>
          <w:rFonts w:hint="eastAsia" w:asciiTheme="minorEastAsia" w:hAnsiTheme="minorEastAsia" w:eastAsiaTheme="minorEastAsia"/>
          <w:sz w:val="32"/>
          <w:szCs w:val="32"/>
          <w:highlight w:val="none"/>
        </w:rPr>
        <w:t>万元，</w:t>
      </w:r>
      <w:r>
        <w:rPr>
          <w:rFonts w:hint="eastAsia" w:asciiTheme="minorEastAsia" w:hAnsiTheme="minorEastAsia" w:eastAsiaTheme="minorEastAsia"/>
          <w:sz w:val="32"/>
          <w:szCs w:val="32"/>
          <w:highlight w:val="none"/>
          <w:lang w:val="en-US" w:eastAsia="zh-CN"/>
        </w:rPr>
        <w:t>增加23.02</w:t>
      </w:r>
      <w:r>
        <w:rPr>
          <w:rFonts w:hint="eastAsia" w:asciiTheme="minorEastAsia" w:hAnsiTheme="minorEastAsia" w:eastAsiaTheme="minorEastAsia"/>
          <w:sz w:val="32"/>
          <w:szCs w:val="32"/>
          <w:highlight w:val="none"/>
        </w:rPr>
        <w:t>%，主要是因为</w:t>
      </w:r>
      <w:r>
        <w:rPr>
          <w:rFonts w:hint="eastAsia" w:ascii="宋体" w:hAnsi="宋体" w:cs="宋体"/>
          <w:b w:val="0"/>
          <w:bCs/>
          <w:sz w:val="32"/>
          <w:szCs w:val="32"/>
          <w:lang w:val="en-US" w:eastAsia="zh-CN"/>
        </w:rPr>
        <w:t>2021年增加院办公楼装修、办公家具购买、搬家经费及租赁物业费。</w:t>
      </w:r>
    </w:p>
    <w:p>
      <w:pPr>
        <w:pStyle w:val="9"/>
        <w:ind w:left="0" w:leftChars="0" w:firstLine="457" w:firstLineChars="143"/>
        <w:rPr>
          <w:rFonts w:asciiTheme="minorEastAsia" w:hAnsiTheme="minorEastAsia" w:eastAsiaTheme="minorEastAsia"/>
          <w:b/>
          <w:sz w:val="32"/>
          <w:szCs w:val="32"/>
        </w:rPr>
      </w:pPr>
      <w:r>
        <w:rPr>
          <w:rFonts w:hint="eastAsia" w:asciiTheme="minorEastAsia" w:hAnsiTheme="minorEastAsia" w:eastAsiaTheme="minorEastAsia"/>
          <w:b/>
          <w:sz w:val="32"/>
          <w:szCs w:val="32"/>
        </w:rPr>
        <w:t>（二）财政拨款支出决算结构情况</w:t>
      </w:r>
    </w:p>
    <w:p>
      <w:pPr>
        <w:pStyle w:val="9"/>
        <w:ind w:firstLine="640" w:firstLineChars="200"/>
        <w:rPr>
          <w:rFonts w:hint="eastAsia" w:asciiTheme="minorEastAsia" w:hAnsiTheme="minorEastAsia" w:eastAsiaTheme="minorEastAsia"/>
          <w:i/>
          <w:color w:val="FF0000"/>
          <w:sz w:val="32"/>
          <w:szCs w:val="32"/>
        </w:rPr>
      </w:pPr>
      <w:r>
        <w:rPr>
          <w:rFonts w:hint="eastAsia" w:asciiTheme="minorEastAsia" w:hAnsiTheme="minorEastAsia" w:eastAsiaTheme="minorEastAsia"/>
          <w:sz w:val="32"/>
          <w:szCs w:val="32"/>
        </w:rPr>
        <w:t>2021年度财政拨款支出</w:t>
      </w:r>
      <w:r>
        <w:rPr>
          <w:rFonts w:hint="eastAsia" w:asciiTheme="minorEastAsia" w:hAnsiTheme="minorEastAsia" w:eastAsiaTheme="minorEastAsia"/>
          <w:sz w:val="32"/>
          <w:szCs w:val="32"/>
          <w:lang w:val="en-US" w:eastAsia="zh-CN"/>
        </w:rPr>
        <w:t>1478.64</w:t>
      </w:r>
      <w:r>
        <w:rPr>
          <w:rFonts w:hint="eastAsia" w:asciiTheme="minorEastAsia" w:hAnsiTheme="minorEastAsia" w:eastAsiaTheme="minorEastAsia"/>
          <w:sz w:val="32"/>
          <w:szCs w:val="32"/>
        </w:rPr>
        <w:t>万元，主要用于以下方面：</w:t>
      </w:r>
      <w:r>
        <w:rPr>
          <w:rFonts w:hint="eastAsia" w:asciiTheme="minorEastAsia" w:hAnsiTheme="minorEastAsia" w:eastAsiaTheme="minorEastAsia"/>
          <w:sz w:val="32"/>
          <w:szCs w:val="32"/>
          <w:lang w:val="en-US" w:eastAsia="zh-CN"/>
        </w:rPr>
        <w:t>教育（类）支出40.00万元，</w:t>
      </w:r>
      <w:r>
        <w:rPr>
          <w:rFonts w:hint="eastAsia" w:ascii="宋体" w:hAnsi="宋体" w:eastAsia="宋体"/>
          <w:sz w:val="32"/>
          <w:szCs w:val="32"/>
        </w:rPr>
        <w:t>占</w:t>
      </w:r>
      <w:r>
        <w:rPr>
          <w:rFonts w:hint="eastAsia" w:ascii="宋体" w:hAnsi="宋体" w:eastAsia="宋体"/>
          <w:sz w:val="32"/>
          <w:szCs w:val="32"/>
          <w:lang w:val="en-US" w:eastAsia="zh-CN"/>
        </w:rPr>
        <w:t>2.71</w:t>
      </w:r>
      <w:r>
        <w:rPr>
          <w:rFonts w:hint="eastAsia" w:ascii="宋体" w:hAnsi="宋体" w:eastAsia="宋体"/>
          <w:sz w:val="32"/>
          <w:szCs w:val="32"/>
        </w:rPr>
        <w:t>%</w:t>
      </w:r>
      <w:r>
        <w:rPr>
          <w:rFonts w:hint="eastAsia" w:ascii="宋体" w:hAnsi="宋体" w:eastAsia="宋体"/>
          <w:sz w:val="32"/>
          <w:szCs w:val="32"/>
          <w:lang w:eastAsia="zh-CN"/>
        </w:rPr>
        <w:t>；</w:t>
      </w:r>
      <w:r>
        <w:rPr>
          <w:rFonts w:hint="eastAsia" w:ascii="宋体" w:hAnsi="宋体" w:eastAsia="宋体"/>
          <w:sz w:val="32"/>
          <w:szCs w:val="32"/>
        </w:rPr>
        <w:t>文化体育与传媒（类）支出</w:t>
      </w:r>
      <w:r>
        <w:rPr>
          <w:rFonts w:hint="eastAsia" w:ascii="宋体" w:hAnsi="宋体" w:eastAsia="宋体"/>
          <w:sz w:val="32"/>
          <w:szCs w:val="32"/>
          <w:lang w:val="en-US" w:eastAsia="zh-CN"/>
        </w:rPr>
        <w:t>1253.00</w:t>
      </w:r>
      <w:r>
        <w:rPr>
          <w:rFonts w:hint="eastAsia" w:ascii="宋体" w:hAnsi="宋体" w:eastAsia="宋体"/>
          <w:sz w:val="32"/>
          <w:szCs w:val="32"/>
        </w:rPr>
        <w:t>万元，占</w:t>
      </w:r>
      <w:r>
        <w:rPr>
          <w:rFonts w:hint="eastAsia" w:ascii="宋体" w:hAnsi="宋体" w:eastAsia="宋体"/>
          <w:sz w:val="32"/>
          <w:szCs w:val="32"/>
          <w:lang w:val="en-US" w:eastAsia="zh-CN"/>
        </w:rPr>
        <w:t>84.74</w:t>
      </w:r>
      <w:r>
        <w:rPr>
          <w:rFonts w:hint="eastAsia" w:ascii="宋体" w:hAnsi="宋体" w:eastAsia="宋体"/>
          <w:sz w:val="32"/>
          <w:szCs w:val="32"/>
        </w:rPr>
        <w:t>%；社会保障和就业（类）支出</w:t>
      </w:r>
      <w:r>
        <w:rPr>
          <w:rFonts w:hint="eastAsia" w:ascii="宋体" w:hAnsi="宋体" w:eastAsia="宋体"/>
          <w:sz w:val="32"/>
          <w:szCs w:val="32"/>
          <w:lang w:val="en-US" w:eastAsia="zh-CN"/>
        </w:rPr>
        <w:t>106.84</w:t>
      </w:r>
      <w:r>
        <w:rPr>
          <w:rFonts w:hint="eastAsia" w:ascii="宋体" w:hAnsi="宋体" w:eastAsia="宋体"/>
          <w:sz w:val="32"/>
          <w:szCs w:val="32"/>
        </w:rPr>
        <w:t>万元，占</w:t>
      </w:r>
      <w:r>
        <w:rPr>
          <w:rFonts w:hint="eastAsia" w:ascii="宋体" w:hAnsi="宋体" w:eastAsia="宋体"/>
          <w:sz w:val="32"/>
          <w:szCs w:val="32"/>
          <w:lang w:val="en-US" w:eastAsia="zh-CN"/>
        </w:rPr>
        <w:t>7.23</w:t>
      </w:r>
      <w:r>
        <w:rPr>
          <w:rFonts w:hint="eastAsia" w:ascii="宋体" w:hAnsi="宋体" w:eastAsia="宋体"/>
          <w:sz w:val="32"/>
          <w:szCs w:val="32"/>
        </w:rPr>
        <w:t>%</w:t>
      </w:r>
      <w:r>
        <w:rPr>
          <w:rFonts w:hint="eastAsia" w:ascii="宋体" w:hAnsi="宋体" w:eastAsia="宋体"/>
          <w:sz w:val="32"/>
          <w:szCs w:val="32"/>
          <w:lang w:eastAsia="zh-CN"/>
        </w:rPr>
        <w:t>；</w:t>
      </w:r>
      <w:r>
        <w:rPr>
          <w:rFonts w:hint="eastAsia" w:ascii="宋体" w:hAnsi="宋体" w:eastAsia="宋体"/>
          <w:sz w:val="32"/>
          <w:szCs w:val="32"/>
          <w:lang w:val="en-US" w:eastAsia="zh-CN"/>
        </w:rPr>
        <w:t>卫生健康</w:t>
      </w:r>
      <w:r>
        <w:rPr>
          <w:rFonts w:hint="eastAsia" w:ascii="宋体" w:hAnsi="宋体" w:eastAsia="宋体"/>
          <w:sz w:val="32"/>
          <w:szCs w:val="32"/>
        </w:rPr>
        <w:t>（类）支出</w:t>
      </w:r>
      <w:r>
        <w:rPr>
          <w:rFonts w:hint="eastAsia" w:ascii="宋体" w:hAnsi="宋体" w:eastAsia="宋体"/>
          <w:sz w:val="32"/>
          <w:szCs w:val="32"/>
          <w:lang w:val="en-US" w:eastAsia="zh-CN"/>
        </w:rPr>
        <w:t>5.80</w:t>
      </w:r>
      <w:r>
        <w:rPr>
          <w:rFonts w:hint="eastAsia" w:ascii="宋体" w:hAnsi="宋体" w:eastAsia="宋体"/>
          <w:sz w:val="32"/>
          <w:szCs w:val="32"/>
        </w:rPr>
        <w:t>万元，占</w:t>
      </w:r>
      <w:r>
        <w:rPr>
          <w:rFonts w:hint="eastAsia" w:ascii="宋体" w:hAnsi="宋体" w:eastAsia="宋体"/>
          <w:sz w:val="32"/>
          <w:szCs w:val="32"/>
          <w:lang w:val="en-US" w:eastAsia="zh-CN"/>
        </w:rPr>
        <w:t>0.40</w:t>
      </w:r>
      <w:r>
        <w:rPr>
          <w:rFonts w:hint="eastAsia" w:ascii="宋体" w:hAnsi="宋体" w:eastAsia="宋体"/>
          <w:sz w:val="32"/>
          <w:szCs w:val="32"/>
        </w:rPr>
        <w:t>%</w:t>
      </w:r>
      <w:r>
        <w:rPr>
          <w:rFonts w:hint="eastAsia" w:ascii="宋体" w:hAnsi="宋体" w:eastAsia="宋体"/>
          <w:sz w:val="32"/>
          <w:szCs w:val="32"/>
          <w:lang w:eastAsia="zh-CN"/>
        </w:rPr>
        <w:t>；</w:t>
      </w:r>
      <w:r>
        <w:rPr>
          <w:rFonts w:hint="eastAsia" w:ascii="宋体" w:hAnsi="宋体" w:eastAsia="宋体"/>
          <w:sz w:val="32"/>
          <w:szCs w:val="32"/>
        </w:rPr>
        <w:t>住房保障（类）支出</w:t>
      </w:r>
      <w:r>
        <w:rPr>
          <w:rFonts w:hint="eastAsia" w:ascii="宋体" w:hAnsi="宋体" w:eastAsia="宋体"/>
          <w:sz w:val="32"/>
          <w:szCs w:val="32"/>
          <w:lang w:val="en-US" w:eastAsia="zh-CN"/>
        </w:rPr>
        <w:t>73.00</w:t>
      </w:r>
      <w:r>
        <w:rPr>
          <w:rFonts w:hint="eastAsia" w:ascii="宋体" w:hAnsi="宋体" w:eastAsia="宋体"/>
          <w:sz w:val="32"/>
          <w:szCs w:val="32"/>
        </w:rPr>
        <w:t>万元，占</w:t>
      </w:r>
      <w:r>
        <w:rPr>
          <w:rFonts w:hint="eastAsia" w:ascii="宋体" w:hAnsi="宋体" w:eastAsia="宋体"/>
          <w:sz w:val="32"/>
          <w:szCs w:val="32"/>
          <w:lang w:val="en-US" w:eastAsia="zh-CN"/>
        </w:rPr>
        <w:t>4.92</w:t>
      </w:r>
      <w:r>
        <w:rPr>
          <w:rFonts w:hint="eastAsia" w:ascii="宋体" w:hAnsi="宋体" w:eastAsia="宋体"/>
          <w:sz w:val="32"/>
          <w:szCs w:val="32"/>
        </w:rPr>
        <w:t>%。</w:t>
      </w:r>
    </w:p>
    <w:p>
      <w:pPr>
        <w:pStyle w:val="9"/>
        <w:ind w:left="0" w:leftChars="0" w:firstLine="640" w:firstLineChars="200"/>
        <w:rPr>
          <w:rFonts w:asciiTheme="minorEastAsia" w:hAnsiTheme="minorEastAsia" w:eastAsiaTheme="minorEastAsia"/>
          <w:b/>
          <w:sz w:val="32"/>
          <w:szCs w:val="32"/>
        </w:rPr>
      </w:pPr>
      <w:r>
        <w:rPr>
          <w:rFonts w:hint="eastAsia" w:asciiTheme="minorEastAsia" w:hAnsiTheme="minorEastAsia" w:eastAsiaTheme="minorEastAsia"/>
          <w:b/>
          <w:sz w:val="32"/>
          <w:szCs w:val="32"/>
        </w:rPr>
        <w:t>（三）财政拨款支出决算具体情况</w:t>
      </w:r>
    </w:p>
    <w:p>
      <w:pPr>
        <w:pStyle w:val="9"/>
        <w:ind w:left="0" w:leftChars="0" w:firstLine="659" w:firstLineChars="206"/>
        <w:rPr>
          <w:rFonts w:hint="eastAsia" w:asciiTheme="minorEastAsia" w:hAnsiTheme="minorEastAsia" w:eastAsiaTheme="minorEastAsia"/>
          <w:sz w:val="32"/>
          <w:szCs w:val="32"/>
        </w:rPr>
      </w:pPr>
      <w:r>
        <w:rPr>
          <w:rFonts w:hint="eastAsia" w:asciiTheme="minorEastAsia" w:hAnsiTheme="minorEastAsia" w:eastAsiaTheme="minorEastAsia"/>
          <w:sz w:val="32"/>
          <w:szCs w:val="32"/>
        </w:rPr>
        <w:t>2021年度财政拨款支出年初预算数为</w:t>
      </w:r>
      <w:r>
        <w:rPr>
          <w:rFonts w:hint="eastAsia" w:asciiTheme="minorEastAsia" w:hAnsiTheme="minorEastAsia" w:eastAsiaTheme="minorEastAsia"/>
          <w:sz w:val="32"/>
          <w:szCs w:val="32"/>
          <w:lang w:val="en-US" w:eastAsia="zh-CN"/>
        </w:rPr>
        <w:t>947.17</w:t>
      </w:r>
      <w:r>
        <w:rPr>
          <w:rFonts w:hint="eastAsia" w:asciiTheme="minorEastAsia" w:hAnsiTheme="minorEastAsia" w:eastAsiaTheme="minorEastAsia"/>
          <w:sz w:val="32"/>
          <w:szCs w:val="32"/>
        </w:rPr>
        <w:t>万元，支出决算数为</w:t>
      </w:r>
      <w:r>
        <w:rPr>
          <w:rFonts w:hint="eastAsia" w:asciiTheme="minorEastAsia" w:hAnsiTheme="minorEastAsia" w:eastAsiaTheme="minorEastAsia"/>
          <w:sz w:val="32"/>
          <w:szCs w:val="32"/>
          <w:lang w:val="en-US" w:eastAsia="zh-CN"/>
        </w:rPr>
        <w:t>1478.64</w:t>
      </w:r>
      <w:r>
        <w:rPr>
          <w:rFonts w:hint="eastAsia" w:asciiTheme="minorEastAsia" w:hAnsiTheme="minorEastAsia" w:eastAsiaTheme="minorEastAsia"/>
          <w:sz w:val="32"/>
          <w:szCs w:val="32"/>
        </w:rPr>
        <w:t>万元，完成年初预算的</w:t>
      </w:r>
      <w:r>
        <w:rPr>
          <w:rFonts w:hint="eastAsia" w:asciiTheme="minorEastAsia" w:hAnsiTheme="minorEastAsia" w:eastAsiaTheme="minorEastAsia"/>
          <w:sz w:val="32"/>
          <w:szCs w:val="32"/>
          <w:lang w:val="en-US" w:eastAsia="zh-CN"/>
        </w:rPr>
        <w:t>156.12</w:t>
      </w:r>
      <w:r>
        <w:rPr>
          <w:rFonts w:hint="eastAsia" w:asciiTheme="minorEastAsia" w:hAnsiTheme="minorEastAsia" w:eastAsiaTheme="minorEastAsia"/>
          <w:sz w:val="32"/>
          <w:szCs w:val="32"/>
        </w:rPr>
        <w:t>%，其中：</w:t>
      </w:r>
    </w:p>
    <w:p>
      <w:pPr>
        <w:pStyle w:val="9"/>
        <w:numPr>
          <w:ilvl w:val="0"/>
          <w:numId w:val="0"/>
        </w:numPr>
        <w:ind w:left="0" w:leftChars="0" w:firstLine="640" w:firstLineChars="200"/>
        <w:rPr>
          <w:rFonts w:hint="eastAsia" w:asciiTheme="minorEastAsia" w:hAnsiTheme="minorEastAsia" w:eastAsiaTheme="minorEastAsia"/>
          <w:sz w:val="32"/>
          <w:szCs w:val="32"/>
        </w:rPr>
      </w:pPr>
      <w:r>
        <w:rPr>
          <w:rFonts w:hint="eastAsia" w:asciiTheme="minorEastAsia" w:hAnsiTheme="minorEastAsia" w:eastAsiaTheme="minorEastAsia"/>
          <w:sz w:val="32"/>
          <w:szCs w:val="32"/>
          <w:lang w:val="en-US" w:eastAsia="zh-CN"/>
        </w:rPr>
        <w:t>1.文化旅游体育与传媒支出</w:t>
      </w:r>
      <w:r>
        <w:rPr>
          <w:rFonts w:hint="eastAsia" w:asciiTheme="minorEastAsia" w:hAnsiTheme="minorEastAsia" w:eastAsiaTheme="minorEastAsia"/>
          <w:sz w:val="32"/>
          <w:szCs w:val="32"/>
        </w:rPr>
        <w:t>（类）</w:t>
      </w:r>
      <w:r>
        <w:rPr>
          <w:rFonts w:hint="eastAsia" w:asciiTheme="minorEastAsia" w:hAnsiTheme="minorEastAsia" w:eastAsiaTheme="minorEastAsia"/>
          <w:sz w:val="32"/>
          <w:szCs w:val="32"/>
          <w:lang w:val="en-US" w:eastAsia="zh-CN"/>
        </w:rPr>
        <w:t>文化和旅游</w:t>
      </w:r>
      <w:r>
        <w:rPr>
          <w:rFonts w:hint="eastAsia" w:asciiTheme="minorEastAsia" w:hAnsiTheme="minorEastAsia" w:eastAsiaTheme="minorEastAsia"/>
          <w:sz w:val="32"/>
          <w:szCs w:val="32"/>
        </w:rPr>
        <w:t>（款）</w:t>
      </w:r>
      <w:r>
        <w:rPr>
          <w:rFonts w:hint="eastAsia" w:asciiTheme="minorEastAsia" w:hAnsiTheme="minorEastAsia" w:eastAsiaTheme="minorEastAsia"/>
          <w:sz w:val="32"/>
          <w:szCs w:val="32"/>
          <w:lang w:val="en-US" w:eastAsia="zh-CN"/>
        </w:rPr>
        <w:t>文化创作与保护</w:t>
      </w:r>
      <w:r>
        <w:rPr>
          <w:rFonts w:hint="eastAsia" w:asciiTheme="minorEastAsia" w:hAnsiTheme="minorEastAsia" w:eastAsiaTheme="minorEastAsia"/>
          <w:sz w:val="32"/>
          <w:szCs w:val="32"/>
        </w:rPr>
        <w:t>（项）。</w:t>
      </w:r>
    </w:p>
    <w:p>
      <w:pPr>
        <w:pStyle w:val="9"/>
        <w:ind w:left="0" w:leftChars="0" w:firstLine="640" w:firstLineChars="200"/>
        <w:rPr>
          <w:rFonts w:hint="eastAsia" w:ascii="宋体" w:hAnsi="宋体" w:eastAsia="宋体"/>
          <w:sz w:val="32"/>
          <w:szCs w:val="32"/>
          <w:highlight w:val="none"/>
          <w:lang w:val="en-US" w:eastAsia="zh-CN"/>
        </w:rPr>
      </w:pPr>
      <w:r>
        <w:rPr>
          <w:rFonts w:hint="eastAsia" w:asciiTheme="minorEastAsia" w:hAnsiTheme="minorEastAsia" w:eastAsiaTheme="minorEastAsia"/>
          <w:sz w:val="32"/>
          <w:szCs w:val="32"/>
        </w:rPr>
        <w:t>年初预算为</w:t>
      </w:r>
      <w:r>
        <w:rPr>
          <w:rFonts w:hint="eastAsia" w:asciiTheme="minorEastAsia" w:hAnsiTheme="minorEastAsia" w:eastAsiaTheme="minorEastAsia"/>
          <w:sz w:val="32"/>
          <w:szCs w:val="32"/>
          <w:lang w:val="en-US" w:eastAsia="zh-CN"/>
        </w:rPr>
        <w:t>761.81</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967.32</w:t>
      </w:r>
      <w:r>
        <w:rPr>
          <w:rFonts w:hint="eastAsia" w:asciiTheme="minorEastAsia" w:hAnsiTheme="minorEastAsia" w:eastAsiaTheme="minorEastAsia"/>
          <w:sz w:val="32"/>
          <w:szCs w:val="32"/>
        </w:rPr>
        <w:t>万元，完成年初预算的</w:t>
      </w:r>
      <w:r>
        <w:rPr>
          <w:rFonts w:hint="eastAsia" w:asciiTheme="minorEastAsia" w:hAnsiTheme="minorEastAsia" w:eastAsiaTheme="minorEastAsia"/>
          <w:sz w:val="32"/>
          <w:szCs w:val="32"/>
          <w:highlight w:val="none"/>
          <w:lang w:val="en-US" w:eastAsia="zh-CN"/>
        </w:rPr>
        <w:t>126.98</w:t>
      </w:r>
      <w:r>
        <w:rPr>
          <w:rFonts w:hint="eastAsia" w:asciiTheme="minorEastAsia" w:hAnsiTheme="minorEastAsia" w:eastAsiaTheme="minorEastAsia"/>
          <w:sz w:val="32"/>
          <w:szCs w:val="32"/>
          <w:highlight w:val="none"/>
        </w:rPr>
        <w:t>%，</w:t>
      </w:r>
      <w:r>
        <w:rPr>
          <w:rFonts w:hint="eastAsia" w:asciiTheme="minorEastAsia" w:hAnsiTheme="minorEastAsia" w:eastAsiaTheme="minorEastAsia"/>
          <w:sz w:val="32"/>
          <w:szCs w:val="32"/>
        </w:rPr>
        <w:t>决算数</w:t>
      </w:r>
      <w:r>
        <w:rPr>
          <w:rFonts w:hint="eastAsia" w:asciiTheme="minorEastAsia" w:hAnsiTheme="minorEastAsia" w:eastAsiaTheme="minorEastAsia"/>
          <w:sz w:val="32"/>
          <w:szCs w:val="32"/>
          <w:lang w:val="en-US" w:eastAsia="zh-CN"/>
        </w:rPr>
        <w:t>大于年初预算数主要原因是：</w:t>
      </w:r>
      <w:r>
        <w:rPr>
          <w:rFonts w:hint="eastAsia" w:ascii="宋体" w:hAnsi="宋体" w:eastAsia="宋体"/>
          <w:sz w:val="32"/>
          <w:szCs w:val="32"/>
          <w:highlight w:val="none"/>
          <w:lang w:val="en-US" w:eastAsia="zh-CN"/>
        </w:rPr>
        <w:t>2021年度追加的文化创造与保护专项资金在本年度开支。</w:t>
      </w:r>
    </w:p>
    <w:p>
      <w:pPr>
        <w:pStyle w:val="9"/>
        <w:ind w:left="0" w:leftChars="0" w:firstLine="640" w:firstLineChars="200"/>
        <w:rPr>
          <w:rFonts w:ascii="宋体" w:hAnsi="宋体" w:eastAsia="宋体"/>
          <w:sz w:val="32"/>
          <w:szCs w:val="32"/>
        </w:rPr>
      </w:pPr>
      <w:r>
        <w:rPr>
          <w:rFonts w:hint="eastAsia" w:asciiTheme="minorEastAsia" w:hAnsiTheme="minorEastAsia" w:eastAsiaTheme="minorEastAsia"/>
          <w:sz w:val="32"/>
          <w:szCs w:val="32"/>
          <w:lang w:val="en-US" w:eastAsia="zh-CN"/>
        </w:rPr>
        <w:t>2.文化旅游体育与传媒支出</w:t>
      </w:r>
      <w:r>
        <w:rPr>
          <w:rFonts w:hint="eastAsia" w:asciiTheme="minorEastAsia" w:hAnsiTheme="minorEastAsia" w:eastAsiaTheme="minorEastAsia"/>
          <w:sz w:val="32"/>
          <w:szCs w:val="32"/>
        </w:rPr>
        <w:t>（类）</w:t>
      </w:r>
      <w:r>
        <w:rPr>
          <w:rFonts w:hint="eastAsia" w:asciiTheme="minorEastAsia" w:hAnsiTheme="minorEastAsia" w:eastAsiaTheme="minorEastAsia"/>
          <w:sz w:val="32"/>
          <w:szCs w:val="32"/>
          <w:lang w:val="en-US" w:eastAsia="zh-CN"/>
        </w:rPr>
        <w:t>文化和旅游</w:t>
      </w:r>
      <w:r>
        <w:rPr>
          <w:rFonts w:hint="eastAsia" w:asciiTheme="minorEastAsia" w:hAnsiTheme="minorEastAsia" w:eastAsiaTheme="minorEastAsia"/>
          <w:sz w:val="32"/>
          <w:szCs w:val="32"/>
        </w:rPr>
        <w:t>（款）</w:t>
      </w:r>
      <w:r>
        <w:rPr>
          <w:rFonts w:hint="eastAsia" w:ascii="宋体" w:hAnsi="宋体" w:eastAsia="宋体"/>
          <w:sz w:val="32"/>
          <w:szCs w:val="32"/>
          <w:lang w:val="en-US" w:eastAsia="zh-Hans"/>
        </w:rPr>
        <w:t>其他文化和旅游支出</w:t>
      </w:r>
      <w:r>
        <w:rPr>
          <w:rFonts w:hint="eastAsia" w:ascii="宋体" w:hAnsi="宋体" w:eastAsia="宋体"/>
          <w:sz w:val="32"/>
          <w:szCs w:val="32"/>
        </w:rPr>
        <w:t>（项）。</w:t>
      </w:r>
    </w:p>
    <w:p>
      <w:pPr>
        <w:pStyle w:val="9"/>
        <w:ind w:left="0" w:leftChars="0" w:firstLine="640" w:firstLineChars="200"/>
        <w:rPr>
          <w:rFonts w:hint="eastAsia" w:asciiTheme="minorEastAsia" w:hAnsiTheme="minorEastAsia" w:eastAsiaTheme="minorEastAsia"/>
          <w:sz w:val="32"/>
          <w:szCs w:val="32"/>
          <w:lang w:val="en-US" w:eastAsia="zh-CN"/>
        </w:rPr>
      </w:pPr>
      <w:r>
        <w:rPr>
          <w:rFonts w:hint="eastAsia" w:asciiTheme="minorEastAsia" w:hAnsiTheme="minorEastAsia" w:eastAsiaTheme="minorEastAsia"/>
          <w:sz w:val="32"/>
          <w:szCs w:val="32"/>
        </w:rPr>
        <w:t>年初预算为</w:t>
      </w:r>
      <w:r>
        <w:rPr>
          <w:rFonts w:hint="eastAsia" w:asciiTheme="minorEastAsia" w:hAnsiTheme="minorEastAsia" w:eastAsiaTheme="minorEastAsia"/>
          <w:sz w:val="32"/>
          <w:szCs w:val="32"/>
          <w:lang w:val="en-US" w:eastAsia="zh-CN"/>
        </w:rPr>
        <w:t>141.61</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141.61</w:t>
      </w:r>
      <w:r>
        <w:rPr>
          <w:rFonts w:hint="eastAsia" w:asciiTheme="minorEastAsia" w:hAnsiTheme="minorEastAsia" w:eastAsiaTheme="minorEastAsia"/>
          <w:sz w:val="32"/>
          <w:szCs w:val="32"/>
        </w:rPr>
        <w:t>万元，完成年初预算的</w:t>
      </w:r>
      <w:r>
        <w:rPr>
          <w:rFonts w:hint="eastAsia" w:asciiTheme="minorEastAsia" w:hAnsiTheme="minorEastAsia" w:eastAsiaTheme="minorEastAsia"/>
          <w:sz w:val="32"/>
          <w:szCs w:val="32"/>
          <w:lang w:val="en-US" w:eastAsia="zh-CN"/>
        </w:rPr>
        <w:t>100</w:t>
      </w:r>
      <w:r>
        <w:rPr>
          <w:rFonts w:hint="eastAsia" w:asciiTheme="minorEastAsia" w:hAnsiTheme="minorEastAsia" w:eastAsiaTheme="minorEastAsia"/>
          <w:sz w:val="32"/>
          <w:szCs w:val="32"/>
        </w:rPr>
        <w:t>%，决算数</w:t>
      </w:r>
      <w:r>
        <w:rPr>
          <w:rFonts w:hint="eastAsia" w:asciiTheme="minorEastAsia" w:hAnsiTheme="minorEastAsia" w:eastAsiaTheme="minorEastAsia"/>
          <w:sz w:val="32"/>
          <w:szCs w:val="32"/>
          <w:lang w:val="en-US" w:eastAsia="zh-CN"/>
        </w:rPr>
        <w:t>与</w:t>
      </w:r>
      <w:r>
        <w:rPr>
          <w:rFonts w:hint="eastAsia" w:asciiTheme="minorEastAsia" w:hAnsiTheme="minorEastAsia" w:eastAsiaTheme="minorEastAsia"/>
          <w:sz w:val="32"/>
          <w:szCs w:val="32"/>
        </w:rPr>
        <w:t>年初预算数</w:t>
      </w:r>
      <w:r>
        <w:rPr>
          <w:rFonts w:hint="eastAsia" w:asciiTheme="minorEastAsia" w:hAnsiTheme="minorEastAsia" w:eastAsiaTheme="minorEastAsia"/>
          <w:sz w:val="32"/>
          <w:szCs w:val="32"/>
          <w:lang w:val="en-US" w:eastAsia="zh-CN"/>
        </w:rPr>
        <w:t>相等。</w:t>
      </w:r>
    </w:p>
    <w:p>
      <w:pPr>
        <w:pStyle w:val="9"/>
        <w:numPr>
          <w:ilvl w:val="0"/>
          <w:numId w:val="0"/>
        </w:numPr>
        <w:ind w:left="0" w:leftChars="0" w:firstLine="640" w:firstLineChars="200"/>
        <w:rPr>
          <w:rFonts w:hint="eastAsia" w:asciiTheme="minorEastAsia" w:hAnsiTheme="minorEastAsia" w:eastAsiaTheme="minorEastAsia"/>
          <w:sz w:val="32"/>
          <w:szCs w:val="32"/>
        </w:rPr>
      </w:pPr>
      <w:r>
        <w:rPr>
          <w:rFonts w:hint="eastAsia" w:asciiTheme="minorEastAsia" w:hAnsiTheme="minorEastAsia" w:eastAsiaTheme="minorEastAsia"/>
          <w:sz w:val="32"/>
          <w:szCs w:val="32"/>
          <w:lang w:val="en-US" w:eastAsia="zh-CN"/>
        </w:rPr>
        <w:t>3.文化旅游体育与传媒支出</w:t>
      </w:r>
      <w:r>
        <w:rPr>
          <w:rFonts w:hint="eastAsia" w:asciiTheme="minorEastAsia" w:hAnsiTheme="minorEastAsia" w:eastAsiaTheme="minorEastAsia"/>
          <w:sz w:val="32"/>
          <w:szCs w:val="32"/>
        </w:rPr>
        <w:t>（类）</w:t>
      </w:r>
      <w:r>
        <w:rPr>
          <w:rFonts w:hint="eastAsia" w:asciiTheme="minorEastAsia" w:hAnsiTheme="minorEastAsia" w:eastAsiaTheme="minorEastAsia"/>
          <w:sz w:val="32"/>
          <w:szCs w:val="32"/>
          <w:lang w:val="en-US" w:eastAsia="zh-CN"/>
        </w:rPr>
        <w:t>其他文化旅游体育与传媒支出</w:t>
      </w:r>
      <w:r>
        <w:rPr>
          <w:rFonts w:hint="eastAsia" w:asciiTheme="minorEastAsia" w:hAnsiTheme="minorEastAsia" w:eastAsiaTheme="minorEastAsia"/>
          <w:sz w:val="32"/>
          <w:szCs w:val="32"/>
        </w:rPr>
        <w:t>（款）</w:t>
      </w:r>
      <w:r>
        <w:rPr>
          <w:rFonts w:hint="eastAsia" w:asciiTheme="minorEastAsia" w:hAnsiTheme="minorEastAsia" w:eastAsiaTheme="minorEastAsia"/>
          <w:sz w:val="32"/>
          <w:szCs w:val="32"/>
          <w:lang w:val="en-US" w:eastAsia="zh-CN"/>
        </w:rPr>
        <w:t>其他文化旅游体育与传媒支出</w:t>
      </w:r>
      <w:r>
        <w:rPr>
          <w:rFonts w:hint="eastAsia" w:asciiTheme="minorEastAsia" w:hAnsiTheme="minorEastAsia" w:eastAsiaTheme="minorEastAsia"/>
          <w:sz w:val="32"/>
          <w:szCs w:val="32"/>
        </w:rPr>
        <w:t>（项）。</w:t>
      </w:r>
    </w:p>
    <w:p>
      <w:pPr>
        <w:pStyle w:val="9"/>
        <w:ind w:left="0" w:leftChars="0" w:firstLine="640" w:firstLineChars="200"/>
        <w:rPr>
          <w:rFonts w:hint="eastAsia" w:asciiTheme="minorEastAsia" w:hAnsiTheme="minorEastAsia" w:eastAsiaTheme="minorEastAsia"/>
          <w:sz w:val="32"/>
          <w:szCs w:val="32"/>
          <w:lang w:val="en-US" w:eastAsia="zh-CN"/>
        </w:rPr>
      </w:pPr>
      <w:r>
        <w:rPr>
          <w:rFonts w:hint="eastAsia" w:asciiTheme="minorEastAsia" w:hAnsiTheme="minorEastAsia" w:eastAsiaTheme="minorEastAsia"/>
          <w:sz w:val="32"/>
          <w:szCs w:val="32"/>
        </w:rPr>
        <w:t>年初预算为</w:t>
      </w:r>
      <w:r>
        <w:rPr>
          <w:rFonts w:hint="eastAsia" w:asciiTheme="minorEastAsia" w:hAnsiTheme="minorEastAsia" w:eastAsiaTheme="minorEastAsia"/>
          <w:sz w:val="32"/>
          <w:szCs w:val="32"/>
          <w:lang w:val="en-US" w:eastAsia="zh-CN"/>
        </w:rPr>
        <w:t>144.07</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144.07</w:t>
      </w:r>
      <w:r>
        <w:rPr>
          <w:rFonts w:hint="eastAsia" w:asciiTheme="minorEastAsia" w:hAnsiTheme="minorEastAsia" w:eastAsiaTheme="minorEastAsia"/>
          <w:sz w:val="32"/>
          <w:szCs w:val="32"/>
        </w:rPr>
        <w:t>万元，完成年初预算的</w:t>
      </w:r>
      <w:r>
        <w:rPr>
          <w:rFonts w:hint="eastAsia" w:asciiTheme="minorEastAsia" w:hAnsiTheme="minorEastAsia" w:eastAsiaTheme="minorEastAsia"/>
          <w:sz w:val="32"/>
          <w:szCs w:val="32"/>
          <w:lang w:val="en-US" w:eastAsia="zh-CN"/>
        </w:rPr>
        <w:t>100</w:t>
      </w:r>
      <w:r>
        <w:rPr>
          <w:rFonts w:hint="eastAsia" w:asciiTheme="minorEastAsia" w:hAnsiTheme="minorEastAsia" w:eastAsiaTheme="minorEastAsia"/>
          <w:sz w:val="32"/>
          <w:szCs w:val="32"/>
        </w:rPr>
        <w:t>%，决算数</w:t>
      </w:r>
      <w:r>
        <w:rPr>
          <w:rFonts w:hint="eastAsia" w:asciiTheme="minorEastAsia" w:hAnsiTheme="minorEastAsia" w:eastAsiaTheme="minorEastAsia"/>
          <w:sz w:val="32"/>
          <w:szCs w:val="32"/>
          <w:lang w:val="en-US" w:eastAsia="zh-CN"/>
        </w:rPr>
        <w:t>与</w:t>
      </w:r>
      <w:r>
        <w:rPr>
          <w:rFonts w:hint="eastAsia" w:asciiTheme="minorEastAsia" w:hAnsiTheme="minorEastAsia" w:eastAsiaTheme="minorEastAsia"/>
          <w:sz w:val="32"/>
          <w:szCs w:val="32"/>
        </w:rPr>
        <w:t>年初预算数</w:t>
      </w:r>
      <w:r>
        <w:rPr>
          <w:rFonts w:hint="eastAsia" w:asciiTheme="minorEastAsia" w:hAnsiTheme="minorEastAsia" w:eastAsiaTheme="minorEastAsia"/>
          <w:sz w:val="32"/>
          <w:szCs w:val="32"/>
          <w:lang w:val="en-US" w:eastAsia="zh-CN"/>
        </w:rPr>
        <w:t>相等。</w:t>
      </w:r>
    </w:p>
    <w:p>
      <w:pPr>
        <w:pStyle w:val="9"/>
        <w:numPr>
          <w:ilvl w:val="0"/>
          <w:numId w:val="0"/>
        </w:numPr>
        <w:ind w:left="0" w:leftChars="0" w:firstLine="640" w:firstLineChars="200"/>
        <w:rPr>
          <w:rFonts w:hint="default" w:ascii="宋体" w:hAnsi="宋体" w:eastAsia="宋体"/>
          <w:sz w:val="32"/>
          <w:szCs w:val="32"/>
          <w:lang w:val="en-US" w:eastAsia="zh-CN"/>
        </w:rPr>
      </w:pPr>
      <w:r>
        <w:rPr>
          <w:rFonts w:hint="eastAsia" w:ascii="宋体" w:hAnsi="宋体" w:eastAsia="宋体"/>
          <w:sz w:val="32"/>
          <w:szCs w:val="32"/>
          <w:lang w:val="en-US" w:eastAsia="zh-CN"/>
        </w:rPr>
        <w:t>4.教育支出（类）进修及培训（款）培训支出（项）</w:t>
      </w:r>
    </w:p>
    <w:p>
      <w:pPr>
        <w:pStyle w:val="9"/>
        <w:ind w:left="0" w:leftChars="0" w:firstLine="640" w:firstLineChars="200"/>
        <w:rPr>
          <w:rFonts w:hint="eastAsia" w:asciiTheme="minorEastAsia" w:hAnsiTheme="minorEastAsia" w:eastAsiaTheme="minorEastAsia"/>
          <w:sz w:val="32"/>
          <w:szCs w:val="32"/>
        </w:rPr>
      </w:pPr>
      <w:r>
        <w:rPr>
          <w:rFonts w:hint="eastAsia" w:ascii="宋体" w:hAnsi="宋体" w:eastAsia="宋体"/>
          <w:sz w:val="32"/>
          <w:szCs w:val="32"/>
        </w:rPr>
        <w:t>年初预算为</w:t>
      </w:r>
      <w:r>
        <w:rPr>
          <w:rFonts w:hint="eastAsia" w:ascii="宋体" w:hAnsi="宋体" w:eastAsia="宋体"/>
          <w:sz w:val="32"/>
          <w:szCs w:val="32"/>
          <w:highlight w:val="none"/>
          <w:lang w:val="en-US" w:eastAsia="zh-CN"/>
        </w:rPr>
        <w:t>40.00</w:t>
      </w:r>
      <w:r>
        <w:rPr>
          <w:rFonts w:hint="eastAsia" w:ascii="宋体" w:hAnsi="宋体" w:eastAsia="宋体"/>
          <w:sz w:val="32"/>
          <w:szCs w:val="32"/>
        </w:rPr>
        <w:t>万元，支出决算为</w:t>
      </w:r>
      <w:r>
        <w:rPr>
          <w:rFonts w:hint="eastAsia" w:ascii="宋体" w:hAnsi="宋体" w:eastAsia="宋体"/>
          <w:sz w:val="32"/>
          <w:szCs w:val="32"/>
          <w:lang w:val="en-US" w:eastAsia="zh-CN"/>
        </w:rPr>
        <w:t>40.00</w:t>
      </w:r>
      <w:r>
        <w:rPr>
          <w:rFonts w:hint="eastAsia" w:ascii="宋体" w:hAnsi="宋体" w:eastAsia="宋体"/>
          <w:sz w:val="32"/>
          <w:szCs w:val="32"/>
        </w:rPr>
        <w:t>万元，</w:t>
      </w:r>
      <w:r>
        <w:rPr>
          <w:rFonts w:hint="eastAsia" w:asciiTheme="minorEastAsia" w:hAnsiTheme="minorEastAsia" w:eastAsiaTheme="minorEastAsia"/>
          <w:sz w:val="32"/>
          <w:szCs w:val="32"/>
        </w:rPr>
        <w:t>完成年初预算的</w:t>
      </w:r>
      <w:r>
        <w:rPr>
          <w:rFonts w:hint="eastAsia" w:asciiTheme="minorEastAsia" w:hAnsiTheme="minorEastAsia" w:eastAsiaTheme="minorEastAsia"/>
          <w:sz w:val="32"/>
          <w:szCs w:val="32"/>
          <w:lang w:val="en-US" w:eastAsia="zh-CN"/>
        </w:rPr>
        <w:t>100</w:t>
      </w:r>
      <w:r>
        <w:rPr>
          <w:rFonts w:hint="eastAsia" w:asciiTheme="minorEastAsia" w:hAnsiTheme="minorEastAsia" w:eastAsiaTheme="minorEastAsia"/>
          <w:sz w:val="32"/>
          <w:szCs w:val="32"/>
        </w:rPr>
        <w:t>%，决算数</w:t>
      </w:r>
      <w:r>
        <w:rPr>
          <w:rFonts w:hint="eastAsia" w:asciiTheme="minorEastAsia" w:hAnsiTheme="minorEastAsia" w:eastAsiaTheme="minorEastAsia"/>
          <w:sz w:val="32"/>
          <w:szCs w:val="32"/>
          <w:lang w:val="en-US" w:eastAsia="zh-CN"/>
        </w:rPr>
        <w:t>与</w:t>
      </w:r>
      <w:r>
        <w:rPr>
          <w:rFonts w:hint="eastAsia" w:asciiTheme="minorEastAsia" w:hAnsiTheme="minorEastAsia" w:eastAsiaTheme="minorEastAsia"/>
          <w:sz w:val="32"/>
          <w:szCs w:val="32"/>
        </w:rPr>
        <w:t>年初预算数</w:t>
      </w:r>
      <w:r>
        <w:rPr>
          <w:rFonts w:hint="eastAsia" w:asciiTheme="minorEastAsia" w:hAnsiTheme="minorEastAsia" w:eastAsiaTheme="minorEastAsia"/>
          <w:sz w:val="32"/>
          <w:szCs w:val="32"/>
          <w:lang w:val="en-US" w:eastAsia="zh-CN"/>
        </w:rPr>
        <w:t>相等。</w:t>
      </w:r>
    </w:p>
    <w:p>
      <w:pPr>
        <w:pStyle w:val="9"/>
        <w:ind w:left="0" w:leftChars="0" w:firstLine="640" w:firstLineChars="200"/>
        <w:rPr>
          <w:rFonts w:ascii="宋体" w:hAnsi="宋体" w:eastAsia="宋体"/>
          <w:sz w:val="32"/>
          <w:szCs w:val="32"/>
        </w:rPr>
      </w:pPr>
      <w:r>
        <w:rPr>
          <w:rFonts w:hint="eastAsia" w:ascii="宋体" w:hAnsi="宋体" w:eastAsia="宋体"/>
          <w:sz w:val="32"/>
          <w:szCs w:val="32"/>
          <w:lang w:val="en-US" w:eastAsia="zh-CN"/>
        </w:rPr>
        <w:t>5.</w:t>
      </w:r>
      <w:r>
        <w:rPr>
          <w:rFonts w:hint="eastAsia" w:ascii="宋体" w:hAnsi="宋体" w:eastAsia="宋体"/>
          <w:sz w:val="32"/>
          <w:szCs w:val="32"/>
        </w:rPr>
        <w:t>社会保障和就业支出（类）</w:t>
      </w:r>
      <w:r>
        <w:rPr>
          <w:rFonts w:hint="eastAsia" w:ascii="宋体" w:hAnsi="宋体" w:eastAsia="宋体"/>
          <w:sz w:val="32"/>
          <w:szCs w:val="32"/>
          <w:lang w:val="en-US" w:eastAsia="zh-Hans"/>
        </w:rPr>
        <w:t>行政事业单位养老支出</w:t>
      </w:r>
      <w:r>
        <w:rPr>
          <w:rFonts w:hint="eastAsia" w:ascii="宋体" w:hAnsi="宋体" w:eastAsia="宋体"/>
          <w:sz w:val="32"/>
          <w:szCs w:val="32"/>
        </w:rPr>
        <w:t>（款）</w:t>
      </w:r>
      <w:r>
        <w:rPr>
          <w:rFonts w:hint="eastAsia" w:ascii="宋体" w:hAnsi="宋体" w:eastAsia="宋体"/>
          <w:sz w:val="32"/>
          <w:szCs w:val="32"/>
          <w:lang w:val="en-US" w:eastAsia="zh-Hans"/>
        </w:rPr>
        <w:t>机关事业单位基本养老保险缴费支出</w:t>
      </w:r>
      <w:r>
        <w:rPr>
          <w:rFonts w:hint="eastAsia" w:ascii="宋体" w:hAnsi="宋体" w:eastAsia="宋体"/>
          <w:sz w:val="32"/>
          <w:szCs w:val="32"/>
        </w:rPr>
        <w:t>（项）。</w:t>
      </w:r>
    </w:p>
    <w:p>
      <w:pPr>
        <w:pStyle w:val="9"/>
        <w:ind w:left="0" w:leftChars="0" w:firstLine="640" w:firstLineChars="200"/>
        <w:rPr>
          <w:rFonts w:hint="default" w:ascii="宋体" w:hAnsi="宋体" w:eastAsia="宋体"/>
          <w:sz w:val="32"/>
          <w:szCs w:val="32"/>
          <w:lang w:eastAsia="zh-Hans"/>
        </w:rPr>
      </w:pPr>
      <w:r>
        <w:rPr>
          <w:rFonts w:hint="eastAsia" w:ascii="宋体" w:hAnsi="宋体" w:eastAsia="宋体"/>
          <w:sz w:val="32"/>
          <w:szCs w:val="32"/>
        </w:rPr>
        <w:t>年初预算为</w:t>
      </w:r>
      <w:r>
        <w:rPr>
          <w:rFonts w:hint="eastAsia" w:ascii="宋体" w:hAnsi="宋体" w:eastAsia="宋体"/>
          <w:sz w:val="32"/>
          <w:szCs w:val="32"/>
          <w:lang w:val="en-US" w:eastAsia="zh-CN"/>
        </w:rPr>
        <w:t>67.76</w:t>
      </w:r>
      <w:r>
        <w:rPr>
          <w:rFonts w:hint="eastAsia" w:ascii="宋体" w:hAnsi="宋体" w:eastAsia="宋体"/>
          <w:sz w:val="32"/>
          <w:szCs w:val="32"/>
        </w:rPr>
        <w:t>万元，支出决算为</w:t>
      </w:r>
      <w:r>
        <w:rPr>
          <w:rFonts w:hint="eastAsia" w:ascii="宋体" w:hAnsi="宋体" w:eastAsia="宋体"/>
          <w:sz w:val="32"/>
          <w:szCs w:val="32"/>
          <w:lang w:val="en-US" w:eastAsia="zh-CN"/>
        </w:rPr>
        <w:t>65.60</w:t>
      </w:r>
      <w:r>
        <w:rPr>
          <w:rFonts w:hint="eastAsia" w:ascii="宋体" w:hAnsi="宋体" w:eastAsia="宋体"/>
          <w:sz w:val="32"/>
          <w:szCs w:val="32"/>
        </w:rPr>
        <w:t>万元，完成年初预算的</w:t>
      </w:r>
      <w:r>
        <w:rPr>
          <w:rFonts w:hint="eastAsia" w:ascii="宋体" w:hAnsi="宋体" w:eastAsia="宋体"/>
          <w:sz w:val="32"/>
          <w:szCs w:val="32"/>
          <w:lang w:val="en-US" w:eastAsia="zh-CN"/>
        </w:rPr>
        <w:t>96.82</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CN"/>
        </w:rPr>
        <w:t>基本</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ind w:left="0" w:leftChars="0" w:firstLine="640" w:firstLineChars="200"/>
        <w:rPr>
          <w:rFonts w:ascii="宋体" w:hAnsi="宋体" w:eastAsia="宋体"/>
          <w:sz w:val="32"/>
          <w:szCs w:val="32"/>
        </w:rPr>
      </w:pPr>
      <w:r>
        <w:rPr>
          <w:rFonts w:hint="eastAsia" w:ascii="宋体" w:hAnsi="宋体" w:eastAsia="宋体"/>
          <w:sz w:val="32"/>
          <w:szCs w:val="32"/>
          <w:lang w:val="en-US" w:eastAsia="zh-CN"/>
        </w:rPr>
        <w:t>6.</w:t>
      </w:r>
      <w:r>
        <w:rPr>
          <w:rFonts w:hint="eastAsia" w:ascii="宋体" w:hAnsi="宋体" w:eastAsia="宋体"/>
          <w:sz w:val="32"/>
          <w:szCs w:val="32"/>
        </w:rPr>
        <w:t>社会保障和就业支出（类）</w:t>
      </w:r>
      <w:r>
        <w:rPr>
          <w:rFonts w:hint="eastAsia" w:ascii="宋体" w:hAnsi="宋体" w:eastAsia="宋体"/>
          <w:sz w:val="32"/>
          <w:szCs w:val="32"/>
          <w:lang w:val="en-US" w:eastAsia="zh-CN"/>
        </w:rPr>
        <w:t>抚恤</w:t>
      </w:r>
      <w:r>
        <w:rPr>
          <w:rFonts w:hint="eastAsia" w:ascii="宋体" w:hAnsi="宋体" w:eastAsia="宋体"/>
          <w:sz w:val="32"/>
          <w:szCs w:val="32"/>
        </w:rPr>
        <w:t>（款）</w:t>
      </w:r>
      <w:r>
        <w:rPr>
          <w:rFonts w:hint="eastAsia" w:ascii="宋体" w:hAnsi="宋体" w:eastAsia="宋体"/>
          <w:sz w:val="32"/>
          <w:szCs w:val="32"/>
          <w:lang w:val="en-US" w:eastAsia="zh-CN"/>
        </w:rPr>
        <w:t>死亡抚恤</w:t>
      </w:r>
      <w:r>
        <w:rPr>
          <w:rFonts w:hint="eastAsia" w:ascii="宋体" w:hAnsi="宋体" w:eastAsia="宋体"/>
          <w:sz w:val="32"/>
          <w:szCs w:val="32"/>
        </w:rPr>
        <w:t>（项）。</w:t>
      </w:r>
    </w:p>
    <w:p>
      <w:pPr>
        <w:pStyle w:val="9"/>
        <w:ind w:left="0" w:leftChars="0" w:firstLine="640" w:firstLineChars="200"/>
        <w:rPr>
          <w:rFonts w:hint="default" w:ascii="宋体" w:hAnsi="宋体" w:eastAsia="宋体"/>
          <w:sz w:val="32"/>
          <w:szCs w:val="32"/>
          <w:lang w:val="en-US" w:eastAsia="zh-CN"/>
        </w:rPr>
      </w:pPr>
      <w:r>
        <w:rPr>
          <w:rFonts w:hint="eastAsia" w:ascii="宋体" w:hAnsi="宋体" w:eastAsia="宋体"/>
          <w:sz w:val="32"/>
          <w:szCs w:val="32"/>
        </w:rPr>
        <w:t>年初预算为</w:t>
      </w:r>
      <w:r>
        <w:rPr>
          <w:rFonts w:hint="eastAsia" w:ascii="宋体" w:hAnsi="宋体" w:eastAsia="宋体"/>
          <w:sz w:val="32"/>
          <w:szCs w:val="32"/>
          <w:lang w:val="en-US" w:eastAsia="zh-CN"/>
        </w:rPr>
        <w:t>36.68</w:t>
      </w:r>
      <w:r>
        <w:rPr>
          <w:rFonts w:hint="eastAsia" w:ascii="宋体" w:hAnsi="宋体" w:eastAsia="宋体"/>
          <w:sz w:val="32"/>
          <w:szCs w:val="32"/>
        </w:rPr>
        <w:t>万元，支出决算为</w:t>
      </w:r>
      <w:r>
        <w:rPr>
          <w:rFonts w:hint="eastAsia" w:ascii="宋体" w:hAnsi="宋体" w:eastAsia="宋体"/>
          <w:sz w:val="32"/>
          <w:szCs w:val="32"/>
          <w:lang w:val="en-US" w:eastAsia="zh-CN"/>
        </w:rPr>
        <w:t>36.68</w:t>
      </w:r>
      <w:r>
        <w:rPr>
          <w:rFonts w:hint="eastAsia" w:ascii="宋体" w:hAnsi="宋体" w:eastAsia="宋体"/>
          <w:sz w:val="32"/>
          <w:szCs w:val="32"/>
        </w:rPr>
        <w:t>万元，完成年初预算的</w:t>
      </w:r>
      <w:r>
        <w:rPr>
          <w:rFonts w:hint="eastAsia" w:ascii="宋体" w:hAnsi="宋体" w:eastAsia="宋体"/>
          <w:sz w:val="32"/>
          <w:szCs w:val="32"/>
          <w:lang w:val="en-US" w:eastAsia="zh-CN"/>
        </w:rPr>
        <w:t>100</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ind w:left="0" w:leftChars="0" w:firstLine="640" w:firstLineChars="200"/>
        <w:rPr>
          <w:rFonts w:ascii="宋体" w:hAnsi="宋体" w:eastAsia="宋体"/>
          <w:sz w:val="32"/>
          <w:szCs w:val="32"/>
        </w:rPr>
      </w:pPr>
      <w:r>
        <w:rPr>
          <w:rFonts w:hint="eastAsia" w:ascii="宋体" w:hAnsi="宋体" w:eastAsia="宋体"/>
          <w:sz w:val="32"/>
          <w:szCs w:val="32"/>
          <w:lang w:val="en-US" w:eastAsia="zh-CN"/>
        </w:rPr>
        <w:t>7.</w:t>
      </w:r>
      <w:r>
        <w:rPr>
          <w:rFonts w:hint="eastAsia" w:ascii="宋体" w:hAnsi="宋体" w:eastAsia="宋体"/>
          <w:sz w:val="32"/>
          <w:szCs w:val="32"/>
        </w:rPr>
        <w:t>社会保障和就业支出（类）</w:t>
      </w:r>
      <w:r>
        <w:rPr>
          <w:rFonts w:hint="eastAsia" w:ascii="宋体" w:hAnsi="宋体" w:eastAsia="宋体"/>
          <w:sz w:val="32"/>
          <w:szCs w:val="32"/>
          <w:lang w:val="en-US" w:eastAsia="zh-CN"/>
        </w:rPr>
        <w:t>其他社会保障和就业支出</w:t>
      </w:r>
      <w:r>
        <w:rPr>
          <w:rFonts w:hint="eastAsia" w:ascii="宋体" w:hAnsi="宋体" w:eastAsia="宋体"/>
          <w:sz w:val="32"/>
          <w:szCs w:val="32"/>
        </w:rPr>
        <w:t>（款）</w:t>
      </w:r>
      <w:r>
        <w:rPr>
          <w:rFonts w:hint="eastAsia" w:ascii="宋体" w:hAnsi="宋体" w:eastAsia="宋体"/>
          <w:sz w:val="32"/>
          <w:szCs w:val="32"/>
          <w:lang w:val="en-US" w:eastAsia="zh-CN"/>
        </w:rPr>
        <w:t>其他社会保障和就业支出</w:t>
      </w:r>
      <w:r>
        <w:rPr>
          <w:rFonts w:hint="eastAsia" w:ascii="宋体" w:hAnsi="宋体" w:eastAsia="宋体"/>
          <w:sz w:val="32"/>
          <w:szCs w:val="32"/>
        </w:rPr>
        <w:t>（项）。</w:t>
      </w:r>
    </w:p>
    <w:p>
      <w:pPr>
        <w:pStyle w:val="9"/>
        <w:ind w:left="0" w:leftChars="0" w:firstLine="640" w:firstLineChars="200"/>
        <w:rPr>
          <w:rFonts w:hint="default" w:ascii="宋体" w:hAnsi="宋体" w:eastAsia="宋体"/>
          <w:sz w:val="32"/>
          <w:szCs w:val="32"/>
          <w:highlight w:val="none"/>
          <w:lang w:eastAsia="zh-Hans"/>
        </w:rPr>
      </w:pPr>
      <w:r>
        <w:rPr>
          <w:rFonts w:hint="eastAsia" w:ascii="宋体" w:hAnsi="宋体" w:eastAsia="宋体"/>
          <w:sz w:val="32"/>
          <w:szCs w:val="32"/>
        </w:rPr>
        <w:t>年初预算为</w:t>
      </w:r>
      <w:r>
        <w:rPr>
          <w:rFonts w:hint="eastAsia" w:ascii="宋体" w:hAnsi="宋体" w:eastAsia="宋体"/>
          <w:sz w:val="32"/>
          <w:szCs w:val="32"/>
          <w:lang w:val="en-US" w:eastAsia="zh-CN"/>
        </w:rPr>
        <w:t>4.56</w:t>
      </w:r>
      <w:r>
        <w:rPr>
          <w:rFonts w:hint="eastAsia" w:ascii="宋体" w:hAnsi="宋体" w:eastAsia="宋体"/>
          <w:sz w:val="32"/>
          <w:szCs w:val="32"/>
        </w:rPr>
        <w:t>万元，支出决算为</w:t>
      </w:r>
      <w:r>
        <w:rPr>
          <w:rFonts w:hint="eastAsia" w:ascii="宋体" w:hAnsi="宋体" w:eastAsia="宋体"/>
          <w:sz w:val="32"/>
          <w:szCs w:val="32"/>
          <w:lang w:val="en-US" w:eastAsia="zh-CN"/>
        </w:rPr>
        <w:t>4.56</w:t>
      </w:r>
      <w:r>
        <w:rPr>
          <w:rFonts w:hint="eastAsia" w:ascii="宋体" w:hAnsi="宋体" w:eastAsia="宋体"/>
          <w:sz w:val="32"/>
          <w:szCs w:val="32"/>
          <w:highlight w:val="none"/>
        </w:rPr>
        <w:t>万元</w:t>
      </w:r>
      <w:r>
        <w:rPr>
          <w:rFonts w:hint="eastAsia" w:ascii="宋体" w:hAnsi="宋体" w:eastAsia="宋体"/>
          <w:sz w:val="32"/>
          <w:szCs w:val="32"/>
        </w:rPr>
        <w:t>，完成年初预算的</w:t>
      </w:r>
      <w:r>
        <w:rPr>
          <w:rFonts w:hint="eastAsia" w:ascii="宋体" w:hAnsi="宋体" w:eastAsia="宋体"/>
          <w:sz w:val="32"/>
          <w:szCs w:val="32"/>
          <w:lang w:val="en-US" w:eastAsia="zh-CN"/>
        </w:rPr>
        <w:t>100</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ind w:left="0" w:leftChars="0" w:firstLine="640" w:firstLineChars="200"/>
        <w:rPr>
          <w:rFonts w:ascii="宋体" w:hAnsi="宋体" w:eastAsia="宋体"/>
          <w:sz w:val="32"/>
          <w:szCs w:val="32"/>
        </w:rPr>
      </w:pPr>
      <w:r>
        <w:rPr>
          <w:rFonts w:hint="eastAsia" w:ascii="宋体" w:hAnsi="宋体" w:eastAsia="宋体"/>
          <w:sz w:val="32"/>
          <w:szCs w:val="32"/>
          <w:lang w:val="en-US" w:eastAsia="zh-CN"/>
        </w:rPr>
        <w:t>8.</w:t>
      </w:r>
      <w:r>
        <w:rPr>
          <w:rFonts w:hint="eastAsia" w:ascii="宋体" w:hAnsi="宋体" w:eastAsia="宋体"/>
          <w:sz w:val="32"/>
          <w:szCs w:val="32"/>
        </w:rPr>
        <w:t>卫生健康支出（类）</w:t>
      </w:r>
      <w:r>
        <w:rPr>
          <w:rFonts w:hint="eastAsia" w:ascii="宋体" w:hAnsi="宋体" w:eastAsia="宋体"/>
          <w:sz w:val="32"/>
          <w:szCs w:val="32"/>
          <w:lang w:val="en-US" w:eastAsia="zh-Hans"/>
        </w:rPr>
        <w:t>行政事业单位医疗</w:t>
      </w:r>
      <w:r>
        <w:rPr>
          <w:rFonts w:hint="eastAsia" w:ascii="宋体" w:hAnsi="宋体" w:eastAsia="宋体"/>
          <w:sz w:val="32"/>
          <w:szCs w:val="32"/>
        </w:rPr>
        <w:t>（款）</w:t>
      </w:r>
      <w:r>
        <w:rPr>
          <w:rFonts w:hint="eastAsia" w:ascii="宋体" w:hAnsi="宋体" w:eastAsia="宋体"/>
          <w:sz w:val="32"/>
          <w:szCs w:val="32"/>
          <w:lang w:val="en-US" w:eastAsia="zh-Hans"/>
        </w:rPr>
        <w:t>事业单位医疗</w:t>
      </w:r>
      <w:r>
        <w:rPr>
          <w:rFonts w:hint="eastAsia" w:ascii="宋体" w:hAnsi="宋体" w:eastAsia="宋体"/>
          <w:sz w:val="32"/>
          <w:szCs w:val="32"/>
        </w:rPr>
        <w:t>（项）。</w:t>
      </w:r>
    </w:p>
    <w:p>
      <w:pPr>
        <w:pStyle w:val="9"/>
        <w:ind w:left="0" w:leftChars="0" w:firstLine="640" w:firstLineChars="200"/>
        <w:rPr>
          <w:rFonts w:hint="default" w:ascii="宋体" w:hAnsi="宋体" w:eastAsia="宋体"/>
          <w:sz w:val="32"/>
          <w:szCs w:val="32"/>
          <w:lang w:eastAsia="zh-Hans"/>
        </w:rPr>
      </w:pPr>
      <w:r>
        <w:rPr>
          <w:rFonts w:hint="eastAsia" w:ascii="宋体" w:hAnsi="宋体" w:eastAsia="宋体"/>
          <w:sz w:val="32"/>
          <w:szCs w:val="32"/>
        </w:rPr>
        <w:t>年初预算为</w:t>
      </w:r>
      <w:r>
        <w:rPr>
          <w:rFonts w:hint="eastAsia" w:ascii="宋体" w:hAnsi="宋体" w:eastAsia="宋体"/>
          <w:sz w:val="32"/>
          <w:szCs w:val="32"/>
          <w:lang w:val="en-US" w:eastAsia="zh-CN"/>
        </w:rPr>
        <w:t>4.60</w:t>
      </w:r>
      <w:r>
        <w:rPr>
          <w:rFonts w:hint="eastAsia" w:ascii="宋体" w:hAnsi="宋体" w:eastAsia="宋体"/>
          <w:sz w:val="32"/>
          <w:szCs w:val="32"/>
        </w:rPr>
        <w:t>万元，支出决算为</w:t>
      </w:r>
      <w:r>
        <w:rPr>
          <w:rFonts w:hint="eastAsia" w:ascii="宋体" w:hAnsi="宋体" w:eastAsia="宋体"/>
          <w:sz w:val="32"/>
          <w:szCs w:val="32"/>
          <w:lang w:val="en-US" w:eastAsia="zh-CN"/>
        </w:rPr>
        <w:t>4.60</w:t>
      </w:r>
      <w:r>
        <w:rPr>
          <w:rFonts w:hint="eastAsia" w:ascii="宋体" w:hAnsi="宋体" w:eastAsia="宋体"/>
          <w:sz w:val="32"/>
          <w:szCs w:val="32"/>
        </w:rPr>
        <w:t>万元，完成年初预算的</w:t>
      </w:r>
      <w:r>
        <w:rPr>
          <w:rFonts w:hint="eastAsia" w:ascii="宋体" w:hAnsi="宋体" w:eastAsia="宋体"/>
          <w:sz w:val="32"/>
          <w:szCs w:val="32"/>
          <w:lang w:val="en-US" w:eastAsia="zh-CN"/>
        </w:rPr>
        <w:t>100</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numPr>
          <w:ilvl w:val="0"/>
          <w:numId w:val="0"/>
        </w:numPr>
        <w:ind w:left="0" w:leftChars="0" w:firstLine="640" w:firstLineChars="200"/>
        <w:rPr>
          <w:rFonts w:hint="eastAsia" w:ascii="宋体" w:hAnsi="宋体" w:eastAsia="宋体"/>
          <w:sz w:val="32"/>
          <w:szCs w:val="32"/>
          <w:lang w:val="en-US" w:eastAsia="zh-CN"/>
        </w:rPr>
      </w:pPr>
      <w:r>
        <w:rPr>
          <w:rFonts w:hint="eastAsia" w:ascii="宋体" w:hAnsi="宋体" w:eastAsia="宋体"/>
          <w:sz w:val="32"/>
          <w:szCs w:val="32"/>
          <w:lang w:val="en-US" w:eastAsia="zh-CN"/>
        </w:rPr>
        <w:t>9.</w:t>
      </w:r>
      <w:r>
        <w:rPr>
          <w:rFonts w:hint="eastAsia" w:ascii="宋体" w:hAnsi="宋体" w:eastAsia="宋体"/>
          <w:sz w:val="32"/>
          <w:szCs w:val="32"/>
        </w:rPr>
        <w:t>卫生健康支出（类）</w:t>
      </w:r>
      <w:r>
        <w:rPr>
          <w:rFonts w:hint="eastAsia" w:ascii="宋体" w:hAnsi="宋体" w:eastAsia="宋体"/>
          <w:sz w:val="32"/>
          <w:szCs w:val="32"/>
          <w:lang w:val="en-US" w:eastAsia="zh-CN"/>
        </w:rPr>
        <w:t>其他卫生健康支出（款）其他卫生健康支出（项）</w:t>
      </w:r>
    </w:p>
    <w:p>
      <w:pPr>
        <w:pStyle w:val="9"/>
        <w:ind w:left="0" w:leftChars="0" w:firstLine="640" w:firstLineChars="200"/>
        <w:rPr>
          <w:rFonts w:hint="default" w:ascii="宋体" w:hAnsi="宋体" w:eastAsia="宋体"/>
          <w:sz w:val="32"/>
          <w:szCs w:val="32"/>
          <w:lang w:eastAsia="zh-Hans"/>
        </w:rPr>
      </w:pPr>
      <w:r>
        <w:rPr>
          <w:rFonts w:hint="eastAsia" w:ascii="宋体" w:hAnsi="宋体" w:eastAsia="宋体"/>
          <w:sz w:val="32"/>
          <w:szCs w:val="32"/>
        </w:rPr>
        <w:t>年初预算为</w:t>
      </w:r>
      <w:r>
        <w:rPr>
          <w:rFonts w:hint="eastAsia" w:ascii="宋体" w:hAnsi="宋体" w:eastAsia="宋体"/>
          <w:sz w:val="32"/>
          <w:szCs w:val="32"/>
          <w:lang w:val="en-US" w:eastAsia="zh-CN"/>
        </w:rPr>
        <w:t>1.20</w:t>
      </w:r>
      <w:r>
        <w:rPr>
          <w:rFonts w:hint="eastAsia" w:ascii="宋体" w:hAnsi="宋体" w:eastAsia="宋体"/>
          <w:sz w:val="32"/>
          <w:szCs w:val="32"/>
        </w:rPr>
        <w:t>万元，支出决算为</w:t>
      </w:r>
      <w:r>
        <w:rPr>
          <w:rFonts w:hint="eastAsia" w:ascii="宋体" w:hAnsi="宋体" w:eastAsia="宋体"/>
          <w:sz w:val="32"/>
          <w:szCs w:val="32"/>
          <w:lang w:val="en-US" w:eastAsia="zh-CN"/>
        </w:rPr>
        <w:t>1.20</w:t>
      </w:r>
      <w:r>
        <w:rPr>
          <w:rFonts w:hint="eastAsia" w:ascii="宋体" w:hAnsi="宋体" w:eastAsia="宋体"/>
          <w:sz w:val="32"/>
          <w:szCs w:val="32"/>
        </w:rPr>
        <w:t>万元，完成年初预算的</w:t>
      </w:r>
      <w:r>
        <w:rPr>
          <w:rFonts w:hint="eastAsia" w:ascii="宋体" w:hAnsi="宋体" w:eastAsia="宋体"/>
          <w:sz w:val="32"/>
          <w:szCs w:val="32"/>
          <w:lang w:val="en-US" w:eastAsia="zh-CN"/>
        </w:rPr>
        <w:t>100</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ind w:left="0" w:leftChars="0" w:firstLine="640" w:firstLineChars="200"/>
        <w:rPr>
          <w:rFonts w:ascii="宋体" w:hAnsi="宋体" w:eastAsia="宋体"/>
          <w:sz w:val="32"/>
          <w:szCs w:val="32"/>
        </w:rPr>
      </w:pPr>
      <w:r>
        <w:rPr>
          <w:rFonts w:hint="eastAsia" w:ascii="宋体" w:hAnsi="宋体" w:eastAsia="宋体"/>
          <w:sz w:val="32"/>
          <w:szCs w:val="32"/>
          <w:lang w:val="en-US" w:eastAsia="zh-CN"/>
        </w:rPr>
        <w:t>10.</w:t>
      </w:r>
      <w:r>
        <w:rPr>
          <w:rFonts w:hint="eastAsia" w:ascii="宋体" w:hAnsi="宋体" w:eastAsia="宋体"/>
          <w:sz w:val="32"/>
          <w:szCs w:val="32"/>
        </w:rPr>
        <w:t>住房保障支出（类）</w:t>
      </w:r>
      <w:r>
        <w:rPr>
          <w:rFonts w:hint="eastAsia" w:ascii="宋体" w:hAnsi="宋体" w:eastAsia="宋体"/>
          <w:sz w:val="32"/>
          <w:szCs w:val="32"/>
          <w:lang w:val="en-US" w:eastAsia="zh-Hans"/>
        </w:rPr>
        <w:t>住房改革支出</w:t>
      </w:r>
      <w:r>
        <w:rPr>
          <w:rFonts w:hint="eastAsia" w:ascii="宋体" w:hAnsi="宋体" w:eastAsia="宋体"/>
          <w:sz w:val="32"/>
          <w:szCs w:val="32"/>
        </w:rPr>
        <w:t>（款）</w:t>
      </w:r>
      <w:r>
        <w:rPr>
          <w:rFonts w:hint="eastAsia" w:ascii="宋体" w:hAnsi="宋体" w:eastAsia="宋体"/>
          <w:sz w:val="32"/>
          <w:szCs w:val="32"/>
          <w:lang w:val="en-US" w:eastAsia="zh-Hans"/>
        </w:rPr>
        <w:t>住房公积金</w:t>
      </w:r>
      <w:r>
        <w:rPr>
          <w:rFonts w:hint="eastAsia" w:ascii="宋体" w:hAnsi="宋体" w:eastAsia="宋体"/>
          <w:sz w:val="32"/>
          <w:szCs w:val="32"/>
        </w:rPr>
        <w:t>（项）。</w:t>
      </w:r>
    </w:p>
    <w:p>
      <w:pPr>
        <w:pStyle w:val="9"/>
        <w:ind w:left="0" w:leftChars="0" w:firstLine="640" w:firstLineChars="200"/>
        <w:rPr>
          <w:rFonts w:hint="eastAsia" w:ascii="宋体" w:hAnsi="宋体" w:eastAsia="宋体"/>
          <w:sz w:val="32"/>
          <w:szCs w:val="32"/>
          <w:lang w:eastAsia="zh-Hans"/>
        </w:rPr>
      </w:pPr>
      <w:r>
        <w:rPr>
          <w:rFonts w:hint="eastAsia" w:ascii="宋体" w:hAnsi="宋体" w:eastAsia="宋体"/>
          <w:sz w:val="32"/>
          <w:szCs w:val="32"/>
        </w:rPr>
        <w:t>年初预算为</w:t>
      </w:r>
      <w:r>
        <w:rPr>
          <w:rFonts w:hint="eastAsia" w:ascii="宋体" w:hAnsi="宋体" w:eastAsia="宋体"/>
          <w:sz w:val="32"/>
          <w:szCs w:val="32"/>
          <w:lang w:val="en-US" w:eastAsia="zh-CN"/>
        </w:rPr>
        <w:t>60.00</w:t>
      </w:r>
      <w:r>
        <w:rPr>
          <w:rFonts w:hint="eastAsia" w:ascii="宋体" w:hAnsi="宋体" w:eastAsia="宋体"/>
          <w:sz w:val="32"/>
          <w:szCs w:val="32"/>
        </w:rPr>
        <w:t>万元，支出决算为</w:t>
      </w:r>
      <w:r>
        <w:rPr>
          <w:rFonts w:hint="eastAsia" w:ascii="宋体" w:hAnsi="宋体" w:eastAsia="宋体"/>
          <w:sz w:val="32"/>
          <w:szCs w:val="32"/>
          <w:lang w:val="en-US" w:eastAsia="zh-CN"/>
        </w:rPr>
        <w:t>60.00</w:t>
      </w:r>
      <w:r>
        <w:rPr>
          <w:rFonts w:hint="eastAsia" w:ascii="宋体" w:hAnsi="宋体" w:eastAsia="宋体"/>
          <w:sz w:val="32"/>
          <w:szCs w:val="32"/>
        </w:rPr>
        <w:t>万元，完成年初预算的</w:t>
      </w:r>
      <w:r>
        <w:rPr>
          <w:rFonts w:hint="eastAsia" w:ascii="宋体" w:hAnsi="宋体" w:eastAsia="宋体"/>
          <w:sz w:val="32"/>
          <w:szCs w:val="32"/>
          <w:lang w:val="en-US" w:eastAsia="zh-CN"/>
        </w:rPr>
        <w:t>100</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ind w:left="0" w:leftChars="0" w:firstLine="640" w:firstLineChars="200"/>
        <w:rPr>
          <w:rFonts w:ascii="宋体" w:hAnsi="宋体" w:eastAsia="宋体"/>
          <w:sz w:val="32"/>
          <w:szCs w:val="32"/>
        </w:rPr>
      </w:pPr>
      <w:r>
        <w:rPr>
          <w:rFonts w:hint="eastAsia" w:ascii="宋体" w:hAnsi="宋体" w:eastAsia="宋体"/>
          <w:sz w:val="32"/>
          <w:szCs w:val="32"/>
          <w:lang w:val="en-US" w:eastAsia="zh-CN"/>
        </w:rPr>
        <w:t>11.</w:t>
      </w:r>
      <w:r>
        <w:rPr>
          <w:rFonts w:hint="eastAsia" w:ascii="宋体" w:hAnsi="宋体" w:eastAsia="宋体"/>
          <w:sz w:val="32"/>
          <w:szCs w:val="32"/>
        </w:rPr>
        <w:t>住房保障支出（类）</w:t>
      </w:r>
      <w:r>
        <w:rPr>
          <w:rFonts w:hint="eastAsia" w:ascii="宋体" w:hAnsi="宋体" w:eastAsia="宋体"/>
          <w:sz w:val="32"/>
          <w:szCs w:val="32"/>
          <w:lang w:val="en-US" w:eastAsia="zh-Hans"/>
        </w:rPr>
        <w:t>住房改革支出</w:t>
      </w:r>
      <w:r>
        <w:rPr>
          <w:rFonts w:hint="eastAsia" w:ascii="宋体" w:hAnsi="宋体" w:eastAsia="宋体"/>
          <w:sz w:val="32"/>
          <w:szCs w:val="32"/>
        </w:rPr>
        <w:t>（款）</w:t>
      </w:r>
      <w:r>
        <w:rPr>
          <w:rFonts w:hint="eastAsia" w:ascii="宋体" w:hAnsi="宋体" w:eastAsia="宋体"/>
          <w:sz w:val="32"/>
          <w:szCs w:val="32"/>
          <w:lang w:val="en-US" w:eastAsia="zh-Hans"/>
        </w:rPr>
        <w:t>购房补贴</w:t>
      </w:r>
      <w:r>
        <w:rPr>
          <w:rFonts w:hint="eastAsia" w:ascii="宋体" w:hAnsi="宋体" w:eastAsia="宋体"/>
          <w:sz w:val="32"/>
          <w:szCs w:val="32"/>
        </w:rPr>
        <w:t>（项）。</w:t>
      </w:r>
    </w:p>
    <w:p>
      <w:pPr>
        <w:pStyle w:val="9"/>
        <w:ind w:left="0" w:leftChars="0" w:firstLine="640" w:firstLineChars="200"/>
        <w:rPr>
          <w:rFonts w:hint="eastAsia" w:ascii="宋体" w:hAnsi="宋体" w:eastAsia="宋体"/>
          <w:sz w:val="32"/>
          <w:szCs w:val="32"/>
          <w:lang w:eastAsia="zh-Hans"/>
        </w:rPr>
      </w:pPr>
      <w:r>
        <w:rPr>
          <w:rFonts w:hint="eastAsia" w:ascii="宋体" w:hAnsi="宋体" w:eastAsia="宋体"/>
          <w:sz w:val="32"/>
          <w:szCs w:val="32"/>
        </w:rPr>
        <w:t>年初预算为</w:t>
      </w:r>
      <w:r>
        <w:rPr>
          <w:rFonts w:hint="eastAsia" w:ascii="宋体" w:hAnsi="宋体" w:eastAsia="宋体"/>
          <w:sz w:val="32"/>
          <w:szCs w:val="32"/>
          <w:lang w:val="en-US" w:eastAsia="zh-CN"/>
        </w:rPr>
        <w:t>13.00</w:t>
      </w:r>
      <w:r>
        <w:rPr>
          <w:rFonts w:hint="eastAsia" w:ascii="宋体" w:hAnsi="宋体" w:eastAsia="宋体"/>
          <w:sz w:val="32"/>
          <w:szCs w:val="32"/>
        </w:rPr>
        <w:t>万元，支出决算为</w:t>
      </w:r>
      <w:r>
        <w:rPr>
          <w:rFonts w:hint="eastAsia" w:ascii="宋体" w:hAnsi="宋体" w:eastAsia="宋体"/>
          <w:sz w:val="32"/>
          <w:szCs w:val="32"/>
          <w:lang w:val="en-US" w:eastAsia="zh-CN"/>
        </w:rPr>
        <w:t>13.00</w:t>
      </w:r>
      <w:r>
        <w:rPr>
          <w:rFonts w:hint="eastAsia" w:ascii="宋体" w:hAnsi="宋体" w:eastAsia="宋体"/>
          <w:sz w:val="32"/>
          <w:szCs w:val="32"/>
        </w:rPr>
        <w:t>万元，完成年初预算的</w:t>
      </w:r>
      <w:r>
        <w:rPr>
          <w:rFonts w:hint="eastAsia" w:ascii="宋体" w:hAnsi="宋体" w:eastAsia="宋体"/>
          <w:sz w:val="32"/>
          <w:szCs w:val="32"/>
          <w:lang w:val="en-US" w:eastAsia="zh-CN"/>
        </w:rPr>
        <w:t>100</w:t>
      </w:r>
      <w:r>
        <w:rPr>
          <w:rFonts w:hint="eastAsia" w:ascii="宋体" w:hAnsi="宋体" w:eastAsia="宋体"/>
          <w:sz w:val="32"/>
          <w:szCs w:val="32"/>
        </w:rPr>
        <w:t>%，决算数</w:t>
      </w:r>
      <w:r>
        <w:rPr>
          <w:rFonts w:hint="eastAsia" w:ascii="宋体" w:hAnsi="宋体" w:eastAsia="宋体"/>
          <w:sz w:val="32"/>
          <w:szCs w:val="32"/>
          <w:lang w:val="en-US" w:eastAsia="zh-Hans"/>
        </w:rPr>
        <w:t>与</w:t>
      </w:r>
      <w:r>
        <w:rPr>
          <w:rFonts w:hint="eastAsia" w:ascii="宋体" w:hAnsi="宋体" w:eastAsia="宋体"/>
          <w:sz w:val="32"/>
          <w:szCs w:val="32"/>
        </w:rPr>
        <w:t>预算数</w:t>
      </w:r>
      <w:r>
        <w:rPr>
          <w:rFonts w:hint="eastAsia" w:ascii="宋体" w:hAnsi="宋体" w:eastAsia="宋体"/>
          <w:sz w:val="32"/>
          <w:szCs w:val="32"/>
          <w:lang w:val="en-US" w:eastAsia="zh-Hans"/>
        </w:rPr>
        <w:t>持平</w:t>
      </w:r>
      <w:r>
        <w:rPr>
          <w:rFonts w:hint="default" w:ascii="宋体" w:hAnsi="宋体" w:eastAsia="宋体"/>
          <w:sz w:val="32"/>
          <w:szCs w:val="32"/>
          <w:lang w:eastAsia="zh-Hans"/>
        </w:rPr>
        <w:t>。</w:t>
      </w:r>
    </w:p>
    <w:p>
      <w:pPr>
        <w:pStyle w:val="9"/>
        <w:rPr>
          <w:rFonts w:hAnsi="黑体"/>
          <w:b/>
          <w:sz w:val="32"/>
          <w:szCs w:val="32"/>
        </w:rPr>
      </w:pPr>
      <w:r>
        <w:rPr>
          <w:rFonts w:hint="eastAsia" w:hAnsi="黑体"/>
          <w:b/>
          <w:sz w:val="32"/>
          <w:szCs w:val="32"/>
        </w:rPr>
        <w:t>六、一般公共预算财政拨款基本支出决算情况说明</w:t>
      </w:r>
    </w:p>
    <w:p>
      <w:pPr>
        <w:pStyle w:val="9"/>
        <w:ind w:left="0" w:leftChars="0" w:firstLine="678" w:firstLineChars="212"/>
        <w:rPr>
          <w:rFonts w:asciiTheme="minorEastAsia" w:hAnsiTheme="minorEastAsia" w:eastAsiaTheme="minorEastAsia"/>
          <w:i/>
          <w:color w:val="FF0000"/>
          <w:sz w:val="32"/>
          <w:szCs w:val="32"/>
        </w:rPr>
      </w:pPr>
      <w:r>
        <w:rPr>
          <w:rFonts w:hint="eastAsia" w:asciiTheme="minorEastAsia" w:hAnsiTheme="minorEastAsia" w:eastAsiaTheme="minorEastAsia"/>
          <w:sz w:val="32"/>
          <w:szCs w:val="32"/>
        </w:rPr>
        <w:t>2021年度财政拨款基本支出</w:t>
      </w:r>
      <w:r>
        <w:rPr>
          <w:rFonts w:hint="eastAsia" w:asciiTheme="minorEastAsia" w:hAnsiTheme="minorEastAsia" w:eastAsiaTheme="minorEastAsia"/>
          <w:sz w:val="32"/>
          <w:szCs w:val="32"/>
          <w:lang w:val="en-US" w:eastAsia="zh-CN"/>
        </w:rPr>
        <w:t>771.02</w:t>
      </w:r>
      <w:r>
        <w:rPr>
          <w:rFonts w:hint="eastAsia" w:asciiTheme="minorEastAsia" w:hAnsiTheme="minorEastAsia" w:eastAsiaTheme="minorEastAsia"/>
          <w:sz w:val="32"/>
          <w:szCs w:val="32"/>
        </w:rPr>
        <w:t>万元，其中：人员经费</w:t>
      </w:r>
      <w:r>
        <w:rPr>
          <w:rFonts w:hint="eastAsia" w:asciiTheme="minorEastAsia" w:hAnsiTheme="minorEastAsia" w:eastAsiaTheme="minorEastAsia"/>
          <w:sz w:val="32"/>
          <w:szCs w:val="32"/>
          <w:lang w:val="en-US" w:eastAsia="zh-CN"/>
        </w:rPr>
        <w:t>736.92</w:t>
      </w:r>
      <w:r>
        <w:rPr>
          <w:rFonts w:hint="eastAsia" w:asciiTheme="minorEastAsia" w:hAnsiTheme="minorEastAsia" w:eastAsiaTheme="minorEastAsia"/>
          <w:sz w:val="32"/>
          <w:szCs w:val="32"/>
        </w:rPr>
        <w:t>万元，占基本支出的</w:t>
      </w:r>
      <w:r>
        <w:rPr>
          <w:rFonts w:hint="eastAsia" w:asciiTheme="minorEastAsia" w:hAnsiTheme="minorEastAsia" w:eastAsiaTheme="minorEastAsia"/>
          <w:sz w:val="32"/>
          <w:szCs w:val="32"/>
          <w:lang w:val="en-US" w:eastAsia="zh-CN"/>
        </w:rPr>
        <w:t>95.58</w:t>
      </w:r>
      <w:r>
        <w:rPr>
          <w:rFonts w:hint="eastAsia" w:asciiTheme="minorEastAsia" w:hAnsiTheme="minorEastAsia" w:eastAsiaTheme="minorEastAsia"/>
          <w:sz w:val="32"/>
          <w:szCs w:val="32"/>
        </w:rPr>
        <w:t>%</w:t>
      </w:r>
      <w:r>
        <w:rPr>
          <w:rFonts w:hint="eastAsia" w:asciiTheme="minorEastAsia" w:hAnsiTheme="minorEastAsia" w:eastAsiaTheme="minorEastAsia"/>
          <w:sz w:val="32"/>
          <w:szCs w:val="32"/>
          <w:lang w:eastAsia="zh-CN"/>
        </w:rPr>
        <w:t>，</w:t>
      </w:r>
      <w:r>
        <w:rPr>
          <w:rFonts w:hint="eastAsia" w:asciiTheme="minorEastAsia" w:hAnsiTheme="minorEastAsia" w:eastAsiaTheme="minorEastAsia"/>
          <w:sz w:val="32"/>
          <w:szCs w:val="32"/>
        </w:rPr>
        <w:t>主要包括基本工资、津贴补贴、奖金、伙食补助费</w:t>
      </w:r>
      <w:r>
        <w:rPr>
          <w:rFonts w:hint="eastAsia" w:asciiTheme="minorEastAsia" w:hAnsiTheme="minorEastAsia" w:eastAsiaTheme="minorEastAsia"/>
          <w:sz w:val="32"/>
          <w:szCs w:val="32"/>
          <w:lang w:val="en-US" w:eastAsia="zh-CN"/>
        </w:rPr>
        <w:t>等</w:t>
      </w:r>
      <w:r>
        <w:rPr>
          <w:rFonts w:hint="eastAsia" w:asciiTheme="minorEastAsia" w:hAnsiTheme="minorEastAsia" w:eastAsiaTheme="minorEastAsia"/>
          <w:sz w:val="32"/>
          <w:szCs w:val="32"/>
        </w:rPr>
        <w:t>；公用经费</w:t>
      </w:r>
      <w:r>
        <w:rPr>
          <w:rFonts w:hint="eastAsia" w:asciiTheme="minorEastAsia" w:hAnsiTheme="minorEastAsia" w:eastAsiaTheme="minorEastAsia"/>
          <w:sz w:val="32"/>
          <w:szCs w:val="32"/>
          <w:lang w:val="en-US" w:eastAsia="zh-CN"/>
        </w:rPr>
        <w:t>34.10</w:t>
      </w:r>
      <w:r>
        <w:rPr>
          <w:rFonts w:hint="eastAsia" w:asciiTheme="minorEastAsia" w:hAnsiTheme="minorEastAsia" w:eastAsiaTheme="minorEastAsia"/>
          <w:sz w:val="32"/>
          <w:szCs w:val="32"/>
        </w:rPr>
        <w:t>万元，占基本支出的</w:t>
      </w:r>
      <w:r>
        <w:rPr>
          <w:rFonts w:hint="eastAsia" w:asciiTheme="minorEastAsia" w:hAnsiTheme="minorEastAsia" w:eastAsiaTheme="minorEastAsia"/>
          <w:sz w:val="32"/>
          <w:szCs w:val="32"/>
          <w:lang w:val="en-US" w:eastAsia="zh-CN"/>
        </w:rPr>
        <w:t>4.42</w:t>
      </w:r>
      <w:r>
        <w:rPr>
          <w:rFonts w:hint="eastAsia" w:asciiTheme="minorEastAsia" w:hAnsiTheme="minorEastAsia" w:eastAsiaTheme="minorEastAsia"/>
          <w:sz w:val="32"/>
          <w:szCs w:val="32"/>
        </w:rPr>
        <w:t>%，主要包括</w:t>
      </w:r>
      <w:r>
        <w:rPr>
          <w:rFonts w:hint="eastAsia" w:ascii="宋体" w:hAnsi="宋体" w:eastAsia="宋体"/>
          <w:sz w:val="32"/>
          <w:szCs w:val="32"/>
        </w:rPr>
        <w:t>办公费、</w:t>
      </w:r>
      <w:r>
        <w:rPr>
          <w:rFonts w:hint="eastAsia" w:ascii="宋体" w:hAnsi="宋体" w:eastAsia="宋体"/>
          <w:sz w:val="32"/>
          <w:szCs w:val="32"/>
          <w:lang w:val="en-US" w:eastAsia="zh-Hans"/>
        </w:rPr>
        <w:t>工会经费</w:t>
      </w:r>
      <w:r>
        <w:rPr>
          <w:rFonts w:hint="eastAsia" w:ascii="宋体" w:hAnsi="宋体" w:eastAsia="宋体"/>
          <w:sz w:val="32"/>
          <w:szCs w:val="32"/>
        </w:rPr>
        <w:t>、</w:t>
      </w:r>
      <w:r>
        <w:rPr>
          <w:rFonts w:hint="eastAsia" w:ascii="宋体" w:hAnsi="宋体" w:eastAsia="宋体"/>
          <w:sz w:val="32"/>
          <w:szCs w:val="32"/>
          <w:lang w:val="en-US" w:eastAsia="zh-CN"/>
        </w:rPr>
        <w:t>水电</w:t>
      </w:r>
      <w:r>
        <w:rPr>
          <w:rFonts w:hint="eastAsia" w:ascii="宋体" w:hAnsi="宋体" w:eastAsia="宋体"/>
          <w:sz w:val="32"/>
          <w:szCs w:val="32"/>
        </w:rPr>
        <w:t>费、手续费</w:t>
      </w:r>
      <w:r>
        <w:rPr>
          <w:rFonts w:hint="eastAsia" w:ascii="宋体" w:hAnsi="宋体" w:eastAsia="宋体"/>
          <w:sz w:val="32"/>
          <w:szCs w:val="32"/>
          <w:lang w:eastAsia="zh-CN"/>
        </w:rPr>
        <w:t>、</w:t>
      </w:r>
      <w:r>
        <w:rPr>
          <w:rFonts w:hint="eastAsia" w:ascii="宋体" w:hAnsi="宋体" w:eastAsia="宋体"/>
          <w:sz w:val="32"/>
          <w:szCs w:val="32"/>
          <w:lang w:val="en-US" w:eastAsia="zh-CN"/>
        </w:rPr>
        <w:t>税费</w:t>
      </w:r>
      <w:r>
        <w:rPr>
          <w:rFonts w:hint="eastAsia" w:ascii="宋体" w:hAnsi="宋体" w:eastAsia="宋体"/>
          <w:sz w:val="32"/>
          <w:szCs w:val="32"/>
          <w:lang w:val="en-US" w:eastAsia="zh-Hans"/>
        </w:rPr>
        <w:t>等</w:t>
      </w:r>
      <w:r>
        <w:rPr>
          <w:rFonts w:hint="eastAsia" w:ascii="宋体" w:hAnsi="宋体" w:eastAsia="宋体"/>
          <w:sz w:val="32"/>
          <w:szCs w:val="32"/>
        </w:rPr>
        <w:t>。</w:t>
      </w:r>
    </w:p>
    <w:p>
      <w:pPr>
        <w:pStyle w:val="9"/>
        <w:rPr>
          <w:rFonts w:hAnsi="黑体"/>
          <w:b/>
          <w:sz w:val="32"/>
          <w:szCs w:val="32"/>
        </w:rPr>
      </w:pPr>
      <w:r>
        <w:rPr>
          <w:rFonts w:hint="eastAsia" w:hAnsi="黑体"/>
          <w:b/>
          <w:sz w:val="32"/>
          <w:szCs w:val="32"/>
        </w:rPr>
        <w:t>七、一般公共预算财政拨款“三公”经费支出决算情况说明</w:t>
      </w:r>
    </w:p>
    <w:p>
      <w:pPr>
        <w:pStyle w:val="9"/>
        <w:ind w:left="0" w:leftChars="0" w:firstLine="659" w:firstLineChars="206"/>
        <w:rPr>
          <w:rFonts w:asciiTheme="minorEastAsia" w:hAnsiTheme="minorEastAsia" w:eastAsiaTheme="minorEastAsia"/>
          <w:b/>
          <w:sz w:val="32"/>
          <w:szCs w:val="32"/>
        </w:rPr>
      </w:pPr>
      <w:r>
        <w:rPr>
          <w:rFonts w:hint="eastAsia" w:asciiTheme="minorEastAsia" w:hAnsiTheme="minorEastAsia" w:eastAsiaTheme="minorEastAsia"/>
          <w:b/>
          <w:sz w:val="32"/>
          <w:szCs w:val="32"/>
        </w:rPr>
        <w:t>（一）“三公”经费财政拨款支出决算总体情况说明</w:t>
      </w:r>
    </w:p>
    <w:p>
      <w:pPr>
        <w:pStyle w:val="9"/>
        <w:ind w:firstLine="800" w:firstLineChars="250"/>
        <w:rPr>
          <w:rFonts w:asciiTheme="minorEastAsia" w:hAnsiTheme="minorEastAsia" w:eastAsiaTheme="minorEastAsia"/>
          <w:sz w:val="32"/>
          <w:szCs w:val="32"/>
        </w:rPr>
      </w:pPr>
      <w:r>
        <w:rPr>
          <w:rFonts w:hint="eastAsia" w:asciiTheme="minorEastAsia" w:hAnsiTheme="minorEastAsia" w:eastAsiaTheme="minorEastAsia"/>
          <w:sz w:val="32"/>
          <w:szCs w:val="32"/>
        </w:rPr>
        <w:t>2021年度“三公”经费财政拨款支出预算为</w:t>
      </w:r>
      <w:r>
        <w:rPr>
          <w:rFonts w:hint="eastAsia" w:asciiTheme="minorEastAsia" w:hAnsiTheme="minorEastAsia" w:eastAsiaTheme="minorEastAsia"/>
          <w:sz w:val="32"/>
          <w:szCs w:val="32"/>
          <w:lang w:val="en-US" w:eastAsia="zh-CN"/>
        </w:rPr>
        <w:t>5.00</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0.19</w:t>
      </w:r>
      <w:r>
        <w:rPr>
          <w:rFonts w:hint="eastAsia" w:asciiTheme="minorEastAsia" w:hAnsiTheme="minorEastAsia" w:eastAsiaTheme="minorEastAsia"/>
          <w:sz w:val="32"/>
          <w:szCs w:val="32"/>
        </w:rPr>
        <w:t>万元，完成预算的</w:t>
      </w:r>
      <w:r>
        <w:rPr>
          <w:rFonts w:hint="eastAsia" w:asciiTheme="minorEastAsia" w:hAnsiTheme="minorEastAsia" w:eastAsiaTheme="minorEastAsia"/>
          <w:sz w:val="32"/>
          <w:szCs w:val="32"/>
          <w:lang w:val="en-US" w:eastAsia="zh-CN"/>
        </w:rPr>
        <w:t>3.80</w:t>
      </w:r>
      <w:r>
        <w:rPr>
          <w:rFonts w:hint="eastAsia" w:asciiTheme="minorEastAsia" w:hAnsiTheme="minorEastAsia" w:eastAsiaTheme="minorEastAsia"/>
          <w:sz w:val="32"/>
          <w:szCs w:val="32"/>
        </w:rPr>
        <w:t>%，其中：</w:t>
      </w:r>
    </w:p>
    <w:p>
      <w:pPr>
        <w:pStyle w:val="9"/>
        <w:keepNext w:val="0"/>
        <w:keepLines w:val="0"/>
        <w:pageBreakBefore w:val="0"/>
        <w:widowControl w:val="0"/>
        <w:kinsoku/>
        <w:wordWrap/>
        <w:overflowPunct/>
        <w:topLinePunct w:val="0"/>
        <w:autoSpaceDE w:val="0"/>
        <w:autoSpaceDN w:val="0"/>
        <w:bidi w:val="0"/>
        <w:adjustRightInd w:val="0"/>
        <w:snapToGrid/>
        <w:ind w:firstLine="640" w:firstLineChars="200"/>
        <w:textAlignment w:val="auto"/>
        <w:rPr>
          <w:rFonts w:asciiTheme="minorEastAsia" w:hAnsiTheme="minorEastAsia" w:eastAsiaTheme="minorEastAsia"/>
          <w:sz w:val="32"/>
          <w:szCs w:val="32"/>
        </w:rPr>
      </w:pPr>
      <w:r>
        <w:rPr>
          <w:rFonts w:hint="eastAsia" w:asciiTheme="minorEastAsia" w:hAnsiTheme="minorEastAsia" w:eastAsiaTheme="minorEastAsia"/>
          <w:sz w:val="32"/>
          <w:szCs w:val="32"/>
        </w:rPr>
        <w:t>因公出国（境）费支出预算为</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w:t>
      </w:r>
      <w:r>
        <w:rPr>
          <w:rFonts w:hint="eastAsia" w:asciiTheme="minorEastAsia" w:hAnsiTheme="minorEastAsia" w:eastAsiaTheme="minorEastAsia"/>
          <w:sz w:val="32"/>
          <w:szCs w:val="32"/>
          <w:lang w:val="en-US" w:eastAsia="zh-CN"/>
        </w:rPr>
        <w:t>决算数与预算数相等，与上年相比持平</w:t>
      </w:r>
      <w:r>
        <w:rPr>
          <w:rFonts w:hint="eastAsia" w:asciiTheme="minorEastAsia" w:hAnsiTheme="minorEastAsia" w:eastAsiaTheme="minorEastAsia"/>
          <w:sz w:val="32"/>
          <w:szCs w:val="32"/>
        </w:rPr>
        <w:t>。</w:t>
      </w:r>
    </w:p>
    <w:p>
      <w:pPr>
        <w:pStyle w:val="9"/>
        <w:keepNext w:val="0"/>
        <w:keepLines w:val="0"/>
        <w:pageBreakBefore w:val="0"/>
        <w:widowControl w:val="0"/>
        <w:kinsoku/>
        <w:wordWrap/>
        <w:overflowPunct/>
        <w:topLinePunct w:val="0"/>
        <w:autoSpaceDE w:val="0"/>
        <w:autoSpaceDN w:val="0"/>
        <w:bidi w:val="0"/>
        <w:adjustRightInd w:val="0"/>
        <w:snapToGrid/>
        <w:ind w:firstLine="640" w:firstLineChars="200"/>
        <w:textAlignment w:val="auto"/>
        <w:rPr>
          <w:rFonts w:hint="eastAsia" w:asciiTheme="minorEastAsia" w:hAnsiTheme="minorEastAsia" w:eastAsiaTheme="minorEastAsia"/>
          <w:sz w:val="32"/>
          <w:szCs w:val="32"/>
          <w:lang w:val="en-US" w:eastAsia="zh-CN"/>
        </w:rPr>
      </w:pPr>
      <w:r>
        <w:rPr>
          <w:rFonts w:hint="eastAsia" w:asciiTheme="minorEastAsia" w:hAnsiTheme="minorEastAsia" w:eastAsiaTheme="minorEastAsia"/>
          <w:sz w:val="32"/>
          <w:szCs w:val="32"/>
        </w:rPr>
        <w:t>公务接待费支出预算为</w:t>
      </w:r>
      <w:r>
        <w:rPr>
          <w:rFonts w:hint="eastAsia" w:asciiTheme="minorEastAsia" w:hAnsiTheme="minorEastAsia" w:eastAsiaTheme="minorEastAsia"/>
          <w:sz w:val="32"/>
          <w:szCs w:val="32"/>
          <w:lang w:val="en-US" w:eastAsia="zh-CN"/>
        </w:rPr>
        <w:t>1.00</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0.14</w:t>
      </w:r>
      <w:r>
        <w:rPr>
          <w:rFonts w:hint="eastAsia" w:asciiTheme="minorEastAsia" w:hAnsiTheme="minorEastAsia" w:eastAsiaTheme="minorEastAsia"/>
          <w:sz w:val="32"/>
          <w:szCs w:val="32"/>
        </w:rPr>
        <w:t>万元，</w:t>
      </w:r>
      <w:r>
        <w:rPr>
          <w:rFonts w:hint="eastAsia" w:asciiTheme="minorEastAsia" w:hAnsiTheme="minorEastAsia" w:eastAsiaTheme="minorEastAsia"/>
          <w:sz w:val="32"/>
          <w:szCs w:val="32"/>
          <w:lang w:val="en-US" w:eastAsia="zh-CN"/>
        </w:rPr>
        <w:t>决算数与预算</w:t>
      </w:r>
    </w:p>
    <w:p>
      <w:pPr>
        <w:pStyle w:val="9"/>
        <w:keepNext w:val="0"/>
        <w:keepLines w:val="0"/>
        <w:pageBreakBefore w:val="0"/>
        <w:widowControl w:val="0"/>
        <w:kinsoku/>
        <w:wordWrap/>
        <w:overflowPunct/>
        <w:topLinePunct w:val="0"/>
        <w:autoSpaceDE w:val="0"/>
        <w:autoSpaceDN w:val="0"/>
        <w:bidi w:val="0"/>
        <w:adjustRightInd w:val="0"/>
        <w:snapToGrid/>
        <w:ind w:firstLine="640" w:firstLineChars="200"/>
        <w:textAlignment w:val="auto"/>
        <w:rPr>
          <w:rFonts w:hint="default" w:asciiTheme="minorEastAsia" w:hAnsiTheme="minorEastAsia" w:eastAsiaTheme="minorEastAsia"/>
          <w:sz w:val="32"/>
          <w:szCs w:val="32"/>
          <w:lang w:val="en-US" w:eastAsia="zh-CN"/>
        </w:rPr>
      </w:pPr>
      <w:r>
        <w:rPr>
          <w:rFonts w:hint="eastAsia" w:asciiTheme="minorEastAsia" w:hAnsiTheme="minorEastAsia" w:eastAsiaTheme="minorEastAsia"/>
          <w:sz w:val="32"/>
          <w:szCs w:val="32"/>
          <w:lang w:val="en-US" w:eastAsia="zh-CN"/>
        </w:rPr>
        <w:t>相差原因是：因疫情原因单位接待支出减少。</w:t>
      </w:r>
    </w:p>
    <w:p>
      <w:pPr>
        <w:pStyle w:val="9"/>
        <w:keepNext w:val="0"/>
        <w:keepLines w:val="0"/>
        <w:pageBreakBefore w:val="0"/>
        <w:widowControl w:val="0"/>
        <w:kinsoku/>
        <w:wordWrap/>
        <w:overflowPunct/>
        <w:topLinePunct w:val="0"/>
        <w:autoSpaceDE w:val="0"/>
        <w:autoSpaceDN w:val="0"/>
        <w:bidi w:val="0"/>
        <w:adjustRightInd w:val="0"/>
        <w:snapToGrid/>
        <w:ind w:firstLine="640" w:firstLineChars="200"/>
        <w:textAlignment w:val="auto"/>
        <w:rPr>
          <w:rFonts w:asciiTheme="minorEastAsia" w:hAnsiTheme="minorEastAsia" w:eastAsiaTheme="minorEastAsia"/>
          <w:sz w:val="32"/>
          <w:szCs w:val="32"/>
        </w:rPr>
      </w:pPr>
      <w:r>
        <w:rPr>
          <w:rFonts w:hint="eastAsia" w:asciiTheme="minorEastAsia" w:hAnsiTheme="minorEastAsia" w:eastAsiaTheme="minorEastAsia"/>
          <w:sz w:val="32"/>
          <w:szCs w:val="32"/>
        </w:rPr>
        <w:t>公务用车购置费支出预算为</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w:t>
      </w:r>
      <w:r>
        <w:rPr>
          <w:rFonts w:hint="eastAsia" w:asciiTheme="minorEastAsia" w:hAnsiTheme="minorEastAsia" w:eastAsiaTheme="minorEastAsia"/>
          <w:sz w:val="32"/>
          <w:szCs w:val="32"/>
          <w:lang w:val="en-US" w:eastAsia="zh-CN"/>
        </w:rPr>
        <w:t>决算数与预算数相等，与上年相比持平</w:t>
      </w:r>
      <w:r>
        <w:rPr>
          <w:rFonts w:hint="eastAsia" w:asciiTheme="minorEastAsia" w:hAnsiTheme="minorEastAsia" w:eastAsiaTheme="minorEastAsia"/>
          <w:sz w:val="32"/>
          <w:szCs w:val="32"/>
        </w:rPr>
        <w:t>。</w:t>
      </w:r>
    </w:p>
    <w:p>
      <w:pPr>
        <w:pStyle w:val="9"/>
        <w:keepNext w:val="0"/>
        <w:keepLines w:val="0"/>
        <w:pageBreakBefore w:val="0"/>
        <w:widowControl w:val="0"/>
        <w:kinsoku/>
        <w:wordWrap/>
        <w:overflowPunct/>
        <w:topLinePunct w:val="0"/>
        <w:autoSpaceDE w:val="0"/>
        <w:autoSpaceDN w:val="0"/>
        <w:bidi w:val="0"/>
        <w:adjustRightInd w:val="0"/>
        <w:snapToGrid/>
        <w:ind w:firstLine="640" w:firstLineChars="200"/>
        <w:textAlignment w:val="auto"/>
        <w:rPr>
          <w:rFonts w:hint="default" w:asciiTheme="minorEastAsia" w:hAnsiTheme="minorEastAsia" w:eastAsiaTheme="minorEastAsia"/>
          <w:sz w:val="32"/>
          <w:szCs w:val="32"/>
          <w:highlight w:val="none"/>
          <w:lang w:val="en-US" w:eastAsia="zh-CN"/>
        </w:rPr>
      </w:pPr>
      <w:r>
        <w:rPr>
          <w:rFonts w:hint="eastAsia" w:asciiTheme="minorEastAsia" w:hAnsiTheme="minorEastAsia" w:eastAsiaTheme="minorEastAsia"/>
          <w:sz w:val="32"/>
          <w:szCs w:val="32"/>
        </w:rPr>
        <w:t>公务用车运行维护费支出预算为</w:t>
      </w:r>
      <w:r>
        <w:rPr>
          <w:rFonts w:hint="eastAsia" w:asciiTheme="minorEastAsia" w:hAnsiTheme="minorEastAsia" w:eastAsiaTheme="minorEastAsia"/>
          <w:sz w:val="32"/>
          <w:szCs w:val="32"/>
          <w:lang w:val="en-US" w:eastAsia="zh-CN"/>
        </w:rPr>
        <w:t>4.00</w:t>
      </w:r>
      <w:r>
        <w:rPr>
          <w:rFonts w:hint="eastAsia" w:asciiTheme="minorEastAsia" w:hAnsiTheme="minorEastAsia" w:eastAsiaTheme="minorEastAsia"/>
          <w:sz w:val="32"/>
          <w:szCs w:val="32"/>
        </w:rPr>
        <w:t>万元，支出决算为</w:t>
      </w:r>
      <w:r>
        <w:rPr>
          <w:rFonts w:hint="eastAsia" w:asciiTheme="minorEastAsia" w:hAnsiTheme="minorEastAsia" w:eastAsiaTheme="minorEastAsia"/>
          <w:sz w:val="32"/>
          <w:szCs w:val="32"/>
          <w:lang w:val="en-US" w:eastAsia="zh-CN"/>
        </w:rPr>
        <w:t>0.05</w:t>
      </w:r>
      <w:r>
        <w:rPr>
          <w:rFonts w:hint="eastAsia" w:asciiTheme="minorEastAsia" w:hAnsiTheme="minorEastAsia" w:eastAsiaTheme="minorEastAsia"/>
          <w:sz w:val="32"/>
          <w:szCs w:val="32"/>
        </w:rPr>
        <w:t>万元，完成预算的</w:t>
      </w:r>
      <w:r>
        <w:rPr>
          <w:rFonts w:hint="eastAsia" w:asciiTheme="minorEastAsia" w:hAnsiTheme="minorEastAsia" w:eastAsiaTheme="minorEastAsia"/>
          <w:sz w:val="32"/>
          <w:szCs w:val="32"/>
          <w:lang w:val="en-US" w:eastAsia="zh-CN"/>
        </w:rPr>
        <w:t>1.25</w:t>
      </w:r>
      <w:r>
        <w:rPr>
          <w:rFonts w:hint="eastAsia" w:asciiTheme="minorEastAsia" w:hAnsiTheme="minorEastAsia" w:eastAsiaTheme="minorEastAsia"/>
          <w:sz w:val="32"/>
          <w:szCs w:val="32"/>
        </w:rPr>
        <w:t>%，决算数小于预算数的主要原因是</w:t>
      </w:r>
      <w:r>
        <w:rPr>
          <w:rFonts w:hint="eastAsia" w:asciiTheme="minorEastAsia" w:hAnsiTheme="minorEastAsia" w:eastAsiaTheme="minorEastAsia"/>
          <w:sz w:val="32"/>
          <w:szCs w:val="32"/>
          <w:lang w:eastAsia="zh-CN"/>
        </w:rPr>
        <w:t>：</w:t>
      </w:r>
      <w:r>
        <w:rPr>
          <w:rFonts w:hint="eastAsia" w:asciiTheme="minorEastAsia" w:hAnsiTheme="minorEastAsia" w:eastAsiaTheme="minorEastAsia"/>
          <w:sz w:val="32"/>
          <w:szCs w:val="32"/>
          <w:lang w:val="en-US" w:eastAsia="zh-CN"/>
        </w:rPr>
        <w:t>本年单位公务车已报废。</w:t>
      </w:r>
    </w:p>
    <w:p>
      <w:pPr>
        <w:pStyle w:val="9"/>
        <w:ind w:left="0" w:leftChars="0" w:firstLine="499" w:firstLineChars="156"/>
        <w:rPr>
          <w:rFonts w:asciiTheme="minorEastAsia" w:hAnsiTheme="minorEastAsia" w:eastAsiaTheme="minorEastAsia"/>
          <w:b/>
          <w:sz w:val="32"/>
          <w:szCs w:val="32"/>
        </w:rPr>
      </w:pPr>
      <w:r>
        <w:rPr>
          <w:rFonts w:hint="eastAsia" w:asciiTheme="minorEastAsia" w:hAnsiTheme="minorEastAsia" w:eastAsiaTheme="minorEastAsia"/>
          <w:b/>
          <w:sz w:val="32"/>
          <w:szCs w:val="32"/>
        </w:rPr>
        <w:t>（二）“三公”经费财政拨款支出决算具体情况说明</w:t>
      </w:r>
    </w:p>
    <w:p>
      <w:pPr>
        <w:pStyle w:val="9"/>
        <w:keepNext w:val="0"/>
        <w:keepLines w:val="0"/>
        <w:pageBreakBefore w:val="0"/>
        <w:widowControl w:val="0"/>
        <w:kinsoku/>
        <w:wordWrap/>
        <w:overflowPunct/>
        <w:topLinePunct w:val="0"/>
        <w:bidi w:val="0"/>
        <w:snapToGrid/>
        <w:ind w:firstLine="640" w:firstLineChars="200"/>
        <w:textAlignment w:val="auto"/>
        <w:rPr>
          <w:rFonts w:asciiTheme="minorEastAsia" w:hAnsiTheme="minorEastAsia" w:eastAsiaTheme="minorEastAsia"/>
          <w:sz w:val="32"/>
          <w:szCs w:val="32"/>
        </w:rPr>
      </w:pPr>
      <w:r>
        <w:rPr>
          <w:rFonts w:hint="eastAsia" w:asciiTheme="minorEastAsia" w:hAnsiTheme="minorEastAsia" w:eastAsiaTheme="minorEastAsia"/>
          <w:sz w:val="32"/>
          <w:szCs w:val="32"/>
        </w:rPr>
        <w:t>2021年度“三公”经费财政拨款支出决算中，公务接待费支出决算</w:t>
      </w:r>
      <w:r>
        <w:rPr>
          <w:rFonts w:hint="eastAsia" w:asciiTheme="minorEastAsia" w:hAnsiTheme="minorEastAsia" w:eastAsiaTheme="minorEastAsia"/>
          <w:sz w:val="32"/>
          <w:szCs w:val="32"/>
          <w:lang w:val="en-US" w:eastAsia="zh-CN"/>
        </w:rPr>
        <w:t>0.14</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w:t>
      </w:r>
      <w:r>
        <w:rPr>
          <w:rFonts w:hint="eastAsia" w:asciiTheme="minorEastAsia" w:hAnsiTheme="minorEastAsia" w:eastAsiaTheme="minorEastAsia"/>
          <w:sz w:val="32"/>
          <w:szCs w:val="32"/>
          <w:lang w:eastAsia="zh-CN"/>
        </w:rPr>
        <w:t>，</w:t>
      </w:r>
      <w:r>
        <w:rPr>
          <w:rFonts w:hint="eastAsia" w:asciiTheme="minorEastAsia" w:hAnsiTheme="minorEastAsia" w:eastAsiaTheme="minorEastAsia"/>
          <w:sz w:val="32"/>
          <w:szCs w:val="32"/>
        </w:rPr>
        <w:t>因公出国（境）费支出决算</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w:t>
      </w:r>
      <w:r>
        <w:rPr>
          <w:rFonts w:hint="eastAsia" w:asciiTheme="minorEastAsia" w:hAnsiTheme="minorEastAsia" w:eastAsiaTheme="minorEastAsia"/>
          <w:sz w:val="32"/>
          <w:szCs w:val="32"/>
          <w:lang w:eastAsia="zh-CN"/>
        </w:rPr>
        <w:t>，</w:t>
      </w:r>
      <w:r>
        <w:rPr>
          <w:rFonts w:hint="eastAsia" w:asciiTheme="minorEastAsia" w:hAnsiTheme="minorEastAsia" w:eastAsiaTheme="minorEastAsia"/>
          <w:sz w:val="32"/>
          <w:szCs w:val="32"/>
        </w:rPr>
        <w:t>公务用车购置费及运行维护费支出决算</w:t>
      </w:r>
      <w:r>
        <w:rPr>
          <w:rFonts w:hint="eastAsia" w:asciiTheme="minorEastAsia" w:hAnsiTheme="minorEastAsia" w:eastAsiaTheme="minorEastAsia"/>
          <w:sz w:val="32"/>
          <w:szCs w:val="32"/>
          <w:lang w:val="en-US" w:eastAsia="zh-CN"/>
        </w:rPr>
        <w:t>0.05</w:t>
      </w:r>
      <w:r>
        <w:rPr>
          <w:rFonts w:hint="eastAsia" w:asciiTheme="minorEastAsia" w:hAnsiTheme="minorEastAsia" w:eastAsiaTheme="minorEastAsia"/>
          <w:sz w:val="32"/>
          <w:szCs w:val="32"/>
        </w:rPr>
        <w:t>万元，占</w:t>
      </w:r>
      <w:r>
        <w:rPr>
          <w:rFonts w:hint="eastAsia" w:asciiTheme="minorEastAsia" w:hAnsiTheme="minorEastAsia" w:eastAsiaTheme="minorEastAsia"/>
          <w:sz w:val="32"/>
          <w:szCs w:val="32"/>
          <w:lang w:val="en-US" w:eastAsia="zh-CN"/>
        </w:rPr>
        <w:t>100</w:t>
      </w:r>
      <w:r>
        <w:rPr>
          <w:rFonts w:hint="eastAsia" w:asciiTheme="minorEastAsia" w:hAnsiTheme="minorEastAsia" w:eastAsiaTheme="minorEastAsia"/>
          <w:sz w:val="32"/>
          <w:szCs w:val="32"/>
        </w:rPr>
        <w:t>%。其中：</w:t>
      </w:r>
    </w:p>
    <w:p>
      <w:pPr>
        <w:pStyle w:val="9"/>
        <w:keepNext w:val="0"/>
        <w:keepLines w:val="0"/>
        <w:pageBreakBefore w:val="0"/>
        <w:widowControl w:val="0"/>
        <w:kinsoku/>
        <w:wordWrap/>
        <w:overflowPunct/>
        <w:topLinePunct w:val="0"/>
        <w:bidi w:val="0"/>
        <w:snapToGrid/>
        <w:ind w:firstLine="640" w:firstLineChars="200"/>
        <w:textAlignment w:val="auto"/>
        <w:rPr>
          <w:rFonts w:hint="eastAsia" w:asciiTheme="minorEastAsia" w:hAnsiTheme="minorEastAsia" w:eastAsiaTheme="minorEastAsia"/>
          <w:b/>
          <w:sz w:val="32"/>
          <w:szCs w:val="32"/>
          <w:lang w:eastAsia="zh-CN"/>
        </w:rPr>
      </w:pPr>
      <w:r>
        <w:rPr>
          <w:rFonts w:hint="eastAsia" w:asciiTheme="minorEastAsia" w:hAnsiTheme="minorEastAsia" w:eastAsiaTheme="minorEastAsia"/>
          <w:sz w:val="32"/>
          <w:szCs w:val="32"/>
          <w:lang w:val="en-US" w:eastAsia="zh-CN"/>
        </w:rPr>
        <w:t>1.</w:t>
      </w:r>
      <w:r>
        <w:rPr>
          <w:rFonts w:hint="eastAsia" w:asciiTheme="minorEastAsia" w:hAnsiTheme="minorEastAsia" w:eastAsiaTheme="minorEastAsia"/>
          <w:sz w:val="32"/>
          <w:szCs w:val="32"/>
        </w:rPr>
        <w:t>因公出国（境）费支出决算为</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万元，全年安排因公出国（境）团组</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个，累计</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人次</w:t>
      </w:r>
      <w:r>
        <w:rPr>
          <w:rFonts w:hint="eastAsia" w:asciiTheme="minorEastAsia" w:hAnsiTheme="minorEastAsia" w:eastAsiaTheme="minorEastAsia"/>
          <w:sz w:val="32"/>
          <w:szCs w:val="32"/>
          <w:lang w:eastAsia="zh-CN"/>
        </w:rPr>
        <w:t>。</w:t>
      </w:r>
    </w:p>
    <w:p>
      <w:pPr>
        <w:pStyle w:val="9"/>
        <w:keepNext w:val="0"/>
        <w:keepLines w:val="0"/>
        <w:pageBreakBefore w:val="0"/>
        <w:widowControl w:val="0"/>
        <w:kinsoku/>
        <w:wordWrap/>
        <w:overflowPunct/>
        <w:topLinePunct w:val="0"/>
        <w:bidi w:val="0"/>
        <w:snapToGrid/>
        <w:ind w:firstLine="640" w:firstLineChars="200"/>
        <w:textAlignment w:val="auto"/>
        <w:rPr>
          <w:rFonts w:hint="eastAsia" w:asciiTheme="minorEastAsia" w:hAnsiTheme="minorEastAsia" w:eastAsiaTheme="minorEastAsia"/>
          <w:sz w:val="32"/>
          <w:szCs w:val="32"/>
          <w:lang w:eastAsia="zh-CN"/>
        </w:rPr>
      </w:pPr>
      <w:r>
        <w:rPr>
          <w:rFonts w:hint="eastAsia" w:asciiTheme="minorEastAsia" w:hAnsiTheme="minorEastAsia" w:eastAsiaTheme="minorEastAsia"/>
          <w:sz w:val="32"/>
          <w:szCs w:val="32"/>
          <w:lang w:val="en-US" w:eastAsia="zh-CN"/>
        </w:rPr>
        <w:t>2.</w:t>
      </w:r>
      <w:r>
        <w:rPr>
          <w:rFonts w:hint="eastAsia" w:asciiTheme="minorEastAsia" w:hAnsiTheme="minorEastAsia" w:eastAsiaTheme="minorEastAsia"/>
          <w:sz w:val="32"/>
          <w:szCs w:val="32"/>
        </w:rPr>
        <w:t>公务接待费支出决算为</w:t>
      </w:r>
      <w:r>
        <w:rPr>
          <w:rFonts w:hint="eastAsia" w:asciiTheme="minorEastAsia" w:hAnsiTheme="minorEastAsia" w:eastAsiaTheme="minorEastAsia"/>
          <w:sz w:val="32"/>
          <w:szCs w:val="32"/>
          <w:lang w:val="en-US" w:eastAsia="zh-CN"/>
        </w:rPr>
        <w:t>0.14</w:t>
      </w:r>
      <w:r>
        <w:rPr>
          <w:rFonts w:hint="eastAsia" w:asciiTheme="minorEastAsia" w:hAnsiTheme="minorEastAsia" w:eastAsiaTheme="minorEastAsia"/>
          <w:sz w:val="32"/>
          <w:szCs w:val="32"/>
        </w:rPr>
        <w:t>万元，全年共接待来访团组</w:t>
      </w:r>
      <w:r>
        <w:rPr>
          <w:rFonts w:hint="eastAsia" w:asciiTheme="minorEastAsia" w:hAnsiTheme="minorEastAsia" w:eastAsiaTheme="minorEastAsia"/>
          <w:sz w:val="32"/>
          <w:szCs w:val="32"/>
          <w:lang w:val="en-US" w:eastAsia="zh-CN"/>
        </w:rPr>
        <w:t>1</w:t>
      </w:r>
      <w:r>
        <w:rPr>
          <w:rFonts w:hint="eastAsia" w:asciiTheme="minorEastAsia" w:hAnsiTheme="minorEastAsia" w:eastAsiaTheme="minorEastAsia"/>
          <w:sz w:val="32"/>
          <w:szCs w:val="32"/>
        </w:rPr>
        <w:t>个、来宾</w:t>
      </w:r>
      <w:r>
        <w:rPr>
          <w:rFonts w:hint="eastAsia" w:asciiTheme="minorEastAsia" w:hAnsiTheme="minorEastAsia" w:eastAsiaTheme="minorEastAsia"/>
          <w:sz w:val="32"/>
          <w:szCs w:val="32"/>
          <w:lang w:val="en-US" w:eastAsia="zh-CN"/>
        </w:rPr>
        <w:t>8</w:t>
      </w:r>
      <w:r>
        <w:rPr>
          <w:rFonts w:hint="eastAsia" w:asciiTheme="minorEastAsia" w:hAnsiTheme="minorEastAsia" w:eastAsiaTheme="minorEastAsia"/>
          <w:sz w:val="32"/>
          <w:szCs w:val="32"/>
        </w:rPr>
        <w:t>人次</w:t>
      </w:r>
      <w:r>
        <w:rPr>
          <w:rFonts w:hint="eastAsia" w:asciiTheme="minorEastAsia" w:hAnsiTheme="minorEastAsia" w:eastAsiaTheme="minorEastAsia"/>
          <w:sz w:val="32"/>
          <w:szCs w:val="32"/>
          <w:lang w:eastAsia="zh-CN"/>
        </w:rPr>
        <w:t>。</w:t>
      </w:r>
    </w:p>
    <w:p>
      <w:pPr>
        <w:keepNext w:val="0"/>
        <w:keepLines w:val="0"/>
        <w:pageBreakBefore w:val="0"/>
        <w:widowControl w:val="0"/>
        <w:kinsoku/>
        <w:wordWrap/>
        <w:overflowPunct/>
        <w:topLinePunct w:val="0"/>
        <w:bidi w:val="0"/>
        <w:snapToGrid/>
        <w:ind w:firstLine="640" w:firstLineChars="200"/>
        <w:textAlignment w:val="auto"/>
        <w:rPr>
          <w:rFonts w:cs="黑体" w:asciiTheme="minorEastAsia" w:hAnsiTheme="minorEastAsia"/>
          <w:color w:val="000000"/>
          <w:kern w:val="0"/>
          <w:sz w:val="32"/>
          <w:szCs w:val="32"/>
        </w:rPr>
      </w:pPr>
      <w:r>
        <w:rPr>
          <w:rFonts w:hint="eastAsia" w:asciiTheme="minorEastAsia" w:hAnsiTheme="minorEastAsia"/>
          <w:sz w:val="32"/>
          <w:szCs w:val="32"/>
          <w:lang w:val="en-US" w:eastAsia="zh-CN"/>
        </w:rPr>
        <w:t>3.</w:t>
      </w:r>
      <w:r>
        <w:rPr>
          <w:rFonts w:hint="eastAsia" w:asciiTheme="minorEastAsia" w:hAnsiTheme="minorEastAsia"/>
          <w:sz w:val="32"/>
          <w:szCs w:val="32"/>
        </w:rPr>
        <w:t>公务用车购置费及运行维护费支出决算为</w:t>
      </w:r>
      <w:r>
        <w:rPr>
          <w:rFonts w:hint="eastAsia" w:asciiTheme="minorEastAsia" w:hAnsiTheme="minorEastAsia"/>
          <w:sz w:val="32"/>
          <w:szCs w:val="32"/>
          <w:lang w:val="en-US" w:eastAsia="zh-CN"/>
        </w:rPr>
        <w:t>0.05</w:t>
      </w:r>
      <w:r>
        <w:rPr>
          <w:rFonts w:hint="eastAsia" w:asciiTheme="minorEastAsia" w:hAnsiTheme="minorEastAsia"/>
          <w:sz w:val="32"/>
          <w:szCs w:val="32"/>
        </w:rPr>
        <w:t>万元，其中：公务用车购置费</w:t>
      </w:r>
      <w:r>
        <w:rPr>
          <w:rFonts w:hint="eastAsia" w:asciiTheme="minorEastAsia" w:hAnsiTheme="minorEastAsia"/>
          <w:sz w:val="32"/>
          <w:szCs w:val="32"/>
          <w:lang w:val="en-US" w:eastAsia="zh-CN"/>
        </w:rPr>
        <w:t>0</w:t>
      </w:r>
      <w:r>
        <w:rPr>
          <w:rFonts w:hint="eastAsia" w:asciiTheme="minorEastAsia" w:hAnsiTheme="minorEastAsia"/>
          <w:sz w:val="32"/>
          <w:szCs w:val="32"/>
        </w:rPr>
        <w:t>万元，湖南省</w:t>
      </w:r>
      <w:r>
        <w:rPr>
          <w:rFonts w:hint="eastAsia" w:asciiTheme="minorEastAsia" w:hAnsiTheme="minorEastAsia"/>
          <w:sz w:val="32"/>
          <w:szCs w:val="32"/>
          <w:lang w:val="en-US" w:eastAsia="zh-CN"/>
        </w:rPr>
        <w:t>艺术研究院</w:t>
      </w:r>
      <w:r>
        <w:rPr>
          <w:rFonts w:hint="eastAsia" w:asciiTheme="minorEastAsia" w:hAnsiTheme="minorEastAsia"/>
          <w:sz w:val="32"/>
          <w:szCs w:val="32"/>
        </w:rPr>
        <w:t>更新公务用车</w:t>
      </w:r>
      <w:r>
        <w:rPr>
          <w:rFonts w:hint="eastAsia" w:asciiTheme="minorEastAsia" w:hAnsiTheme="minorEastAsia"/>
          <w:sz w:val="32"/>
          <w:szCs w:val="32"/>
          <w:lang w:val="en-US" w:eastAsia="zh-CN"/>
        </w:rPr>
        <w:t>0</w:t>
      </w:r>
      <w:r>
        <w:rPr>
          <w:rFonts w:hint="eastAsia" w:asciiTheme="minorEastAsia" w:hAnsiTheme="minorEastAsia"/>
          <w:sz w:val="32"/>
          <w:szCs w:val="32"/>
        </w:rPr>
        <w:t>辆</w:t>
      </w:r>
      <w:r>
        <w:rPr>
          <w:rFonts w:hint="eastAsia" w:asciiTheme="minorEastAsia" w:hAnsiTheme="minorEastAsia"/>
          <w:color w:val="000000" w:themeColor="text1"/>
          <w:sz w:val="32"/>
          <w:szCs w:val="32"/>
          <w14:textFill>
            <w14:solidFill>
              <w14:schemeClr w14:val="tx1"/>
            </w14:solidFill>
          </w14:textFill>
        </w:rPr>
        <w:t>。</w:t>
      </w:r>
      <w:r>
        <w:rPr>
          <w:rFonts w:hint="eastAsia" w:asciiTheme="minorEastAsia" w:hAnsiTheme="minorEastAsia"/>
          <w:sz w:val="32"/>
          <w:szCs w:val="32"/>
        </w:rPr>
        <w:t>公务用车运行维护费</w:t>
      </w:r>
      <w:r>
        <w:rPr>
          <w:rFonts w:hint="eastAsia" w:asciiTheme="minorEastAsia" w:hAnsiTheme="minorEastAsia"/>
          <w:sz w:val="32"/>
          <w:szCs w:val="32"/>
          <w:lang w:val="en-US" w:eastAsia="zh-CN"/>
        </w:rPr>
        <w:t>0.05</w:t>
      </w:r>
      <w:r>
        <w:rPr>
          <w:rFonts w:hint="eastAsia" w:asciiTheme="minorEastAsia" w:hAnsiTheme="minorEastAsia"/>
          <w:sz w:val="32"/>
          <w:szCs w:val="32"/>
        </w:rPr>
        <w:t>万元，</w:t>
      </w:r>
      <w:r>
        <w:rPr>
          <w:rFonts w:hint="eastAsia" w:asciiTheme="minorEastAsia" w:hAnsiTheme="minorEastAsia"/>
          <w:sz w:val="32"/>
          <w:szCs w:val="32"/>
          <w:lang w:val="en-US" w:eastAsia="zh-CN"/>
        </w:rPr>
        <w:t>为</w:t>
      </w:r>
      <w:r>
        <w:rPr>
          <w:rFonts w:hint="eastAsia" w:ascii="宋体" w:hAnsi="宋体"/>
          <w:sz w:val="32"/>
          <w:szCs w:val="32"/>
          <w:lang w:eastAsia="zh-CN"/>
        </w:rPr>
        <w:t>车辆</w:t>
      </w:r>
      <w:r>
        <w:rPr>
          <w:rFonts w:hint="eastAsia" w:ascii="宋体" w:hAnsi="宋体"/>
          <w:sz w:val="32"/>
          <w:szCs w:val="32"/>
          <w:lang w:val="en-US" w:eastAsia="zh-CN"/>
        </w:rPr>
        <w:t>报废手续费。截至2021年</w:t>
      </w:r>
      <w:r>
        <w:rPr>
          <w:rFonts w:hint="eastAsia" w:asciiTheme="minorEastAsia" w:hAnsiTheme="minorEastAsia"/>
          <w:sz w:val="32"/>
          <w:szCs w:val="32"/>
        </w:rPr>
        <w:t>12月31日，我单位</w:t>
      </w:r>
      <w:r>
        <w:rPr>
          <w:rFonts w:hint="eastAsia" w:asciiTheme="minorEastAsia" w:hAnsiTheme="minorEastAsia"/>
          <w:sz w:val="32"/>
          <w:szCs w:val="32"/>
          <w:lang w:val="en-US" w:eastAsia="zh-CN"/>
        </w:rPr>
        <w:t>无</w:t>
      </w:r>
      <w:r>
        <w:rPr>
          <w:rFonts w:hint="eastAsia" w:asciiTheme="minorEastAsia" w:hAnsiTheme="minorEastAsia"/>
          <w:sz w:val="32"/>
          <w:szCs w:val="32"/>
        </w:rPr>
        <w:t>财政拨款</w:t>
      </w:r>
      <w:r>
        <w:rPr>
          <w:rFonts w:hint="eastAsia" w:asciiTheme="minorEastAsia" w:hAnsiTheme="minorEastAsia"/>
          <w:sz w:val="32"/>
          <w:szCs w:val="32"/>
          <w:lang w:val="en-US" w:eastAsia="zh-CN"/>
        </w:rPr>
        <w:t>开支</w:t>
      </w:r>
      <w:r>
        <w:rPr>
          <w:rFonts w:hint="eastAsia" w:asciiTheme="minorEastAsia" w:hAnsiTheme="minorEastAsia"/>
          <w:sz w:val="32"/>
          <w:szCs w:val="32"/>
        </w:rPr>
        <w:t>的公务用车。</w:t>
      </w:r>
    </w:p>
    <w:p>
      <w:pPr>
        <w:pStyle w:val="9"/>
        <w:rPr>
          <w:rFonts w:hAnsi="黑体"/>
          <w:b/>
          <w:sz w:val="32"/>
          <w:szCs w:val="32"/>
        </w:rPr>
      </w:pPr>
      <w:r>
        <w:rPr>
          <w:rFonts w:hint="eastAsia" w:hAnsi="黑体"/>
          <w:b/>
          <w:sz w:val="32"/>
          <w:szCs w:val="32"/>
        </w:rPr>
        <w:t>八、政府性基金预算收入支出决算情况</w:t>
      </w:r>
    </w:p>
    <w:p>
      <w:pPr>
        <w:pStyle w:val="9"/>
        <w:ind w:firstLine="800" w:firstLineChars="250"/>
        <w:rPr>
          <w:rFonts w:asciiTheme="minorEastAsia" w:hAnsiTheme="minorEastAsia" w:eastAsiaTheme="minorEastAsia"/>
          <w:sz w:val="32"/>
          <w:szCs w:val="32"/>
        </w:rPr>
      </w:pPr>
      <w:r>
        <w:rPr>
          <w:rFonts w:hint="eastAsia" w:ascii="宋体" w:hAnsi="宋体" w:eastAsia="宋体"/>
          <w:sz w:val="32"/>
          <w:szCs w:val="32"/>
          <w:lang w:val="en-US" w:eastAsia="zh-Hans"/>
        </w:rPr>
        <w:t>本单位无政府性基金收支</w:t>
      </w:r>
      <w:r>
        <w:rPr>
          <w:rFonts w:hint="default" w:ascii="宋体" w:hAnsi="宋体" w:eastAsia="宋体"/>
          <w:sz w:val="32"/>
          <w:szCs w:val="32"/>
          <w:lang w:eastAsia="zh-Hans"/>
        </w:rPr>
        <w:t>。</w:t>
      </w:r>
    </w:p>
    <w:p>
      <w:pPr>
        <w:pStyle w:val="9"/>
        <w:rPr>
          <w:rFonts w:hAnsi="黑体"/>
          <w:b/>
          <w:sz w:val="32"/>
          <w:szCs w:val="32"/>
        </w:rPr>
      </w:pPr>
      <w:r>
        <w:rPr>
          <w:rFonts w:hint="eastAsia" w:hAnsi="黑体"/>
          <w:b/>
          <w:sz w:val="32"/>
          <w:szCs w:val="32"/>
        </w:rPr>
        <w:t>九、机关运行经费支出说明</w:t>
      </w:r>
    </w:p>
    <w:p>
      <w:pPr>
        <w:pStyle w:val="9"/>
        <w:ind w:firstLine="640" w:firstLineChars="200"/>
        <w:rPr>
          <w:rFonts w:asciiTheme="minorEastAsia" w:hAnsiTheme="minorEastAsia" w:eastAsiaTheme="minorEastAsia"/>
          <w:sz w:val="32"/>
          <w:szCs w:val="32"/>
        </w:rPr>
      </w:pPr>
      <w:r>
        <w:rPr>
          <w:rFonts w:hint="eastAsia" w:ascii="宋体" w:hAnsi="宋体" w:eastAsia="宋体"/>
          <w:sz w:val="32"/>
          <w:szCs w:val="32"/>
        </w:rPr>
        <w:t>本</w:t>
      </w:r>
      <w:r>
        <w:rPr>
          <w:rFonts w:hint="eastAsia" w:ascii="宋体" w:hAnsi="宋体" w:eastAsia="宋体"/>
          <w:sz w:val="32"/>
          <w:szCs w:val="32"/>
          <w:lang w:val="en-US" w:eastAsia="zh-CN"/>
        </w:rPr>
        <w:t>单位</w:t>
      </w:r>
      <w:r>
        <w:rPr>
          <w:rFonts w:hint="eastAsia" w:ascii="宋体" w:hAnsi="宋体" w:eastAsia="宋体"/>
          <w:sz w:val="32"/>
          <w:szCs w:val="32"/>
          <w:lang w:val="en-US" w:eastAsia="zh-Hans"/>
        </w:rPr>
        <w:t>无机关运行经费支出</w:t>
      </w:r>
      <w:r>
        <w:rPr>
          <w:rFonts w:hint="eastAsia" w:asciiTheme="minorEastAsia" w:hAnsiTheme="minorEastAsia" w:eastAsiaTheme="minorEastAsia"/>
          <w:sz w:val="32"/>
          <w:szCs w:val="32"/>
        </w:rPr>
        <w:t>。</w:t>
      </w:r>
    </w:p>
    <w:p>
      <w:pPr>
        <w:pStyle w:val="9"/>
        <w:numPr>
          <w:ilvl w:val="0"/>
          <w:numId w:val="0"/>
        </w:numPr>
        <w:rPr>
          <w:rFonts w:hint="eastAsia" w:asciiTheme="minorEastAsia" w:hAnsiTheme="minorEastAsia" w:eastAsiaTheme="minorEastAsia" w:cstheme="minorBidi"/>
          <w:color w:val="auto"/>
          <w:kern w:val="2"/>
          <w:sz w:val="32"/>
          <w:szCs w:val="32"/>
          <w:lang w:val="en-US" w:eastAsia="zh-CN" w:bidi="ar-SA"/>
        </w:rPr>
      </w:pPr>
      <w:r>
        <w:rPr>
          <w:rFonts w:hint="eastAsia" w:hAnsi="黑体"/>
          <w:b/>
          <w:sz w:val="32"/>
          <w:szCs w:val="32"/>
          <w:lang w:val="en-US" w:eastAsia="zh-CN"/>
        </w:rPr>
        <w:t>十、</w:t>
      </w:r>
      <w:r>
        <w:rPr>
          <w:rFonts w:hint="eastAsia" w:hAnsi="黑体"/>
          <w:b/>
          <w:sz w:val="32"/>
          <w:szCs w:val="32"/>
        </w:rPr>
        <w:t>一般性支出情况说明</w:t>
      </w:r>
    </w:p>
    <w:p>
      <w:pPr>
        <w:pStyle w:val="9"/>
        <w:numPr>
          <w:ilvl w:val="0"/>
          <w:numId w:val="0"/>
        </w:numPr>
        <w:rPr>
          <w:rFonts w:hint="default" w:asciiTheme="minorEastAsia" w:hAnsiTheme="minorEastAsia" w:eastAsiaTheme="minorEastAsia" w:cstheme="minorBidi"/>
          <w:color w:val="auto"/>
          <w:kern w:val="2"/>
          <w:sz w:val="32"/>
          <w:szCs w:val="32"/>
          <w:lang w:val="en-US" w:eastAsia="zh-CN" w:bidi="ar-SA"/>
        </w:rPr>
      </w:pPr>
      <w:r>
        <w:rPr>
          <w:rFonts w:hint="eastAsia" w:asciiTheme="minorEastAsia" w:hAnsiTheme="minorEastAsia" w:eastAsiaTheme="minorEastAsia" w:cstheme="minorBidi"/>
          <w:color w:val="auto"/>
          <w:kern w:val="2"/>
          <w:sz w:val="32"/>
          <w:szCs w:val="32"/>
          <w:lang w:val="en-US" w:eastAsia="zh-CN" w:bidi="ar-SA"/>
        </w:rPr>
        <w:t xml:space="preserve">     2021年本部门开支培训费40.00万元，2021年湖南书法高研班开设创作班、篆刻班和理论（评论）班,共招收学员90余人。高研班邀请了夏义生、魏广君、胡传海、陈羲明、王集、姜寿田、钱玉清、李远东、王乃勇、陈志平、朱中原、杨勇、丘新巧、蔡栋等省内外知名书法家、学者进行授课。本届班级设置进一步完备，课程安排更趋合理，多方位教学，旨在提升全省在书法创作、篆刻创作以及理论研究上齐头并进向前发展。旨在以最好的资源和平台，带动全省的书法水平，提高了其文化自信，为全省的书法发展作出了巨大的影响力！</w:t>
      </w:r>
    </w:p>
    <w:p>
      <w:pPr>
        <w:pStyle w:val="9"/>
        <w:rPr>
          <w:rFonts w:hAnsi="黑体"/>
          <w:b/>
          <w:sz w:val="32"/>
          <w:szCs w:val="32"/>
        </w:rPr>
      </w:pPr>
      <w:r>
        <w:rPr>
          <w:rFonts w:hint="eastAsia" w:hAnsi="黑体"/>
          <w:b/>
          <w:sz w:val="32"/>
          <w:szCs w:val="32"/>
        </w:rPr>
        <w:t>十一、政府采购支出说明</w:t>
      </w:r>
    </w:p>
    <w:p>
      <w:pPr>
        <w:pStyle w:val="9"/>
        <w:ind w:firstLine="640" w:firstLineChars="200"/>
        <w:rPr>
          <w:rFonts w:asciiTheme="minorEastAsia" w:hAnsiTheme="minorEastAsia" w:eastAsiaTheme="minorEastAsia"/>
          <w:sz w:val="32"/>
          <w:szCs w:val="32"/>
        </w:rPr>
      </w:pPr>
      <w:r>
        <w:rPr>
          <w:rFonts w:hint="eastAsia" w:asciiTheme="minorEastAsia" w:hAnsiTheme="minorEastAsia" w:eastAsiaTheme="minorEastAsia"/>
          <w:sz w:val="32"/>
          <w:szCs w:val="32"/>
        </w:rPr>
        <w:t>本部门2021年度政府采购支出总额</w:t>
      </w:r>
      <w:r>
        <w:rPr>
          <w:rFonts w:hint="eastAsia" w:asciiTheme="minorEastAsia" w:hAnsiTheme="minorEastAsia" w:eastAsiaTheme="minorEastAsia"/>
          <w:sz w:val="32"/>
          <w:szCs w:val="32"/>
          <w:lang w:val="en-US" w:eastAsia="zh-CN"/>
        </w:rPr>
        <w:t>399.51</w:t>
      </w:r>
      <w:r>
        <w:rPr>
          <w:rFonts w:hint="eastAsia" w:asciiTheme="minorEastAsia" w:hAnsiTheme="minorEastAsia" w:eastAsiaTheme="minorEastAsia"/>
          <w:sz w:val="32"/>
          <w:szCs w:val="32"/>
        </w:rPr>
        <w:t>万元，其中：政府采购货物支出</w:t>
      </w:r>
      <w:r>
        <w:rPr>
          <w:rFonts w:hint="eastAsia" w:asciiTheme="minorEastAsia" w:hAnsiTheme="minorEastAsia" w:eastAsiaTheme="minorEastAsia"/>
          <w:sz w:val="32"/>
          <w:szCs w:val="32"/>
          <w:lang w:val="en-US" w:eastAsia="zh-CN"/>
        </w:rPr>
        <w:t>55.14</w:t>
      </w:r>
      <w:r>
        <w:rPr>
          <w:rFonts w:hint="eastAsia" w:asciiTheme="minorEastAsia" w:hAnsiTheme="minorEastAsia" w:eastAsiaTheme="minorEastAsia"/>
          <w:sz w:val="32"/>
          <w:szCs w:val="32"/>
        </w:rPr>
        <w:t>万元、政府采购工程支出</w:t>
      </w:r>
      <w:r>
        <w:rPr>
          <w:rFonts w:hint="eastAsia" w:asciiTheme="minorEastAsia" w:hAnsiTheme="minorEastAsia" w:eastAsiaTheme="minorEastAsia"/>
          <w:sz w:val="32"/>
          <w:szCs w:val="32"/>
          <w:lang w:val="en-US" w:eastAsia="zh-CN"/>
        </w:rPr>
        <w:t>332.85</w:t>
      </w:r>
      <w:r>
        <w:rPr>
          <w:rFonts w:hint="eastAsia" w:asciiTheme="minorEastAsia" w:hAnsiTheme="minorEastAsia" w:eastAsiaTheme="minorEastAsia"/>
          <w:sz w:val="32"/>
          <w:szCs w:val="32"/>
        </w:rPr>
        <w:t>万元、政府采购服务支出</w:t>
      </w:r>
      <w:r>
        <w:rPr>
          <w:rFonts w:hint="eastAsia" w:asciiTheme="minorEastAsia" w:hAnsiTheme="minorEastAsia" w:eastAsiaTheme="minorEastAsia"/>
          <w:sz w:val="32"/>
          <w:szCs w:val="32"/>
          <w:lang w:val="en-US" w:eastAsia="zh-CN"/>
        </w:rPr>
        <w:t>11.52</w:t>
      </w:r>
      <w:r>
        <w:rPr>
          <w:rFonts w:hint="eastAsia" w:asciiTheme="minorEastAsia" w:hAnsiTheme="minorEastAsia" w:eastAsiaTheme="minorEastAsia"/>
          <w:sz w:val="32"/>
          <w:szCs w:val="32"/>
        </w:rPr>
        <w:t>万元。授予中小企业合同金额</w:t>
      </w:r>
      <w:r>
        <w:rPr>
          <w:rFonts w:hint="eastAsia" w:asciiTheme="minorEastAsia" w:hAnsiTheme="minorEastAsia" w:eastAsiaTheme="minorEastAsia"/>
          <w:sz w:val="32"/>
          <w:szCs w:val="32"/>
          <w:lang w:val="en-US" w:eastAsia="zh-CN"/>
        </w:rPr>
        <w:t>332.85</w:t>
      </w:r>
      <w:r>
        <w:rPr>
          <w:rFonts w:hint="eastAsia" w:asciiTheme="minorEastAsia" w:hAnsiTheme="minorEastAsia" w:eastAsiaTheme="minorEastAsia"/>
          <w:sz w:val="32"/>
          <w:szCs w:val="32"/>
        </w:rPr>
        <w:t>万元，占政府采购支出总额的</w:t>
      </w:r>
      <w:r>
        <w:rPr>
          <w:rFonts w:hint="eastAsia" w:asciiTheme="minorEastAsia" w:hAnsiTheme="minorEastAsia" w:eastAsiaTheme="minorEastAsia"/>
          <w:sz w:val="32"/>
          <w:szCs w:val="32"/>
          <w:highlight w:val="none"/>
          <w:lang w:val="en-US" w:eastAsia="zh-CN"/>
        </w:rPr>
        <w:t>83.32</w:t>
      </w:r>
      <w:r>
        <w:rPr>
          <w:rFonts w:hint="eastAsia" w:asciiTheme="minorEastAsia" w:hAnsiTheme="minorEastAsia" w:eastAsiaTheme="minorEastAsia"/>
          <w:sz w:val="32"/>
          <w:szCs w:val="32"/>
          <w:highlight w:val="none"/>
        </w:rPr>
        <w:t>%</w:t>
      </w:r>
      <w:r>
        <w:rPr>
          <w:rFonts w:hint="eastAsia" w:asciiTheme="minorEastAsia" w:hAnsiTheme="minorEastAsia" w:eastAsiaTheme="minorEastAsia"/>
          <w:sz w:val="32"/>
          <w:szCs w:val="32"/>
        </w:rPr>
        <w:t>，其中：授予小微企业合同金额</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万元，占授予中小企业合同金额的</w:t>
      </w:r>
      <w:r>
        <w:rPr>
          <w:rFonts w:hint="eastAsia" w:asciiTheme="minorEastAsia" w:hAnsiTheme="minorEastAsia" w:eastAsiaTheme="minorEastAsia"/>
          <w:sz w:val="32"/>
          <w:szCs w:val="32"/>
          <w:highlight w:val="none"/>
          <w:lang w:val="en-US" w:eastAsia="zh-CN"/>
        </w:rPr>
        <w:t>0</w:t>
      </w:r>
      <w:r>
        <w:rPr>
          <w:rFonts w:hint="eastAsia" w:asciiTheme="minorEastAsia" w:hAnsiTheme="minorEastAsia" w:eastAsiaTheme="minorEastAsia"/>
          <w:sz w:val="32"/>
          <w:szCs w:val="32"/>
        </w:rPr>
        <w:t>%；货物采购授予中小企业合同金额占货物支出金额的</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%，工程采购授予中小企业合同金额占工程支出金额的</w:t>
      </w:r>
      <w:r>
        <w:rPr>
          <w:rFonts w:hint="eastAsia" w:asciiTheme="minorEastAsia" w:hAnsiTheme="minorEastAsia" w:eastAsiaTheme="minorEastAsia"/>
          <w:sz w:val="32"/>
          <w:szCs w:val="32"/>
          <w:lang w:val="en-US" w:eastAsia="zh-CN"/>
        </w:rPr>
        <w:t>100</w:t>
      </w:r>
      <w:r>
        <w:rPr>
          <w:rFonts w:hint="eastAsia" w:asciiTheme="minorEastAsia" w:hAnsiTheme="minorEastAsia" w:eastAsiaTheme="minorEastAsia"/>
          <w:sz w:val="32"/>
          <w:szCs w:val="32"/>
        </w:rPr>
        <w:t>%，服务采购授予中小企业合同金额占服务支出金额的</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w:t>
      </w:r>
    </w:p>
    <w:p>
      <w:pPr>
        <w:pStyle w:val="9"/>
        <w:rPr>
          <w:rFonts w:hAnsi="黑体"/>
          <w:b/>
          <w:sz w:val="32"/>
          <w:szCs w:val="32"/>
        </w:rPr>
      </w:pPr>
      <w:r>
        <w:rPr>
          <w:rFonts w:hint="eastAsia" w:hAnsi="黑体"/>
          <w:b/>
          <w:sz w:val="32"/>
          <w:szCs w:val="32"/>
        </w:rPr>
        <w:t>十二、国有资产占用情况说明</w:t>
      </w:r>
    </w:p>
    <w:p>
      <w:pPr>
        <w:pStyle w:val="9"/>
        <w:ind w:firstLine="640" w:firstLineChars="200"/>
        <w:rPr>
          <w:rFonts w:asciiTheme="minorEastAsia" w:hAnsiTheme="minorEastAsia" w:eastAsiaTheme="minorEastAsia"/>
          <w:sz w:val="32"/>
          <w:szCs w:val="32"/>
        </w:rPr>
      </w:pPr>
      <w:r>
        <w:rPr>
          <w:rFonts w:hint="eastAsia" w:asciiTheme="minorEastAsia" w:hAnsiTheme="minorEastAsia" w:eastAsiaTheme="minorEastAsia"/>
          <w:sz w:val="32"/>
          <w:szCs w:val="32"/>
        </w:rPr>
        <w:t>截至2021年12月31日，部门（单位）共有车辆</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辆，其中，特种专业技术用车</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辆、其他用车</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辆，其他用车主要是业务用车；单位价值50万元以上通用设备</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台（套）；单位价值100万元以上专用设备</w:t>
      </w:r>
      <w:r>
        <w:rPr>
          <w:rFonts w:hint="eastAsia" w:asciiTheme="minorEastAsia" w:hAnsiTheme="minorEastAsia" w:eastAsiaTheme="minorEastAsia"/>
          <w:sz w:val="32"/>
          <w:szCs w:val="32"/>
          <w:lang w:val="en-US" w:eastAsia="zh-CN"/>
        </w:rPr>
        <w:t>0</w:t>
      </w:r>
      <w:r>
        <w:rPr>
          <w:rFonts w:hint="eastAsia" w:asciiTheme="minorEastAsia" w:hAnsiTheme="minorEastAsia" w:eastAsiaTheme="minorEastAsia"/>
          <w:sz w:val="32"/>
          <w:szCs w:val="32"/>
        </w:rPr>
        <w:t>台（套）。</w:t>
      </w:r>
    </w:p>
    <w:p>
      <w:pPr>
        <w:pStyle w:val="9"/>
        <w:rPr>
          <w:rFonts w:hAnsi="黑体"/>
          <w:b/>
          <w:sz w:val="32"/>
          <w:szCs w:val="32"/>
        </w:rPr>
      </w:pPr>
      <w:r>
        <w:rPr>
          <w:rFonts w:hint="eastAsia" w:hAnsi="黑体"/>
          <w:b/>
          <w:sz w:val="32"/>
          <w:szCs w:val="32"/>
        </w:rPr>
        <w:t>十三、2021年度预算绩效情况说明</w:t>
      </w:r>
    </w:p>
    <w:p>
      <w:pPr>
        <w:autoSpaceDE w:val="0"/>
        <w:autoSpaceDN w:val="0"/>
        <w:adjustRightInd w:val="0"/>
        <w:ind w:firstLine="640" w:firstLineChars="200"/>
        <w:jc w:val="left"/>
        <w:rPr>
          <w:rFonts w:hint="default" w:cs="黑体" w:asciiTheme="minorEastAsia" w:hAnsiTheme="minorEastAsia"/>
          <w:color w:val="000000"/>
          <w:kern w:val="0"/>
          <w:sz w:val="32"/>
          <w:szCs w:val="32"/>
          <w:highlight w:val="none"/>
          <w:lang w:val="en-US"/>
        </w:rPr>
      </w:pPr>
      <w:r>
        <w:rPr>
          <w:rFonts w:hint="eastAsia" w:cs="黑体" w:asciiTheme="minorEastAsia" w:hAnsiTheme="minorEastAsia"/>
          <w:color w:val="000000"/>
          <w:kern w:val="0"/>
          <w:sz w:val="32"/>
          <w:szCs w:val="32"/>
          <w:highlight w:val="none"/>
          <w:lang w:val="en-US" w:eastAsia="zh-CN"/>
        </w:rPr>
        <w:t>本</w:t>
      </w:r>
      <w:r>
        <w:rPr>
          <w:rFonts w:hint="eastAsia" w:cs="黑体" w:asciiTheme="minorEastAsia" w:hAnsiTheme="minorEastAsia"/>
          <w:color w:val="000000"/>
          <w:kern w:val="0"/>
          <w:sz w:val="32"/>
          <w:szCs w:val="32"/>
          <w:highlight w:val="none"/>
        </w:rPr>
        <w:t>单位202</w:t>
      </w:r>
      <w:r>
        <w:rPr>
          <w:rFonts w:hint="eastAsia" w:cs="黑体" w:asciiTheme="minorEastAsia" w:hAnsiTheme="minorEastAsia"/>
          <w:color w:val="000000"/>
          <w:kern w:val="0"/>
          <w:sz w:val="32"/>
          <w:szCs w:val="32"/>
          <w:highlight w:val="none"/>
          <w:lang w:val="en-US" w:eastAsia="zh-CN"/>
        </w:rPr>
        <w:t>1</w:t>
      </w:r>
      <w:r>
        <w:rPr>
          <w:rFonts w:hint="eastAsia" w:cs="黑体" w:asciiTheme="minorEastAsia" w:hAnsiTheme="minorEastAsia"/>
          <w:color w:val="000000"/>
          <w:kern w:val="0"/>
          <w:sz w:val="32"/>
          <w:szCs w:val="32"/>
          <w:highlight w:val="none"/>
        </w:rPr>
        <w:t>年</w:t>
      </w:r>
      <w:r>
        <w:rPr>
          <w:rFonts w:hint="eastAsia" w:cs="黑体" w:asciiTheme="minorEastAsia" w:hAnsiTheme="minorEastAsia"/>
          <w:color w:val="000000"/>
          <w:kern w:val="0"/>
          <w:sz w:val="32"/>
          <w:szCs w:val="32"/>
          <w:highlight w:val="none"/>
          <w:lang w:val="en-US" w:eastAsia="zh-CN"/>
        </w:rPr>
        <w:t>度</w:t>
      </w:r>
      <w:r>
        <w:rPr>
          <w:rFonts w:hint="eastAsia" w:cs="黑体" w:asciiTheme="minorEastAsia" w:hAnsiTheme="minorEastAsia"/>
          <w:color w:val="000000"/>
          <w:kern w:val="0"/>
          <w:sz w:val="32"/>
          <w:szCs w:val="32"/>
          <w:highlight w:val="none"/>
        </w:rPr>
        <w:t>绩效评价</w:t>
      </w:r>
      <w:r>
        <w:rPr>
          <w:rFonts w:hint="eastAsia" w:cs="黑体" w:asciiTheme="minorEastAsia" w:hAnsiTheme="minorEastAsia"/>
          <w:color w:val="000000"/>
          <w:kern w:val="0"/>
          <w:sz w:val="32"/>
          <w:szCs w:val="32"/>
          <w:highlight w:val="none"/>
          <w:lang w:val="en-US" w:eastAsia="zh-CN"/>
        </w:rPr>
        <w:t>已</w:t>
      </w:r>
      <w:r>
        <w:rPr>
          <w:rFonts w:hint="eastAsia" w:cs="黑体" w:asciiTheme="minorEastAsia" w:hAnsiTheme="minorEastAsia"/>
          <w:color w:val="000000"/>
          <w:kern w:val="0"/>
          <w:sz w:val="32"/>
          <w:szCs w:val="32"/>
          <w:highlight w:val="none"/>
        </w:rPr>
        <w:t>纳入省文化和旅游厅部门整体绩效评价，</w:t>
      </w:r>
      <w:r>
        <w:rPr>
          <w:rFonts w:hint="eastAsia" w:cs="黑体" w:asciiTheme="minorEastAsia" w:hAnsiTheme="minorEastAsia"/>
          <w:color w:val="000000"/>
          <w:kern w:val="0"/>
          <w:sz w:val="32"/>
          <w:szCs w:val="32"/>
          <w:highlight w:val="none"/>
          <w:lang w:val="en-US" w:eastAsia="zh-CN"/>
        </w:rPr>
        <w:t>绩效报告情况见省文旅厅公示网页。</w:t>
      </w:r>
    </w:p>
    <w:p>
      <w:pPr>
        <w:rPr>
          <w:rFonts w:hint="eastAsia" w:cs="黑体" w:asciiTheme="minorEastAsia" w:hAnsiTheme="minorEastAsia"/>
          <w:color w:val="000000"/>
          <w:kern w:val="0"/>
          <w:sz w:val="32"/>
          <w:szCs w:val="32"/>
          <w:highlight w:val="none"/>
        </w:rPr>
      </w:pPr>
      <w:r>
        <w:rPr>
          <w:rFonts w:hint="eastAsia" w:cs="黑体" w:asciiTheme="minorEastAsia" w:hAnsiTheme="minorEastAsia"/>
          <w:color w:val="000000"/>
          <w:kern w:val="0"/>
          <w:sz w:val="32"/>
          <w:szCs w:val="32"/>
          <w:highlight w:val="none"/>
        </w:rPr>
        <w:br w:type="page"/>
      </w:r>
    </w:p>
    <w:p>
      <w:pPr>
        <w:pStyle w:val="9"/>
        <w:rPr>
          <w:sz w:val="72"/>
          <w:szCs w:val="72"/>
        </w:rPr>
      </w:pPr>
    </w:p>
    <w:p>
      <w:pPr>
        <w:pStyle w:val="9"/>
        <w:rPr>
          <w:sz w:val="72"/>
          <w:szCs w:val="72"/>
        </w:rPr>
      </w:pPr>
    </w:p>
    <w:p>
      <w:pPr>
        <w:pStyle w:val="9"/>
        <w:jc w:val="center"/>
        <w:rPr>
          <w:sz w:val="72"/>
          <w:szCs w:val="72"/>
        </w:rPr>
      </w:pPr>
    </w:p>
    <w:p>
      <w:pPr>
        <w:pStyle w:val="9"/>
        <w:jc w:val="center"/>
        <w:rPr>
          <w:sz w:val="72"/>
          <w:szCs w:val="72"/>
        </w:rPr>
      </w:pPr>
    </w:p>
    <w:p>
      <w:pPr>
        <w:pStyle w:val="9"/>
        <w:jc w:val="center"/>
        <w:rPr>
          <w:sz w:val="72"/>
          <w:szCs w:val="72"/>
        </w:rPr>
      </w:pPr>
    </w:p>
    <w:p>
      <w:pPr>
        <w:pStyle w:val="9"/>
        <w:jc w:val="center"/>
        <w:rPr>
          <w:sz w:val="72"/>
          <w:szCs w:val="72"/>
        </w:rPr>
      </w:pPr>
      <w:r>
        <w:rPr>
          <w:rFonts w:hint="eastAsia"/>
          <w:sz w:val="72"/>
          <w:szCs w:val="72"/>
        </w:rPr>
        <w:t>第四部分</w:t>
      </w:r>
    </w:p>
    <w:p>
      <w:pPr>
        <w:jc w:val="center"/>
        <w:rPr>
          <w:rFonts w:ascii="黑体" w:eastAsia="黑体" w:cs="黑体"/>
          <w:color w:val="000000"/>
          <w:kern w:val="0"/>
          <w:sz w:val="70"/>
          <w:szCs w:val="70"/>
        </w:rPr>
      </w:pPr>
    </w:p>
    <w:p>
      <w:pPr>
        <w:jc w:val="center"/>
        <w:rPr>
          <w:rFonts w:ascii="黑体" w:eastAsia="黑体" w:cs="黑体"/>
          <w:color w:val="000000"/>
          <w:kern w:val="0"/>
          <w:sz w:val="70"/>
          <w:szCs w:val="70"/>
        </w:rPr>
      </w:pPr>
      <w:r>
        <w:rPr>
          <w:rFonts w:hint="eastAsia" w:ascii="黑体" w:eastAsia="黑体" w:cs="黑体"/>
          <w:color w:val="000000"/>
          <w:kern w:val="0"/>
          <w:sz w:val="70"/>
          <w:szCs w:val="70"/>
        </w:rPr>
        <w:t>名词解释</w:t>
      </w:r>
    </w:p>
    <w:p>
      <w:pPr>
        <w:widowControl/>
        <w:jc w:val="left"/>
        <w:rPr>
          <w:rFonts w:ascii="黑体" w:eastAsia="黑体" w:cs="黑体"/>
          <w:color w:val="000000"/>
          <w:kern w:val="0"/>
          <w:sz w:val="70"/>
          <w:szCs w:val="70"/>
        </w:rPr>
      </w:pPr>
      <w:r>
        <w:rPr>
          <w:rFonts w:ascii="黑体" w:eastAsia="黑体" w:cs="黑体"/>
          <w:color w:val="000000"/>
          <w:kern w:val="0"/>
          <w:sz w:val="70"/>
          <w:szCs w:val="70"/>
        </w:rPr>
        <w:br w:type="page"/>
      </w:r>
    </w:p>
    <w:p>
      <w:pPr>
        <w:keepNext w:val="0"/>
        <w:keepLines w:val="0"/>
        <w:pageBreakBefore w:val="0"/>
        <w:widowControl w:val="0"/>
        <w:kinsoku/>
        <w:wordWrap/>
        <w:overflowPunct/>
        <w:topLinePunct w:val="0"/>
        <w:autoSpaceDE/>
        <w:autoSpaceDN/>
        <w:bidi w:val="0"/>
        <w:adjustRightInd/>
        <w:snapToGrid/>
        <w:ind w:firstLine="640" w:firstLineChars="200"/>
        <w:jc w:val="left"/>
        <w:textAlignment w:val="auto"/>
        <w:rPr>
          <w:rFonts w:hint="eastAsia" w:ascii="宋体" w:hAnsi="宋体" w:cs="黑体"/>
          <w:color w:val="000000"/>
          <w:kern w:val="0"/>
          <w:sz w:val="32"/>
          <w:szCs w:val="32"/>
        </w:rPr>
      </w:pPr>
      <w:r>
        <w:rPr>
          <w:rFonts w:hint="eastAsia" w:ascii="宋体" w:hAnsi="宋体" w:cs="黑体"/>
          <w:color w:val="000000"/>
          <w:kern w:val="0"/>
          <w:sz w:val="32"/>
          <w:szCs w:val="32"/>
        </w:rPr>
        <w:t>一、财政拨款收入：指省级财政当年拨付的资金。</w:t>
      </w:r>
    </w:p>
    <w:p>
      <w:pPr>
        <w:ind w:firstLine="640" w:firstLineChars="200"/>
        <w:jc w:val="left"/>
        <w:rPr>
          <w:rFonts w:hint="eastAsia" w:ascii="宋体" w:hAnsi="宋体" w:cs="黑体"/>
          <w:color w:val="000000"/>
          <w:kern w:val="0"/>
          <w:sz w:val="32"/>
          <w:szCs w:val="32"/>
        </w:rPr>
      </w:pPr>
      <w:r>
        <w:rPr>
          <w:rFonts w:hint="eastAsia" w:ascii="宋体" w:hAnsi="宋体" w:cs="黑体"/>
          <w:color w:val="000000"/>
          <w:kern w:val="0"/>
          <w:sz w:val="32"/>
          <w:szCs w:val="32"/>
          <w:lang w:val="en-US" w:eastAsia="zh-Hans"/>
        </w:rPr>
        <w:t>二</w:t>
      </w:r>
      <w:r>
        <w:rPr>
          <w:rFonts w:hint="default" w:ascii="宋体" w:hAnsi="宋体" w:cs="黑体"/>
          <w:color w:val="000000"/>
          <w:kern w:val="0"/>
          <w:sz w:val="32"/>
          <w:szCs w:val="32"/>
          <w:lang w:eastAsia="zh-Hans"/>
        </w:rPr>
        <w:t>、</w:t>
      </w:r>
      <w:r>
        <w:rPr>
          <w:rFonts w:hint="eastAsia" w:ascii="宋体" w:hAnsi="宋体" w:cs="黑体"/>
          <w:color w:val="000000"/>
          <w:kern w:val="0"/>
          <w:sz w:val="32"/>
          <w:szCs w:val="32"/>
        </w:rPr>
        <w:t>其他收入：指除“财政拨款收入”以外的收入。主要是上级单位拨款、存款利息收入等。</w:t>
      </w:r>
    </w:p>
    <w:p>
      <w:pPr>
        <w:ind w:firstLine="640" w:firstLineChars="200"/>
        <w:jc w:val="left"/>
        <w:rPr>
          <w:rFonts w:hint="eastAsia" w:ascii="宋体" w:hAnsi="宋体" w:cs="黑体"/>
          <w:color w:val="000000"/>
          <w:kern w:val="0"/>
          <w:sz w:val="32"/>
          <w:szCs w:val="32"/>
        </w:rPr>
      </w:pPr>
      <w:r>
        <w:rPr>
          <w:rFonts w:hint="eastAsia" w:ascii="宋体" w:hAnsi="宋体" w:cs="黑体"/>
          <w:color w:val="000000"/>
          <w:kern w:val="0"/>
          <w:sz w:val="32"/>
          <w:szCs w:val="32"/>
          <w:lang w:val="en-US" w:eastAsia="zh-Hans"/>
        </w:rPr>
        <w:t>三</w:t>
      </w:r>
      <w:r>
        <w:rPr>
          <w:rFonts w:hint="default" w:ascii="宋体" w:hAnsi="宋体" w:cs="黑体"/>
          <w:color w:val="000000"/>
          <w:kern w:val="0"/>
          <w:sz w:val="32"/>
          <w:szCs w:val="32"/>
          <w:lang w:eastAsia="zh-Hans"/>
        </w:rPr>
        <w:t>、</w:t>
      </w:r>
      <w:r>
        <w:rPr>
          <w:rFonts w:hint="eastAsia" w:ascii="宋体" w:hAnsi="宋体" w:cs="黑体"/>
          <w:color w:val="000000"/>
          <w:kern w:val="0"/>
          <w:sz w:val="32"/>
          <w:szCs w:val="32"/>
        </w:rPr>
        <w:t>基本支出：指为保障机构正常运转、完成日常工作任务而发生的行政单位（含参照公务员法管理的事业单位）履行一般行政管理职能，维持机关日常运转所必须开支的费用，包括用于工资、津贴及奖金等的人员经费和用于办公、水电费等的公用经费。</w:t>
      </w:r>
    </w:p>
    <w:p>
      <w:pPr>
        <w:ind w:firstLine="640" w:firstLineChars="200"/>
        <w:jc w:val="left"/>
        <w:rPr>
          <w:rFonts w:hint="eastAsia" w:ascii="宋体" w:hAnsi="宋体" w:cs="黑体"/>
          <w:color w:val="000000"/>
          <w:kern w:val="0"/>
          <w:sz w:val="32"/>
          <w:szCs w:val="32"/>
        </w:rPr>
      </w:pPr>
      <w:r>
        <w:rPr>
          <w:rFonts w:hint="eastAsia" w:ascii="宋体" w:hAnsi="宋体" w:cs="黑体"/>
          <w:color w:val="000000"/>
          <w:kern w:val="0"/>
          <w:sz w:val="32"/>
          <w:szCs w:val="32"/>
          <w:lang w:val="en-US" w:eastAsia="zh-Hans"/>
        </w:rPr>
        <w:t>四</w:t>
      </w:r>
      <w:r>
        <w:rPr>
          <w:rFonts w:hint="default" w:ascii="宋体" w:hAnsi="宋体" w:cs="黑体"/>
          <w:color w:val="000000"/>
          <w:kern w:val="0"/>
          <w:sz w:val="32"/>
          <w:szCs w:val="32"/>
          <w:lang w:eastAsia="zh-Hans"/>
        </w:rPr>
        <w:t>、</w:t>
      </w:r>
      <w:r>
        <w:rPr>
          <w:rFonts w:hint="eastAsia" w:ascii="宋体" w:hAnsi="宋体" w:cs="黑体"/>
          <w:color w:val="000000"/>
          <w:kern w:val="0"/>
          <w:sz w:val="32"/>
          <w:szCs w:val="32"/>
        </w:rPr>
        <w:t>项目支出：指在基本支出之外为完成特定行政任务和事业发展目标所发生的支出。</w:t>
      </w:r>
    </w:p>
    <w:p>
      <w:pPr>
        <w:ind w:firstLine="640" w:firstLineChars="200"/>
        <w:jc w:val="left"/>
        <w:rPr>
          <w:rFonts w:hint="eastAsia" w:ascii="宋体" w:hAnsi="宋体" w:cs="黑体"/>
          <w:color w:val="000000"/>
          <w:kern w:val="0"/>
          <w:sz w:val="32"/>
          <w:szCs w:val="32"/>
        </w:rPr>
      </w:pPr>
      <w:r>
        <w:rPr>
          <w:rFonts w:hint="eastAsia" w:ascii="宋体" w:hAnsi="宋体" w:cs="黑体"/>
          <w:color w:val="000000"/>
          <w:kern w:val="0"/>
          <w:sz w:val="32"/>
          <w:szCs w:val="32"/>
          <w:lang w:val="en-US" w:eastAsia="zh-Hans"/>
        </w:rPr>
        <w:t>五</w:t>
      </w:r>
      <w:r>
        <w:rPr>
          <w:rFonts w:hint="default" w:ascii="宋体" w:hAnsi="宋体" w:cs="黑体"/>
          <w:color w:val="000000"/>
          <w:kern w:val="0"/>
          <w:sz w:val="32"/>
          <w:szCs w:val="32"/>
          <w:lang w:eastAsia="zh-Hans"/>
        </w:rPr>
        <w:t>、</w:t>
      </w:r>
      <w:r>
        <w:rPr>
          <w:rFonts w:hint="eastAsia" w:ascii="宋体" w:hAnsi="宋体" w:cs="黑体"/>
          <w:color w:val="000000"/>
          <w:kern w:val="0"/>
          <w:sz w:val="32"/>
          <w:szCs w:val="32"/>
        </w:rPr>
        <w:t>年初结转和结余：指以前年度尚未完成、结转到本年仍按原规定用途继续使用的资金，或项目已完成等产生的结余资金。</w:t>
      </w:r>
    </w:p>
    <w:p>
      <w:pPr>
        <w:ind w:firstLine="640" w:firstLineChars="200"/>
        <w:jc w:val="left"/>
        <w:rPr>
          <w:rFonts w:hint="eastAsia" w:ascii="宋体" w:hAnsi="宋体" w:cs="黑体"/>
          <w:color w:val="000000"/>
          <w:kern w:val="0"/>
          <w:sz w:val="32"/>
          <w:szCs w:val="32"/>
        </w:rPr>
      </w:pPr>
      <w:r>
        <w:rPr>
          <w:rFonts w:hint="eastAsia" w:ascii="宋体" w:hAnsi="宋体" w:cs="黑体"/>
          <w:color w:val="000000"/>
          <w:kern w:val="0"/>
          <w:sz w:val="32"/>
          <w:szCs w:val="32"/>
          <w:lang w:val="en-US" w:eastAsia="zh-Hans"/>
        </w:rPr>
        <w:t>六</w:t>
      </w:r>
      <w:r>
        <w:rPr>
          <w:rFonts w:hint="default" w:ascii="宋体" w:hAnsi="宋体" w:cs="黑体"/>
          <w:color w:val="000000"/>
          <w:kern w:val="0"/>
          <w:sz w:val="32"/>
          <w:szCs w:val="32"/>
          <w:lang w:eastAsia="zh-Hans"/>
        </w:rPr>
        <w:t>、</w:t>
      </w:r>
      <w:r>
        <w:rPr>
          <w:rFonts w:hint="eastAsia" w:ascii="宋体" w:hAnsi="宋体" w:cs="黑体"/>
          <w:color w:val="000000"/>
          <w:kern w:val="0"/>
          <w:sz w:val="32"/>
          <w:szCs w:val="32"/>
        </w:rPr>
        <w:t>年末结转和结余：指单位按有关规定结转到下年或以后年度继续使用的资金。</w:t>
      </w:r>
    </w:p>
    <w:p>
      <w:pPr>
        <w:ind w:firstLine="640" w:firstLineChars="200"/>
        <w:jc w:val="left"/>
        <w:rPr>
          <w:rFonts w:cs="黑体" w:asciiTheme="minorEastAsia" w:hAnsiTheme="minorEastAsia"/>
          <w:color w:val="000000"/>
          <w:kern w:val="0"/>
          <w:sz w:val="32"/>
          <w:szCs w:val="32"/>
        </w:rPr>
      </w:pPr>
      <w:r>
        <w:rPr>
          <w:rFonts w:hint="eastAsia" w:ascii="宋体" w:hAnsi="宋体" w:cs="黑体"/>
          <w:color w:val="000000"/>
          <w:kern w:val="0"/>
          <w:sz w:val="32"/>
          <w:szCs w:val="32"/>
          <w:lang w:val="en-US" w:eastAsia="zh-Hans"/>
        </w:rPr>
        <w:t>七</w:t>
      </w:r>
      <w:r>
        <w:rPr>
          <w:rFonts w:hint="default" w:ascii="宋体" w:hAnsi="宋体" w:cs="黑体"/>
          <w:color w:val="000000"/>
          <w:kern w:val="0"/>
          <w:sz w:val="32"/>
          <w:szCs w:val="32"/>
          <w:lang w:eastAsia="zh-Hans"/>
        </w:rPr>
        <w:t>、</w:t>
      </w:r>
      <w:r>
        <w:rPr>
          <w:rFonts w:hint="eastAsia" w:ascii="宋体" w:hAnsi="宋体" w:cs="黑体"/>
          <w:color w:val="000000"/>
          <w:kern w:val="0"/>
          <w:sz w:val="32"/>
          <w:szCs w:val="32"/>
        </w:rPr>
        <w:t>“三公”经费：纳入省（市／县）财政预算管理的“三公</w:t>
      </w:r>
      <w:r>
        <w:rPr>
          <w:rFonts w:hint="default" w:ascii="宋体" w:hAnsi="宋体" w:cs="黑体"/>
          <w:color w:val="000000"/>
          <w:kern w:val="0"/>
          <w:sz w:val="32"/>
          <w:szCs w:val="32"/>
          <w:lang w:val="en-US" w:eastAsia="zh-CN"/>
        </w:rPr>
        <w:t>”</w:t>
      </w:r>
      <w:r>
        <w:rPr>
          <w:rFonts w:hint="eastAsia" w:ascii="宋体" w:hAnsi="宋体" w:cs="黑体"/>
          <w:color w:val="000000"/>
          <w:kern w:val="0"/>
          <w:sz w:val="32"/>
          <w:szCs w:val="32"/>
        </w:rPr>
        <w:t>经费，是指用一般公共预算拨款安排的公务接待费、公务用车购置及运行维护费和因公出国（境）费。其中，公务接待费反映单位按规定开支的各类公务接待支出；公务用车购置及运行费反映单位公务用车车辆购置支出（含车辆购置税），以及燃料费、维修费、保险费等支出；因公出国（境）费反映单位公务出国（境）的国际旅费、国外城市间交通费、住宿费、伙食费、培训费、公杂费等等支出。</w:t>
      </w:r>
    </w:p>
    <w:p>
      <w:pPr>
        <w:rPr>
          <w:sz w:val="72"/>
          <w:szCs w:val="72"/>
        </w:rPr>
      </w:pPr>
      <w:r>
        <w:rPr>
          <w:sz w:val="72"/>
          <w:szCs w:val="72"/>
        </w:rPr>
        <w:br w:type="page"/>
      </w:r>
    </w:p>
    <w:p>
      <w:pPr>
        <w:pStyle w:val="9"/>
        <w:jc w:val="center"/>
        <w:rPr>
          <w:sz w:val="72"/>
          <w:szCs w:val="72"/>
        </w:rPr>
      </w:pPr>
    </w:p>
    <w:p>
      <w:pPr>
        <w:pStyle w:val="9"/>
        <w:jc w:val="center"/>
        <w:rPr>
          <w:sz w:val="72"/>
          <w:szCs w:val="72"/>
        </w:rPr>
      </w:pPr>
    </w:p>
    <w:p>
      <w:pPr>
        <w:pStyle w:val="9"/>
        <w:jc w:val="center"/>
        <w:rPr>
          <w:sz w:val="72"/>
          <w:szCs w:val="72"/>
        </w:rPr>
      </w:pPr>
    </w:p>
    <w:p>
      <w:pPr>
        <w:pStyle w:val="9"/>
        <w:jc w:val="center"/>
        <w:rPr>
          <w:sz w:val="72"/>
          <w:szCs w:val="72"/>
        </w:rPr>
      </w:pPr>
    </w:p>
    <w:p>
      <w:pPr>
        <w:pStyle w:val="9"/>
        <w:jc w:val="center"/>
        <w:rPr>
          <w:sz w:val="72"/>
          <w:szCs w:val="72"/>
        </w:rPr>
      </w:pPr>
    </w:p>
    <w:p>
      <w:pPr>
        <w:pStyle w:val="9"/>
        <w:jc w:val="center"/>
        <w:rPr>
          <w:sz w:val="72"/>
          <w:szCs w:val="72"/>
        </w:rPr>
      </w:pPr>
      <w:r>
        <w:rPr>
          <w:rFonts w:hint="eastAsia"/>
          <w:sz w:val="72"/>
          <w:szCs w:val="72"/>
        </w:rPr>
        <w:t>第五部分</w:t>
      </w:r>
    </w:p>
    <w:p>
      <w:pPr>
        <w:jc w:val="center"/>
        <w:rPr>
          <w:rFonts w:ascii="黑体" w:eastAsia="黑体" w:cs="黑体"/>
          <w:color w:val="000000"/>
          <w:kern w:val="0"/>
          <w:sz w:val="70"/>
          <w:szCs w:val="70"/>
        </w:rPr>
      </w:pPr>
    </w:p>
    <w:p>
      <w:pPr>
        <w:jc w:val="center"/>
        <w:rPr>
          <w:rFonts w:ascii="黑体" w:eastAsia="黑体" w:cs="黑体"/>
          <w:color w:val="000000"/>
          <w:kern w:val="0"/>
          <w:sz w:val="70"/>
          <w:szCs w:val="70"/>
        </w:rPr>
      </w:pPr>
      <w:r>
        <w:rPr>
          <w:rFonts w:hint="eastAsia" w:ascii="黑体" w:eastAsia="黑体" w:cs="黑体"/>
          <w:color w:val="000000"/>
          <w:kern w:val="0"/>
          <w:sz w:val="70"/>
          <w:szCs w:val="70"/>
        </w:rPr>
        <w:t>附件</w:t>
      </w:r>
    </w:p>
    <w:p>
      <w:pPr>
        <w:widowControl/>
        <w:jc w:val="left"/>
        <w:rPr>
          <w:rFonts w:ascii="黑体" w:eastAsia="黑体" w:cs="黑体"/>
          <w:color w:val="000000"/>
          <w:kern w:val="0"/>
          <w:sz w:val="70"/>
          <w:szCs w:val="70"/>
        </w:rPr>
      </w:pPr>
      <w:r>
        <w:rPr>
          <w:rFonts w:ascii="黑体" w:eastAsia="黑体" w:cs="黑体"/>
          <w:color w:val="000000"/>
          <w:kern w:val="0"/>
          <w:sz w:val="70"/>
          <w:szCs w:val="70"/>
        </w:rPr>
        <w:br w:type="page"/>
      </w:r>
    </w:p>
    <w:p>
      <w:pPr>
        <w:jc w:val="center"/>
        <w:rPr>
          <w:rFonts w:ascii="黑体" w:eastAsia="黑体" w:cs="黑体"/>
          <w:color w:val="000000"/>
          <w:kern w:val="0"/>
          <w:sz w:val="70"/>
          <w:szCs w:val="70"/>
        </w:rPr>
      </w:pPr>
    </w:p>
    <w:p>
      <w:pPr>
        <w:ind w:firstLine="640" w:firstLineChars="200"/>
        <w:jc w:val="center"/>
        <w:rPr>
          <w:rFonts w:cs="黑体" w:asciiTheme="minorEastAsia" w:hAnsiTheme="minorEastAsia"/>
          <w:b/>
          <w:color w:val="000000"/>
          <w:kern w:val="0"/>
          <w:sz w:val="32"/>
          <w:szCs w:val="32"/>
        </w:rPr>
      </w:pPr>
      <w:r>
        <w:rPr>
          <w:rFonts w:hint="eastAsia" w:cs="黑体" w:asciiTheme="minorEastAsia" w:hAnsiTheme="minorEastAsia"/>
          <w:b/>
          <w:color w:val="000000"/>
          <w:kern w:val="0"/>
          <w:sz w:val="32"/>
          <w:szCs w:val="32"/>
        </w:rPr>
        <w:t>2021年度部门整体支出绩效评价报告</w:t>
      </w:r>
    </w:p>
    <w:p>
      <w:pPr>
        <w:autoSpaceDE w:val="0"/>
        <w:autoSpaceDN w:val="0"/>
        <w:adjustRightInd w:val="0"/>
        <w:ind w:firstLine="640" w:firstLineChars="200"/>
        <w:jc w:val="left"/>
        <w:rPr>
          <w:rFonts w:hint="default" w:cs="黑体" w:asciiTheme="minorEastAsia" w:hAnsiTheme="minorEastAsia"/>
          <w:color w:val="000000"/>
          <w:kern w:val="0"/>
          <w:sz w:val="32"/>
          <w:szCs w:val="32"/>
          <w:highlight w:val="none"/>
          <w:lang w:val="en-US"/>
        </w:rPr>
      </w:pPr>
      <w:r>
        <w:rPr>
          <w:rFonts w:hint="eastAsia" w:ascii="宋体" w:hAnsi="宋体" w:cs="黑体"/>
          <w:color w:val="000000"/>
          <w:kern w:val="0"/>
          <w:sz w:val="32"/>
          <w:szCs w:val="32"/>
          <w:lang w:val="en-US" w:eastAsia="zh-CN"/>
        </w:rPr>
        <w:t>本单位无附件，</w:t>
      </w:r>
      <w:r>
        <w:rPr>
          <w:rFonts w:hint="eastAsia" w:cs="黑体" w:asciiTheme="minorEastAsia" w:hAnsiTheme="minorEastAsia"/>
          <w:color w:val="000000"/>
          <w:kern w:val="0"/>
          <w:sz w:val="32"/>
          <w:szCs w:val="32"/>
          <w:highlight w:val="none"/>
        </w:rPr>
        <w:t>202</w:t>
      </w:r>
      <w:r>
        <w:rPr>
          <w:rFonts w:hint="eastAsia" w:cs="黑体" w:asciiTheme="minorEastAsia" w:hAnsiTheme="minorEastAsia"/>
          <w:color w:val="000000"/>
          <w:kern w:val="0"/>
          <w:sz w:val="32"/>
          <w:szCs w:val="32"/>
          <w:highlight w:val="none"/>
          <w:lang w:val="en-US" w:eastAsia="zh-CN"/>
        </w:rPr>
        <w:t>1</w:t>
      </w:r>
      <w:r>
        <w:rPr>
          <w:rFonts w:hint="eastAsia" w:cs="黑体" w:asciiTheme="minorEastAsia" w:hAnsiTheme="minorEastAsia"/>
          <w:color w:val="000000"/>
          <w:kern w:val="0"/>
          <w:sz w:val="32"/>
          <w:szCs w:val="32"/>
          <w:highlight w:val="none"/>
        </w:rPr>
        <w:t>年</w:t>
      </w:r>
      <w:r>
        <w:rPr>
          <w:rFonts w:hint="eastAsia" w:cs="黑体" w:asciiTheme="minorEastAsia" w:hAnsiTheme="minorEastAsia"/>
          <w:color w:val="000000"/>
          <w:kern w:val="0"/>
          <w:sz w:val="32"/>
          <w:szCs w:val="32"/>
          <w:highlight w:val="none"/>
          <w:lang w:val="en-US" w:eastAsia="zh-CN"/>
        </w:rPr>
        <w:t>度</w:t>
      </w:r>
      <w:r>
        <w:rPr>
          <w:rFonts w:hint="eastAsia" w:cs="黑体" w:asciiTheme="minorEastAsia" w:hAnsiTheme="minorEastAsia"/>
          <w:color w:val="000000"/>
          <w:kern w:val="0"/>
          <w:sz w:val="32"/>
          <w:szCs w:val="32"/>
          <w:highlight w:val="none"/>
        </w:rPr>
        <w:t>绩效评价</w:t>
      </w:r>
      <w:r>
        <w:rPr>
          <w:rFonts w:hint="eastAsia" w:cs="黑体" w:asciiTheme="minorEastAsia" w:hAnsiTheme="minorEastAsia"/>
          <w:color w:val="000000"/>
          <w:kern w:val="0"/>
          <w:sz w:val="32"/>
          <w:szCs w:val="32"/>
          <w:highlight w:val="none"/>
          <w:lang w:val="en-US" w:eastAsia="zh-CN"/>
        </w:rPr>
        <w:t>已</w:t>
      </w:r>
      <w:r>
        <w:rPr>
          <w:rFonts w:hint="eastAsia" w:cs="黑体" w:asciiTheme="minorEastAsia" w:hAnsiTheme="minorEastAsia"/>
          <w:color w:val="000000"/>
          <w:kern w:val="0"/>
          <w:sz w:val="32"/>
          <w:szCs w:val="32"/>
          <w:highlight w:val="none"/>
        </w:rPr>
        <w:t>纳入省文化和旅游厅部门整体绩效评价，</w:t>
      </w:r>
      <w:r>
        <w:rPr>
          <w:rFonts w:hint="eastAsia" w:cs="黑体" w:asciiTheme="minorEastAsia" w:hAnsiTheme="minorEastAsia"/>
          <w:color w:val="000000"/>
          <w:kern w:val="0"/>
          <w:sz w:val="32"/>
          <w:szCs w:val="32"/>
          <w:highlight w:val="none"/>
          <w:lang w:val="en-US" w:eastAsia="zh-CN"/>
        </w:rPr>
        <w:t>绩效报告情况见省文旅厅公示网页。</w:t>
      </w:r>
    </w:p>
    <w:p>
      <w:pPr>
        <w:keepNext w:val="0"/>
        <w:keepLines w:val="0"/>
        <w:pageBreakBefore w:val="0"/>
        <w:widowControl w:val="0"/>
        <w:kinsoku/>
        <w:wordWrap/>
        <w:overflowPunct/>
        <w:topLinePunct w:val="0"/>
        <w:autoSpaceDE/>
        <w:autoSpaceDN/>
        <w:bidi w:val="0"/>
        <w:adjustRightInd/>
        <w:snapToGrid/>
        <w:ind w:firstLine="640" w:firstLineChars="200"/>
        <w:jc w:val="left"/>
        <w:textAlignment w:val="auto"/>
        <w:rPr>
          <w:rFonts w:hint="eastAsia" w:ascii="宋体" w:hAnsi="宋体" w:eastAsia="宋体" w:cs="黑体"/>
          <w:color w:val="000000"/>
          <w:kern w:val="0"/>
          <w:sz w:val="32"/>
          <w:szCs w:val="32"/>
          <w:lang w:val="en-US" w:eastAsia="zh-CN"/>
        </w:rPr>
      </w:pPr>
    </w:p>
    <w:p>
      <w:pPr>
        <w:ind w:firstLine="640" w:firstLineChars="200"/>
        <w:jc w:val="left"/>
        <w:rPr>
          <w:rFonts w:cs="黑体" w:asciiTheme="minorEastAsia" w:hAnsiTheme="minorEastAsia"/>
          <w:color w:val="000000"/>
          <w:kern w:val="0"/>
          <w:sz w:val="32"/>
          <w:szCs w:val="32"/>
        </w:rPr>
      </w:pPr>
    </w:p>
    <w:sectPr>
      <w:pgSz w:w="11906" w:h="16838"/>
      <w:pgMar w:top="720" w:right="720" w:bottom="720" w:left="720" w:header="851" w:footer="992" w:gutter="0"/>
      <w:cols w:space="425"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73518C1"/>
    <w:multiLevelType w:val="multilevel"/>
    <w:tmpl w:val="373518C1"/>
    <w:lvl w:ilvl="0" w:tentative="0">
      <w:start w:val="1"/>
      <w:numFmt w:val="none"/>
      <w:lvlText w:val="一、"/>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RkMWZkYTIyNTQyYjA2ZDg3ZDZmMTQwOTRmM2MzYmYifQ=="/>
  </w:docVars>
  <w:rsids>
    <w:rsidRoot w:val="00172A27"/>
    <w:rsid w:val="0002229B"/>
    <w:rsid w:val="000273BD"/>
    <w:rsid w:val="000415B7"/>
    <w:rsid w:val="00041E3F"/>
    <w:rsid w:val="00055DAA"/>
    <w:rsid w:val="00061F7B"/>
    <w:rsid w:val="000658A3"/>
    <w:rsid w:val="00074155"/>
    <w:rsid w:val="000873EF"/>
    <w:rsid w:val="000A3F69"/>
    <w:rsid w:val="00103957"/>
    <w:rsid w:val="00124A1F"/>
    <w:rsid w:val="00152C6D"/>
    <w:rsid w:val="00162D39"/>
    <w:rsid w:val="001678BD"/>
    <w:rsid w:val="00182373"/>
    <w:rsid w:val="001A67DB"/>
    <w:rsid w:val="001C3C29"/>
    <w:rsid w:val="001D51E5"/>
    <w:rsid w:val="001E080D"/>
    <w:rsid w:val="001E53D0"/>
    <w:rsid w:val="001F0C3B"/>
    <w:rsid w:val="00202C14"/>
    <w:rsid w:val="00202C82"/>
    <w:rsid w:val="00214427"/>
    <w:rsid w:val="00226CB7"/>
    <w:rsid w:val="00264552"/>
    <w:rsid w:val="00264EF9"/>
    <w:rsid w:val="00265724"/>
    <w:rsid w:val="0027426B"/>
    <w:rsid w:val="002E0A30"/>
    <w:rsid w:val="003130C4"/>
    <w:rsid w:val="00316C4B"/>
    <w:rsid w:val="0032192B"/>
    <w:rsid w:val="003479BD"/>
    <w:rsid w:val="0037197D"/>
    <w:rsid w:val="003768D5"/>
    <w:rsid w:val="003C4197"/>
    <w:rsid w:val="003C47E6"/>
    <w:rsid w:val="003C4FC2"/>
    <w:rsid w:val="003E2331"/>
    <w:rsid w:val="00416E61"/>
    <w:rsid w:val="0042790C"/>
    <w:rsid w:val="004506F9"/>
    <w:rsid w:val="004717A2"/>
    <w:rsid w:val="00473DF3"/>
    <w:rsid w:val="00487911"/>
    <w:rsid w:val="00491741"/>
    <w:rsid w:val="004B0CEE"/>
    <w:rsid w:val="00500E5F"/>
    <w:rsid w:val="005122EF"/>
    <w:rsid w:val="0051441A"/>
    <w:rsid w:val="00517C33"/>
    <w:rsid w:val="00517D5F"/>
    <w:rsid w:val="00521AF2"/>
    <w:rsid w:val="00523644"/>
    <w:rsid w:val="0054069E"/>
    <w:rsid w:val="00544866"/>
    <w:rsid w:val="005767CC"/>
    <w:rsid w:val="00590D9F"/>
    <w:rsid w:val="00595D26"/>
    <w:rsid w:val="005A74E6"/>
    <w:rsid w:val="005B404E"/>
    <w:rsid w:val="005D4D55"/>
    <w:rsid w:val="005E2CFB"/>
    <w:rsid w:val="005F2103"/>
    <w:rsid w:val="005F3D1C"/>
    <w:rsid w:val="0062378F"/>
    <w:rsid w:val="00641842"/>
    <w:rsid w:val="00651EEC"/>
    <w:rsid w:val="00686673"/>
    <w:rsid w:val="00691E8C"/>
    <w:rsid w:val="006A22C4"/>
    <w:rsid w:val="006A348B"/>
    <w:rsid w:val="006A351B"/>
    <w:rsid w:val="006B0422"/>
    <w:rsid w:val="006C1B53"/>
    <w:rsid w:val="006D7730"/>
    <w:rsid w:val="006E5284"/>
    <w:rsid w:val="006F3EB5"/>
    <w:rsid w:val="00702E34"/>
    <w:rsid w:val="00704395"/>
    <w:rsid w:val="00710FE7"/>
    <w:rsid w:val="00717621"/>
    <w:rsid w:val="00720FF1"/>
    <w:rsid w:val="00727A53"/>
    <w:rsid w:val="00787B42"/>
    <w:rsid w:val="007C4539"/>
    <w:rsid w:val="007F3657"/>
    <w:rsid w:val="00812ED5"/>
    <w:rsid w:val="008277D9"/>
    <w:rsid w:val="0084478C"/>
    <w:rsid w:val="0086638C"/>
    <w:rsid w:val="008A3E8D"/>
    <w:rsid w:val="009237C4"/>
    <w:rsid w:val="00944C48"/>
    <w:rsid w:val="00950252"/>
    <w:rsid w:val="00967F5D"/>
    <w:rsid w:val="009A0F95"/>
    <w:rsid w:val="009B3ADF"/>
    <w:rsid w:val="009C3B52"/>
    <w:rsid w:val="009E6817"/>
    <w:rsid w:val="009E6E9A"/>
    <w:rsid w:val="00A01D2B"/>
    <w:rsid w:val="00A42218"/>
    <w:rsid w:val="00A70249"/>
    <w:rsid w:val="00A70B02"/>
    <w:rsid w:val="00A71D9F"/>
    <w:rsid w:val="00A92E9F"/>
    <w:rsid w:val="00B33BEA"/>
    <w:rsid w:val="00B57C9F"/>
    <w:rsid w:val="00B63572"/>
    <w:rsid w:val="00B845B3"/>
    <w:rsid w:val="00B85D8B"/>
    <w:rsid w:val="00BB4A40"/>
    <w:rsid w:val="00BD6C3E"/>
    <w:rsid w:val="00BE3674"/>
    <w:rsid w:val="00C10681"/>
    <w:rsid w:val="00C3049A"/>
    <w:rsid w:val="00C31B1E"/>
    <w:rsid w:val="00C77645"/>
    <w:rsid w:val="00CE04C3"/>
    <w:rsid w:val="00CE76A0"/>
    <w:rsid w:val="00D148C6"/>
    <w:rsid w:val="00D17A8A"/>
    <w:rsid w:val="00D415BA"/>
    <w:rsid w:val="00D63780"/>
    <w:rsid w:val="00D644EE"/>
    <w:rsid w:val="00D75489"/>
    <w:rsid w:val="00DD06FF"/>
    <w:rsid w:val="00DD5FE9"/>
    <w:rsid w:val="00E00C7A"/>
    <w:rsid w:val="00E209CF"/>
    <w:rsid w:val="00E37D6C"/>
    <w:rsid w:val="00E55B68"/>
    <w:rsid w:val="00E67BE6"/>
    <w:rsid w:val="00E8683C"/>
    <w:rsid w:val="00EA2B72"/>
    <w:rsid w:val="00F74360"/>
    <w:rsid w:val="00FB462F"/>
    <w:rsid w:val="00FE16FA"/>
    <w:rsid w:val="00FE328A"/>
    <w:rsid w:val="00FE6269"/>
    <w:rsid w:val="00FF5CD6"/>
    <w:rsid w:val="01980C30"/>
    <w:rsid w:val="0E6B1364"/>
    <w:rsid w:val="172228CD"/>
    <w:rsid w:val="1D700B65"/>
    <w:rsid w:val="34CF08CF"/>
    <w:rsid w:val="36F60E16"/>
    <w:rsid w:val="391E0297"/>
    <w:rsid w:val="3ED33A62"/>
    <w:rsid w:val="416722E0"/>
    <w:rsid w:val="47CB7BB4"/>
    <w:rsid w:val="4C8D7111"/>
    <w:rsid w:val="4D1B6A50"/>
    <w:rsid w:val="55AA760E"/>
    <w:rsid w:val="5CC12578"/>
    <w:rsid w:val="62AA5EF8"/>
    <w:rsid w:val="64C72442"/>
    <w:rsid w:val="64FC71DC"/>
    <w:rsid w:val="6DBB2CAB"/>
    <w:rsid w:val="6EA449FA"/>
    <w:rsid w:val="728F0764"/>
    <w:rsid w:val="73CD32C2"/>
    <w:rsid w:val="7A85453A"/>
    <w:rsid w:val="7BA2618D"/>
    <w:rsid w:val="7CB616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1"/>
    <w:semiHidden/>
    <w:unhideWhenUsed/>
    <w:qFormat/>
    <w:uiPriority w:val="99"/>
    <w:rPr>
      <w:sz w:val="18"/>
      <w:szCs w:val="18"/>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99"/>
    <w:rPr>
      <w:sz w:val="18"/>
      <w:szCs w:val="18"/>
    </w:rPr>
  </w:style>
  <w:style w:type="character" w:customStyle="1" w:styleId="8">
    <w:name w:val="页脚 Char"/>
    <w:basedOn w:val="6"/>
    <w:link w:val="3"/>
    <w:qFormat/>
    <w:uiPriority w:val="99"/>
    <w:rPr>
      <w:sz w:val="18"/>
      <w:szCs w:val="18"/>
    </w:rPr>
  </w:style>
  <w:style w:type="paragraph" w:customStyle="1" w:styleId="9">
    <w:name w:val="Default"/>
    <w:qFormat/>
    <w:uiPriority w:val="0"/>
    <w:pPr>
      <w:widowControl w:val="0"/>
      <w:autoSpaceDE w:val="0"/>
      <w:autoSpaceDN w:val="0"/>
      <w:adjustRightInd w:val="0"/>
    </w:pPr>
    <w:rPr>
      <w:rFonts w:ascii="黑体" w:eastAsia="黑体" w:cs="黑体" w:hAnsiTheme="minorHAnsi"/>
      <w:color w:val="000000"/>
      <w:kern w:val="0"/>
      <w:sz w:val="24"/>
      <w:szCs w:val="24"/>
      <w:lang w:val="en-US" w:eastAsia="zh-CN" w:bidi="ar-SA"/>
    </w:rPr>
  </w:style>
  <w:style w:type="paragraph" w:styleId="10">
    <w:name w:val="List Paragraph"/>
    <w:basedOn w:val="1"/>
    <w:qFormat/>
    <w:uiPriority w:val="34"/>
    <w:pPr>
      <w:ind w:firstLine="420" w:firstLineChars="200"/>
    </w:pPr>
  </w:style>
  <w:style w:type="character" w:customStyle="1" w:styleId="11">
    <w:name w:val="批注框文本 Char"/>
    <w:basedOn w:val="6"/>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numbering" Target="numbering.xml"/><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480904-B2FB-4FE3-894F-42F14B17BC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26</Pages>
  <Words>5425</Words>
  <Characters>5969</Characters>
  <Lines>69</Lines>
  <Paragraphs>19</Paragraphs>
  <TotalTime>1</TotalTime>
  <ScaleCrop>false</ScaleCrop>
  <LinksUpToDate>false</LinksUpToDate>
  <CharactersWithSpaces>6001</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2020-07-02T02:32:00Z</dcterms:created>
  <dc:creator>李航 null</dc:creator>
  <cp:lastModifiedBy>玲珑心香</cp:lastModifiedBy>
  <cp:lastPrinted>2022-09-15T02:31:00Z</cp:lastPrinted>
  <dcterms:modified xsi:type="dcterms:W3CDTF">2022-09-23T04:07:12Z</dcterms:modified>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596CBA7AB7D14901B6660620DF1418C5</vt:lpwstr>
  </property>
</Properties>
</file>