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湖南省花鼓戏保护传承中心部门决算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第一部分湖南省花鼓戏保护传承中心单位概况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于2021年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湖南省</w:t>
      </w:r>
      <w:r>
        <w:rPr>
          <w:rFonts w:hint="eastAsia"/>
          <w:sz w:val="84"/>
          <w:szCs w:val="84"/>
          <w:lang w:eastAsia="zh-CN"/>
        </w:rPr>
        <w:t>花鼓戏</w:t>
      </w:r>
      <w:r>
        <w:rPr>
          <w:rFonts w:hint="eastAsia"/>
          <w:sz w:val="84"/>
          <w:szCs w:val="84"/>
        </w:rPr>
        <w:t>保护传承中心单位概况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5"/>
        <w:widowControl/>
        <w:shd w:val="clear" w:color="auto" w:fill="FFFFFF"/>
        <w:spacing w:before="100" w:after="100" w:line="600" w:lineRule="atLeast"/>
        <w:ind w:firstLine="720" w:firstLineChars="225"/>
        <w:rPr>
          <w:rFonts w:cs="楷体" w:asciiTheme="minorEastAsia" w:hAnsiTheme="minorEastAsia"/>
          <w:color w:val="333333"/>
          <w:sz w:val="32"/>
          <w:szCs w:val="32"/>
          <w:shd w:val="clear" w:color="auto" w:fill="FFFFFF"/>
        </w:rPr>
      </w:pPr>
      <w:r>
        <w:rPr>
          <w:rFonts w:hint="eastAsia" w:cs="楷体" w:asciiTheme="minorEastAsia" w:hAnsiTheme="minorEastAsia"/>
          <w:color w:val="333333"/>
          <w:sz w:val="32"/>
          <w:szCs w:val="32"/>
          <w:shd w:val="clear" w:color="auto" w:fill="FFFFFF"/>
        </w:rPr>
        <w:t>1.全面履行保护传承和展演的职责，坚持以“保护为主，抢救第一、合理利用、传承发展”为工作方针，坚持花鼓戏保护的真实性和整体性，使花鼓戏在全社会得到确认、尊重和弘扬。</w:t>
      </w:r>
    </w:p>
    <w:p>
      <w:pPr>
        <w:pStyle w:val="5"/>
        <w:widowControl/>
        <w:shd w:val="clear" w:color="auto" w:fill="FFFFFF"/>
        <w:spacing w:line="600" w:lineRule="atLeast"/>
        <w:ind w:firstLine="707" w:firstLineChars="221"/>
        <w:rPr>
          <w:rFonts w:cs="楷体" w:asciiTheme="minorEastAsia" w:hAnsiTheme="minorEastAsia"/>
          <w:color w:val="333333"/>
          <w:sz w:val="32"/>
          <w:szCs w:val="32"/>
          <w:shd w:val="clear" w:color="auto" w:fill="FFFFFF"/>
        </w:rPr>
      </w:pPr>
      <w:r>
        <w:rPr>
          <w:rFonts w:hint="eastAsia" w:cs="楷体" w:asciiTheme="minorEastAsia" w:hAnsiTheme="minorEastAsia"/>
          <w:color w:val="333333"/>
          <w:sz w:val="32"/>
          <w:szCs w:val="32"/>
          <w:shd w:val="clear" w:color="auto" w:fill="FFFFFF"/>
        </w:rPr>
        <w:t>2.以保护传承研究并以创作演出优秀现代花鼓戏为主，同时排演传统和新编古装戏，致力于继承、借鉴、创新、提高，抓改革求发展。</w:t>
      </w:r>
    </w:p>
    <w:p>
      <w:pPr>
        <w:pStyle w:val="5"/>
        <w:widowControl/>
        <w:shd w:val="clear" w:color="auto" w:fill="FFFFFF"/>
        <w:spacing w:line="600" w:lineRule="atLeast"/>
        <w:ind w:firstLine="720" w:firstLineChars="225"/>
        <w:rPr>
          <w:rFonts w:cs="楷体" w:asciiTheme="minorEastAsia" w:hAnsiTheme="minorEastAsia"/>
          <w:color w:val="333333"/>
          <w:sz w:val="32"/>
          <w:szCs w:val="32"/>
          <w:shd w:val="clear" w:color="auto" w:fill="FFFFFF"/>
        </w:rPr>
      </w:pPr>
      <w:r>
        <w:rPr>
          <w:rFonts w:hint="eastAsia" w:cs="楷体" w:asciiTheme="minorEastAsia" w:hAnsiTheme="minorEastAsia"/>
          <w:color w:val="333333"/>
          <w:sz w:val="32"/>
          <w:szCs w:val="32"/>
          <w:shd w:val="clear" w:color="auto" w:fill="FFFFFF"/>
        </w:rPr>
        <w:t>3.加强竞争激励机制，合理配置人才资源，优化人员结构，努力培养高素质专业技术人员。</w:t>
      </w:r>
    </w:p>
    <w:p>
      <w:pPr>
        <w:pStyle w:val="5"/>
        <w:widowControl/>
        <w:shd w:val="clear" w:color="auto" w:fill="FFFFFF"/>
        <w:spacing w:line="600" w:lineRule="atLeast"/>
        <w:ind w:firstLine="720" w:firstLineChars="225"/>
        <w:rPr>
          <w:rFonts w:cs="楷体" w:asciiTheme="minorEastAsia" w:hAnsiTheme="minorEastAsia"/>
          <w:color w:val="333333"/>
          <w:sz w:val="32"/>
          <w:szCs w:val="32"/>
          <w:shd w:val="clear" w:color="auto" w:fill="FFFFFF"/>
        </w:rPr>
      </w:pPr>
      <w:r>
        <w:rPr>
          <w:rFonts w:hint="eastAsia" w:cs="楷体" w:asciiTheme="minorEastAsia" w:hAnsiTheme="minorEastAsia"/>
          <w:color w:val="333333"/>
          <w:sz w:val="32"/>
          <w:szCs w:val="32"/>
          <w:shd w:val="clear" w:color="auto" w:fill="FFFFFF"/>
        </w:rPr>
        <w:t>4.适应社会主义市场经济发展的要求，着力构建充满活力、富有效率、更加开放、有利用于文化发展的体制机制。</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　　</w:t>
      </w:r>
      <w:r>
        <w:rPr>
          <w:rFonts w:hint="eastAsia" w:asciiTheme="minorEastAsia" w:hAnsiTheme="minorEastAsia"/>
          <w:bCs/>
          <w:kern w:val="0"/>
          <w:sz w:val="32"/>
          <w:szCs w:val="32"/>
        </w:rPr>
        <w:t>（一）内设机构设置。</w:t>
      </w:r>
      <w:r>
        <w:rPr>
          <w:rFonts w:hint="eastAsia" w:asciiTheme="minorEastAsia" w:hAnsiTheme="minorEastAsia"/>
          <w:bCs/>
          <w:sz w:val="32"/>
          <w:szCs w:val="32"/>
        </w:rPr>
        <w:t>湖南省花鼓戏保护传承中心</w:t>
      </w:r>
      <w:r>
        <w:rPr>
          <w:rFonts w:hint="eastAsia" w:asciiTheme="minorEastAsia" w:hAnsiTheme="minorEastAsia"/>
          <w:bCs/>
          <w:kern w:val="0"/>
          <w:sz w:val="32"/>
          <w:szCs w:val="32"/>
        </w:rPr>
        <w:t>内设机构</w:t>
      </w:r>
      <w:r>
        <w:rPr>
          <w:rFonts w:hint="eastAsia" w:asciiTheme="minorEastAsia" w:hAnsiTheme="minorEastAsia"/>
          <w:bCs/>
          <w:sz w:val="32"/>
          <w:szCs w:val="32"/>
        </w:rPr>
        <w:t>6个，</w:t>
      </w:r>
      <w:r>
        <w:rPr>
          <w:rFonts w:hint="eastAsia" w:asciiTheme="minorEastAsia" w:hAnsiTheme="minorEastAsia"/>
          <w:bCs/>
          <w:kern w:val="0"/>
          <w:sz w:val="32"/>
          <w:szCs w:val="32"/>
        </w:rPr>
        <w:t>包括：</w:t>
      </w:r>
      <w:r>
        <w:rPr>
          <w:rFonts w:hint="eastAsia" w:cs="楷体" w:asciiTheme="minorEastAsia" w:hAnsiTheme="minorEastAsia"/>
          <w:color w:val="333333"/>
          <w:sz w:val="32"/>
          <w:szCs w:val="32"/>
          <w:shd w:val="clear" w:color="auto" w:fill="FFFFFF"/>
        </w:rPr>
        <w:t>艺术室、演出团、办公室、政工科、财务科、湖南戏曲演出中心。</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　　</w:t>
      </w:r>
      <w:r>
        <w:rPr>
          <w:rFonts w:hint="eastAsia" w:asciiTheme="minorEastAsia" w:hAnsiTheme="minorEastAsia"/>
          <w:bCs/>
          <w:kern w:val="0"/>
          <w:sz w:val="32"/>
          <w:szCs w:val="32"/>
        </w:rPr>
        <w:t>（二）决算单位构成。湖南省花鼓戏保护传承中心</w:t>
      </w:r>
      <w:r>
        <w:rPr>
          <w:rFonts w:asciiTheme="minorEastAsia" w:hAnsiTheme="minorEastAsia"/>
          <w:bCs/>
          <w:kern w:val="0"/>
          <w:sz w:val="32"/>
          <w:szCs w:val="32"/>
        </w:rPr>
        <w:t>20</w:t>
      </w:r>
      <w:r>
        <w:rPr>
          <w:rFonts w:hint="eastAsia" w:asciiTheme="minorEastAsia" w:hAnsiTheme="minorEastAsia"/>
          <w:bCs/>
          <w:kern w:val="0"/>
          <w:sz w:val="32"/>
          <w:szCs w:val="32"/>
        </w:rPr>
        <w:t>21年部门决算公开单位构成：湖南省花鼓戏保护传承中心本级</w:t>
      </w:r>
    </w:p>
    <w:tbl>
      <w:tblPr>
        <w:tblStyle w:val="6"/>
        <w:tblpPr w:leftFromText="180" w:rightFromText="180" w:vertAnchor="text" w:horzAnchor="page" w:tblpX="1" w:tblpY="851"/>
        <w:tblW w:w="14081" w:type="dxa"/>
        <w:tblInd w:w="0" w:type="dxa"/>
        <w:tblLayout w:type="autofit"/>
        <w:tblCellMar>
          <w:top w:w="0" w:type="dxa"/>
          <w:left w:w="108" w:type="dxa"/>
          <w:bottom w:w="0" w:type="dxa"/>
          <w:right w:w="108" w:type="dxa"/>
        </w:tblCellMar>
      </w:tblPr>
      <w:tblGrid>
        <w:gridCol w:w="5206"/>
        <w:gridCol w:w="697"/>
        <w:gridCol w:w="232"/>
        <w:gridCol w:w="5773"/>
        <w:gridCol w:w="657"/>
        <w:gridCol w:w="1516"/>
      </w:tblGrid>
      <w:tr>
        <w:tblPrEx>
          <w:tblCellMar>
            <w:top w:w="0" w:type="dxa"/>
            <w:left w:w="108" w:type="dxa"/>
            <w:bottom w:w="0" w:type="dxa"/>
            <w:right w:w="108" w:type="dxa"/>
          </w:tblCellMar>
        </w:tblPrEx>
        <w:trPr>
          <w:trHeight w:val="360" w:hRule="atLeast"/>
        </w:trPr>
        <w:tc>
          <w:tcPr>
            <w:tcW w:w="14081" w:type="dxa"/>
            <w:gridSpan w:val="6"/>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p>
        </w:tc>
      </w:tr>
      <w:tr>
        <w:tblPrEx>
          <w:tblCellMar>
            <w:top w:w="0" w:type="dxa"/>
            <w:left w:w="108" w:type="dxa"/>
            <w:bottom w:w="0" w:type="dxa"/>
            <w:right w:w="108" w:type="dxa"/>
          </w:tblCellMar>
        </w:tblPrEx>
        <w:trPr>
          <w:trHeight w:val="199" w:hRule="atLeast"/>
        </w:trPr>
        <w:tc>
          <w:tcPr>
            <w:tcW w:w="520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69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57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09" w:hRule="atLeast"/>
        </w:trPr>
        <w:tc>
          <w:tcPr>
            <w:tcW w:w="5206"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p>
        </w:tc>
        <w:tc>
          <w:tcPr>
            <w:tcW w:w="69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57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p>
        </w:tc>
      </w:tr>
    </w:tbl>
    <w:p>
      <w:pPr>
        <w:jc w:val="left"/>
        <w:rPr>
          <w:rFonts w:ascii="仿宋_GB2312" w:eastAsia="仿宋_GB2312" w:hAnsiTheme="minorEastAsia"/>
          <w:sz w:val="28"/>
          <w:szCs w:val="32"/>
        </w:rPr>
      </w:pPr>
    </w:p>
    <w:p>
      <w:pPr>
        <w:jc w:val="center"/>
        <w:rPr>
          <w:sz w:val="72"/>
          <w:szCs w:val="72"/>
        </w:rPr>
      </w:pPr>
    </w:p>
    <w:p>
      <w:pPr>
        <w:jc w:val="center"/>
        <w:rPr>
          <w:sz w:val="72"/>
          <w:szCs w:val="72"/>
        </w:rPr>
      </w:pPr>
    </w:p>
    <w:p>
      <w:pPr>
        <w:jc w:val="center"/>
        <w:rPr>
          <w:sz w:val="72"/>
          <w:szCs w:val="72"/>
        </w:rPr>
      </w:pPr>
    </w:p>
    <w:p>
      <w:pPr>
        <w:jc w:val="center"/>
        <w:rPr>
          <w:rFonts w:ascii="黑体" w:hAnsi="黑体" w:eastAsia="黑体"/>
          <w:sz w:val="84"/>
          <w:szCs w:val="84"/>
        </w:rPr>
      </w:pPr>
      <w:r>
        <w:rPr>
          <w:rFonts w:hint="eastAsia" w:ascii="黑体" w:hAnsi="黑体" w:eastAsia="黑体"/>
          <w:sz w:val="84"/>
          <w:szCs w:val="84"/>
        </w:rPr>
        <w:t>第二部分</w:t>
      </w:r>
    </w:p>
    <w:p>
      <w:pPr>
        <w:jc w:val="center"/>
        <w:rPr>
          <w:rFonts w:ascii="黑体" w:hAnsi="黑体" w:eastAsia="黑体"/>
          <w:sz w:val="84"/>
          <w:szCs w:val="84"/>
        </w:rPr>
      </w:pPr>
    </w:p>
    <w:p>
      <w:pPr>
        <w:jc w:val="center"/>
        <w:rPr>
          <w:rFonts w:ascii="黑体" w:hAnsi="黑体" w:eastAsia="黑体"/>
          <w:sz w:val="84"/>
          <w:szCs w:val="84"/>
        </w:rPr>
      </w:pPr>
      <w:r>
        <w:rPr>
          <w:rFonts w:hint="eastAsia" w:ascii="黑体" w:hAnsi="黑体" w:eastAsia="黑体"/>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1440" w:right="1800" w:bottom="1440" w:left="1800" w:header="851" w:footer="992" w:gutter="0"/>
          <w:cols w:space="425" w:num="1"/>
          <w:docGrid w:type="lines" w:linePitch="312" w:charSpace="0"/>
        </w:sectPr>
      </w:pPr>
    </w:p>
    <w:tbl>
      <w:tblPr>
        <w:tblStyle w:val="6"/>
        <w:tblW w:w="14993" w:type="dxa"/>
        <w:tblInd w:w="89" w:type="dxa"/>
        <w:tblLayout w:type="autofit"/>
        <w:tblCellMar>
          <w:top w:w="0" w:type="dxa"/>
          <w:left w:w="108" w:type="dxa"/>
          <w:bottom w:w="0" w:type="dxa"/>
          <w:right w:w="108" w:type="dxa"/>
        </w:tblCellMar>
      </w:tblPr>
      <w:tblGrid>
        <w:gridCol w:w="7"/>
        <w:gridCol w:w="4101"/>
        <w:gridCol w:w="567"/>
        <w:gridCol w:w="197"/>
        <w:gridCol w:w="2634"/>
        <w:gridCol w:w="3488"/>
        <w:gridCol w:w="567"/>
        <w:gridCol w:w="243"/>
        <w:gridCol w:w="2643"/>
        <w:gridCol w:w="546"/>
      </w:tblGrid>
      <w:tr>
        <w:tblPrEx>
          <w:tblCellMar>
            <w:top w:w="0" w:type="dxa"/>
            <w:left w:w="108" w:type="dxa"/>
            <w:bottom w:w="0" w:type="dxa"/>
            <w:right w:w="108" w:type="dxa"/>
          </w:tblCellMar>
        </w:tblPrEx>
        <w:trPr>
          <w:trHeight w:val="390" w:hRule="atLeast"/>
        </w:trPr>
        <w:tc>
          <w:tcPr>
            <w:tcW w:w="4108"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6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831" w:type="dxa"/>
            <w:gridSpan w:val="2"/>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收入支出决算总表</w:t>
            </w:r>
          </w:p>
        </w:tc>
        <w:tc>
          <w:tcPr>
            <w:tcW w:w="348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6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32" w:type="dxa"/>
            <w:gridSpan w:val="3"/>
            <w:tcBorders>
              <w:top w:val="nil"/>
              <w:left w:val="nil"/>
              <w:bottom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r>
      <w:tr>
        <w:tblPrEx>
          <w:tblCellMar>
            <w:top w:w="0" w:type="dxa"/>
            <w:left w:w="108" w:type="dxa"/>
            <w:bottom w:w="0" w:type="dxa"/>
            <w:right w:w="108" w:type="dxa"/>
          </w:tblCellMar>
        </w:tblPrEx>
        <w:trPr>
          <w:trHeight w:val="312" w:hRule="atLeast"/>
        </w:trPr>
        <w:tc>
          <w:tcPr>
            <w:tcW w:w="4108"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6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831"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8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6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32" w:type="dxa"/>
            <w:gridSpan w:val="3"/>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公开01表</w:t>
            </w:r>
          </w:p>
        </w:tc>
      </w:tr>
      <w:tr>
        <w:tblPrEx>
          <w:tblCellMar>
            <w:top w:w="0" w:type="dxa"/>
            <w:left w:w="108" w:type="dxa"/>
            <w:bottom w:w="0" w:type="dxa"/>
            <w:right w:w="108" w:type="dxa"/>
          </w:tblCellMar>
        </w:tblPrEx>
        <w:trPr>
          <w:trHeight w:val="312" w:hRule="atLeast"/>
        </w:trPr>
        <w:tc>
          <w:tcPr>
            <w:tcW w:w="4108"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部门：湖南省花鼓戏保护传承中心</w:t>
            </w:r>
          </w:p>
        </w:tc>
        <w:tc>
          <w:tcPr>
            <w:tcW w:w="56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831" w:type="dxa"/>
            <w:gridSpan w:val="2"/>
            <w:tcBorders>
              <w:top w:val="nil"/>
              <w:left w:val="nil"/>
              <w:bottom w:val="nil"/>
              <w:right w:val="nil"/>
            </w:tcBorders>
            <w:shd w:val="clear" w:color="000000" w:fill="FFFFFF"/>
            <w:noWrap/>
            <w:vAlign w:val="center"/>
          </w:tcPr>
          <w:p>
            <w:pPr>
              <w:widowControl/>
              <w:jc w:val="center"/>
              <w:rPr>
                <w:rFonts w:ascii="宋体" w:hAnsi="宋体" w:eastAsia="宋体" w:cs="Arial"/>
                <w:color w:val="000000" w:themeColor="text1"/>
                <w:kern w:val="0"/>
                <w:sz w:val="24"/>
                <w:szCs w:val="24"/>
              </w:rPr>
            </w:pPr>
            <w:r>
              <w:rPr>
                <w:rFonts w:hint="eastAsia" w:ascii="宋体" w:hAnsi="宋体" w:eastAsia="宋体" w:cs="Arial"/>
                <w:color w:val="000000" w:themeColor="text1"/>
                <w:kern w:val="0"/>
                <w:sz w:val="24"/>
                <w:szCs w:val="24"/>
              </w:rPr>
              <w:t>2021年度</w:t>
            </w:r>
          </w:p>
        </w:tc>
        <w:tc>
          <w:tcPr>
            <w:tcW w:w="348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6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32" w:type="dxa"/>
            <w:gridSpan w:val="3"/>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金额单位：万元</w:t>
            </w:r>
          </w:p>
        </w:tc>
      </w:tr>
      <w:tr>
        <w:tblPrEx>
          <w:tblCellMar>
            <w:top w:w="0" w:type="dxa"/>
            <w:left w:w="108" w:type="dxa"/>
            <w:bottom w:w="0" w:type="dxa"/>
            <w:right w:w="108" w:type="dxa"/>
          </w:tblCellMar>
        </w:tblPrEx>
        <w:trPr>
          <w:trHeight w:val="312" w:hRule="atLeast"/>
        </w:trPr>
        <w:tc>
          <w:tcPr>
            <w:tcW w:w="7506" w:type="dxa"/>
            <w:gridSpan w:val="5"/>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收入</w:t>
            </w:r>
          </w:p>
        </w:tc>
        <w:tc>
          <w:tcPr>
            <w:tcW w:w="7487" w:type="dxa"/>
            <w:gridSpan w:val="5"/>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支出</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项目</w:t>
            </w:r>
          </w:p>
        </w:tc>
        <w:tc>
          <w:tcPr>
            <w:tcW w:w="764"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行次</w:t>
            </w:r>
          </w:p>
        </w:tc>
        <w:tc>
          <w:tcPr>
            <w:tcW w:w="2634"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金额</w:t>
            </w:r>
          </w:p>
        </w:tc>
        <w:tc>
          <w:tcPr>
            <w:tcW w:w="3488"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项目</w:t>
            </w:r>
          </w:p>
        </w:tc>
        <w:tc>
          <w:tcPr>
            <w:tcW w:w="810"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行次</w:t>
            </w:r>
          </w:p>
        </w:tc>
        <w:tc>
          <w:tcPr>
            <w:tcW w:w="3189"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金额</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栏次</w:t>
            </w:r>
          </w:p>
        </w:tc>
        <w:tc>
          <w:tcPr>
            <w:tcW w:w="764"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2634"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1</w:t>
            </w:r>
          </w:p>
        </w:tc>
        <w:tc>
          <w:tcPr>
            <w:tcW w:w="3488"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栏次</w:t>
            </w:r>
          </w:p>
        </w:tc>
        <w:tc>
          <w:tcPr>
            <w:tcW w:w="810"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3189"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2</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一、一般公共预算财政拨款收入</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2,458.23</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一、一般公共服务支出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32</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二、政府性基金预算财政拨款收入</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二、外交支出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33</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三、国有资本经营预算财政拨款收入</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三、国防支出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34</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四、上级补助收入</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78.00</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四、公共安全支出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35</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五、事业收入</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48.15</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五、教育支出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36</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六、经营收入</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六、科学技术支出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37</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七、附属单位上缴收入</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7</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七、文化旅游体育与传媒支出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38</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2,378.93</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八、其他收入</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8</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216.50</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八、社会保障和就业支出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39</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200.40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9</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九、卫生健康支出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40</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10</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十、节能环保支出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41</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11</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十一、城乡社区支出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42</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12</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十二、农林水支出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43</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13</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十三、交通运输支出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44</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14</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十四、资源勘探工业信息等支出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45</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15</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十五、商业服务业等支出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46</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16</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十六、金融支出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47</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17</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十七、援助其他地区支出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48</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18</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十八、自然资源海洋气象等支出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49</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19</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十九、住房保障支出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50</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20</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二十、粮油物资储备支出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51</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21</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二十一、国有资本经营预算支出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52</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22</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二十二、灾害防治及应急管理支出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53</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23</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二十三、其他支出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54</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Arial"/>
                <w:b/>
                <w:bCs/>
                <w:sz w:val="20"/>
                <w:szCs w:val="20"/>
              </w:rPr>
            </w:pPr>
            <w:r>
              <w:rPr>
                <w:rFonts w:hint="eastAsia" w:cs="Arial"/>
                <w:b/>
                <w:bCs/>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24</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二十四、债务还本支出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55</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25</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二十五、债务付息支出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56</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26</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二十六、抗疫特别国债安排的支出</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57</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Arial"/>
                <w:b/>
                <w:bCs/>
                <w:sz w:val="20"/>
                <w:szCs w:val="20"/>
              </w:rPr>
            </w:pPr>
            <w:r>
              <w:rPr>
                <w:rFonts w:hint="eastAsia" w:cs="Arial"/>
                <w:b/>
                <w:bCs/>
                <w:sz w:val="20"/>
                <w:szCs w:val="20"/>
              </w:rPr>
              <w:t>本年收入合计</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27</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2,800.88</w:t>
            </w:r>
          </w:p>
        </w:tc>
        <w:tc>
          <w:tcPr>
            <w:tcW w:w="348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b/>
                <w:bCs/>
                <w:sz w:val="20"/>
                <w:szCs w:val="20"/>
              </w:rPr>
            </w:pPr>
            <w:r>
              <w:rPr>
                <w:rFonts w:hint="eastAsia" w:cs="Arial"/>
                <w:b/>
                <w:bCs/>
                <w:sz w:val="20"/>
                <w:szCs w:val="20"/>
              </w:rPr>
              <w:t>本年支出合计</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58</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2,706.53</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使用非财政拨款结余</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28</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结余分配</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59</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4.93</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年初结转和结余</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29</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245.52</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年末结转和结余</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60</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334.94</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30</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61</w:t>
            </w:r>
          </w:p>
        </w:tc>
        <w:tc>
          <w:tcPr>
            <w:tcW w:w="318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r>
      <w:tr>
        <w:tblPrEx>
          <w:tblCellMar>
            <w:top w:w="0" w:type="dxa"/>
            <w:left w:w="108" w:type="dxa"/>
            <w:bottom w:w="0" w:type="dxa"/>
            <w:right w:w="108" w:type="dxa"/>
          </w:tblCellMar>
        </w:tblPrEx>
        <w:trPr>
          <w:trHeight w:val="312" w:hRule="atLeast"/>
        </w:trPr>
        <w:tc>
          <w:tcPr>
            <w:tcW w:w="4108" w:type="dxa"/>
            <w:gridSpan w:val="2"/>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总计</w:t>
            </w:r>
          </w:p>
        </w:tc>
        <w:tc>
          <w:tcPr>
            <w:tcW w:w="764"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31</w:t>
            </w:r>
          </w:p>
        </w:tc>
        <w:tc>
          <w:tcPr>
            <w:tcW w:w="2634"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3,046.40</w:t>
            </w:r>
          </w:p>
        </w:tc>
        <w:tc>
          <w:tcPr>
            <w:tcW w:w="348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总计</w:t>
            </w:r>
          </w:p>
        </w:tc>
        <w:tc>
          <w:tcPr>
            <w:tcW w:w="810"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62</w:t>
            </w:r>
          </w:p>
        </w:tc>
        <w:tc>
          <w:tcPr>
            <w:tcW w:w="318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3,046.40</w:t>
            </w:r>
          </w:p>
        </w:tc>
      </w:tr>
      <w:tr>
        <w:tblPrEx>
          <w:tblCellMar>
            <w:top w:w="0" w:type="dxa"/>
            <w:left w:w="108" w:type="dxa"/>
            <w:bottom w:w="0" w:type="dxa"/>
            <w:right w:w="108" w:type="dxa"/>
          </w:tblCellMar>
        </w:tblPrEx>
        <w:trPr>
          <w:gridBefore w:val="1"/>
          <w:gridAfter w:val="1"/>
          <w:wBefore w:w="7" w:type="dxa"/>
          <w:wAfter w:w="546" w:type="dxa"/>
          <w:trHeight w:val="300" w:hRule="atLeast"/>
        </w:trPr>
        <w:tc>
          <w:tcPr>
            <w:tcW w:w="14440" w:type="dxa"/>
            <w:gridSpan w:val="8"/>
            <w:tcBorders>
              <w:top w:val="nil"/>
              <w:left w:val="nil"/>
              <w:bottom w:val="nil"/>
              <w:right w:val="nil"/>
            </w:tcBorders>
            <w:shd w:val="clear" w:color="000000" w:fill="FFFFFF"/>
            <w:noWrap/>
            <w:vAlign w:val="center"/>
          </w:tcPr>
          <w:p>
            <w:pPr>
              <w:rPr>
                <w:rFonts w:ascii="宋体" w:hAnsi="宋体" w:eastAsia="宋体" w:cs="Arial"/>
                <w:sz w:val="20"/>
                <w:szCs w:val="20"/>
              </w:rPr>
            </w:pPr>
            <w:r>
              <w:rPr>
                <w:rFonts w:hint="eastAsia" w:cs="Arial"/>
                <w:sz w:val="20"/>
                <w:szCs w:val="20"/>
              </w:rPr>
              <w:t>注：1.本表反映部门本年度的总收支和年末结转结余情况。</w:t>
            </w:r>
          </w:p>
        </w:tc>
      </w:tr>
      <w:tr>
        <w:tblPrEx>
          <w:tblCellMar>
            <w:top w:w="0" w:type="dxa"/>
            <w:left w:w="108" w:type="dxa"/>
            <w:bottom w:w="0" w:type="dxa"/>
            <w:right w:w="108" w:type="dxa"/>
          </w:tblCellMar>
        </w:tblPrEx>
        <w:trPr>
          <w:gridBefore w:val="1"/>
          <w:gridAfter w:val="1"/>
          <w:wBefore w:w="7" w:type="dxa"/>
          <w:wAfter w:w="546" w:type="dxa"/>
          <w:trHeight w:val="300" w:hRule="atLeast"/>
        </w:trPr>
        <w:tc>
          <w:tcPr>
            <w:tcW w:w="14440" w:type="dxa"/>
            <w:gridSpan w:val="8"/>
            <w:tcBorders>
              <w:top w:val="nil"/>
              <w:left w:val="nil"/>
              <w:bottom w:val="nil"/>
              <w:right w:val="nil"/>
            </w:tcBorders>
            <w:shd w:val="clear" w:color="000000" w:fill="FFFFFF"/>
            <w:noWrap/>
            <w:vAlign w:val="center"/>
          </w:tcPr>
          <w:p>
            <w:pPr>
              <w:rPr>
                <w:rFonts w:ascii="宋体" w:hAnsi="宋体" w:eastAsia="宋体" w:cs="Arial"/>
                <w:sz w:val="20"/>
                <w:szCs w:val="20"/>
              </w:rPr>
            </w:pPr>
            <w:r>
              <w:rPr>
                <w:rFonts w:hint="eastAsia" w:cs="Arial"/>
                <w:sz w:val="20"/>
                <w:szCs w:val="20"/>
              </w:rPr>
              <w:t xml:space="preserve">    2.本套报表金额单位转换时可能存在尾数误差。</w:t>
            </w:r>
          </w:p>
        </w:tc>
      </w:tr>
      <w:tr>
        <w:tblPrEx>
          <w:tblCellMar>
            <w:top w:w="0" w:type="dxa"/>
            <w:left w:w="108" w:type="dxa"/>
            <w:bottom w:w="0" w:type="dxa"/>
            <w:right w:w="108" w:type="dxa"/>
          </w:tblCellMar>
        </w:tblPrEx>
        <w:trPr>
          <w:trHeight w:val="312" w:hRule="atLeast"/>
        </w:trPr>
        <w:tc>
          <w:tcPr>
            <w:tcW w:w="14993" w:type="dxa"/>
            <w:gridSpan w:val="10"/>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p>
            <w:pPr>
              <w:widowControl/>
              <w:jc w:val="left"/>
              <w:rPr>
                <w:rFonts w:ascii="宋体" w:hAnsi="宋体" w:eastAsia="宋体" w:cs="Arial"/>
                <w:kern w:val="0"/>
                <w:sz w:val="20"/>
                <w:szCs w:val="20"/>
              </w:rPr>
            </w:pPr>
          </w:p>
          <w:tbl>
            <w:tblPr>
              <w:tblStyle w:val="6"/>
              <w:tblW w:w="14317" w:type="dxa"/>
              <w:tblInd w:w="0" w:type="dxa"/>
              <w:tblLayout w:type="autofit"/>
              <w:tblCellMar>
                <w:top w:w="0" w:type="dxa"/>
                <w:left w:w="108" w:type="dxa"/>
                <w:bottom w:w="0" w:type="dxa"/>
                <w:right w:w="108" w:type="dxa"/>
              </w:tblCellMar>
            </w:tblPr>
            <w:tblGrid>
              <w:gridCol w:w="454"/>
              <w:gridCol w:w="454"/>
              <w:gridCol w:w="455"/>
              <w:gridCol w:w="543"/>
              <w:gridCol w:w="2497"/>
              <w:gridCol w:w="1416"/>
              <w:gridCol w:w="1790"/>
              <w:gridCol w:w="1458"/>
              <w:gridCol w:w="1001"/>
              <w:gridCol w:w="988"/>
              <w:gridCol w:w="1459"/>
              <w:gridCol w:w="1802"/>
            </w:tblGrid>
            <w:tr>
              <w:tblPrEx>
                <w:tblCellMar>
                  <w:top w:w="0" w:type="dxa"/>
                  <w:left w:w="108" w:type="dxa"/>
                  <w:bottom w:w="0" w:type="dxa"/>
                  <w:right w:w="108" w:type="dxa"/>
                </w:tblCellMar>
              </w:tblPrEx>
              <w:trPr>
                <w:trHeight w:val="374" w:hRule="atLeast"/>
              </w:trPr>
              <w:tc>
                <w:tcPr>
                  <w:tcW w:w="45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45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45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04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1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90" w:type="dxa"/>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收入决算表</w:t>
                  </w:r>
                </w:p>
              </w:tc>
              <w:tc>
                <w:tcPr>
                  <w:tcW w:w="145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0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8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5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2" w:type="dxa"/>
                  <w:tcBorders>
                    <w:top w:val="nil"/>
                    <w:left w:val="nil"/>
                    <w:bottom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r>
            <w:tr>
              <w:tblPrEx>
                <w:tblCellMar>
                  <w:top w:w="0" w:type="dxa"/>
                  <w:left w:w="108" w:type="dxa"/>
                  <w:bottom w:w="0" w:type="dxa"/>
                  <w:right w:w="108" w:type="dxa"/>
                </w:tblCellMar>
              </w:tblPrEx>
              <w:trPr>
                <w:trHeight w:val="300" w:hRule="atLeast"/>
              </w:trPr>
              <w:tc>
                <w:tcPr>
                  <w:tcW w:w="45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45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45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04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1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9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5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0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8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5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2" w:type="dxa"/>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公开02表</w:t>
                  </w:r>
                </w:p>
              </w:tc>
            </w:tr>
            <w:tr>
              <w:tblPrEx>
                <w:tblCellMar>
                  <w:top w:w="0" w:type="dxa"/>
                  <w:left w:w="108" w:type="dxa"/>
                  <w:bottom w:w="0" w:type="dxa"/>
                  <w:right w:w="108" w:type="dxa"/>
                </w:tblCellMar>
              </w:tblPrEx>
              <w:trPr>
                <w:trHeight w:val="300" w:hRule="atLeast"/>
              </w:trPr>
              <w:tc>
                <w:tcPr>
                  <w:tcW w:w="4403" w:type="dxa"/>
                  <w:gridSpan w:val="5"/>
                  <w:tcBorders>
                    <w:top w:val="nil"/>
                    <w:left w:val="nil"/>
                    <w:bottom w:val="nil"/>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部门：湖南省花鼓戏保护传承中心</w:t>
                  </w:r>
                </w:p>
              </w:tc>
              <w:tc>
                <w:tcPr>
                  <w:tcW w:w="141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90" w:type="dxa"/>
                  <w:tcBorders>
                    <w:top w:val="nil"/>
                    <w:left w:val="nil"/>
                    <w:bottom w:val="nil"/>
                    <w:right w:val="nil"/>
                  </w:tcBorders>
                  <w:shd w:val="clear" w:color="000000"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45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0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8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5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2" w:type="dxa"/>
                  <w:tcBorders>
                    <w:top w:val="nil"/>
                    <w:left w:val="nil"/>
                    <w:bottom w:val="nil"/>
                  </w:tcBorders>
                  <w:shd w:val="clear" w:color="000000" w:fill="FFFFFF"/>
                  <w:noWrap/>
                  <w:vAlign w:val="center"/>
                </w:tcPr>
                <w:p>
                  <w:pPr>
                    <w:widowControl/>
                    <w:rPr>
                      <w:rFonts w:ascii="宋体" w:hAnsi="宋体" w:eastAsia="宋体" w:cs="Arial"/>
                      <w:color w:val="000000"/>
                      <w:kern w:val="0"/>
                      <w:sz w:val="22"/>
                    </w:rPr>
                  </w:pPr>
                  <w:r>
                    <w:rPr>
                      <w:rFonts w:hint="eastAsia" w:ascii="宋体" w:hAnsi="宋体" w:eastAsia="宋体" w:cs="Arial"/>
                      <w:color w:val="000000"/>
                      <w:kern w:val="0"/>
                      <w:sz w:val="22"/>
                    </w:rPr>
                    <w:t>金额单位：万元</w:t>
                  </w:r>
                </w:p>
              </w:tc>
            </w:tr>
            <w:tr>
              <w:tblPrEx>
                <w:tblCellMar>
                  <w:top w:w="0" w:type="dxa"/>
                  <w:left w:w="108" w:type="dxa"/>
                  <w:bottom w:w="0" w:type="dxa"/>
                  <w:right w:w="108" w:type="dxa"/>
                </w:tblCellMar>
              </w:tblPrEx>
              <w:trPr>
                <w:trHeight w:val="300" w:hRule="atLeast"/>
              </w:trPr>
              <w:tc>
                <w:tcPr>
                  <w:tcW w:w="4403" w:type="dxa"/>
                  <w:gridSpan w:val="5"/>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项目</w:t>
                  </w:r>
                </w:p>
              </w:tc>
              <w:tc>
                <w:tcPr>
                  <w:tcW w:w="1416"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本年收入合计</w:t>
                  </w:r>
                </w:p>
              </w:tc>
              <w:tc>
                <w:tcPr>
                  <w:tcW w:w="1790"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财政拨款收入</w:t>
                  </w:r>
                </w:p>
              </w:tc>
              <w:tc>
                <w:tcPr>
                  <w:tcW w:w="1458"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上级补助收入</w:t>
                  </w:r>
                </w:p>
              </w:tc>
              <w:tc>
                <w:tcPr>
                  <w:tcW w:w="1001"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事业收入</w:t>
                  </w:r>
                </w:p>
              </w:tc>
              <w:tc>
                <w:tcPr>
                  <w:tcW w:w="988"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经营收入</w:t>
                  </w:r>
                </w:p>
              </w:tc>
              <w:tc>
                <w:tcPr>
                  <w:tcW w:w="1459"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附属单位上缴收入</w:t>
                  </w:r>
                </w:p>
              </w:tc>
              <w:tc>
                <w:tcPr>
                  <w:tcW w:w="1802"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其他收入</w:t>
                  </w:r>
                </w:p>
              </w:tc>
            </w:tr>
            <w:tr>
              <w:tblPrEx>
                <w:tblCellMar>
                  <w:top w:w="0" w:type="dxa"/>
                  <w:left w:w="108" w:type="dxa"/>
                  <w:bottom w:w="0" w:type="dxa"/>
                  <w:right w:w="108" w:type="dxa"/>
                </w:tblCellMar>
              </w:tblPrEx>
              <w:trPr>
                <w:trHeight w:val="325" w:hRule="atLeast"/>
              </w:trPr>
              <w:tc>
                <w:tcPr>
                  <w:tcW w:w="1906"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功能分类科目编码</w:t>
                  </w:r>
                </w:p>
              </w:tc>
              <w:tc>
                <w:tcPr>
                  <w:tcW w:w="2497"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科目名称</w:t>
                  </w:r>
                </w:p>
              </w:tc>
              <w:tc>
                <w:tcPr>
                  <w:tcW w:w="1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7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0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325" w:hRule="atLeast"/>
              </w:trPr>
              <w:tc>
                <w:tcPr>
                  <w:tcW w:w="1906"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2497"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7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0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325" w:hRule="atLeast"/>
              </w:trPr>
              <w:tc>
                <w:tcPr>
                  <w:tcW w:w="1906"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2497"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7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0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300" w:hRule="atLeast"/>
              </w:trPr>
              <w:tc>
                <w:tcPr>
                  <w:tcW w:w="4403" w:type="dxa"/>
                  <w:gridSpan w:val="5"/>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栏次</w:t>
                  </w:r>
                </w:p>
              </w:tc>
              <w:tc>
                <w:tcPr>
                  <w:tcW w:w="1416"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1</w:t>
                  </w:r>
                </w:p>
              </w:tc>
              <w:tc>
                <w:tcPr>
                  <w:tcW w:w="179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2</w:t>
                  </w:r>
                </w:p>
              </w:tc>
              <w:tc>
                <w:tcPr>
                  <w:tcW w:w="1458"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3</w:t>
                  </w:r>
                </w:p>
              </w:tc>
              <w:tc>
                <w:tcPr>
                  <w:tcW w:w="1001"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4</w:t>
                  </w:r>
                </w:p>
              </w:tc>
              <w:tc>
                <w:tcPr>
                  <w:tcW w:w="988"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5</w:t>
                  </w:r>
                </w:p>
              </w:tc>
              <w:tc>
                <w:tcPr>
                  <w:tcW w:w="1459"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6</w:t>
                  </w:r>
                </w:p>
              </w:tc>
              <w:tc>
                <w:tcPr>
                  <w:tcW w:w="1802"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7</w:t>
                  </w:r>
                </w:p>
              </w:tc>
            </w:tr>
            <w:tr>
              <w:tblPrEx>
                <w:tblCellMar>
                  <w:top w:w="0" w:type="dxa"/>
                  <w:left w:w="108" w:type="dxa"/>
                  <w:bottom w:w="0" w:type="dxa"/>
                  <w:right w:w="108" w:type="dxa"/>
                </w:tblCellMar>
              </w:tblPrEx>
              <w:trPr>
                <w:trHeight w:val="300" w:hRule="atLeast"/>
              </w:trPr>
              <w:tc>
                <w:tcPr>
                  <w:tcW w:w="4403"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合计</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2,800.88</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2,458.23</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78.00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48.15</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216.50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207</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文化旅游体育与传媒支出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2,473.28</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2,130.63</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78.00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48.15</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216.50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20701</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文化和旅游</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2,073.28</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1,730.63</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78.00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48.15</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216.50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2070107</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艺术表演团体</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1,482.28</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1,139.63</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78.00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48.15</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216.50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2070111</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文化创作与保护</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80.00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80.00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2070199</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其他文化和旅游支出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511.00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511.00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20799</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其他文化旅游体育与传媒支出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400.00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400.00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2079999</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其他文化旅游体育与传媒支出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400.00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400.00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208</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社会保障和就业支出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200.40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200.40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20805</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行政事业单位养老支出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198.00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198.00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2080505</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机关事业单位基本养老保险缴费支出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140.76</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140.76</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2080506</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机关事业单位职业年金缴费支出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57.24</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57.24</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20899</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其他社会保障和就业支出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2.40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2.40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2089999</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其他社会保障和就业支出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210</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卫生健康支出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21099</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其他卫生健康支出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2109999</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其他卫生健康支出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221</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住房保障支出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22102</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住房改革支出</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9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2210201</w:t>
                  </w:r>
                </w:p>
              </w:tc>
              <w:tc>
                <w:tcPr>
                  <w:tcW w:w="24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住房公积金</w:t>
                  </w:r>
                </w:p>
              </w:tc>
              <w:tc>
                <w:tcPr>
                  <w:tcW w:w="1416"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c>
                <w:tcPr>
                  <w:tcW w:w="179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c>
                <w:tcPr>
                  <w:tcW w:w="145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001"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8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5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4317" w:type="dxa"/>
                  <w:gridSpan w:val="12"/>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注：本表反映部门本年度取得的各项收入情况。</w:t>
                  </w:r>
                </w:p>
              </w:tc>
            </w:tr>
          </w:tbl>
          <w:p>
            <w:pPr>
              <w:widowControl/>
              <w:jc w:val="left"/>
              <w:rPr>
                <w:rFonts w:ascii="宋体" w:hAnsi="宋体" w:eastAsia="宋体" w:cs="Arial"/>
                <w:kern w:val="0"/>
                <w:sz w:val="20"/>
                <w:szCs w:val="20"/>
              </w:rPr>
            </w:pPr>
          </w:p>
        </w:tc>
      </w:tr>
    </w:tbl>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30"/>
          <w:szCs w:val="30"/>
        </w:rPr>
      </w:pPr>
    </w:p>
    <w:tbl>
      <w:tblPr>
        <w:tblStyle w:val="6"/>
        <w:tblW w:w="14734" w:type="dxa"/>
        <w:tblInd w:w="89" w:type="dxa"/>
        <w:tblLayout w:type="autofit"/>
        <w:tblCellMar>
          <w:top w:w="0" w:type="dxa"/>
          <w:left w:w="108" w:type="dxa"/>
          <w:bottom w:w="0" w:type="dxa"/>
          <w:right w:w="108" w:type="dxa"/>
        </w:tblCellMar>
      </w:tblPr>
      <w:tblGrid>
        <w:gridCol w:w="546"/>
        <w:gridCol w:w="546"/>
        <w:gridCol w:w="546"/>
        <w:gridCol w:w="3438"/>
        <w:gridCol w:w="1800"/>
        <w:gridCol w:w="1800"/>
        <w:gridCol w:w="1800"/>
        <w:gridCol w:w="1240"/>
        <w:gridCol w:w="1180"/>
        <w:gridCol w:w="1838"/>
      </w:tblGrid>
      <w:tr>
        <w:tblPrEx>
          <w:tblCellMar>
            <w:top w:w="0" w:type="dxa"/>
            <w:left w:w="108" w:type="dxa"/>
            <w:bottom w:w="0" w:type="dxa"/>
            <w:right w:w="108" w:type="dxa"/>
          </w:tblCellMar>
        </w:tblPrEx>
        <w:trPr>
          <w:trHeight w:val="375" w:hRule="atLeast"/>
        </w:trPr>
        <w:tc>
          <w:tcPr>
            <w:tcW w:w="54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4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4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38" w:type="dxa"/>
            <w:tcBorders>
              <w:top w:val="nil"/>
              <w:left w:val="nil"/>
              <w:bottom w:val="nil"/>
              <w:right w:val="nil"/>
            </w:tcBorders>
            <w:shd w:val="clear" w:color="000000" w:fill="FFFFFF"/>
            <w:noWrap/>
            <w:vAlign w:val="center"/>
          </w:tcPr>
          <w:p>
            <w:pPr>
              <w:widowControl/>
              <w:jc w:val="center"/>
              <w:rPr>
                <w:rFonts w:ascii="宋体" w:hAnsi="宋体" w:eastAsia="宋体" w:cs="Arial"/>
                <w:kern w:val="0"/>
                <w:sz w:val="18"/>
                <w:szCs w:val="18"/>
              </w:rPr>
            </w:pPr>
          </w:p>
        </w:tc>
        <w:tc>
          <w:tcPr>
            <w:tcW w:w="1800" w:type="dxa"/>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支出决算表</w:t>
            </w:r>
          </w:p>
        </w:tc>
        <w:tc>
          <w:tcPr>
            <w:tcW w:w="1800" w:type="dxa"/>
            <w:tcBorders>
              <w:top w:val="nil"/>
              <w:left w:val="nil"/>
              <w:bottom w:val="nil"/>
              <w:right w:val="nil"/>
            </w:tcBorders>
            <w:shd w:val="clear" w:color="000000" w:fill="FFFFFF"/>
            <w:noWrap/>
            <w:vAlign w:val="center"/>
          </w:tcPr>
          <w:p>
            <w:pPr>
              <w:widowControl/>
              <w:jc w:val="center"/>
              <w:rPr>
                <w:rFonts w:ascii="宋体" w:hAnsi="宋体" w:eastAsia="宋体" w:cs="Arial"/>
                <w:kern w:val="0"/>
                <w:sz w:val="18"/>
                <w:szCs w:val="18"/>
              </w:rPr>
            </w:pPr>
          </w:p>
        </w:tc>
        <w:tc>
          <w:tcPr>
            <w:tcW w:w="180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2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8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38" w:type="dxa"/>
            <w:tcBorders>
              <w:top w:val="nil"/>
              <w:left w:val="nil"/>
              <w:bottom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r>
      <w:tr>
        <w:tblPrEx>
          <w:tblCellMar>
            <w:top w:w="0" w:type="dxa"/>
            <w:left w:w="108" w:type="dxa"/>
            <w:bottom w:w="0" w:type="dxa"/>
            <w:right w:w="108" w:type="dxa"/>
          </w:tblCellMar>
        </w:tblPrEx>
        <w:trPr>
          <w:trHeight w:val="300" w:hRule="atLeast"/>
        </w:trPr>
        <w:tc>
          <w:tcPr>
            <w:tcW w:w="54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4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4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2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8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38" w:type="dxa"/>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公开03表</w:t>
            </w:r>
          </w:p>
        </w:tc>
      </w:tr>
      <w:tr>
        <w:tblPrEx>
          <w:tblCellMar>
            <w:top w:w="0" w:type="dxa"/>
            <w:left w:w="108" w:type="dxa"/>
            <w:bottom w:w="0" w:type="dxa"/>
            <w:right w:w="108" w:type="dxa"/>
          </w:tblCellMar>
        </w:tblPrEx>
        <w:trPr>
          <w:trHeight w:val="300" w:hRule="atLeast"/>
        </w:trPr>
        <w:tc>
          <w:tcPr>
            <w:tcW w:w="5076" w:type="dxa"/>
            <w:gridSpan w:val="4"/>
            <w:tcBorders>
              <w:top w:val="nil"/>
              <w:left w:val="nil"/>
              <w:bottom w:val="nil"/>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部门：湖南省花鼓戏保护传承中心</w:t>
            </w:r>
          </w:p>
        </w:tc>
        <w:tc>
          <w:tcPr>
            <w:tcW w:w="1800" w:type="dxa"/>
            <w:tcBorders>
              <w:top w:val="nil"/>
              <w:left w:val="nil"/>
              <w:bottom w:val="nil"/>
              <w:right w:val="nil"/>
            </w:tcBorders>
            <w:shd w:val="clear" w:color="000000"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80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2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8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38" w:type="dxa"/>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金额单位：万元</w:t>
            </w:r>
          </w:p>
        </w:tc>
      </w:tr>
      <w:tr>
        <w:tblPrEx>
          <w:tblCellMar>
            <w:top w:w="0" w:type="dxa"/>
            <w:left w:w="108" w:type="dxa"/>
            <w:bottom w:w="0" w:type="dxa"/>
            <w:right w:w="108" w:type="dxa"/>
          </w:tblCellMar>
        </w:tblPrEx>
        <w:trPr>
          <w:trHeight w:val="300" w:hRule="atLeast"/>
        </w:trPr>
        <w:tc>
          <w:tcPr>
            <w:tcW w:w="5076" w:type="dxa"/>
            <w:gridSpan w:val="4"/>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项目</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本年支出合计</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基本支出</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项目支出</w:t>
            </w:r>
          </w:p>
        </w:tc>
        <w:tc>
          <w:tcPr>
            <w:tcW w:w="1240"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上缴上级支出</w:t>
            </w:r>
          </w:p>
        </w:tc>
        <w:tc>
          <w:tcPr>
            <w:tcW w:w="1180"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经营支出</w:t>
            </w:r>
          </w:p>
        </w:tc>
        <w:tc>
          <w:tcPr>
            <w:tcW w:w="1838"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对附属单位补助支出</w:t>
            </w:r>
          </w:p>
        </w:tc>
      </w:tr>
      <w:tr>
        <w:tblPrEx>
          <w:tblCellMar>
            <w:top w:w="0" w:type="dxa"/>
            <w:left w:w="108" w:type="dxa"/>
            <w:bottom w:w="0" w:type="dxa"/>
            <w:right w:w="108" w:type="dxa"/>
          </w:tblCellMar>
        </w:tblPrEx>
        <w:trPr>
          <w:trHeight w:val="312" w:hRule="atLeast"/>
        </w:trPr>
        <w:tc>
          <w:tcPr>
            <w:tcW w:w="1638"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功能分类科目编码</w:t>
            </w:r>
          </w:p>
        </w:tc>
        <w:tc>
          <w:tcPr>
            <w:tcW w:w="3438"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科目名称</w:t>
            </w: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2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312" w:hRule="atLeast"/>
        </w:trPr>
        <w:tc>
          <w:tcPr>
            <w:tcW w:w="163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3438"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2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312" w:hRule="atLeast"/>
        </w:trPr>
        <w:tc>
          <w:tcPr>
            <w:tcW w:w="163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3438"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2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8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300" w:hRule="atLeast"/>
        </w:trPr>
        <w:tc>
          <w:tcPr>
            <w:tcW w:w="5076" w:type="dxa"/>
            <w:gridSpan w:val="4"/>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栏次</w:t>
            </w:r>
          </w:p>
        </w:tc>
        <w:tc>
          <w:tcPr>
            <w:tcW w:w="180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1</w:t>
            </w:r>
          </w:p>
        </w:tc>
        <w:tc>
          <w:tcPr>
            <w:tcW w:w="180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2</w:t>
            </w:r>
          </w:p>
        </w:tc>
        <w:tc>
          <w:tcPr>
            <w:tcW w:w="180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3</w:t>
            </w:r>
          </w:p>
        </w:tc>
        <w:tc>
          <w:tcPr>
            <w:tcW w:w="124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4</w:t>
            </w:r>
          </w:p>
        </w:tc>
        <w:tc>
          <w:tcPr>
            <w:tcW w:w="118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5</w:t>
            </w:r>
          </w:p>
        </w:tc>
        <w:tc>
          <w:tcPr>
            <w:tcW w:w="1838"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6</w:t>
            </w:r>
          </w:p>
        </w:tc>
      </w:tr>
      <w:tr>
        <w:tblPrEx>
          <w:tblCellMar>
            <w:top w:w="0" w:type="dxa"/>
            <w:left w:w="108" w:type="dxa"/>
            <w:bottom w:w="0" w:type="dxa"/>
            <w:right w:w="108" w:type="dxa"/>
          </w:tblCellMar>
        </w:tblPrEx>
        <w:trPr>
          <w:trHeight w:val="300" w:hRule="atLeast"/>
        </w:trPr>
        <w:tc>
          <w:tcPr>
            <w:tcW w:w="507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合计</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2,706.53</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1,629.66</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1,076.88</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207</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文化旅游体育与传媒支出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2,378.93</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1,303.38</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1,075.56</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20701</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文化和旅游</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2,152.66</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1,303.38</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849.28</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2070107</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艺术表演团体</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1,477.36</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1,303.38</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173.98</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2070111</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文化创作与保护</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80.00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80.00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2070199</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其他文化和旅游支出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595.30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595.30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20799</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其他文化旅游体育与传媒支出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226.28</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226.28</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2079999</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其他文化旅游体育与传媒支出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226.28</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226.28</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208</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社会保障和就业支出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200.40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199.08</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1.32</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20805</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行政事业单位养老支出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198.00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198.00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2080505</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机关事业单位基本养老保险缴费支出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140.76</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140.76</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2080506</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机关事业单位职业年金缴费支出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57.24</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57.24</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20899</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其他社会保障和就业支出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2.40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1.08</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1.32</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2089999</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其他社会保障和就业支出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1.08</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1.32</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210</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卫生健康支出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21099</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其他卫生健康支出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2109999</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其他卫生健康支出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221</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住房保障支出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22102</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住房改革支出</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16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2210201</w:t>
            </w:r>
          </w:p>
        </w:tc>
        <w:tc>
          <w:tcPr>
            <w:tcW w:w="3438"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住房公积金</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c>
          <w:tcPr>
            <w:tcW w:w="180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24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80"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83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4734" w:type="dxa"/>
            <w:gridSpan w:val="10"/>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注：本表反映部门本年度各项支出情况。</w:t>
            </w:r>
          </w:p>
        </w:tc>
      </w:tr>
    </w:tbl>
    <w:p>
      <w:pPr>
        <w:pStyle w:val="10"/>
        <w:rPr>
          <w:sz w:val="30"/>
          <w:szCs w:val="30"/>
        </w:rPr>
      </w:pPr>
    </w:p>
    <w:tbl>
      <w:tblPr>
        <w:tblStyle w:val="6"/>
        <w:tblW w:w="15211" w:type="dxa"/>
        <w:tblInd w:w="89" w:type="dxa"/>
        <w:tblLayout w:type="autofit"/>
        <w:tblCellMar>
          <w:top w:w="0" w:type="dxa"/>
          <w:left w:w="108" w:type="dxa"/>
          <w:bottom w:w="0" w:type="dxa"/>
          <w:right w:w="108" w:type="dxa"/>
        </w:tblCellMar>
      </w:tblPr>
      <w:tblGrid>
        <w:gridCol w:w="3212"/>
        <w:gridCol w:w="532"/>
        <w:gridCol w:w="939"/>
        <w:gridCol w:w="3697"/>
        <w:gridCol w:w="1184"/>
        <w:gridCol w:w="939"/>
        <w:gridCol w:w="1485"/>
        <w:gridCol w:w="1168"/>
        <w:gridCol w:w="2055"/>
      </w:tblGrid>
      <w:tr>
        <w:tblPrEx>
          <w:tblCellMar>
            <w:top w:w="0" w:type="dxa"/>
            <w:left w:w="108" w:type="dxa"/>
            <w:bottom w:w="0" w:type="dxa"/>
            <w:right w:w="108" w:type="dxa"/>
          </w:tblCellMar>
        </w:tblPrEx>
        <w:trPr>
          <w:trHeight w:val="59" w:hRule="atLeast"/>
        </w:trPr>
        <w:tc>
          <w:tcPr>
            <w:tcW w:w="15211" w:type="dxa"/>
            <w:gridSpan w:val="9"/>
            <w:tcBorders>
              <w:top w:val="nil"/>
              <w:left w:val="nil"/>
              <w:bottom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财政拨款收入支出决算总表</w:t>
            </w:r>
          </w:p>
        </w:tc>
      </w:tr>
      <w:tr>
        <w:tblPrEx>
          <w:tblCellMar>
            <w:top w:w="0" w:type="dxa"/>
            <w:left w:w="108" w:type="dxa"/>
            <w:bottom w:w="0" w:type="dxa"/>
            <w:right w:w="108" w:type="dxa"/>
          </w:tblCellMar>
        </w:tblPrEx>
        <w:trPr>
          <w:trHeight w:val="48" w:hRule="atLeast"/>
        </w:trPr>
        <w:tc>
          <w:tcPr>
            <w:tcW w:w="321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3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3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69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8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3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8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6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055" w:type="dxa"/>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公开04表</w:t>
            </w:r>
          </w:p>
        </w:tc>
      </w:tr>
      <w:tr>
        <w:tblPrEx>
          <w:tblCellMar>
            <w:top w:w="0" w:type="dxa"/>
            <w:left w:w="108" w:type="dxa"/>
            <w:bottom w:w="0" w:type="dxa"/>
            <w:right w:w="108" w:type="dxa"/>
          </w:tblCellMar>
        </w:tblPrEx>
        <w:trPr>
          <w:trHeight w:val="48" w:hRule="atLeast"/>
        </w:trPr>
        <w:tc>
          <w:tcPr>
            <w:tcW w:w="3744"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部门：湖南省花鼓戏保护传承中心</w:t>
            </w:r>
          </w:p>
        </w:tc>
        <w:tc>
          <w:tcPr>
            <w:tcW w:w="93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697" w:type="dxa"/>
            <w:tcBorders>
              <w:top w:val="nil"/>
              <w:left w:val="nil"/>
              <w:bottom w:val="nil"/>
              <w:right w:val="nil"/>
            </w:tcBorders>
            <w:shd w:val="clear" w:color="000000" w:fill="FFFFFF"/>
            <w:noWrap/>
            <w:vAlign w:val="center"/>
          </w:tcPr>
          <w:p>
            <w:pPr>
              <w:widowControl/>
              <w:rPr>
                <w:rFonts w:ascii="宋体" w:hAnsi="宋体" w:eastAsia="宋体" w:cs="Arial"/>
                <w:kern w:val="0"/>
                <w:sz w:val="18"/>
                <w:szCs w:val="18"/>
              </w:rPr>
            </w:pPr>
          </w:p>
        </w:tc>
        <w:tc>
          <w:tcPr>
            <w:tcW w:w="1184" w:type="dxa"/>
            <w:tcBorders>
              <w:top w:val="nil"/>
              <w:left w:val="nil"/>
              <w:bottom w:val="nil"/>
              <w:right w:val="nil"/>
            </w:tcBorders>
            <w:shd w:val="clear" w:color="000000" w:fill="FFFFFF"/>
            <w:noWrap/>
            <w:vAlign w:val="center"/>
          </w:tcPr>
          <w:p>
            <w:pPr>
              <w:widowControl/>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939" w:type="dxa"/>
            <w:tcBorders>
              <w:top w:val="nil"/>
              <w:left w:val="nil"/>
              <w:bottom w:val="nil"/>
              <w:right w:val="nil"/>
            </w:tcBorders>
            <w:shd w:val="clear" w:color="000000" w:fill="FFFFFF"/>
            <w:noWrap/>
            <w:vAlign w:val="center"/>
          </w:tcPr>
          <w:p>
            <w:pPr>
              <w:widowControl/>
              <w:rPr>
                <w:rFonts w:ascii="宋体" w:hAnsi="宋体" w:eastAsia="宋体" w:cs="Arial"/>
                <w:kern w:val="0"/>
                <w:sz w:val="18"/>
                <w:szCs w:val="18"/>
              </w:rPr>
            </w:pPr>
          </w:p>
        </w:tc>
        <w:tc>
          <w:tcPr>
            <w:tcW w:w="148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6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055" w:type="dxa"/>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金额单位：万元</w:t>
            </w:r>
          </w:p>
        </w:tc>
      </w:tr>
      <w:tr>
        <w:tblPrEx>
          <w:tblCellMar>
            <w:top w:w="0" w:type="dxa"/>
            <w:left w:w="108" w:type="dxa"/>
            <w:bottom w:w="0" w:type="dxa"/>
            <w:right w:w="108" w:type="dxa"/>
          </w:tblCellMar>
        </w:tblPrEx>
        <w:trPr>
          <w:trHeight w:val="48" w:hRule="atLeast"/>
        </w:trPr>
        <w:tc>
          <w:tcPr>
            <w:tcW w:w="4683" w:type="dxa"/>
            <w:gridSpan w:val="3"/>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收</w:t>
            </w:r>
            <w:r>
              <w:rPr>
                <w:rFonts w:ascii="Arial" w:hAnsi="Arial" w:eastAsia="宋体" w:cs="Arial"/>
                <w:kern w:val="0"/>
                <w:sz w:val="20"/>
                <w:szCs w:val="20"/>
              </w:rPr>
              <w:t xml:space="preserve">     </w:t>
            </w:r>
            <w:r>
              <w:rPr>
                <w:rFonts w:hint="eastAsia" w:ascii="宋体" w:hAnsi="宋体" w:eastAsia="宋体" w:cs="Arial"/>
                <w:kern w:val="0"/>
                <w:sz w:val="20"/>
                <w:szCs w:val="20"/>
              </w:rPr>
              <w:t>入</w:t>
            </w:r>
          </w:p>
        </w:tc>
        <w:tc>
          <w:tcPr>
            <w:tcW w:w="10528" w:type="dxa"/>
            <w:gridSpan w:val="6"/>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支</w:t>
            </w:r>
            <w:r>
              <w:rPr>
                <w:rFonts w:ascii="Arial" w:hAnsi="Arial" w:eastAsia="宋体" w:cs="Arial"/>
                <w:kern w:val="0"/>
                <w:sz w:val="20"/>
                <w:szCs w:val="20"/>
              </w:rPr>
              <w:t xml:space="preserve">     </w:t>
            </w:r>
            <w:r>
              <w:rPr>
                <w:rFonts w:hint="eastAsia" w:ascii="宋体" w:hAnsi="宋体" w:eastAsia="宋体" w:cs="Arial"/>
                <w:kern w:val="0"/>
                <w:sz w:val="20"/>
                <w:szCs w:val="20"/>
              </w:rPr>
              <w:t>出</w:t>
            </w:r>
          </w:p>
        </w:tc>
      </w:tr>
      <w:tr>
        <w:tblPrEx>
          <w:tblCellMar>
            <w:top w:w="0" w:type="dxa"/>
            <w:left w:w="108" w:type="dxa"/>
            <w:bottom w:w="0" w:type="dxa"/>
            <w:right w:w="108" w:type="dxa"/>
          </w:tblCellMar>
        </w:tblPrEx>
        <w:trPr>
          <w:trHeight w:val="312" w:hRule="atLeast"/>
        </w:trPr>
        <w:tc>
          <w:tcPr>
            <w:tcW w:w="3212"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项目</w:t>
            </w:r>
          </w:p>
        </w:tc>
        <w:tc>
          <w:tcPr>
            <w:tcW w:w="532"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行次</w:t>
            </w:r>
          </w:p>
        </w:tc>
        <w:tc>
          <w:tcPr>
            <w:tcW w:w="939"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金额</w:t>
            </w:r>
          </w:p>
        </w:tc>
        <w:tc>
          <w:tcPr>
            <w:tcW w:w="3697"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项目</w:t>
            </w:r>
          </w:p>
        </w:tc>
        <w:tc>
          <w:tcPr>
            <w:tcW w:w="1184"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行次</w:t>
            </w:r>
          </w:p>
        </w:tc>
        <w:tc>
          <w:tcPr>
            <w:tcW w:w="939"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合计</w:t>
            </w:r>
          </w:p>
        </w:tc>
        <w:tc>
          <w:tcPr>
            <w:tcW w:w="1485" w:type="dxa"/>
            <w:vMerge w:val="restart"/>
            <w:tcBorders>
              <w:top w:val="nil"/>
              <w:left w:val="single" w:color="auto" w:sz="4" w:space="0"/>
              <w:bottom w:val="single" w:color="auto" w:sz="4" w:space="0"/>
              <w:right w:val="single" w:color="auto" w:sz="4" w:space="0"/>
            </w:tcBorders>
            <w:shd w:val="clear" w:color="auto" w:fill="auto"/>
            <w:vAlign w:val="bottom"/>
          </w:tcPr>
          <w:p>
            <w:pPr>
              <w:widowControl/>
              <w:jc w:val="left"/>
              <w:rPr>
                <w:rFonts w:hint="eastAsia" w:ascii="宋体" w:hAnsi="宋体" w:eastAsia="宋体" w:cs="Arial"/>
                <w:kern w:val="0"/>
                <w:sz w:val="20"/>
                <w:szCs w:val="20"/>
                <w:lang w:eastAsia="zh-CN"/>
              </w:rPr>
            </w:pPr>
            <w:r>
              <w:rPr>
                <w:rFonts w:hint="eastAsia" w:ascii="宋体" w:hAnsi="宋体" w:eastAsia="宋体" w:cs="Arial"/>
                <w:kern w:val="0"/>
                <w:sz w:val="20"/>
                <w:szCs w:val="20"/>
              </w:rPr>
              <w:t>一般公共预算</w:t>
            </w:r>
          </w:p>
          <w:p>
            <w:pPr>
              <w:widowControl/>
              <w:jc w:val="left"/>
              <w:rPr>
                <w:rFonts w:ascii="宋体" w:hAnsi="宋体" w:eastAsia="宋体" w:cs="Arial"/>
                <w:kern w:val="0"/>
                <w:sz w:val="20"/>
                <w:szCs w:val="20"/>
              </w:rPr>
            </w:pPr>
            <w:r>
              <w:rPr>
                <w:rFonts w:hint="eastAsia" w:ascii="宋体" w:hAnsi="宋体" w:eastAsia="宋体" w:cs="Arial"/>
                <w:kern w:val="0"/>
                <w:sz w:val="20"/>
                <w:szCs w:val="20"/>
              </w:rPr>
              <w:t>财政拨款</w:t>
            </w:r>
          </w:p>
        </w:tc>
        <w:tc>
          <w:tcPr>
            <w:tcW w:w="1168" w:type="dxa"/>
            <w:vMerge w:val="restart"/>
            <w:tcBorders>
              <w:top w:val="nil"/>
              <w:left w:val="single" w:color="auto" w:sz="4" w:space="0"/>
              <w:bottom w:val="single" w:color="auto" w:sz="4" w:space="0"/>
              <w:right w:val="single" w:color="auto" w:sz="4" w:space="0"/>
            </w:tcBorders>
            <w:shd w:val="clear" w:color="auto" w:fill="auto"/>
            <w:vAlign w:val="bottom"/>
          </w:tcPr>
          <w:p>
            <w:pPr>
              <w:widowControl/>
              <w:jc w:val="left"/>
              <w:rPr>
                <w:rFonts w:ascii="宋体" w:hAnsi="宋体" w:eastAsia="宋体" w:cs="Arial"/>
                <w:kern w:val="0"/>
                <w:sz w:val="20"/>
                <w:szCs w:val="20"/>
              </w:rPr>
            </w:pPr>
            <w:r>
              <w:rPr>
                <w:rFonts w:hint="eastAsia" w:ascii="宋体" w:hAnsi="宋体" w:eastAsia="宋体" w:cs="Arial"/>
                <w:kern w:val="0"/>
                <w:sz w:val="20"/>
                <w:szCs w:val="20"/>
              </w:rPr>
              <w:t>政府性基金预算财政拨款</w:t>
            </w:r>
          </w:p>
        </w:tc>
        <w:tc>
          <w:tcPr>
            <w:tcW w:w="2055" w:type="dxa"/>
            <w:vMerge w:val="restart"/>
            <w:tcBorders>
              <w:top w:val="nil"/>
              <w:left w:val="single" w:color="auto" w:sz="4" w:space="0"/>
              <w:bottom w:val="single" w:color="auto" w:sz="4" w:space="0"/>
              <w:right w:val="single" w:color="auto" w:sz="4" w:space="0"/>
            </w:tcBorders>
            <w:shd w:val="clear" w:color="auto" w:fill="auto"/>
            <w:vAlign w:val="bottom"/>
          </w:tcPr>
          <w:p>
            <w:pPr>
              <w:widowControl/>
              <w:jc w:val="left"/>
              <w:rPr>
                <w:rFonts w:hint="eastAsia" w:ascii="宋体" w:hAnsi="宋体" w:eastAsia="宋体" w:cs="Arial"/>
                <w:kern w:val="0"/>
                <w:sz w:val="20"/>
                <w:szCs w:val="20"/>
                <w:lang w:eastAsia="zh-CN"/>
              </w:rPr>
            </w:pPr>
            <w:r>
              <w:rPr>
                <w:rFonts w:hint="eastAsia" w:ascii="宋体" w:hAnsi="宋体" w:eastAsia="宋体" w:cs="Arial"/>
                <w:kern w:val="0"/>
                <w:sz w:val="20"/>
                <w:szCs w:val="20"/>
              </w:rPr>
              <w:t>国有资本经营</w:t>
            </w:r>
          </w:p>
          <w:p>
            <w:pPr>
              <w:widowControl/>
              <w:jc w:val="left"/>
              <w:rPr>
                <w:rFonts w:ascii="宋体" w:hAnsi="宋体" w:eastAsia="宋体" w:cs="Arial"/>
                <w:kern w:val="0"/>
                <w:sz w:val="20"/>
                <w:szCs w:val="20"/>
              </w:rPr>
            </w:pPr>
            <w:r>
              <w:rPr>
                <w:rFonts w:hint="eastAsia" w:ascii="宋体" w:hAnsi="宋体" w:eastAsia="宋体" w:cs="Arial"/>
                <w:kern w:val="0"/>
                <w:sz w:val="20"/>
                <w:szCs w:val="20"/>
              </w:rPr>
              <w:t>预算财政拨款</w:t>
            </w:r>
          </w:p>
        </w:tc>
      </w:tr>
      <w:tr>
        <w:tblPrEx>
          <w:tblCellMar>
            <w:top w:w="0" w:type="dxa"/>
            <w:left w:w="108" w:type="dxa"/>
            <w:bottom w:w="0" w:type="dxa"/>
            <w:right w:w="108" w:type="dxa"/>
          </w:tblCellMar>
        </w:tblPrEx>
        <w:trPr>
          <w:trHeight w:val="312" w:hRule="atLeast"/>
        </w:trPr>
        <w:tc>
          <w:tcPr>
            <w:tcW w:w="3212"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3697"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184"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8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Arial"/>
                <w:kern w:val="0"/>
                <w:sz w:val="20"/>
                <w:szCs w:val="20"/>
              </w:rPr>
            </w:pPr>
          </w:p>
        </w:tc>
        <w:tc>
          <w:tcPr>
            <w:tcW w:w="116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Arial"/>
                <w:kern w:val="0"/>
                <w:sz w:val="20"/>
                <w:szCs w:val="20"/>
              </w:rPr>
            </w:pPr>
          </w:p>
        </w:tc>
        <w:tc>
          <w:tcPr>
            <w:tcW w:w="20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Arial"/>
                <w:kern w:val="0"/>
                <w:sz w:val="20"/>
                <w:szCs w:val="20"/>
              </w:rPr>
            </w:pP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栏次</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　</w:t>
            </w:r>
          </w:p>
        </w:tc>
        <w:tc>
          <w:tcPr>
            <w:tcW w:w="93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w:t>
            </w:r>
          </w:p>
        </w:tc>
        <w:tc>
          <w:tcPr>
            <w:tcW w:w="3697" w:type="dxa"/>
            <w:tcBorders>
              <w:top w:val="nil"/>
              <w:left w:val="nil"/>
              <w:bottom w:val="single" w:color="auto" w:sz="4" w:space="0"/>
              <w:right w:val="single" w:color="auto" w:sz="4" w:space="0"/>
            </w:tcBorders>
            <w:shd w:val="clear" w:color="auto" w:fill="auto"/>
            <w:noWrap/>
            <w:vAlign w:val="bottom"/>
          </w:tcPr>
          <w:p>
            <w:pPr>
              <w:rPr>
                <w:rFonts w:ascii="宋体" w:hAnsi="宋体" w:eastAsia="宋体" w:cs="Arial"/>
                <w:sz w:val="20"/>
                <w:szCs w:val="20"/>
              </w:rPr>
            </w:pPr>
            <w:r>
              <w:rPr>
                <w:rFonts w:hint="eastAsia" w:cs="Arial"/>
                <w:sz w:val="20"/>
                <w:szCs w:val="20"/>
              </w:rPr>
              <w:t>栏次</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　</w:t>
            </w:r>
          </w:p>
        </w:tc>
        <w:tc>
          <w:tcPr>
            <w:tcW w:w="93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w:t>
            </w:r>
          </w:p>
        </w:tc>
        <w:tc>
          <w:tcPr>
            <w:tcW w:w="1485"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w:t>
            </w:r>
          </w:p>
        </w:tc>
        <w:tc>
          <w:tcPr>
            <w:tcW w:w="1168"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w:t>
            </w:r>
          </w:p>
        </w:tc>
        <w:tc>
          <w:tcPr>
            <w:tcW w:w="2055"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一、一般公共预算财政拨款</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2,458.23</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一、一般公共服务支出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33</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二、政府性基金预算财政拨款</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二、外交支出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34</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三、国有资本经营财政拨款</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三、国防支出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35</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四、公共安全支出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36</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五、教育支出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37</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六、科学技术支出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38</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7</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七、文化旅游体育与传媒支出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39</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2,041.21</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2,041.21</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8</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八、社会保障和就业支出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40</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200.40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200.40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9</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九、卫生健康支出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41</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10</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十、节能环保支出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42</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11</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十一、城乡社区支出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43</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12</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十二、农林水支出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44</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13</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十三、交通运输支出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45</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14</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十四、资源勘探工业信息等支出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46</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15</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十五、商业服务业等支出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47</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16</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十六、金融支出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48</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17</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十七、援助其他地区支出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49</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18</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十八、自然资源海洋气象等支出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50</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19</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十九、住房保障支出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51</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20</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二十、粮油物资储备支出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52</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21</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二十一、国有资本经营预算支出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53</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22</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二十二、灾害防治及应急管理支出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54</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23</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二十三、其他支出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55</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Arial"/>
                <w:b/>
                <w:bCs/>
                <w:sz w:val="20"/>
                <w:szCs w:val="20"/>
              </w:rPr>
            </w:pPr>
            <w:r>
              <w:rPr>
                <w:rFonts w:hint="eastAsia" w:cs="Arial"/>
                <w:b/>
                <w:bCs/>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24</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二十四、债务还本支出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56</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25</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二十五、债务付息支出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57</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26</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二十六、抗疫特别国债安排的支出</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58</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Arial"/>
                <w:b/>
                <w:bCs/>
                <w:sz w:val="20"/>
                <w:szCs w:val="20"/>
              </w:rPr>
            </w:pPr>
            <w:r>
              <w:rPr>
                <w:rFonts w:hint="eastAsia" w:cs="Arial"/>
                <w:b/>
                <w:bCs/>
                <w:sz w:val="20"/>
                <w:szCs w:val="20"/>
              </w:rPr>
              <w:t>本年收入合计</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27</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2,458.23</w:t>
            </w:r>
          </w:p>
        </w:tc>
        <w:tc>
          <w:tcPr>
            <w:tcW w:w="369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b/>
                <w:bCs/>
                <w:sz w:val="20"/>
                <w:szCs w:val="20"/>
              </w:rPr>
            </w:pPr>
            <w:r>
              <w:rPr>
                <w:rFonts w:hint="eastAsia" w:cs="Arial"/>
                <w:b/>
                <w:bCs/>
                <w:sz w:val="20"/>
                <w:szCs w:val="20"/>
              </w:rPr>
              <w:t>本年支出合计</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59</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2,368.81</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2,368.81</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年初财政拨款结转和结余</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28</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245.52</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年末财政拨款结转和结余</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60</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334.94</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334.94</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一般公共预算财政拨款</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29</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245.52</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61</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政府性基金预算财政拨款</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30</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62</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国有资本经营预算财政拨款</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31</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63</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r>
      <w:tr>
        <w:tblPrEx>
          <w:tblCellMar>
            <w:top w:w="0" w:type="dxa"/>
            <w:left w:w="108" w:type="dxa"/>
            <w:bottom w:w="0" w:type="dxa"/>
            <w:right w:w="108" w:type="dxa"/>
          </w:tblCellMar>
        </w:tblPrEx>
        <w:trPr>
          <w:trHeight w:val="48" w:hRule="atLeast"/>
        </w:trPr>
        <w:tc>
          <w:tcPr>
            <w:tcW w:w="321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总计</w:t>
            </w:r>
          </w:p>
        </w:tc>
        <w:tc>
          <w:tcPr>
            <w:tcW w:w="532"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32</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2,703.75</w:t>
            </w:r>
          </w:p>
        </w:tc>
        <w:tc>
          <w:tcPr>
            <w:tcW w:w="369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总计</w:t>
            </w:r>
          </w:p>
        </w:tc>
        <w:tc>
          <w:tcPr>
            <w:tcW w:w="118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64</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2,703.75</w:t>
            </w:r>
          </w:p>
        </w:tc>
        <w:tc>
          <w:tcPr>
            <w:tcW w:w="14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2,703.75</w:t>
            </w:r>
          </w:p>
        </w:tc>
        <w:tc>
          <w:tcPr>
            <w:tcW w:w="1168"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205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48" w:hRule="atLeast"/>
        </w:trPr>
        <w:tc>
          <w:tcPr>
            <w:tcW w:w="13156" w:type="dxa"/>
            <w:gridSpan w:val="8"/>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注：本表反映部门本年度一般公共预算财政拨款、政府性基金预算财政拨款和国有资本经营预算财政拨款的总收支和年末结转结余情况。</w:t>
            </w:r>
          </w:p>
        </w:tc>
        <w:tc>
          <w:tcPr>
            <w:tcW w:w="205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bl>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rPr>
          <w:rFonts w:hint="eastAsia"/>
          <w:sz w:val="52"/>
          <w:szCs w:val="72"/>
        </w:rPr>
      </w:pPr>
    </w:p>
    <w:p>
      <w:pPr>
        <w:pStyle w:val="10"/>
        <w:rPr>
          <w:rFonts w:hint="eastAsia"/>
          <w:sz w:val="30"/>
          <w:szCs w:val="30"/>
        </w:rPr>
      </w:pPr>
    </w:p>
    <w:p>
      <w:pPr>
        <w:pStyle w:val="10"/>
        <w:rPr>
          <w:sz w:val="30"/>
          <w:szCs w:val="30"/>
        </w:rPr>
      </w:pPr>
    </w:p>
    <w:tbl>
      <w:tblPr>
        <w:tblStyle w:val="6"/>
        <w:tblW w:w="15045" w:type="dxa"/>
        <w:tblInd w:w="89" w:type="dxa"/>
        <w:tblLayout w:type="autofit"/>
        <w:tblCellMar>
          <w:top w:w="0" w:type="dxa"/>
          <w:left w:w="108" w:type="dxa"/>
          <w:bottom w:w="0" w:type="dxa"/>
          <w:right w:w="108" w:type="dxa"/>
        </w:tblCellMar>
      </w:tblPr>
      <w:tblGrid>
        <w:gridCol w:w="1122"/>
        <w:gridCol w:w="1108"/>
        <w:gridCol w:w="1108"/>
        <w:gridCol w:w="225"/>
        <w:gridCol w:w="6114"/>
        <w:gridCol w:w="1403"/>
        <w:gridCol w:w="1545"/>
        <w:gridCol w:w="435"/>
        <w:gridCol w:w="1985"/>
      </w:tblGrid>
      <w:tr>
        <w:tblPrEx>
          <w:tblCellMar>
            <w:top w:w="0" w:type="dxa"/>
            <w:left w:w="108" w:type="dxa"/>
            <w:bottom w:w="0" w:type="dxa"/>
            <w:right w:w="108" w:type="dxa"/>
          </w:tblCellMar>
        </w:tblPrEx>
        <w:trPr>
          <w:trHeight w:val="375" w:hRule="atLeast"/>
        </w:trPr>
        <w:tc>
          <w:tcPr>
            <w:tcW w:w="15045" w:type="dxa"/>
            <w:gridSpan w:val="9"/>
            <w:tcBorders>
              <w:top w:val="nil"/>
              <w:left w:val="nil"/>
              <w:bottom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一般公共预算财政拨款支出决算表</w:t>
            </w:r>
          </w:p>
        </w:tc>
      </w:tr>
      <w:tr>
        <w:tblPrEx>
          <w:tblCellMar>
            <w:top w:w="0" w:type="dxa"/>
            <w:left w:w="108" w:type="dxa"/>
            <w:bottom w:w="0" w:type="dxa"/>
            <w:right w:w="108" w:type="dxa"/>
          </w:tblCellMar>
        </w:tblPrEx>
        <w:trPr>
          <w:trHeight w:val="300" w:hRule="atLeast"/>
        </w:trPr>
        <w:tc>
          <w:tcPr>
            <w:tcW w:w="112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0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333"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611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03"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4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420" w:type="dxa"/>
            <w:gridSpan w:val="2"/>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公开05表</w:t>
            </w:r>
          </w:p>
        </w:tc>
      </w:tr>
      <w:tr>
        <w:tblPrEx>
          <w:tblCellMar>
            <w:top w:w="0" w:type="dxa"/>
            <w:left w:w="108" w:type="dxa"/>
            <w:bottom w:w="0" w:type="dxa"/>
            <w:right w:w="108" w:type="dxa"/>
          </w:tblCellMar>
        </w:tblPrEx>
        <w:trPr>
          <w:trHeight w:val="300" w:hRule="atLeast"/>
        </w:trPr>
        <w:tc>
          <w:tcPr>
            <w:tcW w:w="3563" w:type="dxa"/>
            <w:gridSpan w:val="4"/>
            <w:tcBorders>
              <w:top w:val="nil"/>
              <w:left w:val="nil"/>
              <w:bottom w:val="nil"/>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部门：湖南省花鼓戏保护传承中心</w:t>
            </w:r>
          </w:p>
        </w:tc>
        <w:tc>
          <w:tcPr>
            <w:tcW w:w="6114" w:type="dxa"/>
            <w:tcBorders>
              <w:top w:val="nil"/>
              <w:left w:val="nil"/>
              <w:bottom w:val="nil"/>
              <w:right w:val="nil"/>
            </w:tcBorders>
            <w:shd w:val="clear" w:color="000000"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403"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4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420" w:type="dxa"/>
            <w:gridSpan w:val="2"/>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金额单位：万元</w:t>
            </w:r>
          </w:p>
        </w:tc>
      </w:tr>
      <w:tr>
        <w:tblPrEx>
          <w:tblCellMar>
            <w:top w:w="0" w:type="dxa"/>
            <w:left w:w="108" w:type="dxa"/>
            <w:bottom w:w="0" w:type="dxa"/>
            <w:right w:w="108" w:type="dxa"/>
          </w:tblCellMar>
        </w:tblPrEx>
        <w:trPr>
          <w:trHeight w:val="300" w:hRule="atLeast"/>
        </w:trPr>
        <w:tc>
          <w:tcPr>
            <w:tcW w:w="9677" w:type="dxa"/>
            <w:gridSpan w:val="5"/>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项目</w:t>
            </w:r>
          </w:p>
        </w:tc>
        <w:tc>
          <w:tcPr>
            <w:tcW w:w="5368" w:type="dxa"/>
            <w:gridSpan w:val="4"/>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本年支出</w:t>
            </w:r>
          </w:p>
        </w:tc>
      </w:tr>
      <w:tr>
        <w:tblPrEx>
          <w:tblCellMar>
            <w:top w:w="0" w:type="dxa"/>
            <w:left w:w="108" w:type="dxa"/>
            <w:bottom w:w="0" w:type="dxa"/>
            <w:right w:w="108" w:type="dxa"/>
          </w:tblCellMar>
        </w:tblPrEx>
        <w:trPr>
          <w:trHeight w:val="312" w:hRule="atLeast"/>
        </w:trPr>
        <w:tc>
          <w:tcPr>
            <w:tcW w:w="3338"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功能分类科目编码</w:t>
            </w:r>
          </w:p>
        </w:tc>
        <w:tc>
          <w:tcPr>
            <w:tcW w:w="6339" w:type="dxa"/>
            <w:gridSpan w:val="2"/>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科目名称</w:t>
            </w:r>
          </w:p>
        </w:tc>
        <w:tc>
          <w:tcPr>
            <w:tcW w:w="1403"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小计</w:t>
            </w:r>
          </w:p>
        </w:tc>
        <w:tc>
          <w:tcPr>
            <w:tcW w:w="1980" w:type="dxa"/>
            <w:gridSpan w:val="2"/>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基本支出</w:t>
            </w:r>
          </w:p>
        </w:tc>
        <w:tc>
          <w:tcPr>
            <w:tcW w:w="1985"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项目支出</w:t>
            </w:r>
          </w:p>
        </w:tc>
      </w:tr>
      <w:tr>
        <w:tblPrEx>
          <w:tblCellMar>
            <w:top w:w="0" w:type="dxa"/>
            <w:left w:w="108" w:type="dxa"/>
            <w:bottom w:w="0" w:type="dxa"/>
            <w:right w:w="108" w:type="dxa"/>
          </w:tblCellMar>
        </w:tblPrEx>
        <w:trPr>
          <w:trHeight w:val="312" w:hRule="atLeast"/>
        </w:trPr>
        <w:tc>
          <w:tcPr>
            <w:tcW w:w="333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6339"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03"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98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312" w:hRule="atLeast"/>
        </w:trPr>
        <w:tc>
          <w:tcPr>
            <w:tcW w:w="333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6339"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403"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98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985"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300" w:hRule="atLeast"/>
        </w:trPr>
        <w:tc>
          <w:tcPr>
            <w:tcW w:w="9677" w:type="dxa"/>
            <w:gridSpan w:val="5"/>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栏次</w:t>
            </w:r>
          </w:p>
        </w:tc>
        <w:tc>
          <w:tcPr>
            <w:tcW w:w="1403"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1</w:t>
            </w:r>
          </w:p>
        </w:tc>
        <w:tc>
          <w:tcPr>
            <w:tcW w:w="1980"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2</w:t>
            </w:r>
          </w:p>
        </w:tc>
        <w:tc>
          <w:tcPr>
            <w:tcW w:w="19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3</w:t>
            </w:r>
          </w:p>
        </w:tc>
      </w:tr>
      <w:tr>
        <w:tblPrEx>
          <w:tblCellMar>
            <w:top w:w="0" w:type="dxa"/>
            <w:left w:w="108" w:type="dxa"/>
            <w:bottom w:w="0" w:type="dxa"/>
            <w:right w:w="108" w:type="dxa"/>
          </w:tblCellMar>
        </w:tblPrEx>
        <w:trPr>
          <w:trHeight w:val="300" w:hRule="atLeast"/>
        </w:trPr>
        <w:tc>
          <w:tcPr>
            <w:tcW w:w="9677"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合计</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2,368.81</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1,345.91</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1,022.90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207</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文化旅游体育与传媒支出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2,041.21</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1,019.63</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1,021.58</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20701</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文化和旅游</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1,814.93</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1,019.63</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795.30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2070107</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艺术表演团体</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1,139.63</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1,019.63</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2070111</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文化创作与保护</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80.00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80.00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2070199</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其他文化和旅游支出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595.30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595.30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20799</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其他文化旅游体育与传媒支出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226.28</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226.28</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2079999</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其他文化旅游体育与传媒支出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226.28</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226.28</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208</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社会保障和就业支出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200.40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199.08</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1.32</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20805</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行政事业单位养老支出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198.00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198.00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2080505</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机关事业单位基本养老保险缴费支出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140.76</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140.76</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2080506</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机关事业单位职业年金缴费支出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57.24</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57.24</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20899</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其他社会保障和就业支出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2.40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1.08</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1.32</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2089999</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其他社会保障和就业支出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2.40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1.08</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1.32</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210</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卫生健康支出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21099</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其他卫生健康支出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2109999</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其他卫生健康支出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221</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住房保障支出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22102</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b/>
                <w:bCs/>
                <w:sz w:val="20"/>
                <w:szCs w:val="20"/>
              </w:rPr>
            </w:pPr>
            <w:r>
              <w:rPr>
                <w:rFonts w:hint="eastAsia" w:cs="Arial"/>
                <w:b/>
                <w:bCs/>
                <w:sz w:val="20"/>
                <w:szCs w:val="20"/>
              </w:rPr>
              <w:t>住房改革支出</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126.00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b/>
                <w:bCs/>
                <w:sz w:val="20"/>
                <w:szCs w:val="20"/>
              </w:rPr>
            </w:pPr>
            <w:r>
              <w:rPr>
                <w:rFonts w:hint="eastAsia" w:cs="Arial"/>
                <w:b/>
                <w:bCs/>
                <w:sz w:val="20"/>
                <w:szCs w:val="20"/>
              </w:rPr>
              <w:t>0.00</w:t>
            </w:r>
          </w:p>
        </w:tc>
      </w:tr>
      <w:tr>
        <w:tblPrEx>
          <w:tblCellMar>
            <w:top w:w="0" w:type="dxa"/>
            <w:left w:w="108" w:type="dxa"/>
            <w:bottom w:w="0" w:type="dxa"/>
            <w:right w:w="108" w:type="dxa"/>
          </w:tblCellMar>
        </w:tblPrEx>
        <w:trPr>
          <w:trHeight w:val="300" w:hRule="atLeast"/>
        </w:trPr>
        <w:tc>
          <w:tcPr>
            <w:tcW w:w="333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2210201</w:t>
            </w:r>
          </w:p>
        </w:tc>
        <w:tc>
          <w:tcPr>
            <w:tcW w:w="6339" w:type="dxa"/>
            <w:gridSpan w:val="2"/>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住房公积金</w:t>
            </w:r>
          </w:p>
        </w:tc>
        <w:tc>
          <w:tcPr>
            <w:tcW w:w="140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c>
          <w:tcPr>
            <w:tcW w:w="1980"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c>
          <w:tcPr>
            <w:tcW w:w="198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5045" w:type="dxa"/>
            <w:gridSpan w:val="9"/>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注：本表反映部门本年度一般公共预算财政拨款支出情况。</w:t>
            </w:r>
          </w:p>
        </w:tc>
      </w:tr>
    </w:tbl>
    <w:p>
      <w:pPr>
        <w:pStyle w:val="10"/>
        <w:rPr>
          <w:sz w:val="32"/>
          <w:szCs w:val="72"/>
        </w:rPr>
      </w:pPr>
    </w:p>
    <w:tbl>
      <w:tblPr>
        <w:tblStyle w:val="6"/>
        <w:tblW w:w="15328" w:type="dxa"/>
        <w:tblInd w:w="89" w:type="dxa"/>
        <w:tblLayout w:type="autofit"/>
        <w:tblCellMar>
          <w:top w:w="0" w:type="dxa"/>
          <w:left w:w="108" w:type="dxa"/>
          <w:bottom w:w="0" w:type="dxa"/>
          <w:right w:w="108" w:type="dxa"/>
        </w:tblCellMar>
      </w:tblPr>
      <w:tblGrid>
        <w:gridCol w:w="932"/>
        <w:gridCol w:w="3377"/>
        <w:gridCol w:w="939"/>
        <w:gridCol w:w="931"/>
        <w:gridCol w:w="2265"/>
        <w:gridCol w:w="709"/>
        <w:gridCol w:w="931"/>
        <w:gridCol w:w="2835"/>
        <w:gridCol w:w="992"/>
        <w:gridCol w:w="1417"/>
      </w:tblGrid>
      <w:tr>
        <w:tblPrEx>
          <w:tblCellMar>
            <w:top w:w="0" w:type="dxa"/>
            <w:left w:w="108" w:type="dxa"/>
            <w:bottom w:w="0" w:type="dxa"/>
            <w:right w:w="108" w:type="dxa"/>
          </w:tblCellMar>
        </w:tblPrEx>
        <w:trPr>
          <w:trHeight w:val="375" w:hRule="atLeast"/>
        </w:trPr>
        <w:tc>
          <w:tcPr>
            <w:tcW w:w="15328" w:type="dxa"/>
            <w:gridSpan w:val="10"/>
            <w:tcBorders>
              <w:top w:val="nil"/>
              <w:left w:val="nil"/>
              <w:bottom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一般公共预算财政拨款基本支出决算表</w:t>
            </w:r>
          </w:p>
        </w:tc>
      </w:tr>
      <w:tr>
        <w:tblPrEx>
          <w:tblCellMar>
            <w:top w:w="0" w:type="dxa"/>
            <w:left w:w="108" w:type="dxa"/>
            <w:bottom w:w="0" w:type="dxa"/>
            <w:right w:w="108" w:type="dxa"/>
          </w:tblCellMar>
        </w:tblPrEx>
        <w:trPr>
          <w:trHeight w:val="300" w:hRule="atLeast"/>
        </w:trPr>
        <w:tc>
          <w:tcPr>
            <w:tcW w:w="93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2"/>
              </w:rPr>
            </w:pPr>
            <w:r>
              <w:rPr>
                <w:rFonts w:hint="eastAsia" w:ascii="宋体" w:hAnsi="宋体" w:eastAsia="宋体" w:cs="Arial"/>
                <w:kern w:val="0"/>
                <w:sz w:val="22"/>
              </w:rPr>
              <w:t>　</w:t>
            </w:r>
          </w:p>
        </w:tc>
        <w:tc>
          <w:tcPr>
            <w:tcW w:w="337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3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p>
        </w:tc>
        <w:tc>
          <w:tcPr>
            <w:tcW w:w="93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p>
        </w:tc>
        <w:tc>
          <w:tcPr>
            <w:tcW w:w="226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70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3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827"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p>
        </w:tc>
        <w:tc>
          <w:tcPr>
            <w:tcW w:w="1417" w:type="dxa"/>
            <w:tcBorders>
              <w:top w:val="nil"/>
              <w:left w:val="nil"/>
              <w:bottom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r>
      <w:tr>
        <w:tblPrEx>
          <w:tblCellMar>
            <w:top w:w="0" w:type="dxa"/>
            <w:left w:w="108" w:type="dxa"/>
            <w:bottom w:w="0" w:type="dxa"/>
            <w:right w:w="108" w:type="dxa"/>
          </w:tblCellMar>
        </w:tblPrEx>
        <w:trPr>
          <w:trHeight w:val="300" w:hRule="atLeast"/>
        </w:trPr>
        <w:tc>
          <w:tcPr>
            <w:tcW w:w="93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2"/>
              </w:rPr>
            </w:pPr>
            <w:r>
              <w:rPr>
                <w:rFonts w:hint="eastAsia" w:ascii="宋体" w:hAnsi="宋体" w:eastAsia="宋体" w:cs="Arial"/>
                <w:kern w:val="0"/>
                <w:sz w:val="22"/>
              </w:rPr>
              <w:t>　</w:t>
            </w:r>
          </w:p>
        </w:tc>
        <w:tc>
          <w:tcPr>
            <w:tcW w:w="337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3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p>
        </w:tc>
        <w:tc>
          <w:tcPr>
            <w:tcW w:w="93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26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70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3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827"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17" w:type="dxa"/>
            <w:tcBorders>
              <w:top w:val="nil"/>
              <w:left w:val="nil"/>
              <w:bottom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r>
      <w:tr>
        <w:tblPrEx>
          <w:tblCellMar>
            <w:top w:w="0" w:type="dxa"/>
            <w:left w:w="108" w:type="dxa"/>
            <w:bottom w:w="0" w:type="dxa"/>
            <w:right w:w="108" w:type="dxa"/>
          </w:tblCellMar>
        </w:tblPrEx>
        <w:trPr>
          <w:trHeight w:val="300" w:hRule="atLeast"/>
        </w:trPr>
        <w:tc>
          <w:tcPr>
            <w:tcW w:w="93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377"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3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p>
        </w:tc>
        <w:tc>
          <w:tcPr>
            <w:tcW w:w="93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265"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70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3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827"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17" w:type="dxa"/>
            <w:tcBorders>
              <w:top w:val="nil"/>
              <w:left w:val="nil"/>
              <w:bottom w:val="nil"/>
            </w:tcBorders>
            <w:shd w:val="clear" w:color="000000" w:fill="FFFFFF"/>
            <w:noWrap/>
            <w:vAlign w:val="center"/>
          </w:tcPr>
          <w:p>
            <w:pPr>
              <w:widowControl/>
              <w:ind w:left="-403" w:leftChars="-192"/>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公开06表</w:t>
            </w:r>
          </w:p>
        </w:tc>
      </w:tr>
      <w:tr>
        <w:tblPrEx>
          <w:tblCellMar>
            <w:top w:w="0" w:type="dxa"/>
            <w:left w:w="108" w:type="dxa"/>
            <w:bottom w:w="0" w:type="dxa"/>
            <w:right w:w="108" w:type="dxa"/>
          </w:tblCellMar>
        </w:tblPrEx>
        <w:trPr>
          <w:trHeight w:val="300" w:hRule="atLeast"/>
        </w:trPr>
        <w:tc>
          <w:tcPr>
            <w:tcW w:w="4309"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部门：湖南省花鼓戏保护传承中心</w:t>
            </w:r>
          </w:p>
        </w:tc>
        <w:tc>
          <w:tcPr>
            <w:tcW w:w="93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p>
        </w:tc>
        <w:tc>
          <w:tcPr>
            <w:tcW w:w="93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265" w:type="dxa"/>
            <w:tcBorders>
              <w:top w:val="nil"/>
              <w:left w:val="nil"/>
              <w:bottom w:val="nil"/>
              <w:right w:val="nil"/>
            </w:tcBorders>
            <w:shd w:val="clear" w:color="000000"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709"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31"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827"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17" w:type="dxa"/>
            <w:tcBorders>
              <w:top w:val="nil"/>
              <w:left w:val="nil"/>
              <w:bottom w:val="nil"/>
            </w:tcBorders>
            <w:shd w:val="clear" w:color="000000" w:fill="FFFFFF"/>
            <w:noWrap/>
            <w:vAlign w:val="center"/>
          </w:tcPr>
          <w:p>
            <w:pPr>
              <w:widowControl/>
              <w:ind w:left="-533" w:leftChars="-254" w:firstLine="282" w:firstLineChars="157"/>
              <w:jc w:val="right"/>
              <w:rPr>
                <w:rFonts w:ascii="宋体" w:hAnsi="宋体" w:eastAsia="宋体" w:cs="Arial"/>
                <w:color w:val="000000"/>
                <w:kern w:val="0"/>
                <w:sz w:val="18"/>
                <w:szCs w:val="18"/>
              </w:rPr>
            </w:pPr>
            <w:r>
              <w:rPr>
                <w:rFonts w:hint="eastAsia" w:ascii="宋体" w:hAnsi="宋体" w:eastAsia="宋体" w:cs="Arial"/>
                <w:color w:val="000000"/>
                <w:kern w:val="0"/>
                <w:sz w:val="18"/>
                <w:szCs w:val="18"/>
              </w:rPr>
              <w:t>金额单位：万元</w:t>
            </w:r>
          </w:p>
        </w:tc>
      </w:tr>
      <w:tr>
        <w:tblPrEx>
          <w:tblCellMar>
            <w:top w:w="0" w:type="dxa"/>
            <w:left w:w="108" w:type="dxa"/>
            <w:bottom w:w="0" w:type="dxa"/>
            <w:right w:w="108" w:type="dxa"/>
          </w:tblCellMar>
        </w:tblPrEx>
        <w:trPr>
          <w:trHeight w:val="300" w:hRule="atLeast"/>
        </w:trPr>
        <w:tc>
          <w:tcPr>
            <w:tcW w:w="5248" w:type="dxa"/>
            <w:gridSpan w:val="3"/>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人员经费</w:t>
            </w:r>
          </w:p>
        </w:tc>
        <w:tc>
          <w:tcPr>
            <w:tcW w:w="10080" w:type="dxa"/>
            <w:gridSpan w:val="7"/>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公用经费</w:t>
            </w:r>
          </w:p>
        </w:tc>
      </w:tr>
      <w:tr>
        <w:tblPrEx>
          <w:tblCellMar>
            <w:top w:w="0" w:type="dxa"/>
            <w:left w:w="108" w:type="dxa"/>
            <w:bottom w:w="0" w:type="dxa"/>
            <w:right w:w="108" w:type="dxa"/>
          </w:tblCellMar>
        </w:tblPrEx>
        <w:trPr>
          <w:trHeight w:val="312" w:hRule="atLeast"/>
        </w:trPr>
        <w:tc>
          <w:tcPr>
            <w:tcW w:w="932"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科目编码</w:t>
            </w:r>
          </w:p>
        </w:tc>
        <w:tc>
          <w:tcPr>
            <w:tcW w:w="3377"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科目名称</w:t>
            </w:r>
          </w:p>
        </w:tc>
        <w:tc>
          <w:tcPr>
            <w:tcW w:w="939"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决算数</w:t>
            </w:r>
          </w:p>
        </w:tc>
        <w:tc>
          <w:tcPr>
            <w:tcW w:w="931"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科目编码</w:t>
            </w:r>
          </w:p>
        </w:tc>
        <w:tc>
          <w:tcPr>
            <w:tcW w:w="2265"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科目名称</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决算数</w:t>
            </w:r>
          </w:p>
        </w:tc>
        <w:tc>
          <w:tcPr>
            <w:tcW w:w="931"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科目编码</w:t>
            </w:r>
          </w:p>
        </w:tc>
        <w:tc>
          <w:tcPr>
            <w:tcW w:w="2835"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科目名称</w:t>
            </w:r>
          </w:p>
        </w:tc>
        <w:tc>
          <w:tcPr>
            <w:tcW w:w="2409" w:type="dxa"/>
            <w:gridSpan w:val="2"/>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决算数</w:t>
            </w:r>
          </w:p>
        </w:tc>
      </w:tr>
      <w:tr>
        <w:tblPrEx>
          <w:tblCellMar>
            <w:top w:w="0" w:type="dxa"/>
            <w:left w:w="108" w:type="dxa"/>
            <w:bottom w:w="0" w:type="dxa"/>
            <w:right w:w="108" w:type="dxa"/>
          </w:tblCellMar>
        </w:tblPrEx>
        <w:trPr>
          <w:trHeight w:val="312" w:hRule="atLeast"/>
        </w:trPr>
        <w:tc>
          <w:tcPr>
            <w:tcW w:w="932"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3377"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931"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2265"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931"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2835"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2409"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工资福利支出</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1,329.63</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商品和服务支出</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307</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债务利息及费用支出</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30101</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基本工资</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468.78</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30201</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办公费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30701</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国内债务付息</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30102</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津贴补贴</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54.18</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30202</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印刷费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30702</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国外债务付息</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30103</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奖金</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30203</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咨询费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资本性支出</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30106</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伙食补助费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30204</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手续费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31001</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房屋建筑物购建</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30107</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绩效工资</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381.81</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30205</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水费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31002</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办公设备购置</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30108</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机关事业单位基本养老保险缴费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140.76</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30206</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电费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31003</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专用设备购置</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30109</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职业年金缴费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57.24</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30207</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邮电费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31005</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基础设施建设</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30110</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职工基本医疗保险缴费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84.10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30208</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取暖费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31006</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大型修缮</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30111</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公务员医疗补助缴费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30209</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物业管理费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31007</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信息网络及软件购置更新</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30112</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其他社会保障缴费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16.76</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30211</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差旅费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31008</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物资储备</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30113</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住房公积金</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126.00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30212</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因公出国（境）费用</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31009</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土地补偿</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30114</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医疗费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30213</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维修（护）费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31010</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安置补助</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30199</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其他工资福利支出</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30214</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租赁费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31011</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地上附着物和青苗补偿</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对个人和家庭的补助</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16.28</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30215</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会议费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31012</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拆迁补偿</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30301</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离休费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30216</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培训费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31013</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公务用车购置</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30302</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退休费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2.28</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30217</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公务接待费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31019</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其他交通工具购置</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30303</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退职（役）费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30218</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专用材料费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31021</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文物和陈列品购置</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30304</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抚恤金</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30224</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被装购置费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31022</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无形资产购置</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30305</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生活补助</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30225</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专用燃料费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31099</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其他资本性支出</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30306</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救济费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30226</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劳务费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399</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其他支出</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30307</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医疗费补助</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4.00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30227</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委托业务费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39906</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赠与</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30308</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助学金</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30228</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工会经费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39907</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国家赔偿费用支出</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30309</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奖励金</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30229</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福利费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39908</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对民间非营利组织和群众性自治组织补贴</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30310</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个人农业生产补贴</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30231</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公务用车运行维护费</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39999</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其他支出</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30311</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代缴社会保险费</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30239</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其他交通费用</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30399</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其他对个人和家庭的补助</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30240</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税金及附加费用</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r>
      <w:tr>
        <w:tblPrEx>
          <w:tblCellMar>
            <w:top w:w="0" w:type="dxa"/>
            <w:left w:w="108" w:type="dxa"/>
            <w:bottom w:w="0" w:type="dxa"/>
            <w:right w:w="108" w:type="dxa"/>
          </w:tblCellMar>
        </w:tblPrEx>
        <w:trPr>
          <w:trHeight w:val="300" w:hRule="atLeast"/>
        </w:trPr>
        <w:tc>
          <w:tcPr>
            <w:tcW w:w="932"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3377"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30299</w:t>
            </w:r>
          </w:p>
        </w:tc>
        <w:tc>
          <w:tcPr>
            <w:tcW w:w="226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xml:space="preserve">  其他商品和服务支出</w:t>
            </w:r>
          </w:p>
        </w:tc>
        <w:tc>
          <w:tcPr>
            <w:tcW w:w="70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c>
          <w:tcPr>
            <w:tcW w:w="931"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2835" w:type="dxa"/>
            <w:tcBorders>
              <w:top w:val="nil"/>
              <w:left w:val="nil"/>
              <w:bottom w:val="single" w:color="auto" w:sz="4" w:space="0"/>
              <w:right w:val="single" w:color="auto" w:sz="4" w:space="0"/>
            </w:tcBorders>
            <w:shd w:val="clear" w:color="auto" w:fill="auto"/>
            <w:noWrap/>
            <w:vAlign w:val="center"/>
          </w:tcPr>
          <w:p>
            <w:pPr>
              <w:rPr>
                <w:rFonts w:ascii="宋体" w:hAnsi="宋体" w:eastAsia="宋体" w:cs="Arial"/>
                <w:sz w:val="20"/>
                <w:szCs w:val="20"/>
              </w:rPr>
            </w:pPr>
            <w:r>
              <w:rPr>
                <w:rFonts w:hint="eastAsia" w:cs="Arial"/>
                <w:sz w:val="20"/>
                <w:szCs w:val="20"/>
              </w:rPr>
              <w:t>　</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　</w:t>
            </w:r>
          </w:p>
        </w:tc>
      </w:tr>
      <w:tr>
        <w:tblPrEx>
          <w:tblCellMar>
            <w:top w:w="0" w:type="dxa"/>
            <w:left w:w="108" w:type="dxa"/>
            <w:bottom w:w="0" w:type="dxa"/>
            <w:right w:w="108" w:type="dxa"/>
          </w:tblCellMar>
        </w:tblPrEx>
        <w:trPr>
          <w:trHeight w:val="300" w:hRule="atLeast"/>
        </w:trPr>
        <w:tc>
          <w:tcPr>
            <w:tcW w:w="430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人员经费合计</w:t>
            </w:r>
          </w:p>
        </w:tc>
        <w:tc>
          <w:tcPr>
            <w:tcW w:w="939"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1,345.91</w:t>
            </w:r>
          </w:p>
        </w:tc>
        <w:tc>
          <w:tcPr>
            <w:tcW w:w="7671" w:type="dxa"/>
            <w:gridSpan w:val="5"/>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Arial"/>
                <w:sz w:val="20"/>
                <w:szCs w:val="20"/>
              </w:rPr>
            </w:pPr>
            <w:r>
              <w:rPr>
                <w:rFonts w:hint="eastAsia" w:cs="Arial"/>
                <w:sz w:val="20"/>
                <w:szCs w:val="20"/>
              </w:rPr>
              <w:t>公用经费合计</w:t>
            </w:r>
          </w:p>
        </w:tc>
        <w:tc>
          <w:tcPr>
            <w:tcW w:w="2409"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Arial"/>
                <w:sz w:val="20"/>
                <w:szCs w:val="20"/>
              </w:rPr>
            </w:pPr>
            <w:r>
              <w:rPr>
                <w:rFonts w:hint="eastAsia" w:cs="Arial"/>
                <w:sz w:val="20"/>
                <w:szCs w:val="20"/>
              </w:rPr>
              <w:t>0.00</w:t>
            </w:r>
          </w:p>
        </w:tc>
      </w:tr>
      <w:tr>
        <w:tblPrEx>
          <w:tblCellMar>
            <w:top w:w="0" w:type="dxa"/>
            <w:left w:w="108" w:type="dxa"/>
            <w:bottom w:w="0" w:type="dxa"/>
            <w:right w:w="108" w:type="dxa"/>
          </w:tblCellMar>
        </w:tblPrEx>
        <w:trPr>
          <w:trHeight w:val="300" w:hRule="atLeast"/>
        </w:trPr>
        <w:tc>
          <w:tcPr>
            <w:tcW w:w="15328" w:type="dxa"/>
            <w:gridSpan w:val="10"/>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注：本表反映部门本年度一般公共预算财政拨款基本支出明细情况。</w:t>
            </w:r>
          </w:p>
        </w:tc>
      </w:tr>
    </w:tbl>
    <w:p>
      <w:pPr>
        <w:widowControl/>
        <w:jc w:val="left"/>
        <w:rPr>
          <w:rFonts w:cs="黑体" w:asciiTheme="minorEastAsia" w:hAnsiTheme="minorEastAsia"/>
          <w:color w:val="000000"/>
          <w:kern w:val="0"/>
          <w:sz w:val="20"/>
          <w:szCs w:val="20"/>
        </w:rPr>
      </w:pPr>
    </w:p>
    <w:p>
      <w:pPr>
        <w:widowControl/>
        <w:jc w:val="left"/>
        <w:rPr>
          <w:rFonts w:cs="黑体" w:asciiTheme="minorEastAsia" w:hAnsiTheme="minorEastAsia"/>
          <w:color w:val="000000"/>
          <w:kern w:val="0"/>
          <w:sz w:val="20"/>
          <w:szCs w:val="20"/>
        </w:rPr>
      </w:pPr>
    </w:p>
    <w:p>
      <w:pPr>
        <w:widowControl/>
        <w:jc w:val="left"/>
        <w:rPr>
          <w:rFonts w:cs="黑体" w:asciiTheme="minorEastAsia" w:hAnsiTheme="minorEastAsia"/>
          <w:color w:val="000000"/>
          <w:kern w:val="0"/>
          <w:sz w:val="20"/>
          <w:szCs w:val="20"/>
        </w:rPr>
      </w:pPr>
    </w:p>
    <w:p>
      <w:pPr>
        <w:widowControl/>
        <w:jc w:val="left"/>
        <w:rPr>
          <w:rFonts w:cs="黑体" w:asciiTheme="minorEastAsia" w:hAnsiTheme="minorEastAsia"/>
          <w:color w:val="000000"/>
          <w:kern w:val="0"/>
          <w:sz w:val="20"/>
          <w:szCs w:val="20"/>
        </w:rPr>
      </w:pPr>
      <w:r>
        <w:rPr>
          <w:rFonts w:cs="黑体" w:asciiTheme="minorEastAsia" w:hAnsiTheme="minorEastAsia"/>
          <w:color w:val="000000"/>
          <w:kern w:val="0"/>
          <w:sz w:val="20"/>
          <w:szCs w:val="20"/>
        </w:rPr>
        <w:br w:type="page"/>
      </w:r>
    </w:p>
    <w:tbl>
      <w:tblPr>
        <w:tblStyle w:val="6"/>
        <w:tblW w:w="14761" w:type="dxa"/>
        <w:tblInd w:w="89" w:type="dxa"/>
        <w:tblLayout w:type="autofit"/>
        <w:tblCellMar>
          <w:top w:w="0" w:type="dxa"/>
          <w:left w:w="108" w:type="dxa"/>
          <w:bottom w:w="0" w:type="dxa"/>
          <w:right w:w="108" w:type="dxa"/>
        </w:tblCellMar>
      </w:tblPr>
      <w:tblGrid>
        <w:gridCol w:w="438"/>
        <w:gridCol w:w="1638"/>
        <w:gridCol w:w="70"/>
        <w:gridCol w:w="368"/>
        <w:gridCol w:w="340"/>
        <w:gridCol w:w="1098"/>
        <w:gridCol w:w="603"/>
        <w:gridCol w:w="835"/>
        <w:gridCol w:w="866"/>
        <w:gridCol w:w="1427"/>
        <w:gridCol w:w="438"/>
        <w:gridCol w:w="1638"/>
        <w:gridCol w:w="438"/>
        <w:gridCol w:w="1438"/>
        <w:gridCol w:w="1438"/>
        <w:gridCol w:w="1688"/>
      </w:tblGrid>
      <w:tr>
        <w:tblPrEx>
          <w:tblCellMar>
            <w:top w:w="0" w:type="dxa"/>
            <w:left w:w="108" w:type="dxa"/>
            <w:bottom w:w="0" w:type="dxa"/>
            <w:right w:w="108" w:type="dxa"/>
          </w:tblCellMar>
        </w:tblPrEx>
        <w:trPr>
          <w:trHeight w:val="540" w:hRule="atLeast"/>
        </w:trPr>
        <w:tc>
          <w:tcPr>
            <w:tcW w:w="14761" w:type="dxa"/>
            <w:gridSpan w:val="16"/>
            <w:tcBorders>
              <w:top w:val="nil"/>
              <w:left w:val="nil"/>
              <w:bottom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一般公共预算财政拨款“三公”经费支出决算表</w:t>
            </w:r>
          </w:p>
          <w:p>
            <w:pPr>
              <w:widowControl/>
              <w:jc w:val="center"/>
              <w:rPr>
                <w:rFonts w:ascii="黑体" w:hAnsi="黑体" w:eastAsia="黑体" w:cs="Arial"/>
                <w:kern w:val="0"/>
                <w:sz w:val="44"/>
                <w:szCs w:val="44"/>
              </w:rPr>
            </w:pPr>
          </w:p>
        </w:tc>
      </w:tr>
      <w:tr>
        <w:tblPrEx>
          <w:tblCellMar>
            <w:top w:w="0" w:type="dxa"/>
            <w:left w:w="108" w:type="dxa"/>
            <w:bottom w:w="0" w:type="dxa"/>
            <w:right w:w="108" w:type="dxa"/>
          </w:tblCellMar>
        </w:tblPrEx>
        <w:trPr>
          <w:trHeight w:val="270" w:hRule="atLeast"/>
        </w:trPr>
        <w:tc>
          <w:tcPr>
            <w:tcW w:w="2076"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22"/>
              </w:rPr>
            </w:pPr>
          </w:p>
        </w:tc>
        <w:tc>
          <w:tcPr>
            <w:tcW w:w="438"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38"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38"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293"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6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688" w:type="dxa"/>
            <w:tcBorders>
              <w:top w:val="nil"/>
              <w:left w:val="nil"/>
              <w:bottom w:val="nil"/>
            </w:tcBorders>
            <w:shd w:val="clear" w:color="000000" w:fill="FFFFFF"/>
            <w:noWrap/>
            <w:vAlign w:val="center"/>
          </w:tcPr>
          <w:p>
            <w:pPr>
              <w:widowControl/>
              <w:jc w:val="right"/>
              <w:rPr>
                <w:rFonts w:ascii="宋体" w:hAnsi="宋体" w:eastAsia="宋体" w:cs="Arial"/>
                <w:kern w:val="0"/>
                <w:sz w:val="22"/>
              </w:rPr>
            </w:pPr>
            <w:r>
              <w:rPr>
                <w:rFonts w:hint="eastAsia" w:ascii="宋体" w:hAnsi="宋体" w:eastAsia="宋体" w:cs="Arial"/>
                <w:kern w:val="0"/>
                <w:sz w:val="22"/>
              </w:rPr>
              <w:t>公开07表</w:t>
            </w:r>
          </w:p>
        </w:tc>
      </w:tr>
      <w:tr>
        <w:tblPrEx>
          <w:tblCellMar>
            <w:top w:w="0" w:type="dxa"/>
            <w:left w:w="108" w:type="dxa"/>
            <w:bottom w:w="0" w:type="dxa"/>
            <w:right w:w="108" w:type="dxa"/>
          </w:tblCellMar>
        </w:tblPrEx>
        <w:trPr>
          <w:trHeight w:val="270" w:hRule="atLeast"/>
        </w:trPr>
        <w:tc>
          <w:tcPr>
            <w:tcW w:w="3952" w:type="dxa"/>
            <w:gridSpan w:val="6"/>
            <w:tcBorders>
              <w:top w:val="nil"/>
              <w:left w:val="nil"/>
              <w:bottom w:val="nil"/>
              <w:right w:val="nil"/>
            </w:tcBorders>
            <w:shd w:val="clear" w:color="000000" w:fill="FFFFFF"/>
            <w:noWrap/>
            <w:vAlign w:val="center"/>
          </w:tcPr>
          <w:p>
            <w:pPr>
              <w:widowControl/>
              <w:jc w:val="left"/>
              <w:rPr>
                <w:rFonts w:ascii="宋体" w:hAnsi="宋体" w:eastAsia="宋体" w:cs="Arial"/>
                <w:kern w:val="0"/>
                <w:sz w:val="22"/>
              </w:rPr>
            </w:pPr>
            <w:r>
              <w:rPr>
                <w:rFonts w:hint="eastAsia" w:ascii="宋体" w:hAnsi="宋体" w:eastAsia="宋体" w:cs="Arial"/>
                <w:kern w:val="0"/>
                <w:sz w:val="22"/>
              </w:rPr>
              <w:t>部门：湖南省花鼓戏保护传承中心</w:t>
            </w:r>
          </w:p>
        </w:tc>
        <w:tc>
          <w:tcPr>
            <w:tcW w:w="1438"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293" w:type="dxa"/>
            <w:gridSpan w:val="2"/>
            <w:tcBorders>
              <w:top w:val="nil"/>
              <w:left w:val="nil"/>
              <w:bottom w:val="nil"/>
              <w:right w:val="nil"/>
            </w:tcBorders>
            <w:shd w:val="clear" w:color="000000" w:fill="FFFFFF"/>
            <w:noWrap/>
            <w:vAlign w:val="center"/>
          </w:tcPr>
          <w:p>
            <w:pPr>
              <w:widowControl/>
              <w:jc w:val="center"/>
              <w:rPr>
                <w:rFonts w:ascii="宋体" w:hAnsi="宋体" w:eastAsia="宋体" w:cs="Arial"/>
                <w:kern w:val="0"/>
                <w:sz w:val="22"/>
              </w:rPr>
            </w:pPr>
            <w:r>
              <w:rPr>
                <w:rFonts w:hint="eastAsia" w:ascii="宋体" w:hAnsi="宋体" w:eastAsia="宋体" w:cs="Arial"/>
                <w:color w:val="000000"/>
                <w:kern w:val="0"/>
                <w:sz w:val="22"/>
              </w:rPr>
              <w:t>2021年度</w:t>
            </w:r>
          </w:p>
        </w:tc>
        <w:tc>
          <w:tcPr>
            <w:tcW w:w="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6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688" w:type="dxa"/>
            <w:tcBorders>
              <w:top w:val="nil"/>
              <w:left w:val="nil"/>
              <w:bottom w:val="nil"/>
            </w:tcBorders>
            <w:shd w:val="clear" w:color="000000" w:fill="FFFFFF"/>
            <w:noWrap/>
            <w:vAlign w:val="center"/>
          </w:tcPr>
          <w:p>
            <w:pPr>
              <w:widowControl/>
              <w:jc w:val="right"/>
              <w:rPr>
                <w:rFonts w:ascii="宋体" w:hAnsi="宋体" w:eastAsia="宋体" w:cs="Arial"/>
                <w:kern w:val="0"/>
                <w:sz w:val="22"/>
              </w:rPr>
            </w:pPr>
            <w:r>
              <w:rPr>
                <w:rFonts w:hint="eastAsia" w:ascii="宋体" w:hAnsi="宋体" w:eastAsia="宋体" w:cs="Arial"/>
                <w:kern w:val="0"/>
                <w:sz w:val="22"/>
              </w:rPr>
              <w:t>金额单位：万元</w:t>
            </w:r>
          </w:p>
        </w:tc>
      </w:tr>
      <w:tr>
        <w:tblPrEx>
          <w:tblCellMar>
            <w:top w:w="0" w:type="dxa"/>
            <w:left w:w="108" w:type="dxa"/>
            <w:bottom w:w="0" w:type="dxa"/>
            <w:right w:w="108" w:type="dxa"/>
          </w:tblCellMar>
        </w:tblPrEx>
        <w:trPr>
          <w:trHeight w:val="255" w:hRule="atLeast"/>
        </w:trPr>
        <w:tc>
          <w:tcPr>
            <w:tcW w:w="7683" w:type="dxa"/>
            <w:gridSpan w:val="10"/>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预算数</w:t>
            </w:r>
          </w:p>
        </w:tc>
        <w:tc>
          <w:tcPr>
            <w:tcW w:w="7078" w:type="dxa"/>
            <w:gridSpan w:val="6"/>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决算数</w:t>
            </w:r>
          </w:p>
        </w:tc>
      </w:tr>
      <w:tr>
        <w:tblPrEx>
          <w:tblCellMar>
            <w:top w:w="0" w:type="dxa"/>
            <w:left w:w="108" w:type="dxa"/>
            <w:bottom w:w="0" w:type="dxa"/>
            <w:right w:w="108" w:type="dxa"/>
          </w:tblCellMar>
        </w:tblPrEx>
        <w:trPr>
          <w:trHeight w:val="255" w:hRule="atLeast"/>
        </w:trPr>
        <w:tc>
          <w:tcPr>
            <w:tcW w:w="438"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合计</w:t>
            </w:r>
          </w:p>
        </w:tc>
        <w:tc>
          <w:tcPr>
            <w:tcW w:w="1708" w:type="dxa"/>
            <w:gridSpan w:val="2"/>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因公出国（境）费</w:t>
            </w:r>
          </w:p>
        </w:tc>
        <w:tc>
          <w:tcPr>
            <w:tcW w:w="4110" w:type="dxa"/>
            <w:gridSpan w:val="6"/>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公务用车购置及运行费</w:t>
            </w:r>
          </w:p>
        </w:tc>
        <w:tc>
          <w:tcPr>
            <w:tcW w:w="1427"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公务接待费</w:t>
            </w:r>
          </w:p>
        </w:tc>
        <w:tc>
          <w:tcPr>
            <w:tcW w:w="438"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合计</w:t>
            </w:r>
          </w:p>
        </w:tc>
        <w:tc>
          <w:tcPr>
            <w:tcW w:w="1638"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因公出国（境）费</w:t>
            </w:r>
          </w:p>
        </w:tc>
        <w:tc>
          <w:tcPr>
            <w:tcW w:w="3314" w:type="dxa"/>
            <w:gridSpan w:val="3"/>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公务用车购置及运行费</w:t>
            </w:r>
          </w:p>
        </w:tc>
        <w:tc>
          <w:tcPr>
            <w:tcW w:w="1688"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公务接待费</w:t>
            </w:r>
          </w:p>
        </w:tc>
      </w:tr>
      <w:tr>
        <w:tblPrEx>
          <w:tblCellMar>
            <w:top w:w="0" w:type="dxa"/>
            <w:left w:w="108" w:type="dxa"/>
            <w:bottom w:w="0" w:type="dxa"/>
            <w:right w:w="108" w:type="dxa"/>
          </w:tblCellMar>
        </w:tblPrEx>
        <w:trPr>
          <w:trHeight w:val="255" w:hRule="atLeast"/>
        </w:trPr>
        <w:tc>
          <w:tcPr>
            <w:tcW w:w="438"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70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708"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小计</w:t>
            </w:r>
          </w:p>
        </w:tc>
        <w:tc>
          <w:tcPr>
            <w:tcW w:w="1701"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公务用车购置费</w:t>
            </w:r>
          </w:p>
        </w:tc>
        <w:tc>
          <w:tcPr>
            <w:tcW w:w="1701"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公务用车运行费</w:t>
            </w:r>
          </w:p>
        </w:tc>
        <w:tc>
          <w:tcPr>
            <w:tcW w:w="1427"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438"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1638"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c>
          <w:tcPr>
            <w:tcW w:w="438"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小计</w:t>
            </w:r>
          </w:p>
        </w:tc>
        <w:tc>
          <w:tcPr>
            <w:tcW w:w="1438"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公务用车购置费</w:t>
            </w:r>
          </w:p>
        </w:tc>
        <w:tc>
          <w:tcPr>
            <w:tcW w:w="1438"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hint="eastAsia" w:ascii="宋体" w:hAnsi="宋体" w:eastAsia="宋体" w:cs="Arial"/>
                <w:kern w:val="0"/>
                <w:sz w:val="20"/>
                <w:szCs w:val="20"/>
              </w:rPr>
              <w:t>公务用车运行费</w:t>
            </w:r>
          </w:p>
        </w:tc>
        <w:tc>
          <w:tcPr>
            <w:tcW w:w="1688" w:type="dxa"/>
            <w:vMerge w:val="continue"/>
            <w:tcBorders>
              <w:top w:val="nil"/>
              <w:left w:val="single" w:color="auto" w:sz="4" w:space="0"/>
              <w:bottom w:val="single" w:color="auto" w:sz="4" w:space="0"/>
              <w:right w:val="single" w:color="auto" w:sz="4" w:space="0"/>
            </w:tcBorders>
            <w:vAlign w:val="center"/>
          </w:tcPr>
          <w:p>
            <w:pPr>
              <w:widowControl/>
              <w:jc w:val="left"/>
              <w:rPr>
                <w:rFonts w:ascii="Arial" w:hAnsi="Arial" w:eastAsia="宋体" w:cs="Arial"/>
                <w:kern w:val="0"/>
                <w:sz w:val="20"/>
                <w:szCs w:val="20"/>
              </w:rPr>
            </w:pPr>
          </w:p>
        </w:tc>
      </w:tr>
      <w:tr>
        <w:tblPrEx>
          <w:tblCellMar>
            <w:top w:w="0" w:type="dxa"/>
            <w:left w:w="108" w:type="dxa"/>
            <w:bottom w:w="0" w:type="dxa"/>
            <w:right w:w="108" w:type="dxa"/>
          </w:tblCellMar>
        </w:tblPrEx>
        <w:trPr>
          <w:trHeight w:val="255" w:hRule="atLeast"/>
        </w:trPr>
        <w:tc>
          <w:tcPr>
            <w:tcW w:w="43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1</w:t>
            </w:r>
          </w:p>
        </w:tc>
        <w:tc>
          <w:tcPr>
            <w:tcW w:w="1708"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2</w:t>
            </w:r>
          </w:p>
        </w:tc>
        <w:tc>
          <w:tcPr>
            <w:tcW w:w="708"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3</w:t>
            </w:r>
          </w:p>
        </w:tc>
        <w:tc>
          <w:tcPr>
            <w:tcW w:w="1701"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4</w:t>
            </w:r>
          </w:p>
        </w:tc>
        <w:tc>
          <w:tcPr>
            <w:tcW w:w="1701"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5</w:t>
            </w:r>
          </w:p>
        </w:tc>
        <w:tc>
          <w:tcPr>
            <w:tcW w:w="1427"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6</w:t>
            </w:r>
          </w:p>
        </w:tc>
        <w:tc>
          <w:tcPr>
            <w:tcW w:w="4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7</w:t>
            </w:r>
          </w:p>
        </w:tc>
        <w:tc>
          <w:tcPr>
            <w:tcW w:w="16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8</w:t>
            </w:r>
          </w:p>
        </w:tc>
        <w:tc>
          <w:tcPr>
            <w:tcW w:w="4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9</w:t>
            </w:r>
          </w:p>
        </w:tc>
        <w:tc>
          <w:tcPr>
            <w:tcW w:w="14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10</w:t>
            </w:r>
          </w:p>
        </w:tc>
        <w:tc>
          <w:tcPr>
            <w:tcW w:w="14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11</w:t>
            </w:r>
          </w:p>
        </w:tc>
        <w:tc>
          <w:tcPr>
            <w:tcW w:w="168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12</w:t>
            </w:r>
          </w:p>
        </w:tc>
      </w:tr>
      <w:tr>
        <w:tblPrEx>
          <w:tblCellMar>
            <w:top w:w="0" w:type="dxa"/>
            <w:left w:w="108" w:type="dxa"/>
            <w:bottom w:w="0" w:type="dxa"/>
            <w:right w:w="108" w:type="dxa"/>
          </w:tblCellMar>
        </w:tblPrEx>
        <w:trPr>
          <w:trHeight w:val="255" w:hRule="atLeast"/>
        </w:trPr>
        <w:tc>
          <w:tcPr>
            <w:tcW w:w="43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1708"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708"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1701"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1701"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1427"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4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16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4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14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143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c>
          <w:tcPr>
            <w:tcW w:w="168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0</w:t>
            </w:r>
          </w:p>
        </w:tc>
      </w:tr>
      <w:tr>
        <w:tblPrEx>
          <w:tblCellMar>
            <w:top w:w="0" w:type="dxa"/>
            <w:left w:w="108" w:type="dxa"/>
            <w:bottom w:w="0" w:type="dxa"/>
            <w:right w:w="108" w:type="dxa"/>
          </w:tblCellMar>
        </w:tblPrEx>
        <w:trPr>
          <w:trHeight w:val="255" w:hRule="atLeast"/>
        </w:trPr>
        <w:tc>
          <w:tcPr>
            <w:tcW w:w="14761" w:type="dxa"/>
            <w:gridSpan w:val="16"/>
            <w:tcBorders>
              <w:top w:val="nil"/>
              <w:left w:val="nil"/>
              <w:bottom w:val="nil"/>
              <w:right w:val="nil"/>
            </w:tcBorders>
            <w:shd w:val="clear" w:color="000000" w:fill="FFFFFF"/>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湖南省花鼓戏保护传承中心没有一般公共预算财政拨款“三公”经费支出，故本表无数据)。</w:t>
            </w:r>
          </w:p>
        </w:tc>
      </w:tr>
    </w:tbl>
    <w:p>
      <w:pPr>
        <w:widowControl/>
        <w:jc w:val="left"/>
        <w:rPr>
          <w:rFonts w:cs="黑体" w:asciiTheme="minorEastAsia" w:hAnsiTheme="minorEastAsia"/>
          <w:color w:val="000000"/>
          <w:kern w:val="0"/>
          <w:sz w:val="20"/>
          <w:szCs w:val="20"/>
        </w:rPr>
      </w:pPr>
    </w:p>
    <w:p>
      <w:pPr>
        <w:widowControl/>
        <w:jc w:val="left"/>
        <w:rPr>
          <w:rFonts w:cs="黑体" w:asciiTheme="minorEastAsia" w:hAnsiTheme="minorEastAsia"/>
          <w:color w:val="000000"/>
          <w:kern w:val="0"/>
          <w:sz w:val="20"/>
          <w:szCs w:val="20"/>
        </w:rPr>
      </w:pPr>
      <w:r>
        <w:rPr>
          <w:rFonts w:cs="黑体" w:asciiTheme="minorEastAsia" w:hAnsiTheme="minorEastAsia"/>
          <w:color w:val="000000"/>
          <w:kern w:val="0"/>
          <w:sz w:val="20"/>
          <w:szCs w:val="20"/>
        </w:rPr>
        <w:br w:type="page"/>
      </w:r>
    </w:p>
    <w:tbl>
      <w:tblPr>
        <w:tblStyle w:val="6"/>
        <w:tblW w:w="15183" w:type="dxa"/>
        <w:tblInd w:w="93" w:type="dxa"/>
        <w:tblLayout w:type="autofit"/>
        <w:tblCellMar>
          <w:top w:w="0" w:type="dxa"/>
          <w:left w:w="108" w:type="dxa"/>
          <w:bottom w:w="0" w:type="dxa"/>
          <w:right w:w="108" w:type="dxa"/>
        </w:tblCellMar>
      </w:tblPr>
      <w:tblGrid>
        <w:gridCol w:w="544"/>
        <w:gridCol w:w="543"/>
        <w:gridCol w:w="543"/>
        <w:gridCol w:w="370"/>
        <w:gridCol w:w="2693"/>
        <w:gridCol w:w="1888"/>
        <w:gridCol w:w="1162"/>
        <w:gridCol w:w="602"/>
        <w:gridCol w:w="742"/>
        <w:gridCol w:w="420"/>
        <w:gridCol w:w="998"/>
        <w:gridCol w:w="2126"/>
        <w:gridCol w:w="2552"/>
      </w:tblGrid>
      <w:tr>
        <w:tblPrEx>
          <w:tblCellMar>
            <w:top w:w="0" w:type="dxa"/>
            <w:left w:w="108" w:type="dxa"/>
            <w:bottom w:w="0" w:type="dxa"/>
            <w:right w:w="108" w:type="dxa"/>
          </w:tblCellMar>
        </w:tblPrEx>
        <w:trPr>
          <w:trHeight w:val="390" w:hRule="atLeast"/>
        </w:trPr>
        <w:tc>
          <w:tcPr>
            <w:tcW w:w="15183" w:type="dxa"/>
            <w:gridSpan w:val="13"/>
            <w:tcBorders>
              <w:top w:val="nil"/>
              <w:left w:val="nil"/>
              <w:bottom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政府性基金预算财政拨款收入支出决算表</w:t>
            </w:r>
          </w:p>
        </w:tc>
      </w:tr>
      <w:tr>
        <w:tblPrEx>
          <w:tblCellMar>
            <w:top w:w="0" w:type="dxa"/>
            <w:left w:w="108" w:type="dxa"/>
            <w:bottom w:w="0" w:type="dxa"/>
            <w:right w:w="108" w:type="dxa"/>
          </w:tblCellMar>
        </w:tblPrEx>
        <w:trPr>
          <w:trHeight w:val="270" w:hRule="atLeast"/>
        </w:trPr>
        <w:tc>
          <w:tcPr>
            <w:tcW w:w="54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43"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43"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063"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8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6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60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6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124"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552" w:type="dxa"/>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公开08表</w:t>
            </w:r>
          </w:p>
        </w:tc>
      </w:tr>
      <w:tr>
        <w:tblPrEx>
          <w:tblCellMar>
            <w:top w:w="0" w:type="dxa"/>
            <w:left w:w="108" w:type="dxa"/>
            <w:bottom w:w="0" w:type="dxa"/>
            <w:right w:w="108" w:type="dxa"/>
          </w:tblCellMar>
        </w:tblPrEx>
        <w:trPr>
          <w:trHeight w:val="270" w:hRule="atLeast"/>
        </w:trPr>
        <w:tc>
          <w:tcPr>
            <w:tcW w:w="4693" w:type="dxa"/>
            <w:gridSpan w:val="5"/>
            <w:tcBorders>
              <w:top w:val="nil"/>
              <w:left w:val="nil"/>
              <w:bottom w:val="nil"/>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部门：湖南省花鼓戏保护传承中心</w:t>
            </w:r>
          </w:p>
        </w:tc>
        <w:tc>
          <w:tcPr>
            <w:tcW w:w="1888" w:type="dxa"/>
            <w:tcBorders>
              <w:top w:val="nil"/>
              <w:left w:val="nil"/>
              <w:bottom w:val="nil"/>
              <w:right w:val="nil"/>
            </w:tcBorders>
            <w:shd w:val="clear" w:color="000000"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16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60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6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124"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552" w:type="dxa"/>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金额单位：万元</w:t>
            </w:r>
          </w:p>
        </w:tc>
      </w:tr>
      <w:tr>
        <w:tblPrEx>
          <w:tblCellMar>
            <w:top w:w="0" w:type="dxa"/>
            <w:left w:w="108" w:type="dxa"/>
            <w:bottom w:w="0" w:type="dxa"/>
            <w:right w:w="108" w:type="dxa"/>
          </w:tblCellMar>
        </w:tblPrEx>
        <w:trPr>
          <w:trHeight w:val="255" w:hRule="atLeast"/>
        </w:trPr>
        <w:tc>
          <w:tcPr>
            <w:tcW w:w="4693" w:type="dxa"/>
            <w:gridSpan w:val="5"/>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项目</w:t>
            </w:r>
          </w:p>
        </w:tc>
        <w:tc>
          <w:tcPr>
            <w:tcW w:w="1888"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年初结转和结余</w:t>
            </w:r>
          </w:p>
        </w:tc>
        <w:tc>
          <w:tcPr>
            <w:tcW w:w="1162"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本年收入</w:t>
            </w:r>
          </w:p>
        </w:tc>
        <w:tc>
          <w:tcPr>
            <w:tcW w:w="4888" w:type="dxa"/>
            <w:gridSpan w:val="5"/>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本年支出</w:t>
            </w:r>
          </w:p>
        </w:tc>
        <w:tc>
          <w:tcPr>
            <w:tcW w:w="2552" w:type="dxa"/>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年末结转和结余</w:t>
            </w:r>
          </w:p>
        </w:tc>
      </w:tr>
      <w:tr>
        <w:tblPrEx>
          <w:tblCellMar>
            <w:top w:w="0" w:type="dxa"/>
            <w:left w:w="108" w:type="dxa"/>
            <w:bottom w:w="0" w:type="dxa"/>
            <w:right w:w="108" w:type="dxa"/>
          </w:tblCellMar>
        </w:tblPrEx>
        <w:trPr>
          <w:trHeight w:val="312" w:hRule="atLeast"/>
        </w:trPr>
        <w:tc>
          <w:tcPr>
            <w:tcW w:w="2000"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功能分类科目编码</w:t>
            </w:r>
          </w:p>
        </w:tc>
        <w:tc>
          <w:tcPr>
            <w:tcW w:w="2693"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科目名称</w:t>
            </w:r>
          </w:p>
        </w:tc>
        <w:tc>
          <w:tcPr>
            <w:tcW w:w="18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16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344" w:type="dxa"/>
            <w:gridSpan w:val="2"/>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小计</w:t>
            </w:r>
          </w:p>
        </w:tc>
        <w:tc>
          <w:tcPr>
            <w:tcW w:w="1418" w:type="dxa"/>
            <w:gridSpan w:val="2"/>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基本支出</w:t>
            </w:r>
          </w:p>
        </w:tc>
        <w:tc>
          <w:tcPr>
            <w:tcW w:w="2126"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项目支出</w:t>
            </w: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r>
      <w:tr>
        <w:tblPrEx>
          <w:tblCellMar>
            <w:top w:w="0" w:type="dxa"/>
            <w:left w:w="108" w:type="dxa"/>
            <w:bottom w:w="0" w:type="dxa"/>
            <w:right w:w="108" w:type="dxa"/>
          </w:tblCellMar>
        </w:tblPrEx>
        <w:trPr>
          <w:trHeight w:val="312" w:hRule="atLeast"/>
        </w:trPr>
        <w:tc>
          <w:tcPr>
            <w:tcW w:w="200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2693" w:type="dxa"/>
            <w:vMerge w:val="continue"/>
            <w:tcBorders>
              <w:top w:val="nil"/>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8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16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344" w:type="dxa"/>
            <w:gridSpan w:val="2"/>
            <w:vMerge w:val="continue"/>
            <w:tcBorders>
              <w:top w:val="nil"/>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418" w:type="dxa"/>
            <w:gridSpan w:val="2"/>
            <w:vMerge w:val="continue"/>
            <w:tcBorders>
              <w:top w:val="nil"/>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r>
      <w:tr>
        <w:tblPrEx>
          <w:tblCellMar>
            <w:top w:w="0" w:type="dxa"/>
            <w:left w:w="108" w:type="dxa"/>
            <w:bottom w:w="0" w:type="dxa"/>
            <w:right w:w="108" w:type="dxa"/>
          </w:tblCellMar>
        </w:tblPrEx>
        <w:trPr>
          <w:trHeight w:val="312" w:hRule="atLeast"/>
        </w:trPr>
        <w:tc>
          <w:tcPr>
            <w:tcW w:w="200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2693" w:type="dxa"/>
            <w:vMerge w:val="continue"/>
            <w:tcBorders>
              <w:top w:val="nil"/>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88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16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344" w:type="dxa"/>
            <w:gridSpan w:val="2"/>
            <w:vMerge w:val="continue"/>
            <w:tcBorders>
              <w:top w:val="nil"/>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1418" w:type="dxa"/>
            <w:gridSpan w:val="2"/>
            <w:vMerge w:val="continue"/>
            <w:tcBorders>
              <w:top w:val="nil"/>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Arial" w:hAnsi="Arial" w:eastAsia="宋体" w:cs="Arial"/>
                <w:kern w:val="0"/>
                <w:sz w:val="20"/>
                <w:szCs w:val="20"/>
              </w:rPr>
            </w:pPr>
          </w:p>
        </w:tc>
      </w:tr>
      <w:tr>
        <w:tblPrEx>
          <w:tblCellMar>
            <w:top w:w="0" w:type="dxa"/>
            <w:left w:w="108" w:type="dxa"/>
            <w:bottom w:w="0" w:type="dxa"/>
            <w:right w:w="108" w:type="dxa"/>
          </w:tblCellMar>
        </w:tblPrEx>
        <w:trPr>
          <w:trHeight w:val="255" w:hRule="atLeast"/>
        </w:trPr>
        <w:tc>
          <w:tcPr>
            <w:tcW w:w="4693" w:type="dxa"/>
            <w:gridSpan w:val="5"/>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栏次</w:t>
            </w:r>
          </w:p>
        </w:tc>
        <w:tc>
          <w:tcPr>
            <w:tcW w:w="188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1</w:t>
            </w:r>
          </w:p>
        </w:tc>
        <w:tc>
          <w:tcPr>
            <w:tcW w:w="1162"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2</w:t>
            </w:r>
          </w:p>
        </w:tc>
        <w:tc>
          <w:tcPr>
            <w:tcW w:w="1344"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3</w:t>
            </w:r>
          </w:p>
        </w:tc>
        <w:tc>
          <w:tcPr>
            <w:tcW w:w="1418"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4</w:t>
            </w:r>
          </w:p>
        </w:tc>
        <w:tc>
          <w:tcPr>
            <w:tcW w:w="2126"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5</w:t>
            </w:r>
          </w:p>
        </w:tc>
        <w:tc>
          <w:tcPr>
            <w:tcW w:w="2552"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ascii="Arial" w:hAnsi="Arial" w:eastAsia="宋体" w:cs="Arial"/>
                <w:kern w:val="0"/>
                <w:sz w:val="20"/>
                <w:szCs w:val="20"/>
              </w:rPr>
              <w:t>6</w:t>
            </w:r>
          </w:p>
        </w:tc>
      </w:tr>
      <w:tr>
        <w:tblPrEx>
          <w:tblCellMar>
            <w:top w:w="0" w:type="dxa"/>
            <w:left w:w="108" w:type="dxa"/>
            <w:bottom w:w="0" w:type="dxa"/>
            <w:right w:w="108" w:type="dxa"/>
          </w:tblCellMar>
        </w:tblPrEx>
        <w:trPr>
          <w:trHeight w:val="255" w:hRule="atLeast"/>
        </w:trPr>
        <w:tc>
          <w:tcPr>
            <w:tcW w:w="4693" w:type="dxa"/>
            <w:gridSpan w:val="5"/>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r>
              <w:rPr>
                <w:rFonts w:hint="eastAsia" w:ascii="宋体" w:hAnsi="宋体" w:eastAsia="宋体" w:cs="Arial"/>
                <w:kern w:val="0"/>
                <w:sz w:val="20"/>
                <w:szCs w:val="20"/>
              </w:rPr>
              <w:t>合计</w:t>
            </w:r>
          </w:p>
        </w:tc>
        <w:tc>
          <w:tcPr>
            <w:tcW w:w="188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1162"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1344"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2126"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2552"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r>
      <w:tr>
        <w:tblPrEx>
          <w:tblCellMar>
            <w:top w:w="0" w:type="dxa"/>
            <w:left w:w="108" w:type="dxa"/>
            <w:bottom w:w="0" w:type="dxa"/>
            <w:right w:w="108" w:type="dxa"/>
          </w:tblCellMar>
        </w:tblPrEx>
        <w:trPr>
          <w:trHeight w:val="255" w:hRule="atLeast"/>
        </w:trPr>
        <w:tc>
          <w:tcPr>
            <w:tcW w:w="1630" w:type="dxa"/>
            <w:gridSpan w:val="3"/>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3063" w:type="dxa"/>
            <w:gridSpan w:val="2"/>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 w:val="20"/>
                <w:szCs w:val="20"/>
              </w:rPr>
            </w:pPr>
            <w:r>
              <w:rPr>
                <w:rFonts w:ascii="Arial" w:hAnsi="Arial" w:eastAsia="宋体" w:cs="Arial"/>
                <w:kern w:val="0"/>
                <w:sz w:val="20"/>
                <w:szCs w:val="20"/>
              </w:rPr>
              <w:t>　</w:t>
            </w:r>
          </w:p>
        </w:tc>
        <w:tc>
          <w:tcPr>
            <w:tcW w:w="1888"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1162"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1344"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2126"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c>
          <w:tcPr>
            <w:tcW w:w="2552"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 w:val="20"/>
                <w:szCs w:val="20"/>
              </w:rPr>
            </w:pPr>
          </w:p>
        </w:tc>
      </w:tr>
      <w:tr>
        <w:tblPrEx>
          <w:tblCellMar>
            <w:top w:w="0" w:type="dxa"/>
            <w:left w:w="108" w:type="dxa"/>
            <w:bottom w:w="0" w:type="dxa"/>
            <w:right w:w="108" w:type="dxa"/>
          </w:tblCellMar>
        </w:tblPrEx>
        <w:trPr>
          <w:trHeight w:val="255" w:hRule="atLeast"/>
        </w:trPr>
        <w:tc>
          <w:tcPr>
            <w:tcW w:w="15183" w:type="dxa"/>
            <w:gridSpan w:val="13"/>
            <w:tcBorders>
              <w:top w:val="nil"/>
              <w:left w:val="nil"/>
              <w:bottom w:val="nil"/>
              <w:right w:val="nil"/>
            </w:tcBorders>
            <w:shd w:val="clear" w:color="000000" w:fill="FFFFFF"/>
            <w:vAlign w:val="center"/>
          </w:tcPr>
          <w:p>
            <w:pPr>
              <w:widowControl/>
              <w:jc w:val="left"/>
              <w:rPr>
                <w:rFonts w:hint="eastAsia" w:ascii="宋体" w:hAnsi="宋体" w:eastAsia="宋体" w:cs="Arial"/>
                <w:kern w:val="0"/>
                <w:sz w:val="20"/>
                <w:szCs w:val="20"/>
                <w:lang w:eastAsia="zh-CN"/>
              </w:rPr>
            </w:pPr>
            <w:r>
              <w:rPr>
                <w:rFonts w:hint="eastAsia" w:ascii="宋体" w:hAnsi="宋体" w:eastAsia="宋体" w:cs="Arial"/>
                <w:kern w:val="0"/>
                <w:sz w:val="20"/>
                <w:szCs w:val="20"/>
              </w:rPr>
              <w:t>注：本表反映部门本年度政府性基金预算财政拨款收入、支出及结转和结余情况。</w:t>
            </w:r>
          </w:p>
          <w:p>
            <w:pPr>
              <w:widowControl/>
              <w:jc w:val="left"/>
              <w:rPr>
                <w:rFonts w:ascii="宋体" w:hAnsi="宋体" w:eastAsia="宋体" w:cs="Arial"/>
                <w:kern w:val="0"/>
                <w:sz w:val="20"/>
                <w:szCs w:val="20"/>
              </w:rPr>
            </w:pPr>
            <w:r>
              <w:rPr>
                <w:rFonts w:hint="eastAsia" w:ascii="宋体" w:hAnsi="宋体" w:eastAsia="宋体" w:cs="Arial"/>
                <w:kern w:val="0"/>
                <w:sz w:val="20"/>
                <w:szCs w:val="20"/>
              </w:rPr>
              <w:t>（湖南省花鼓戏保护传承中心没有政府性基金收入，也没有使用政府性基金安排的支出，故本表无数据)。</w:t>
            </w:r>
          </w:p>
        </w:tc>
      </w:tr>
    </w:tbl>
    <w:p>
      <w:pPr>
        <w:widowControl/>
        <w:jc w:val="left"/>
        <w:rPr>
          <w:rFonts w:cs="黑体" w:asciiTheme="minorEastAsia" w:hAnsiTheme="minorEastAsia"/>
          <w:color w:val="000000"/>
          <w:kern w:val="0"/>
          <w:sz w:val="20"/>
          <w:szCs w:val="20"/>
        </w:rPr>
      </w:pPr>
    </w:p>
    <w:p>
      <w:pPr>
        <w:widowControl/>
        <w:jc w:val="left"/>
        <w:rPr>
          <w:rFonts w:cs="黑体" w:asciiTheme="minorEastAsia" w:hAnsiTheme="minorEastAsia"/>
          <w:color w:val="000000"/>
          <w:kern w:val="0"/>
          <w:sz w:val="20"/>
          <w:szCs w:val="20"/>
        </w:rPr>
      </w:pPr>
      <w:r>
        <w:rPr>
          <w:rFonts w:cs="黑体" w:asciiTheme="minorEastAsia" w:hAnsiTheme="minorEastAsia"/>
          <w:color w:val="000000"/>
          <w:kern w:val="0"/>
          <w:sz w:val="20"/>
          <w:szCs w:val="20"/>
        </w:rPr>
        <w:br w:type="page"/>
      </w:r>
    </w:p>
    <w:tbl>
      <w:tblPr>
        <w:tblStyle w:val="6"/>
        <w:tblW w:w="15466" w:type="dxa"/>
        <w:tblInd w:w="93" w:type="dxa"/>
        <w:tblLayout w:type="autofit"/>
        <w:tblCellMar>
          <w:top w:w="0" w:type="dxa"/>
          <w:left w:w="108" w:type="dxa"/>
          <w:bottom w:w="0" w:type="dxa"/>
          <w:right w:w="108" w:type="dxa"/>
        </w:tblCellMar>
      </w:tblPr>
      <w:tblGrid>
        <w:gridCol w:w="544"/>
        <w:gridCol w:w="543"/>
        <w:gridCol w:w="543"/>
        <w:gridCol w:w="2071"/>
        <w:gridCol w:w="992"/>
        <w:gridCol w:w="284"/>
        <w:gridCol w:w="1604"/>
        <w:gridCol w:w="1162"/>
        <w:gridCol w:w="602"/>
        <w:gridCol w:w="459"/>
        <w:gridCol w:w="703"/>
        <w:gridCol w:w="3124"/>
        <w:gridCol w:w="142"/>
        <w:gridCol w:w="2551"/>
        <w:gridCol w:w="142"/>
      </w:tblGrid>
      <w:tr>
        <w:tblPrEx>
          <w:tblCellMar>
            <w:top w:w="0" w:type="dxa"/>
            <w:left w:w="108" w:type="dxa"/>
            <w:bottom w:w="0" w:type="dxa"/>
            <w:right w:w="108" w:type="dxa"/>
          </w:tblCellMar>
        </w:tblPrEx>
        <w:trPr>
          <w:trHeight w:val="390" w:hRule="atLeast"/>
        </w:trPr>
        <w:tc>
          <w:tcPr>
            <w:tcW w:w="15466" w:type="dxa"/>
            <w:gridSpan w:val="15"/>
            <w:tcBorders>
              <w:top w:val="nil"/>
              <w:left w:val="nil"/>
              <w:bottom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国有资本经营预算财政拨款支出决算表</w:t>
            </w:r>
          </w:p>
          <w:p>
            <w:pPr>
              <w:widowControl/>
              <w:jc w:val="right"/>
              <w:rPr>
                <w:rFonts w:ascii="黑体" w:hAnsi="黑体" w:eastAsia="黑体" w:cs="Arial"/>
                <w:color w:val="000000"/>
                <w:kern w:val="0"/>
                <w:sz w:val="30"/>
                <w:szCs w:val="30"/>
              </w:rPr>
            </w:pPr>
          </w:p>
        </w:tc>
      </w:tr>
      <w:tr>
        <w:tblPrEx>
          <w:tblCellMar>
            <w:top w:w="0" w:type="dxa"/>
            <w:left w:w="108" w:type="dxa"/>
            <w:bottom w:w="0" w:type="dxa"/>
            <w:right w:w="108" w:type="dxa"/>
          </w:tblCellMar>
        </w:tblPrEx>
        <w:trPr>
          <w:trHeight w:val="270" w:hRule="atLeast"/>
        </w:trPr>
        <w:tc>
          <w:tcPr>
            <w:tcW w:w="54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43"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43"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063"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88"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6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60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6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12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835" w:type="dxa"/>
            <w:gridSpan w:val="3"/>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公开09表</w:t>
            </w:r>
          </w:p>
        </w:tc>
      </w:tr>
      <w:tr>
        <w:tblPrEx>
          <w:tblCellMar>
            <w:top w:w="0" w:type="dxa"/>
            <w:left w:w="108" w:type="dxa"/>
            <w:bottom w:w="0" w:type="dxa"/>
            <w:right w:w="108" w:type="dxa"/>
          </w:tblCellMar>
        </w:tblPrEx>
        <w:trPr>
          <w:trHeight w:val="270" w:hRule="atLeast"/>
        </w:trPr>
        <w:tc>
          <w:tcPr>
            <w:tcW w:w="4693" w:type="dxa"/>
            <w:gridSpan w:val="5"/>
            <w:tcBorders>
              <w:top w:val="nil"/>
              <w:left w:val="nil"/>
              <w:bottom w:val="nil"/>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部门：湖南省花鼓戏保护传承中心</w:t>
            </w:r>
          </w:p>
        </w:tc>
        <w:tc>
          <w:tcPr>
            <w:tcW w:w="1888" w:type="dxa"/>
            <w:gridSpan w:val="2"/>
            <w:tcBorders>
              <w:top w:val="nil"/>
              <w:left w:val="nil"/>
              <w:bottom w:val="nil"/>
              <w:right w:val="nil"/>
            </w:tcBorders>
            <w:shd w:val="clear" w:color="000000" w:fill="FFFFFF"/>
            <w:noWrap/>
            <w:vAlign w:val="center"/>
          </w:tcPr>
          <w:p>
            <w:pPr>
              <w:widowControl/>
              <w:ind w:right="-204" w:rightChars="-97"/>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16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60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6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12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835" w:type="dxa"/>
            <w:gridSpan w:val="3"/>
            <w:tcBorders>
              <w:top w:val="nil"/>
              <w:left w:val="nil"/>
              <w:bottom w:val="nil"/>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金额单位：万元</w:t>
            </w:r>
          </w:p>
        </w:tc>
      </w:tr>
      <w:tr>
        <w:tblPrEx>
          <w:tblCellMar>
            <w:top w:w="0" w:type="dxa"/>
            <w:left w:w="108" w:type="dxa"/>
            <w:bottom w:w="0" w:type="dxa"/>
            <w:right w:w="108" w:type="dxa"/>
          </w:tblCellMar>
        </w:tblPrEx>
        <w:trPr>
          <w:gridAfter w:val="1"/>
          <w:wAfter w:w="142" w:type="dxa"/>
          <w:trHeight w:val="520" w:hRule="atLeast"/>
        </w:trPr>
        <w:tc>
          <w:tcPr>
            <w:tcW w:w="4977" w:type="dxa"/>
            <w:gridSpan w:val="6"/>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10347" w:type="dxa"/>
            <w:gridSpan w:val="8"/>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本年支出</w:t>
            </w:r>
          </w:p>
        </w:tc>
      </w:tr>
      <w:tr>
        <w:tblPrEx>
          <w:tblCellMar>
            <w:top w:w="0" w:type="dxa"/>
            <w:left w:w="108" w:type="dxa"/>
            <w:bottom w:w="0" w:type="dxa"/>
            <w:right w:w="108" w:type="dxa"/>
          </w:tblCellMar>
        </w:tblPrEx>
        <w:trPr>
          <w:gridAfter w:val="1"/>
          <w:wAfter w:w="142" w:type="dxa"/>
          <w:trHeight w:val="312" w:hRule="atLeast"/>
        </w:trPr>
        <w:tc>
          <w:tcPr>
            <w:tcW w:w="3701" w:type="dxa"/>
            <w:gridSpan w:val="4"/>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功能分类科目编码</w:t>
            </w:r>
          </w:p>
        </w:tc>
        <w:tc>
          <w:tcPr>
            <w:tcW w:w="1276" w:type="dxa"/>
            <w:gridSpan w:val="2"/>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3827" w:type="dxa"/>
            <w:gridSpan w:val="4"/>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3969" w:type="dxa"/>
            <w:gridSpan w:val="3"/>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基本支出</w:t>
            </w:r>
          </w:p>
        </w:tc>
        <w:tc>
          <w:tcPr>
            <w:tcW w:w="2551" w:type="dxa"/>
            <w:vMerge w:val="restart"/>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项目支出</w:t>
            </w:r>
          </w:p>
        </w:tc>
      </w:tr>
      <w:tr>
        <w:tblPrEx>
          <w:tblCellMar>
            <w:top w:w="0" w:type="dxa"/>
            <w:left w:w="108" w:type="dxa"/>
            <w:bottom w:w="0" w:type="dxa"/>
            <w:right w:w="108" w:type="dxa"/>
          </w:tblCellMar>
        </w:tblPrEx>
        <w:trPr>
          <w:gridAfter w:val="1"/>
          <w:wAfter w:w="142" w:type="dxa"/>
          <w:trHeight w:val="312" w:hRule="atLeast"/>
        </w:trPr>
        <w:tc>
          <w:tcPr>
            <w:tcW w:w="3701"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c>
          <w:tcPr>
            <w:tcW w:w="1276" w:type="dxa"/>
            <w:gridSpan w:val="2"/>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c>
          <w:tcPr>
            <w:tcW w:w="3827" w:type="dxa"/>
            <w:gridSpan w:val="4"/>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c>
          <w:tcPr>
            <w:tcW w:w="3969" w:type="dxa"/>
            <w:gridSpan w:val="3"/>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c>
          <w:tcPr>
            <w:tcW w:w="2551"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gridAfter w:val="1"/>
          <w:wAfter w:w="142" w:type="dxa"/>
          <w:trHeight w:val="312" w:hRule="atLeast"/>
        </w:trPr>
        <w:tc>
          <w:tcPr>
            <w:tcW w:w="3701"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c>
          <w:tcPr>
            <w:tcW w:w="1276" w:type="dxa"/>
            <w:gridSpan w:val="2"/>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c>
          <w:tcPr>
            <w:tcW w:w="3827" w:type="dxa"/>
            <w:gridSpan w:val="4"/>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c>
          <w:tcPr>
            <w:tcW w:w="3969" w:type="dxa"/>
            <w:gridSpan w:val="3"/>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c>
          <w:tcPr>
            <w:tcW w:w="2551"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gridAfter w:val="1"/>
          <w:wAfter w:w="142" w:type="dxa"/>
          <w:trHeight w:val="255" w:hRule="atLeast"/>
        </w:trPr>
        <w:tc>
          <w:tcPr>
            <w:tcW w:w="4977" w:type="dxa"/>
            <w:gridSpan w:val="6"/>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3827" w:type="dxa"/>
            <w:gridSpan w:val="4"/>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ascii="宋体" w:hAnsi="宋体" w:eastAsia="宋体" w:cs="Arial"/>
                <w:color w:val="000000"/>
                <w:kern w:val="0"/>
                <w:sz w:val="22"/>
              </w:rPr>
              <w:t>1</w:t>
            </w:r>
          </w:p>
        </w:tc>
        <w:tc>
          <w:tcPr>
            <w:tcW w:w="3969" w:type="dxa"/>
            <w:gridSpan w:val="3"/>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ascii="宋体" w:hAnsi="宋体" w:eastAsia="宋体" w:cs="Arial"/>
                <w:color w:val="000000"/>
                <w:kern w:val="0"/>
                <w:sz w:val="22"/>
              </w:rPr>
              <w:t>2</w:t>
            </w:r>
          </w:p>
        </w:tc>
        <w:tc>
          <w:tcPr>
            <w:tcW w:w="255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ascii="宋体" w:hAnsi="宋体" w:eastAsia="宋体" w:cs="Arial"/>
                <w:color w:val="000000"/>
                <w:kern w:val="0"/>
                <w:sz w:val="22"/>
              </w:rPr>
              <w:t>3</w:t>
            </w:r>
          </w:p>
        </w:tc>
      </w:tr>
      <w:tr>
        <w:tblPrEx>
          <w:tblCellMar>
            <w:top w:w="0" w:type="dxa"/>
            <w:left w:w="108" w:type="dxa"/>
            <w:bottom w:w="0" w:type="dxa"/>
            <w:right w:w="108" w:type="dxa"/>
          </w:tblCellMar>
        </w:tblPrEx>
        <w:trPr>
          <w:gridAfter w:val="1"/>
          <w:wAfter w:w="142" w:type="dxa"/>
          <w:trHeight w:val="255" w:hRule="atLeast"/>
        </w:trPr>
        <w:tc>
          <w:tcPr>
            <w:tcW w:w="4977" w:type="dxa"/>
            <w:gridSpan w:val="6"/>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3827" w:type="dxa"/>
            <w:gridSpan w:val="4"/>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p>
        </w:tc>
        <w:tc>
          <w:tcPr>
            <w:tcW w:w="3969" w:type="dxa"/>
            <w:gridSpan w:val="3"/>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p>
        </w:tc>
        <w:tc>
          <w:tcPr>
            <w:tcW w:w="255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gridAfter w:val="1"/>
          <w:wAfter w:w="142" w:type="dxa"/>
          <w:trHeight w:val="255" w:hRule="atLeast"/>
        </w:trPr>
        <w:tc>
          <w:tcPr>
            <w:tcW w:w="3701" w:type="dxa"/>
            <w:gridSpan w:val="4"/>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p>
        </w:tc>
        <w:tc>
          <w:tcPr>
            <w:tcW w:w="1276" w:type="dxa"/>
            <w:gridSpan w:val="2"/>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p>
        </w:tc>
        <w:tc>
          <w:tcPr>
            <w:tcW w:w="3827" w:type="dxa"/>
            <w:gridSpan w:val="4"/>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p>
        </w:tc>
        <w:tc>
          <w:tcPr>
            <w:tcW w:w="3969" w:type="dxa"/>
            <w:gridSpan w:val="3"/>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p>
        </w:tc>
        <w:tc>
          <w:tcPr>
            <w:tcW w:w="2551"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Arial"/>
                <w:color w:val="000000"/>
                <w:kern w:val="0"/>
                <w:sz w:val="22"/>
              </w:rPr>
            </w:pPr>
          </w:p>
        </w:tc>
      </w:tr>
      <w:tr>
        <w:tblPrEx>
          <w:tblCellMar>
            <w:top w:w="0" w:type="dxa"/>
            <w:left w:w="108" w:type="dxa"/>
            <w:bottom w:w="0" w:type="dxa"/>
            <w:right w:w="108" w:type="dxa"/>
          </w:tblCellMar>
        </w:tblPrEx>
        <w:trPr>
          <w:gridAfter w:val="1"/>
          <w:wAfter w:w="142" w:type="dxa"/>
          <w:trHeight w:val="255" w:hRule="atLeast"/>
        </w:trPr>
        <w:tc>
          <w:tcPr>
            <w:tcW w:w="15324" w:type="dxa"/>
            <w:gridSpan w:val="14"/>
            <w:tcBorders>
              <w:top w:val="nil"/>
              <w:left w:val="nil"/>
              <w:bottom w:val="nil"/>
              <w:right w:val="nil"/>
            </w:tcBorders>
            <w:shd w:val="clear" w:color="000000" w:fill="FFFFFF"/>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注：本表反映部门本年度国有资本经营预算财政拨款支出情况。</w:t>
            </w:r>
            <w:r>
              <w:rPr>
                <w:rFonts w:hint="eastAsia" w:ascii="宋体" w:hAnsi="宋体" w:eastAsia="宋体" w:cs="Arial"/>
                <w:color w:val="000000"/>
                <w:kern w:val="0"/>
                <w:sz w:val="22"/>
              </w:rPr>
              <w:br w:type="page"/>
            </w:r>
            <w:r>
              <w:rPr>
                <w:rFonts w:hint="eastAsia" w:ascii="宋体" w:hAnsi="宋体" w:eastAsia="宋体" w:cs="Arial"/>
                <w:color w:val="000000"/>
                <w:kern w:val="0"/>
                <w:sz w:val="22"/>
              </w:rPr>
              <w:t>（湖南省花鼓戏保护传承中心没有国有资本经营支出，故本表无数据)。</w:t>
            </w:r>
          </w:p>
        </w:tc>
      </w:tr>
    </w:tbl>
    <w:p>
      <w:pPr>
        <w:widowControl/>
        <w:jc w:val="left"/>
        <w:rPr>
          <w:rFonts w:cs="黑体" w:asciiTheme="minorEastAsia" w:hAnsiTheme="minorEastAsia"/>
          <w:color w:val="000000"/>
          <w:kern w:val="0"/>
          <w:sz w:val="20"/>
          <w:szCs w:val="20"/>
        </w:rPr>
      </w:pPr>
    </w:p>
    <w:p>
      <w:pPr>
        <w:widowControl/>
        <w:jc w:val="left"/>
        <w:rPr>
          <w:rFonts w:cs="黑体" w:asciiTheme="minorEastAsia" w:hAnsiTheme="minorEastAsia"/>
          <w:color w:val="000000"/>
          <w:kern w:val="0"/>
          <w:sz w:val="20"/>
          <w:szCs w:val="20"/>
        </w:rPr>
      </w:pPr>
      <w:r>
        <w:rPr>
          <w:rFonts w:cs="黑体" w:asciiTheme="minorEastAsia" w:hAnsiTheme="minorEastAsia"/>
          <w:color w:val="000000"/>
          <w:kern w:val="0"/>
          <w:sz w:val="20"/>
          <w:szCs w:val="20"/>
        </w:rPr>
        <w:br w:type="page"/>
      </w:r>
    </w:p>
    <w:p>
      <w:pPr>
        <w:widowControl/>
        <w:jc w:val="left"/>
        <w:rPr>
          <w:rFonts w:cs="黑体" w:asciiTheme="minorEastAsia" w:hAnsiTheme="minorEastAsia"/>
          <w:color w:val="000000"/>
          <w:kern w:val="0"/>
          <w:sz w:val="20"/>
          <w:szCs w:val="20"/>
        </w:rPr>
        <w:sectPr>
          <w:pgSz w:w="16838" w:h="11906" w:orient="landscape"/>
          <w:pgMar w:top="720" w:right="720" w:bottom="720" w:left="720" w:header="851" w:footer="992" w:gutter="0"/>
          <w:cols w:space="425" w:num="1"/>
          <w:docGrid w:type="lines" w:linePitch="312" w:charSpace="0"/>
        </w:sectPr>
      </w:pPr>
    </w:p>
    <w:p>
      <w:pPr>
        <w:widowControl/>
        <w:jc w:val="left"/>
        <w:rPr>
          <w:rFonts w:ascii="黑体" w:eastAsia="黑体" w:cs="黑体"/>
          <w:color w:val="000000"/>
          <w:kern w:val="0"/>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w:t>
      </w:r>
      <w:r>
        <w:rPr>
          <w:rFonts w:hint="eastAsia"/>
          <w:sz w:val="70"/>
          <w:szCs w:val="70"/>
          <w:lang w:val="en-US" w:eastAsia="zh-CN"/>
        </w:rPr>
        <w:t>1</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ascii="宋体" w:hAnsi="宋体" w:eastAsia="宋体"/>
          <w:b/>
          <w:bCs w:val="0"/>
          <w:sz w:val="32"/>
          <w:szCs w:val="32"/>
        </w:rPr>
      </w:pPr>
      <w:r>
        <w:rPr>
          <w:rFonts w:hint="eastAsia" w:hAnsi="黑体"/>
          <w:b/>
          <w:bCs w:val="0"/>
          <w:sz w:val="32"/>
          <w:szCs w:val="32"/>
        </w:rPr>
        <w:t>一、收入支出决算总体情况说明</w:t>
      </w:r>
    </w:p>
    <w:p>
      <w:pPr>
        <w:pStyle w:val="10"/>
        <w:ind w:firstLine="640" w:firstLineChars="200"/>
        <w:rPr>
          <w:rFonts w:ascii="宋体" w:hAnsi="宋体" w:eastAsia="宋体"/>
          <w:sz w:val="32"/>
          <w:szCs w:val="32"/>
        </w:rPr>
      </w:pPr>
      <w:r>
        <w:rPr>
          <w:rFonts w:hint="eastAsia" w:ascii="宋体" w:hAnsi="宋体" w:eastAsia="宋体"/>
          <w:sz w:val="32"/>
          <w:szCs w:val="32"/>
        </w:rPr>
        <w:t>2021年度收、支总计3046.4万元。与上年相比，减少205.35万元，减少6.32%，主要是上年财政拨款结转减少。</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宋体" w:hAnsi="宋体" w:eastAsia="宋体"/>
          <w:sz w:val="32"/>
          <w:szCs w:val="32"/>
        </w:rPr>
      </w:pPr>
      <w:r>
        <w:rPr>
          <w:rFonts w:hint="eastAsia" w:ascii="宋体" w:hAnsi="宋体" w:eastAsia="宋体"/>
          <w:sz w:val="32"/>
          <w:szCs w:val="32"/>
        </w:rPr>
        <w:t>本年收入合计2800.88万元，其中：财政拨款收入2458.23万元，占87.77%；上级补助收入78万元，占2.78%；事业收入48.15万元，占1.72%；其他收入216.5万元，占7.73%。</w:t>
      </w:r>
    </w:p>
    <w:p>
      <w:pPr>
        <w:pStyle w:val="10"/>
        <w:rPr>
          <w:rFonts w:ascii="宋体" w:hAnsi="宋体" w:eastAsia="宋体"/>
          <w:sz w:val="32"/>
          <w:szCs w:val="32"/>
        </w:rPr>
      </w:pPr>
      <w:r>
        <w:rPr>
          <w:rFonts w:hint="eastAsia" w:hAnsi="黑体"/>
          <w:b/>
          <w:sz w:val="32"/>
          <w:szCs w:val="32"/>
        </w:rPr>
        <w:t>三、支出决算情况说明</w:t>
      </w:r>
    </w:p>
    <w:p>
      <w:pPr>
        <w:pStyle w:val="10"/>
        <w:ind w:firstLine="640" w:firstLineChars="200"/>
        <w:rPr>
          <w:rFonts w:ascii="宋体" w:hAnsi="宋体" w:eastAsia="宋体"/>
          <w:sz w:val="32"/>
          <w:szCs w:val="32"/>
        </w:rPr>
      </w:pPr>
      <w:r>
        <w:rPr>
          <w:rFonts w:hint="eastAsia" w:ascii="宋体" w:hAnsi="宋体" w:eastAsia="宋体"/>
          <w:sz w:val="32"/>
          <w:szCs w:val="32"/>
        </w:rPr>
        <w:t>本年支出合计2706.53万元，其中：基本支出1629.66万元，占60.21%；项目支出1076.88万元，占39.79%。</w:t>
      </w:r>
    </w:p>
    <w:p>
      <w:pPr>
        <w:pStyle w:val="10"/>
        <w:rPr>
          <w:rFonts w:ascii="宋体" w:hAnsi="宋体" w:eastAsia="宋体"/>
          <w:sz w:val="32"/>
          <w:szCs w:val="32"/>
        </w:rPr>
      </w:pPr>
      <w:r>
        <w:rPr>
          <w:rFonts w:hint="eastAsia" w:hAnsi="黑体"/>
          <w:b/>
          <w:sz w:val="32"/>
          <w:szCs w:val="32"/>
        </w:rPr>
        <w:t>四、财政拨款收入支出决算总体情况说明</w:t>
      </w:r>
    </w:p>
    <w:p>
      <w:pPr>
        <w:pStyle w:val="10"/>
        <w:rPr>
          <w:rFonts w:ascii="宋体" w:hAnsi="宋体" w:eastAsia="宋体"/>
          <w:sz w:val="32"/>
          <w:szCs w:val="32"/>
        </w:rPr>
      </w:pPr>
      <w:r>
        <w:rPr>
          <w:rFonts w:hint="eastAsia" w:ascii="宋体" w:hAnsi="宋体" w:eastAsia="宋体"/>
          <w:sz w:val="32"/>
          <w:szCs w:val="32"/>
        </w:rPr>
        <w:t xml:space="preserve">    2021年度财政拨款收、支总计2703.75万元，与上年相比，减少208.41万元,减少7.16%，主要是因为上年财政拨款结转减少。</w:t>
      </w:r>
    </w:p>
    <w:p>
      <w:pPr>
        <w:pStyle w:val="10"/>
        <w:rPr>
          <w:rFonts w:ascii="宋体" w:hAnsi="宋体" w:eastAsia="宋体"/>
          <w:sz w:val="32"/>
          <w:szCs w:val="32"/>
        </w:rPr>
      </w:pPr>
      <w:r>
        <w:rPr>
          <w:rFonts w:hint="eastAsia" w:hAnsi="黑体"/>
          <w:b/>
          <w:sz w:val="32"/>
          <w:szCs w:val="32"/>
        </w:rPr>
        <w:t>五、一般公共预算财政拨款支出决算情况说明</w:t>
      </w:r>
    </w:p>
    <w:p>
      <w:pPr>
        <w:pStyle w:val="10"/>
        <w:ind w:firstLine="640" w:firstLineChars="200"/>
        <w:rPr>
          <w:rFonts w:ascii="宋体" w:hAnsi="宋体" w:eastAsia="宋体"/>
          <w:b/>
          <w:bCs/>
          <w:sz w:val="32"/>
          <w:szCs w:val="32"/>
        </w:rPr>
      </w:pPr>
      <w:r>
        <w:rPr>
          <w:rFonts w:hint="eastAsia" w:ascii="宋体" w:hAnsi="宋体" w:eastAsia="宋体"/>
          <w:b/>
          <w:bCs/>
          <w:sz w:val="32"/>
          <w:szCs w:val="32"/>
        </w:rPr>
        <w:t>（一）财政拨款支出决算总体情况</w:t>
      </w:r>
    </w:p>
    <w:p>
      <w:pPr>
        <w:pStyle w:val="10"/>
        <w:ind w:firstLine="800" w:firstLineChars="250"/>
        <w:rPr>
          <w:rFonts w:ascii="宋体" w:hAnsi="宋体" w:eastAsia="宋体"/>
          <w:sz w:val="32"/>
          <w:szCs w:val="32"/>
        </w:rPr>
      </w:pPr>
      <w:r>
        <w:rPr>
          <w:rFonts w:hint="eastAsia" w:ascii="宋体" w:hAnsi="宋体" w:eastAsia="宋体"/>
          <w:sz w:val="32"/>
          <w:szCs w:val="32"/>
        </w:rPr>
        <w:t>2021年度财政拨款支出2368.81万元，占本年支出合计的87.52%，与上年相比，财政拨款支出减少297.83万元，减少11.17%，主要是因为财政拨款项目支出减少。</w:t>
      </w:r>
    </w:p>
    <w:p>
      <w:pPr>
        <w:pStyle w:val="10"/>
        <w:ind w:firstLine="480" w:firstLineChars="150"/>
        <w:rPr>
          <w:rFonts w:ascii="宋体" w:hAnsi="宋体" w:eastAsia="宋体"/>
          <w:b/>
          <w:bCs/>
          <w:sz w:val="32"/>
          <w:szCs w:val="32"/>
        </w:rPr>
      </w:pPr>
      <w:r>
        <w:rPr>
          <w:rFonts w:hint="eastAsia" w:ascii="宋体" w:hAnsi="宋体" w:eastAsia="宋体"/>
          <w:b/>
          <w:bCs/>
          <w:sz w:val="32"/>
          <w:szCs w:val="32"/>
        </w:rPr>
        <w:t>（二）财政拨款支出决算结构情况</w:t>
      </w:r>
    </w:p>
    <w:p>
      <w:pPr>
        <w:pStyle w:val="10"/>
        <w:ind w:firstLine="640" w:firstLineChars="200"/>
        <w:rPr>
          <w:rFonts w:ascii="宋体" w:hAnsi="宋体" w:eastAsia="宋体"/>
          <w:sz w:val="32"/>
          <w:szCs w:val="32"/>
        </w:rPr>
      </w:pPr>
      <w:r>
        <w:rPr>
          <w:rFonts w:hint="eastAsia" w:ascii="宋体" w:hAnsi="宋体" w:eastAsia="宋体"/>
          <w:sz w:val="32"/>
          <w:szCs w:val="32"/>
        </w:rPr>
        <w:t>2021年度财政拨款支出2368.81万元，主要用于以下方面：文化旅游体育与传媒支出2041.21万元，占86.17%；社会保障就业支出200.4万元，占8.46%；卫生健康支出1.2万元，占0.5%；住房保障支出126万元，占5.32%。</w:t>
      </w:r>
    </w:p>
    <w:p>
      <w:pPr>
        <w:pStyle w:val="10"/>
        <w:ind w:firstLine="800" w:firstLineChars="250"/>
        <w:rPr>
          <w:rFonts w:ascii="宋体" w:hAnsi="宋体" w:eastAsia="宋体"/>
          <w:b/>
          <w:bCs/>
          <w:sz w:val="32"/>
          <w:szCs w:val="32"/>
        </w:rPr>
      </w:pPr>
      <w:r>
        <w:rPr>
          <w:rFonts w:hint="eastAsia" w:ascii="宋体" w:hAnsi="宋体" w:eastAsia="宋体"/>
          <w:b/>
          <w:bCs/>
          <w:sz w:val="32"/>
          <w:szCs w:val="32"/>
        </w:rPr>
        <w:t>（三）财政拨款支出决算具体情况</w:t>
      </w:r>
    </w:p>
    <w:p>
      <w:pPr>
        <w:pStyle w:val="10"/>
        <w:ind w:firstLine="800" w:firstLineChars="250"/>
        <w:rPr>
          <w:rFonts w:ascii="宋体" w:hAnsi="宋体" w:eastAsia="宋体"/>
          <w:sz w:val="32"/>
          <w:szCs w:val="32"/>
        </w:rPr>
      </w:pPr>
      <w:r>
        <w:rPr>
          <w:rFonts w:hint="eastAsia" w:ascii="宋体" w:hAnsi="宋体" w:eastAsia="宋体"/>
          <w:sz w:val="32"/>
          <w:szCs w:val="32"/>
        </w:rPr>
        <w:t>2021年度财政拨款支出年初预算数为1945.15万元，支出决算数为2368.81万元，完成年初预算的121.78%，其中：</w:t>
      </w:r>
    </w:p>
    <w:p>
      <w:pPr>
        <w:pStyle w:val="10"/>
        <w:ind w:firstLine="800" w:firstLineChars="250"/>
        <w:rPr>
          <w:rFonts w:ascii="宋体" w:hAnsi="宋体" w:eastAsia="宋体"/>
          <w:sz w:val="32"/>
          <w:szCs w:val="32"/>
        </w:rPr>
      </w:pPr>
      <w:r>
        <w:rPr>
          <w:rFonts w:hint="eastAsia" w:ascii="宋体" w:hAnsi="宋体" w:eastAsia="宋体"/>
          <w:sz w:val="32"/>
          <w:szCs w:val="32"/>
        </w:rPr>
        <w:t>1、文化旅游体育与传媒（类）文化和旅游（款）艺术表演团体（项）。</w:t>
      </w:r>
    </w:p>
    <w:p>
      <w:pPr>
        <w:pStyle w:val="10"/>
        <w:ind w:firstLine="800" w:firstLineChars="250"/>
        <w:rPr>
          <w:rFonts w:ascii="宋体" w:hAnsi="宋体" w:eastAsia="宋体"/>
          <w:sz w:val="32"/>
          <w:szCs w:val="32"/>
        </w:rPr>
      </w:pPr>
      <w:r>
        <w:rPr>
          <w:rFonts w:hint="eastAsia" w:ascii="宋体" w:hAnsi="宋体" w:eastAsia="宋体"/>
          <w:sz w:val="32"/>
          <w:szCs w:val="32"/>
        </w:rPr>
        <w:t>年初预算为1019.63万元，支出决算为1139.63万元，完成年初预算的111.77%，决算数大于年初预算数的主要原因是：年中追加民族文艺汇演专项资金。</w:t>
      </w:r>
    </w:p>
    <w:p>
      <w:pPr>
        <w:pStyle w:val="10"/>
        <w:ind w:firstLine="800" w:firstLineChars="250"/>
        <w:rPr>
          <w:rFonts w:ascii="宋体" w:hAnsi="宋体" w:eastAsia="宋体"/>
          <w:sz w:val="32"/>
          <w:szCs w:val="32"/>
        </w:rPr>
      </w:pPr>
      <w:r>
        <w:rPr>
          <w:rFonts w:hint="eastAsia" w:ascii="宋体" w:hAnsi="宋体" w:eastAsia="宋体"/>
          <w:sz w:val="32"/>
          <w:szCs w:val="32"/>
        </w:rPr>
        <w:t>2、文化旅游体育与传媒（类）文化和旅游（款）其他文化创作与保护（项）。</w:t>
      </w:r>
    </w:p>
    <w:p>
      <w:pPr>
        <w:pStyle w:val="10"/>
        <w:ind w:firstLine="800" w:firstLineChars="250"/>
        <w:rPr>
          <w:rFonts w:ascii="宋体" w:hAnsi="宋体" w:eastAsia="宋体"/>
          <w:sz w:val="32"/>
          <w:szCs w:val="32"/>
        </w:rPr>
      </w:pPr>
      <w:r>
        <w:rPr>
          <w:rFonts w:hint="eastAsia" w:ascii="宋体" w:hAnsi="宋体" w:eastAsia="宋体"/>
          <w:sz w:val="32"/>
          <w:szCs w:val="32"/>
        </w:rPr>
        <w:t>年初预算为80万元，支出决算为80万元，完成年初预算的100%。决算数和预算数一致。</w:t>
      </w:r>
    </w:p>
    <w:p>
      <w:pPr>
        <w:pStyle w:val="10"/>
        <w:ind w:firstLine="800" w:firstLineChars="250"/>
        <w:rPr>
          <w:rFonts w:ascii="宋体" w:hAnsi="宋体" w:eastAsia="宋体"/>
          <w:sz w:val="32"/>
          <w:szCs w:val="32"/>
        </w:rPr>
      </w:pPr>
      <w:r>
        <w:rPr>
          <w:rFonts w:hint="eastAsia" w:ascii="宋体" w:hAnsi="宋体" w:eastAsia="宋体"/>
          <w:sz w:val="32"/>
          <w:szCs w:val="32"/>
        </w:rPr>
        <w:t>3、文化旅游体育与传媒（类）文化和旅游（款）其他文化和旅游支出（项）。</w:t>
      </w:r>
    </w:p>
    <w:p>
      <w:pPr>
        <w:pStyle w:val="10"/>
        <w:ind w:firstLine="800" w:firstLineChars="250"/>
        <w:rPr>
          <w:rFonts w:ascii="宋体" w:hAnsi="宋体" w:eastAsia="宋体"/>
          <w:sz w:val="32"/>
          <w:szCs w:val="32"/>
        </w:rPr>
      </w:pPr>
      <w:r>
        <w:rPr>
          <w:rFonts w:hint="eastAsia" w:ascii="宋体" w:hAnsi="宋体" w:eastAsia="宋体"/>
          <w:sz w:val="32"/>
          <w:szCs w:val="32"/>
        </w:rPr>
        <w:t>年初预算为276万元，支出决算为595.3万元，完成年初预算的215.69%，决算数大于年初预算数的主要原因是：年中追加文化综合发展专项。</w:t>
      </w:r>
    </w:p>
    <w:p>
      <w:pPr>
        <w:pStyle w:val="10"/>
        <w:ind w:firstLine="800" w:firstLineChars="250"/>
        <w:rPr>
          <w:rFonts w:ascii="宋体" w:hAnsi="宋体" w:eastAsia="宋体"/>
          <w:sz w:val="32"/>
          <w:szCs w:val="32"/>
        </w:rPr>
      </w:pPr>
      <w:r>
        <w:rPr>
          <w:rFonts w:hint="eastAsia" w:ascii="宋体" w:hAnsi="宋体" w:eastAsia="宋体"/>
          <w:sz w:val="32"/>
          <w:szCs w:val="32"/>
        </w:rPr>
        <w:t>4、文化旅游体育与传媒（类）其他文化旅游体育与传媒支出（款）其他文化旅游体育与传媒支出（项）。</w:t>
      </w:r>
    </w:p>
    <w:p>
      <w:pPr>
        <w:pStyle w:val="10"/>
        <w:ind w:firstLine="800" w:firstLineChars="250"/>
        <w:rPr>
          <w:rFonts w:ascii="宋体" w:hAnsi="宋体" w:eastAsia="宋体"/>
          <w:sz w:val="32"/>
          <w:szCs w:val="32"/>
        </w:rPr>
      </w:pPr>
      <w:r>
        <w:rPr>
          <w:rFonts w:hint="eastAsia" w:ascii="宋体" w:hAnsi="宋体" w:eastAsia="宋体"/>
          <w:sz w:val="32"/>
          <w:szCs w:val="32"/>
        </w:rPr>
        <w:t>年初预算为0万元，支出决算为226.28万元，完成年初预算的226.28%，决算数大于年初预算数的主要原因是：</w:t>
      </w:r>
      <w:r>
        <w:rPr>
          <w:rFonts w:ascii="宋体" w:hAnsi="宋体" w:eastAsia="宋体"/>
          <w:sz w:val="32"/>
          <w:szCs w:val="32"/>
        </w:rPr>
        <w:t>使用上年结转和年中追加安排的文化体育与传媒专项和文化事业发展等专项资金形成的支出。</w:t>
      </w:r>
    </w:p>
    <w:p>
      <w:pPr>
        <w:pStyle w:val="10"/>
        <w:ind w:firstLine="800" w:firstLineChars="250"/>
        <w:rPr>
          <w:rFonts w:ascii="宋体" w:hAnsi="宋体" w:eastAsia="宋体"/>
          <w:sz w:val="32"/>
          <w:szCs w:val="32"/>
        </w:rPr>
      </w:pPr>
      <w:r>
        <w:rPr>
          <w:rFonts w:hint="eastAsia" w:ascii="宋体" w:hAnsi="宋体" w:eastAsia="宋体"/>
          <w:sz w:val="32"/>
          <w:szCs w:val="32"/>
        </w:rPr>
        <w:t>5、社会保障和就业（类）行政事业单位基本养老支出（款）机关事业单位基本养老保险缴费支出（项）。</w:t>
      </w:r>
    </w:p>
    <w:p>
      <w:pPr>
        <w:pStyle w:val="10"/>
        <w:ind w:firstLine="800" w:firstLineChars="250"/>
        <w:rPr>
          <w:rFonts w:ascii="宋体" w:hAnsi="宋体" w:eastAsia="宋体"/>
          <w:sz w:val="32"/>
          <w:szCs w:val="32"/>
        </w:rPr>
      </w:pPr>
      <w:r>
        <w:rPr>
          <w:rFonts w:hint="eastAsia" w:ascii="宋体" w:hAnsi="宋体" w:eastAsia="宋体"/>
          <w:sz w:val="32"/>
          <w:szCs w:val="32"/>
        </w:rPr>
        <w:t>年初预算为140.76万元，支出决算为140.76万元，完成年初预算的100%。决算数和预算数一致。</w:t>
      </w:r>
    </w:p>
    <w:p>
      <w:pPr>
        <w:pStyle w:val="10"/>
        <w:ind w:firstLine="800" w:firstLineChars="250"/>
        <w:rPr>
          <w:rFonts w:ascii="宋体" w:hAnsi="宋体" w:eastAsia="宋体"/>
          <w:sz w:val="32"/>
          <w:szCs w:val="32"/>
        </w:rPr>
      </w:pPr>
      <w:r>
        <w:rPr>
          <w:rFonts w:hint="eastAsia" w:ascii="宋体" w:hAnsi="宋体" w:eastAsia="宋体"/>
          <w:sz w:val="32"/>
          <w:szCs w:val="32"/>
        </w:rPr>
        <w:t>6、社会保障和就业（类）行政事业单位基本养老支出（款）机关事业单位职业年金缴费支出（项）。</w:t>
      </w:r>
    </w:p>
    <w:p>
      <w:pPr>
        <w:pStyle w:val="10"/>
        <w:ind w:firstLine="800" w:firstLineChars="250"/>
        <w:rPr>
          <w:rFonts w:ascii="宋体" w:hAnsi="宋体" w:eastAsia="宋体"/>
          <w:sz w:val="32"/>
          <w:szCs w:val="32"/>
        </w:rPr>
      </w:pPr>
      <w:r>
        <w:rPr>
          <w:rFonts w:hint="eastAsia" w:ascii="宋体" w:hAnsi="宋体" w:eastAsia="宋体"/>
          <w:sz w:val="32"/>
          <w:szCs w:val="32"/>
        </w:rPr>
        <w:t>年初预算为57.24万元，支出决算为57.24万元，完成年初预算的100%。决算数和预算数一致。</w:t>
      </w:r>
    </w:p>
    <w:p>
      <w:pPr>
        <w:pStyle w:val="10"/>
        <w:ind w:firstLine="800" w:firstLineChars="250"/>
        <w:rPr>
          <w:rFonts w:ascii="宋体" w:hAnsi="宋体" w:eastAsia="宋体"/>
          <w:sz w:val="32"/>
          <w:szCs w:val="32"/>
        </w:rPr>
      </w:pPr>
      <w:r>
        <w:rPr>
          <w:rFonts w:hint="eastAsia" w:ascii="宋体" w:hAnsi="宋体" w:eastAsia="宋体"/>
          <w:sz w:val="32"/>
          <w:szCs w:val="32"/>
        </w:rPr>
        <w:t>7、住房保障（类）住房改革（款）住房公积金（项）。</w:t>
      </w:r>
    </w:p>
    <w:p>
      <w:pPr>
        <w:pStyle w:val="10"/>
        <w:ind w:firstLine="800" w:firstLineChars="250"/>
        <w:rPr>
          <w:rFonts w:hint="eastAsia" w:ascii="宋体" w:hAnsi="宋体" w:eastAsia="宋体"/>
          <w:sz w:val="32"/>
          <w:szCs w:val="32"/>
        </w:rPr>
      </w:pPr>
      <w:r>
        <w:rPr>
          <w:rFonts w:hint="eastAsia" w:ascii="宋体" w:hAnsi="宋体" w:eastAsia="宋体"/>
          <w:sz w:val="32"/>
          <w:szCs w:val="32"/>
        </w:rPr>
        <w:t>年初预算为126万元，支出决算为126万元，完成年初预算的100%。决算数和预算数一致。</w:t>
      </w:r>
    </w:p>
    <w:p>
      <w:pPr>
        <w:pStyle w:val="10"/>
        <w:ind w:firstLine="800" w:firstLineChars="250"/>
        <w:rPr>
          <w:rFonts w:ascii="宋体" w:hAnsi="宋体" w:eastAsia="宋体"/>
          <w:sz w:val="32"/>
          <w:szCs w:val="32"/>
        </w:rPr>
      </w:pPr>
      <w:r>
        <w:rPr>
          <w:rFonts w:hint="eastAsia" w:ascii="宋体" w:hAnsi="宋体" w:eastAsia="宋体"/>
          <w:sz w:val="32"/>
          <w:szCs w:val="32"/>
        </w:rPr>
        <w:t>8、其他社会保障和就业（类）其他社会保障和就业支出（项）。</w:t>
      </w:r>
    </w:p>
    <w:p>
      <w:pPr>
        <w:pStyle w:val="10"/>
        <w:ind w:firstLine="800" w:firstLineChars="250"/>
        <w:rPr>
          <w:rFonts w:hint="eastAsia" w:ascii="宋体" w:hAnsi="宋体" w:eastAsia="宋体"/>
          <w:sz w:val="32"/>
          <w:szCs w:val="32"/>
        </w:rPr>
      </w:pPr>
      <w:r>
        <w:rPr>
          <w:rFonts w:ascii="宋体" w:hAnsi="宋体" w:eastAsia="宋体"/>
          <w:sz w:val="32"/>
          <w:szCs w:val="32"/>
        </w:rPr>
        <w:t xml:space="preserve"> </w:t>
      </w:r>
      <w:r>
        <w:rPr>
          <w:rFonts w:hint="eastAsia" w:ascii="宋体" w:hAnsi="宋体" w:eastAsia="宋体"/>
          <w:sz w:val="32"/>
          <w:szCs w:val="32"/>
        </w:rPr>
        <w:t>年初预算为0万元，支出决算为2.4万元，完成年初预算的2.4%。决算数大于预算数是因为年中追加的建国初期参加革命工作的退休干部生活和医疗补贴提标资金支出。</w:t>
      </w:r>
    </w:p>
    <w:p>
      <w:pPr>
        <w:pStyle w:val="10"/>
        <w:ind w:firstLine="800" w:firstLineChars="250"/>
        <w:rPr>
          <w:rFonts w:ascii="宋体" w:hAnsi="宋体" w:eastAsia="宋体"/>
          <w:sz w:val="32"/>
          <w:szCs w:val="32"/>
        </w:rPr>
      </w:pPr>
      <w:r>
        <w:rPr>
          <w:rFonts w:hint="eastAsia" w:ascii="宋体" w:hAnsi="宋体" w:eastAsia="宋体"/>
          <w:sz w:val="32"/>
          <w:szCs w:val="32"/>
        </w:rPr>
        <w:t>9、其他卫生健康（类）其他卫生健康支出（项）。</w:t>
      </w:r>
    </w:p>
    <w:p>
      <w:pPr>
        <w:pStyle w:val="10"/>
        <w:ind w:firstLine="800" w:firstLineChars="250"/>
        <w:rPr>
          <w:rFonts w:ascii="宋体" w:hAnsi="宋体" w:eastAsia="宋体"/>
          <w:sz w:val="32"/>
          <w:szCs w:val="32"/>
        </w:rPr>
      </w:pPr>
      <w:r>
        <w:rPr>
          <w:rFonts w:ascii="宋体" w:hAnsi="宋体" w:eastAsia="宋体"/>
          <w:sz w:val="32"/>
          <w:szCs w:val="32"/>
        </w:rPr>
        <w:t xml:space="preserve"> </w:t>
      </w:r>
      <w:r>
        <w:rPr>
          <w:rFonts w:hint="eastAsia" w:ascii="宋体" w:hAnsi="宋体" w:eastAsia="宋体"/>
          <w:sz w:val="32"/>
          <w:szCs w:val="32"/>
        </w:rPr>
        <w:t>年初预算为0万元，支出决算为1.2万元，完成年初预算的1.2%。决算数大于预算数是因为年中追加的建国初期参加革命工作的退休干部生活和医疗补贴提标资金支出。</w:t>
      </w:r>
    </w:p>
    <w:p>
      <w:pPr>
        <w:pStyle w:val="10"/>
        <w:rPr>
          <w:rFonts w:ascii="宋体" w:hAnsi="宋体" w:eastAsia="宋体"/>
          <w:sz w:val="32"/>
          <w:szCs w:val="32"/>
        </w:rPr>
      </w:pPr>
      <w:r>
        <w:rPr>
          <w:rFonts w:hint="eastAsia" w:hAnsi="黑体"/>
          <w:b/>
          <w:color w:val="000000" w:themeColor="text1"/>
          <w:sz w:val="32"/>
          <w:szCs w:val="32"/>
        </w:rPr>
        <w:t>六、一般公共预算财政拨款基本支出决算情况说明</w:t>
      </w:r>
    </w:p>
    <w:p>
      <w:pPr>
        <w:pStyle w:val="10"/>
        <w:ind w:firstLine="640" w:firstLineChars="200"/>
        <w:rPr>
          <w:rFonts w:ascii="宋体" w:hAnsi="宋体" w:eastAsia="宋体"/>
          <w:sz w:val="32"/>
          <w:szCs w:val="32"/>
        </w:rPr>
      </w:pPr>
      <w:r>
        <w:rPr>
          <w:rFonts w:hint="eastAsia" w:ascii="宋体" w:hAnsi="宋体" w:eastAsia="宋体"/>
          <w:sz w:val="32"/>
          <w:szCs w:val="32"/>
        </w:rPr>
        <w:t>2021年度财政拨款基本支出1345.6万元，其中：人员经费1345.6万元，占基本支出的100%,主要包括基本工资、津贴补贴、奖金、伙食补助费，对个人和家庭的补助等。</w:t>
      </w:r>
    </w:p>
    <w:p>
      <w:pPr>
        <w:pStyle w:val="10"/>
        <w:rPr>
          <w:rFonts w:hAnsi="黑体"/>
          <w:b/>
          <w:color w:val="000000" w:themeColor="text1"/>
          <w:sz w:val="32"/>
          <w:szCs w:val="32"/>
        </w:rPr>
      </w:pPr>
      <w:r>
        <w:rPr>
          <w:rFonts w:hint="eastAsia" w:hAnsi="黑体"/>
          <w:b/>
          <w:color w:val="000000" w:themeColor="text1"/>
          <w:sz w:val="32"/>
          <w:szCs w:val="32"/>
        </w:rPr>
        <w:t>七、一般公共预算财政拨款三公经费支出决算情况说明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决算与预算一致，</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决算与预算一致</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决算与预算一致</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决算与预算一致</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决算与预算一致</w:t>
      </w:r>
      <w:r>
        <w:rPr>
          <w:rFonts w:hint="eastAsia" w:asciiTheme="minorEastAsia" w:hAnsiTheme="minorEastAsia" w:eastAsiaTheme="minorEastAsia"/>
          <w:sz w:val="32"/>
          <w:szCs w:val="32"/>
        </w:rPr>
        <w:t>。</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元。其中：</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元</w:t>
      </w:r>
      <w:r>
        <w:rPr>
          <w:rFonts w:hint="eastAsia" w:asciiTheme="minorEastAsia" w:hAnsiTheme="minorEastAsia"/>
          <w:sz w:val="32"/>
          <w:szCs w:val="32"/>
          <w:lang w:eastAsia="zh-CN"/>
        </w:rPr>
        <w:t>。</w:t>
      </w:r>
      <w:r>
        <w:rPr>
          <w:rFonts w:hint="eastAsia" w:asciiTheme="minorEastAsia" w:hAnsiTheme="minorEastAsia"/>
          <w:sz w:val="32"/>
          <w:szCs w:val="32"/>
        </w:rPr>
        <w:t>截止2021年12月31日，我单位开支财政拨款的公务用车保有量为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rPr>
          <w:rFonts w:ascii="宋体" w:hAnsi="宋体" w:eastAsia="宋体"/>
          <w:i/>
          <w:color w:val="FF0000"/>
          <w:sz w:val="32"/>
          <w:szCs w:val="32"/>
        </w:rPr>
      </w:pPr>
      <w:r>
        <w:rPr>
          <w:rFonts w:hint="eastAsia" w:ascii="宋体" w:hAnsi="宋体" w:eastAsia="宋体"/>
          <w:sz w:val="28"/>
          <w:szCs w:val="28"/>
        </w:rPr>
        <w:t xml:space="preserve">    </w:t>
      </w:r>
      <w:r>
        <w:rPr>
          <w:rFonts w:hint="eastAsia" w:ascii="宋体" w:hAnsi="宋体" w:eastAsia="宋体"/>
          <w:sz w:val="32"/>
          <w:szCs w:val="32"/>
        </w:rPr>
        <w:t xml:space="preserve"> 本单位无政府性基金收支。</w:t>
      </w:r>
    </w:p>
    <w:p>
      <w:pPr>
        <w:pStyle w:val="10"/>
        <w:rPr>
          <w:rFonts w:hAnsi="黑体"/>
          <w:b/>
          <w:sz w:val="32"/>
          <w:szCs w:val="32"/>
        </w:rPr>
      </w:pPr>
      <w:r>
        <w:rPr>
          <w:rFonts w:hint="eastAsia" w:hAnsi="黑体"/>
          <w:b/>
          <w:sz w:val="32"/>
          <w:szCs w:val="32"/>
        </w:rPr>
        <w:t>九、关于机关运行经费支出说明</w:t>
      </w:r>
    </w:p>
    <w:p>
      <w:pPr>
        <w:pStyle w:val="10"/>
        <w:ind w:firstLine="640" w:firstLineChars="200"/>
        <w:rPr>
          <w:rFonts w:ascii="宋体" w:hAnsi="宋体" w:eastAsia="宋体"/>
          <w:sz w:val="32"/>
          <w:szCs w:val="32"/>
        </w:rPr>
      </w:pPr>
      <w:r>
        <w:rPr>
          <w:rFonts w:hint="eastAsia" w:ascii="宋体" w:hAnsi="宋体" w:eastAsia="宋体"/>
          <w:sz w:val="32"/>
          <w:szCs w:val="32"/>
        </w:rPr>
        <w:t>本单位无机关运行经费支出。</w:t>
      </w:r>
    </w:p>
    <w:p>
      <w:pPr>
        <w:pStyle w:val="10"/>
        <w:rPr>
          <w:rFonts w:ascii="宋体" w:hAnsi="宋体" w:eastAsia="宋体"/>
          <w:sz w:val="28"/>
          <w:szCs w:val="28"/>
        </w:rPr>
      </w:pPr>
      <w:r>
        <w:rPr>
          <w:rFonts w:hint="eastAsia" w:hAnsi="黑体"/>
          <w:b/>
          <w:sz w:val="32"/>
          <w:szCs w:val="32"/>
        </w:rPr>
        <w:t>十、一般性支出情况</w:t>
      </w:r>
    </w:p>
    <w:p>
      <w:pPr>
        <w:pStyle w:val="10"/>
        <w:ind w:firstLine="640" w:firstLineChars="200"/>
        <w:rPr>
          <w:rFonts w:ascii="宋体" w:hAnsi="宋体" w:eastAsia="宋体"/>
          <w:sz w:val="32"/>
          <w:szCs w:val="32"/>
        </w:rPr>
      </w:pPr>
      <w:r>
        <w:rPr>
          <w:rFonts w:hint="eastAsia" w:ascii="宋体" w:hAnsi="宋体" w:eastAsia="宋体"/>
          <w:sz w:val="32"/>
          <w:szCs w:val="32"/>
        </w:rPr>
        <w:t>本单位无会议费，培训费等经费支出。</w:t>
      </w:r>
    </w:p>
    <w:p>
      <w:pPr>
        <w:pStyle w:val="10"/>
        <w:rPr>
          <w:rFonts w:hAnsi="黑体"/>
          <w:b/>
          <w:sz w:val="32"/>
          <w:szCs w:val="32"/>
        </w:rPr>
      </w:pPr>
      <w:r>
        <w:rPr>
          <w:rFonts w:hint="eastAsia" w:hAnsi="黑体"/>
          <w:b/>
          <w:sz w:val="32"/>
          <w:szCs w:val="32"/>
        </w:rPr>
        <w:t>十一、关于政府采购支出说明</w:t>
      </w:r>
    </w:p>
    <w:p>
      <w:pPr>
        <w:pStyle w:val="10"/>
        <w:ind w:firstLine="640" w:firstLineChars="20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本</w:t>
      </w:r>
      <w:r>
        <w:rPr>
          <w:rFonts w:hint="eastAsia" w:asciiTheme="minorEastAsia" w:hAnsiTheme="minorEastAsia" w:eastAsiaTheme="minorEastAsia" w:cstheme="minorEastAsia"/>
          <w:sz w:val="32"/>
          <w:szCs w:val="32"/>
          <w:highlight w:val="none"/>
          <w:lang w:eastAsia="zh-CN"/>
        </w:rPr>
        <w:t>单位</w:t>
      </w:r>
      <w:r>
        <w:rPr>
          <w:rFonts w:hint="eastAsia" w:asciiTheme="minorEastAsia" w:hAnsiTheme="minorEastAsia" w:eastAsiaTheme="minorEastAsia" w:cstheme="minorEastAsia"/>
          <w:sz w:val="32"/>
          <w:szCs w:val="32"/>
          <w:highlight w:val="none"/>
        </w:rPr>
        <w:t>2021年度</w:t>
      </w:r>
      <w:r>
        <w:rPr>
          <w:rFonts w:hint="eastAsia" w:asciiTheme="minorEastAsia" w:hAnsiTheme="minorEastAsia" w:eastAsiaTheme="minorEastAsia" w:cstheme="minorEastAsia"/>
          <w:sz w:val="32"/>
          <w:szCs w:val="32"/>
          <w:highlight w:val="none"/>
          <w:lang w:eastAsia="zh-CN"/>
        </w:rPr>
        <w:t>电子卖场</w:t>
      </w:r>
      <w:r>
        <w:rPr>
          <w:rFonts w:hint="eastAsia" w:asciiTheme="minorEastAsia" w:hAnsiTheme="minorEastAsia" w:eastAsiaTheme="minorEastAsia" w:cstheme="minorEastAsia"/>
          <w:sz w:val="32"/>
          <w:szCs w:val="32"/>
          <w:highlight w:val="none"/>
        </w:rPr>
        <w:t>采购支出总额</w:t>
      </w:r>
      <w:r>
        <w:rPr>
          <w:rFonts w:hint="eastAsia" w:asciiTheme="minorEastAsia" w:hAnsiTheme="minorEastAsia" w:eastAsiaTheme="minorEastAsia" w:cstheme="minorEastAsia"/>
          <w:sz w:val="32"/>
          <w:szCs w:val="32"/>
          <w:highlight w:val="none"/>
          <w:lang w:val="en-US" w:eastAsia="zh-CN"/>
        </w:rPr>
        <w:t>186.43</w:t>
      </w:r>
      <w:r>
        <w:rPr>
          <w:rFonts w:hint="eastAsia" w:asciiTheme="minorEastAsia" w:hAnsiTheme="minorEastAsia" w:eastAsiaTheme="minorEastAsia" w:cstheme="minorEastAsia"/>
          <w:sz w:val="32"/>
          <w:szCs w:val="32"/>
          <w:highlight w:val="none"/>
        </w:rPr>
        <w:t>万元，其中：采购货物支出</w:t>
      </w:r>
      <w:r>
        <w:rPr>
          <w:rFonts w:hint="eastAsia" w:asciiTheme="minorEastAsia" w:hAnsiTheme="minorEastAsia" w:eastAsiaTheme="minorEastAsia" w:cstheme="minorEastAsia"/>
          <w:sz w:val="32"/>
          <w:szCs w:val="32"/>
          <w:highlight w:val="none"/>
          <w:lang w:val="en-US" w:eastAsia="zh-CN"/>
        </w:rPr>
        <w:t>88</w:t>
      </w:r>
      <w:r>
        <w:rPr>
          <w:rFonts w:hint="eastAsia" w:asciiTheme="minorEastAsia" w:hAnsiTheme="minorEastAsia" w:eastAsiaTheme="minorEastAsia" w:cstheme="minorEastAsia"/>
          <w:sz w:val="32"/>
          <w:szCs w:val="32"/>
          <w:highlight w:val="none"/>
        </w:rPr>
        <w:t>万元、采购服务支出</w:t>
      </w:r>
      <w:r>
        <w:rPr>
          <w:rFonts w:hint="eastAsia" w:asciiTheme="minorEastAsia" w:hAnsiTheme="minorEastAsia" w:eastAsiaTheme="minorEastAsia" w:cstheme="minorEastAsia"/>
          <w:sz w:val="32"/>
          <w:szCs w:val="32"/>
          <w:highlight w:val="none"/>
          <w:lang w:val="en-US" w:eastAsia="zh-CN"/>
        </w:rPr>
        <w:t>98.43</w:t>
      </w:r>
      <w:r>
        <w:rPr>
          <w:rFonts w:hint="eastAsia" w:asciiTheme="minorEastAsia" w:hAnsiTheme="minorEastAsia" w:eastAsiaTheme="minorEastAsia" w:cstheme="minorEastAsia"/>
          <w:sz w:val="32"/>
          <w:szCs w:val="32"/>
          <w:highlight w:val="none"/>
        </w:rPr>
        <w:t>万元。授予中小企业合同金额</w:t>
      </w:r>
      <w:r>
        <w:rPr>
          <w:rFonts w:hint="eastAsia" w:asciiTheme="minorEastAsia" w:hAnsiTheme="minorEastAsia" w:eastAsiaTheme="minorEastAsia" w:cstheme="minorEastAsia"/>
          <w:sz w:val="32"/>
          <w:szCs w:val="32"/>
          <w:highlight w:val="none"/>
          <w:lang w:val="en-US" w:eastAsia="zh-CN"/>
        </w:rPr>
        <w:t>186.34</w:t>
      </w:r>
      <w:r>
        <w:rPr>
          <w:rFonts w:hint="eastAsia" w:asciiTheme="minorEastAsia" w:hAnsiTheme="minorEastAsia" w:eastAsiaTheme="minorEastAsia" w:cstheme="minorEastAsia"/>
          <w:sz w:val="32"/>
          <w:szCs w:val="32"/>
          <w:highlight w:val="none"/>
        </w:rPr>
        <w:t>万元，占政府采购支出总额的</w:t>
      </w:r>
      <w:r>
        <w:rPr>
          <w:rFonts w:hint="eastAsia" w:asciiTheme="minorEastAsia" w:hAnsiTheme="minorEastAsia" w:eastAsiaTheme="minorEastAsia" w:cstheme="minorEastAsia"/>
          <w:sz w:val="32"/>
          <w:szCs w:val="32"/>
          <w:highlight w:val="none"/>
          <w:lang w:val="en-US" w:eastAsia="zh-CN"/>
        </w:rPr>
        <w:t>100%</w:t>
      </w:r>
      <w:r>
        <w:rPr>
          <w:rFonts w:hint="eastAsia" w:asciiTheme="minorEastAsia" w:hAnsiTheme="minorEastAsia" w:eastAsiaTheme="minorEastAsia" w:cstheme="minorEastAsia"/>
          <w:sz w:val="32"/>
          <w:szCs w:val="32"/>
          <w:highlight w:val="none"/>
        </w:rPr>
        <w:t>，其中：授予小微企业合同金额</w:t>
      </w:r>
      <w:r>
        <w:rPr>
          <w:rFonts w:hint="eastAsia" w:asciiTheme="minorEastAsia" w:hAnsiTheme="minorEastAsia" w:eastAsiaTheme="minorEastAsia" w:cstheme="minorEastAsia"/>
          <w:sz w:val="32"/>
          <w:szCs w:val="32"/>
          <w:highlight w:val="none"/>
          <w:lang w:val="en-US" w:eastAsia="zh-CN"/>
        </w:rPr>
        <w:t>186.34</w:t>
      </w:r>
      <w:r>
        <w:rPr>
          <w:rFonts w:hint="eastAsia" w:asciiTheme="minorEastAsia" w:hAnsiTheme="minorEastAsia" w:eastAsiaTheme="minorEastAsia" w:cstheme="minorEastAsia"/>
          <w:sz w:val="32"/>
          <w:szCs w:val="32"/>
          <w:highlight w:val="none"/>
        </w:rPr>
        <w:t>万元，占授予中小企业合同金额的</w:t>
      </w:r>
      <w:r>
        <w:rPr>
          <w:rFonts w:hint="eastAsia" w:asciiTheme="minorEastAsia" w:hAnsiTheme="minorEastAsia" w:eastAsiaTheme="minorEastAsia" w:cstheme="minorEastAsia"/>
          <w:sz w:val="32"/>
          <w:szCs w:val="32"/>
          <w:highlight w:val="none"/>
          <w:lang w:val="en-US" w:eastAsia="zh-CN"/>
        </w:rPr>
        <w:t>100%</w:t>
      </w:r>
      <w:r>
        <w:rPr>
          <w:rFonts w:hint="eastAsia" w:asciiTheme="minorEastAsia" w:hAnsiTheme="minorEastAsia" w:eastAsiaTheme="minorEastAsia" w:cstheme="minorEastAsia"/>
          <w:sz w:val="32"/>
          <w:szCs w:val="32"/>
          <w:highlight w:val="none"/>
        </w:rPr>
        <w:t>；货物采购授予中小企业合同金额占货物支出金额的</w:t>
      </w:r>
      <w:r>
        <w:rPr>
          <w:rFonts w:hint="eastAsia" w:asciiTheme="minorEastAsia" w:hAnsiTheme="minorEastAsia" w:eastAsiaTheme="minorEastAsia" w:cstheme="minorEastAsia"/>
          <w:sz w:val="32"/>
          <w:szCs w:val="32"/>
          <w:highlight w:val="none"/>
          <w:lang w:val="en-US" w:eastAsia="zh-CN"/>
        </w:rPr>
        <w:t>100%</w:t>
      </w:r>
      <w:r>
        <w:rPr>
          <w:rFonts w:hint="eastAsia" w:asciiTheme="minorEastAsia" w:hAnsiTheme="minorEastAsia" w:eastAsiaTheme="minorEastAsia" w:cstheme="minorEastAsia"/>
          <w:sz w:val="32"/>
          <w:szCs w:val="32"/>
          <w:highlight w:val="none"/>
        </w:rPr>
        <w:t>，服务采购授予中小企业合同金额占服务支出金额的</w:t>
      </w:r>
      <w:r>
        <w:rPr>
          <w:rFonts w:hint="eastAsia" w:asciiTheme="minorEastAsia" w:hAnsiTheme="minorEastAsia" w:eastAsiaTheme="minorEastAsia" w:cstheme="minorEastAsia"/>
          <w:sz w:val="32"/>
          <w:szCs w:val="32"/>
          <w:highlight w:val="none"/>
          <w:lang w:val="en-US" w:eastAsia="zh-CN"/>
        </w:rPr>
        <w:t>100%</w:t>
      </w:r>
      <w:r>
        <w:rPr>
          <w:rFonts w:hint="eastAsia" w:asciiTheme="minorEastAsia" w:hAnsiTheme="minorEastAsia" w:eastAsiaTheme="minorEastAsia" w:cstheme="minorEastAsia"/>
          <w:sz w:val="32"/>
          <w:szCs w:val="32"/>
          <w:highlight w:val="none"/>
        </w:rPr>
        <w:t>。</w:t>
      </w:r>
    </w:p>
    <w:p>
      <w:pPr>
        <w:pStyle w:val="10"/>
        <w:rPr>
          <w:rFonts w:hAnsi="黑体"/>
          <w:b/>
          <w:sz w:val="32"/>
          <w:szCs w:val="32"/>
        </w:rPr>
      </w:pPr>
      <w:r>
        <w:rPr>
          <w:rFonts w:hint="eastAsia" w:hAnsi="黑体"/>
          <w:b/>
          <w:sz w:val="32"/>
          <w:szCs w:val="32"/>
        </w:rPr>
        <w:t>十二、关于国有资产占用情况说明</w:t>
      </w:r>
    </w:p>
    <w:p>
      <w:pPr>
        <w:pStyle w:val="10"/>
        <w:ind w:firstLine="640" w:firstLineChars="200"/>
        <w:rPr>
          <w:rFonts w:hint="default" w:asciiTheme="minorEastAsia" w:hAnsiTheme="minorEastAsia" w:eastAsiaTheme="minorEastAsia"/>
          <w:sz w:val="32"/>
          <w:szCs w:val="32"/>
          <w:lang w:val="en-US" w:eastAsia="zh-CN"/>
        </w:rPr>
      </w:pPr>
      <w:r>
        <w:rPr>
          <w:rFonts w:hint="eastAsia" w:ascii="宋体" w:hAnsi="宋体" w:eastAsia="宋体"/>
          <w:sz w:val="32"/>
          <w:szCs w:val="32"/>
        </w:rPr>
        <w:t>截至2021年12月31日，本单位共有车辆1辆，其中，其他用车1辆，其他用车为演出客车；</w:t>
      </w:r>
      <w:r>
        <w:rPr>
          <w:rFonts w:hint="eastAsia" w:asciiTheme="minorEastAsia" w:hAnsiTheme="minorEastAsia" w:eastAsiaTheme="minorEastAsia"/>
          <w:sz w:val="32"/>
          <w:szCs w:val="32"/>
        </w:rPr>
        <w:t>单位价值100万元以上专用设备1套</w:t>
      </w:r>
      <w:r>
        <w:rPr>
          <w:rFonts w:hint="eastAsia" w:asciiTheme="minorEastAsia" w:hAnsiTheme="minorEastAsia" w:eastAsiaTheme="minorEastAsia"/>
          <w:sz w:val="32"/>
          <w:szCs w:val="32"/>
          <w:lang w:eastAsia="zh-CN"/>
        </w:rPr>
        <w:t>；单位价值</w:t>
      </w:r>
      <w:r>
        <w:rPr>
          <w:rFonts w:hint="eastAsia" w:asciiTheme="minorEastAsia" w:hAnsiTheme="minorEastAsia" w:eastAsiaTheme="minorEastAsia"/>
          <w:sz w:val="32"/>
          <w:szCs w:val="32"/>
          <w:lang w:val="en-US" w:eastAsia="zh-CN"/>
        </w:rPr>
        <w:t>50万以上的通用设备无。</w:t>
      </w:r>
    </w:p>
    <w:p>
      <w:pPr>
        <w:pStyle w:val="10"/>
        <w:rPr>
          <w:rFonts w:hAnsi="黑体"/>
          <w:b/>
          <w:sz w:val="32"/>
          <w:szCs w:val="32"/>
        </w:rPr>
      </w:pPr>
      <w:r>
        <w:rPr>
          <w:rFonts w:hint="eastAsia" w:hAnsi="黑体"/>
          <w:b/>
          <w:sz w:val="32"/>
          <w:szCs w:val="32"/>
        </w:rPr>
        <w:t>十三、关于2020年度预算绩效情况的说明</w:t>
      </w:r>
    </w:p>
    <w:p>
      <w:pPr>
        <w:pStyle w:val="10"/>
        <w:rPr>
          <w:rFonts w:hint="eastAsia" w:ascii="宋体" w:hAnsi="宋体" w:eastAsia="宋体"/>
          <w:sz w:val="32"/>
          <w:szCs w:val="32"/>
        </w:rPr>
      </w:pPr>
      <w:r>
        <w:rPr>
          <w:rFonts w:hint="eastAsia" w:ascii="宋体" w:hAnsi="宋体" w:eastAsia="宋体"/>
          <w:sz w:val="28"/>
          <w:szCs w:val="28"/>
        </w:rPr>
        <w:t xml:space="preserve">   </w:t>
      </w:r>
      <w:r>
        <w:rPr>
          <w:rFonts w:hint="eastAsia" w:ascii="宋体" w:hAnsi="宋体" w:eastAsia="宋体"/>
          <w:sz w:val="32"/>
          <w:szCs w:val="32"/>
        </w:rPr>
        <w:t xml:space="preserve"> 本单位202</w:t>
      </w:r>
      <w:r>
        <w:rPr>
          <w:rFonts w:hint="eastAsia" w:ascii="宋体" w:hAnsi="宋体" w:eastAsia="宋体"/>
          <w:sz w:val="32"/>
          <w:szCs w:val="32"/>
          <w:lang w:val="en-US" w:eastAsia="zh-CN"/>
        </w:rPr>
        <w:t>1</w:t>
      </w:r>
      <w:r>
        <w:rPr>
          <w:rFonts w:hint="eastAsia" w:ascii="宋体" w:hAnsi="宋体" w:eastAsia="宋体"/>
          <w:sz w:val="32"/>
          <w:szCs w:val="32"/>
        </w:rPr>
        <w:t>年</w:t>
      </w:r>
      <w:r>
        <w:rPr>
          <w:rFonts w:hint="eastAsia" w:ascii="宋体" w:hAnsi="宋体" w:eastAsia="宋体"/>
          <w:sz w:val="32"/>
          <w:szCs w:val="32"/>
          <w:lang w:eastAsia="zh-CN"/>
        </w:rPr>
        <w:t>度</w:t>
      </w:r>
      <w:r>
        <w:rPr>
          <w:rFonts w:hint="eastAsia" w:ascii="宋体" w:hAnsi="宋体" w:eastAsia="宋体"/>
          <w:sz w:val="32"/>
          <w:szCs w:val="32"/>
        </w:rPr>
        <w:t>绩效评价</w:t>
      </w:r>
      <w:r>
        <w:rPr>
          <w:rFonts w:hint="eastAsia" w:ascii="宋体" w:hAnsi="宋体" w:eastAsia="宋体"/>
          <w:sz w:val="32"/>
          <w:szCs w:val="32"/>
          <w:lang w:eastAsia="zh-CN"/>
        </w:rPr>
        <w:t>已</w:t>
      </w:r>
      <w:r>
        <w:rPr>
          <w:rFonts w:hint="eastAsia" w:ascii="宋体" w:hAnsi="宋体" w:eastAsia="宋体"/>
          <w:sz w:val="32"/>
          <w:szCs w:val="32"/>
        </w:rPr>
        <w:t>纳入湖南省文化和旅游厅部门整体绩效评价，</w:t>
      </w:r>
      <w:r>
        <w:rPr>
          <w:rFonts w:hint="eastAsia" w:ascii="宋体" w:hAnsi="宋体" w:eastAsia="宋体"/>
          <w:sz w:val="32"/>
          <w:szCs w:val="32"/>
          <w:lang w:eastAsia="zh-CN"/>
        </w:rPr>
        <w:t>绩效报告情况见省文旅厅公示网页</w:t>
      </w:r>
      <w:r>
        <w:rPr>
          <w:rFonts w:hint="eastAsia" w:ascii="宋体" w:hAnsi="宋体" w:eastAsia="宋体"/>
          <w:sz w:val="32"/>
          <w:szCs w:val="32"/>
        </w:rPr>
        <w:t>。</w:t>
      </w:r>
      <w:bookmarkStart w:id="0" w:name="_GoBack"/>
      <w:bookmarkEnd w:id="0"/>
    </w:p>
    <w:p>
      <w:pPr>
        <w:pStyle w:val="10"/>
        <w:rPr>
          <w:rFonts w:asciiTheme="minorEastAsia" w:hAnsiTheme="minorEastAsia" w:eastAsiaTheme="minorEastAsia"/>
          <w:sz w:val="32"/>
          <w:szCs w:val="32"/>
        </w:rPr>
      </w:pPr>
    </w:p>
    <w:p>
      <w:pPr>
        <w:pStyle w:val="10"/>
        <w:rPr>
          <w:rFonts w:hAnsi="黑体"/>
          <w:b/>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1、财政拨款收入：指省级财政当年拨付的资金。</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2、其他收入：指除“财政拨款收入”以外的收入。主要是 上级单位拨款、存款利息收入等。</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3、基本支出：指为保障机构正常运转、完成日常工作任务 而发生的事业单位履行一般 行政管理职能，维持日常运转所必须开支的费用，包括用 于工资、津贴及奖金等的人员经费和用于办公、水电费等的公 用经费。</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4、项目支出：指在基本支出之外为完成事 业发展目标所发生的支出。</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5、年初结转和结余：指以前年度尚未完成、结转到本年仍 按原规定用途继续使用的资金，或项目已完成等产生的结余资 金。</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6、年末结转和结余：指单位按有关规定结转到下年或以后 年度继续使用的资金。</w:t>
      </w:r>
    </w:p>
    <w:p>
      <w:pPr>
        <w:pStyle w:val="10"/>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7、“三公”经费：纳入财政预决算管理的“三公”经费， 是指用财政拨款安排的因公出国(境)费、公务用车购置及运行 费和公务接待费。其中，因公出国(境)费反映单位因公务出国 (境)的国际旅费、国外城市间交通费、住宿费、伙食费、培训 费、公杂费等支出；公务用车购置及运行费反映单位因公务用 车车辆购置支出(含车辆购置税)及租用费、燃料费、维修费、 过路过桥费、保险费、安全奖励费用等支出；公务接待费反映 单位按中央和省委省政府相关规定开支的各类公务接待(含外 宾接待)支出。</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xml:space="preserve">   </w:t>
      </w:r>
      <w:r>
        <w:rPr>
          <w:rFonts w:cs="黑体" w:asciiTheme="minorEastAsia" w:hAnsiTheme="minorEastAsia"/>
          <w:color w:val="000000"/>
          <w:kern w:val="0"/>
          <w:sz w:val="32"/>
          <w:szCs w:val="32"/>
        </w:rPr>
        <w:br w:type="page"/>
      </w:r>
    </w:p>
    <w:p>
      <w:pPr>
        <w:pStyle w:val="1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rPr>
        <w:t>本单位无附件，</w:t>
      </w:r>
      <w:r>
        <w:rPr>
          <w:rFonts w:hint="eastAsia" w:asciiTheme="minorEastAsia" w:hAnsiTheme="minorEastAsia" w:eastAsiaTheme="minorEastAsia" w:cstheme="minorEastAsia"/>
          <w:sz w:val="32"/>
          <w:szCs w:val="32"/>
        </w:rPr>
        <w:t>本单位202</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lang w:eastAsia="zh-CN"/>
        </w:rPr>
        <w:t>度</w:t>
      </w:r>
      <w:r>
        <w:rPr>
          <w:rFonts w:hint="eastAsia" w:asciiTheme="minorEastAsia" w:hAnsiTheme="minorEastAsia" w:eastAsiaTheme="minorEastAsia" w:cstheme="minorEastAsia"/>
          <w:sz w:val="32"/>
          <w:szCs w:val="32"/>
        </w:rPr>
        <w:t>绩效评价</w:t>
      </w:r>
      <w:r>
        <w:rPr>
          <w:rFonts w:hint="eastAsia" w:asciiTheme="minorEastAsia" w:hAnsiTheme="minorEastAsia" w:eastAsiaTheme="minorEastAsia" w:cstheme="minorEastAsia"/>
          <w:sz w:val="32"/>
          <w:szCs w:val="32"/>
          <w:lang w:eastAsia="zh-CN"/>
        </w:rPr>
        <w:t>已</w:t>
      </w:r>
      <w:r>
        <w:rPr>
          <w:rFonts w:hint="eastAsia" w:asciiTheme="minorEastAsia" w:hAnsiTheme="minorEastAsia" w:eastAsiaTheme="minorEastAsia" w:cstheme="minorEastAsia"/>
          <w:sz w:val="32"/>
          <w:szCs w:val="32"/>
        </w:rPr>
        <w:t>纳入湖南省文化和旅游厅部门整体绩效评价，</w:t>
      </w:r>
      <w:r>
        <w:rPr>
          <w:rFonts w:hint="eastAsia" w:asciiTheme="minorEastAsia" w:hAnsiTheme="minorEastAsia" w:eastAsiaTheme="minorEastAsia" w:cstheme="minorEastAsia"/>
          <w:sz w:val="32"/>
          <w:szCs w:val="32"/>
          <w:lang w:eastAsia="zh-CN"/>
        </w:rPr>
        <w:t>绩效报告情况见省文旅厅公示网页</w:t>
      </w:r>
      <w:r>
        <w:rPr>
          <w:rFonts w:hint="eastAsia" w:asciiTheme="minorEastAsia" w:hAnsiTheme="minorEastAsia" w:eastAsiaTheme="minorEastAsia" w:cstheme="minorEastAsia"/>
          <w:sz w:val="32"/>
          <w:szCs w:val="32"/>
        </w:rPr>
        <w:t>。</w:t>
      </w:r>
    </w:p>
    <w:p>
      <w:pPr>
        <w:pStyle w:val="10"/>
        <w:rPr>
          <w:rFonts w:asciiTheme="minorEastAsia" w:hAnsiTheme="minorEastAsia" w:eastAsiaTheme="minorEastAsia"/>
          <w:sz w:val="32"/>
          <w:szCs w:val="32"/>
        </w:rPr>
      </w:pPr>
    </w:p>
    <w:p>
      <w:pPr>
        <w:ind w:firstLine="640" w:firstLineChars="200"/>
        <w:jc w:val="left"/>
        <w:rPr>
          <w:rFonts w:cs="黑体" w:asciiTheme="minorEastAsia" w:hAnsiTheme="minorEastAsia"/>
          <w:color w:val="000000"/>
          <w:kern w:val="0"/>
          <w:sz w:val="32"/>
          <w:szCs w:val="32"/>
        </w:rPr>
      </w:pPr>
    </w:p>
    <w:sectPr>
      <w:pgSz w:w="11906" w:h="16838"/>
      <w:pgMar w:top="1440" w:right="1800" w:bottom="1440" w:left="180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U2MWNhNTQxZDM3ZmQ2MmI5NDU4MTQwZDk2M2UyOTcifQ=="/>
  </w:docVars>
  <w:rsids>
    <w:rsidRoot w:val="004506F9"/>
    <w:rsid w:val="00017682"/>
    <w:rsid w:val="0002229B"/>
    <w:rsid w:val="000273BD"/>
    <w:rsid w:val="00035B47"/>
    <w:rsid w:val="000409B3"/>
    <w:rsid w:val="000415B7"/>
    <w:rsid w:val="00041E3F"/>
    <w:rsid w:val="00055DAA"/>
    <w:rsid w:val="00061F7B"/>
    <w:rsid w:val="00065565"/>
    <w:rsid w:val="000658A3"/>
    <w:rsid w:val="00074155"/>
    <w:rsid w:val="000A37A0"/>
    <w:rsid w:val="000A3F69"/>
    <w:rsid w:val="000D532F"/>
    <w:rsid w:val="00103957"/>
    <w:rsid w:val="00152C6D"/>
    <w:rsid w:val="00155B53"/>
    <w:rsid w:val="00162D39"/>
    <w:rsid w:val="001678BD"/>
    <w:rsid w:val="00193095"/>
    <w:rsid w:val="001A67DB"/>
    <w:rsid w:val="001C3C29"/>
    <w:rsid w:val="001D51E5"/>
    <w:rsid w:val="001D5DFB"/>
    <w:rsid w:val="001D73CD"/>
    <w:rsid w:val="001E080D"/>
    <w:rsid w:val="001E53D0"/>
    <w:rsid w:val="001F0C3B"/>
    <w:rsid w:val="00202C82"/>
    <w:rsid w:val="00214427"/>
    <w:rsid w:val="00226CB7"/>
    <w:rsid w:val="00236950"/>
    <w:rsid w:val="00264552"/>
    <w:rsid w:val="00264EF9"/>
    <w:rsid w:val="00265724"/>
    <w:rsid w:val="0027426B"/>
    <w:rsid w:val="002920A0"/>
    <w:rsid w:val="002A39D9"/>
    <w:rsid w:val="002E0A30"/>
    <w:rsid w:val="003130C4"/>
    <w:rsid w:val="00316C4B"/>
    <w:rsid w:val="0032192B"/>
    <w:rsid w:val="003479BD"/>
    <w:rsid w:val="0037197D"/>
    <w:rsid w:val="00374A9C"/>
    <w:rsid w:val="003768D5"/>
    <w:rsid w:val="00380BD9"/>
    <w:rsid w:val="003C47E6"/>
    <w:rsid w:val="003C4FC2"/>
    <w:rsid w:val="00404076"/>
    <w:rsid w:val="00413CBE"/>
    <w:rsid w:val="00416E61"/>
    <w:rsid w:val="0042790C"/>
    <w:rsid w:val="004506F9"/>
    <w:rsid w:val="004717A2"/>
    <w:rsid w:val="00473DF3"/>
    <w:rsid w:val="00475BCD"/>
    <w:rsid w:val="0048591A"/>
    <w:rsid w:val="00487911"/>
    <w:rsid w:val="00491741"/>
    <w:rsid w:val="004C52EA"/>
    <w:rsid w:val="00500E5F"/>
    <w:rsid w:val="005122EF"/>
    <w:rsid w:val="0051441A"/>
    <w:rsid w:val="00517C33"/>
    <w:rsid w:val="00523644"/>
    <w:rsid w:val="0054069E"/>
    <w:rsid w:val="00544866"/>
    <w:rsid w:val="005617FA"/>
    <w:rsid w:val="005767CC"/>
    <w:rsid w:val="00590D9F"/>
    <w:rsid w:val="00595D26"/>
    <w:rsid w:val="005A2839"/>
    <w:rsid w:val="005A477D"/>
    <w:rsid w:val="005A74E6"/>
    <w:rsid w:val="005B404E"/>
    <w:rsid w:val="005B48CF"/>
    <w:rsid w:val="005D3A0F"/>
    <w:rsid w:val="005D4D55"/>
    <w:rsid w:val="005E2CFB"/>
    <w:rsid w:val="005F3D1C"/>
    <w:rsid w:val="006075FE"/>
    <w:rsid w:val="0062378F"/>
    <w:rsid w:val="00641842"/>
    <w:rsid w:val="00651EEC"/>
    <w:rsid w:val="00686673"/>
    <w:rsid w:val="00691E8C"/>
    <w:rsid w:val="006A22C4"/>
    <w:rsid w:val="006A351B"/>
    <w:rsid w:val="006B0422"/>
    <w:rsid w:val="006C1B53"/>
    <w:rsid w:val="006C2A21"/>
    <w:rsid w:val="006C4D2B"/>
    <w:rsid w:val="006D7730"/>
    <w:rsid w:val="006E5284"/>
    <w:rsid w:val="006F3EB5"/>
    <w:rsid w:val="00702E34"/>
    <w:rsid w:val="00704395"/>
    <w:rsid w:val="00705AD4"/>
    <w:rsid w:val="00714C8F"/>
    <w:rsid w:val="00717621"/>
    <w:rsid w:val="0072016E"/>
    <w:rsid w:val="00720FF1"/>
    <w:rsid w:val="00727A53"/>
    <w:rsid w:val="00736D73"/>
    <w:rsid w:val="007416C7"/>
    <w:rsid w:val="00787B42"/>
    <w:rsid w:val="007C4539"/>
    <w:rsid w:val="007F3657"/>
    <w:rsid w:val="007F7C82"/>
    <w:rsid w:val="00812ED5"/>
    <w:rsid w:val="008277D9"/>
    <w:rsid w:val="0084478C"/>
    <w:rsid w:val="00861D56"/>
    <w:rsid w:val="0086638C"/>
    <w:rsid w:val="008A32A3"/>
    <w:rsid w:val="008A3E8D"/>
    <w:rsid w:val="008A711A"/>
    <w:rsid w:val="00905C9B"/>
    <w:rsid w:val="009237C4"/>
    <w:rsid w:val="00942B71"/>
    <w:rsid w:val="00944C48"/>
    <w:rsid w:val="00947F4E"/>
    <w:rsid w:val="00950252"/>
    <w:rsid w:val="00967F5D"/>
    <w:rsid w:val="009A0F95"/>
    <w:rsid w:val="009B3ADF"/>
    <w:rsid w:val="009C3B52"/>
    <w:rsid w:val="009E6817"/>
    <w:rsid w:val="009E6E9A"/>
    <w:rsid w:val="00A01D2B"/>
    <w:rsid w:val="00A20517"/>
    <w:rsid w:val="00A308AA"/>
    <w:rsid w:val="00A42218"/>
    <w:rsid w:val="00A70249"/>
    <w:rsid w:val="00A70B02"/>
    <w:rsid w:val="00A71D9F"/>
    <w:rsid w:val="00A92E9F"/>
    <w:rsid w:val="00A94A4C"/>
    <w:rsid w:val="00AD3AF0"/>
    <w:rsid w:val="00B33BEA"/>
    <w:rsid w:val="00B57C9F"/>
    <w:rsid w:val="00B63572"/>
    <w:rsid w:val="00B71C37"/>
    <w:rsid w:val="00B845B3"/>
    <w:rsid w:val="00B85D8B"/>
    <w:rsid w:val="00B8796D"/>
    <w:rsid w:val="00B93A20"/>
    <w:rsid w:val="00BB4A40"/>
    <w:rsid w:val="00BD6C3E"/>
    <w:rsid w:val="00BE05D1"/>
    <w:rsid w:val="00BE3674"/>
    <w:rsid w:val="00C01335"/>
    <w:rsid w:val="00C0156B"/>
    <w:rsid w:val="00C10681"/>
    <w:rsid w:val="00C3049A"/>
    <w:rsid w:val="00C31B1E"/>
    <w:rsid w:val="00C3529A"/>
    <w:rsid w:val="00C3724D"/>
    <w:rsid w:val="00C72D90"/>
    <w:rsid w:val="00C77645"/>
    <w:rsid w:val="00CB64C3"/>
    <w:rsid w:val="00CC2B22"/>
    <w:rsid w:val="00CE04C3"/>
    <w:rsid w:val="00CE76A0"/>
    <w:rsid w:val="00CF0435"/>
    <w:rsid w:val="00D148C6"/>
    <w:rsid w:val="00D17A8A"/>
    <w:rsid w:val="00D358AA"/>
    <w:rsid w:val="00D415BA"/>
    <w:rsid w:val="00D644EE"/>
    <w:rsid w:val="00D755B2"/>
    <w:rsid w:val="00DD06FF"/>
    <w:rsid w:val="00DD5FE9"/>
    <w:rsid w:val="00DF01BF"/>
    <w:rsid w:val="00E00C7A"/>
    <w:rsid w:val="00E37D6C"/>
    <w:rsid w:val="00E55B68"/>
    <w:rsid w:val="00E67BE6"/>
    <w:rsid w:val="00E8683C"/>
    <w:rsid w:val="00EA2B72"/>
    <w:rsid w:val="00EF3303"/>
    <w:rsid w:val="00F21DD7"/>
    <w:rsid w:val="00F2602E"/>
    <w:rsid w:val="00F37C85"/>
    <w:rsid w:val="00F40D74"/>
    <w:rsid w:val="00F576DE"/>
    <w:rsid w:val="00F67B5F"/>
    <w:rsid w:val="00F74360"/>
    <w:rsid w:val="00FB462F"/>
    <w:rsid w:val="00FC6C78"/>
    <w:rsid w:val="00FE16FA"/>
    <w:rsid w:val="00FE328A"/>
    <w:rsid w:val="00FE6269"/>
    <w:rsid w:val="00FF5CD6"/>
    <w:rsid w:val="1EB04F67"/>
    <w:rsid w:val="1EC105B2"/>
    <w:rsid w:val="24A6538B"/>
    <w:rsid w:val="25F115D9"/>
    <w:rsid w:val="312807C9"/>
    <w:rsid w:val="33233539"/>
    <w:rsid w:val="398D5F5C"/>
    <w:rsid w:val="3DBE5200"/>
    <w:rsid w:val="442C153A"/>
    <w:rsid w:val="4806519D"/>
    <w:rsid w:val="4B7B09EE"/>
    <w:rsid w:val="77BD7F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D69A7-460F-4233-B431-84F14349666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7237</Words>
  <Characters>10412</Characters>
  <Lines>91</Lines>
  <Paragraphs>25</Paragraphs>
  <TotalTime>7</TotalTime>
  <ScaleCrop>false</ScaleCrop>
  <LinksUpToDate>false</LinksUpToDate>
  <CharactersWithSpaces>10936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Administrator</cp:lastModifiedBy>
  <cp:lastPrinted>2021-08-31T01:29:00Z</cp:lastPrinted>
  <dcterms:modified xsi:type="dcterms:W3CDTF">2023-09-27T03:34:40Z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380FD2122B794A7C92A2EBDB55CB3B07</vt:lpwstr>
  </property>
</Properties>
</file>