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600" w:lineRule="atLeast"/>
        <w:jc w:val="center"/>
        <w:rPr>
          <w:rFonts w:ascii="仿宋" w:hAnsi="仿宋" w:eastAsia="仿宋"/>
          <w:color w:val="333333"/>
          <w:sz w:val="36"/>
          <w:szCs w:val="36"/>
        </w:rPr>
      </w:pPr>
      <w:r>
        <w:rPr>
          <w:rFonts w:hint="eastAsia" w:ascii="仿宋" w:hAnsi="仿宋" w:eastAsia="仿宋" w:cs="宋体"/>
          <w:b/>
          <w:color w:val="333333"/>
          <w:sz w:val="36"/>
          <w:szCs w:val="36"/>
          <w:shd w:val="clear" w:color="auto" w:fill="FFFFFF"/>
        </w:rPr>
        <w:t>2021年湖南省花鼓戏保护传承中心部门预算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jc w:val="center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 w:cs="黑体"/>
          <w:color w:val="333333"/>
          <w:sz w:val="32"/>
          <w:szCs w:val="32"/>
          <w:shd w:val="clear" w:color="auto" w:fill="FFFFFF"/>
        </w:rPr>
        <w:t>目</w:t>
      </w:r>
      <w:r>
        <w:rPr>
          <w:rFonts w:ascii="Times New Roman" w:hAnsi="Times New Roman" w:eastAsia="仿宋"/>
          <w:color w:val="333333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黑体"/>
          <w:color w:val="333333"/>
          <w:sz w:val="32"/>
          <w:szCs w:val="32"/>
          <w:shd w:val="clear" w:color="auto" w:fill="FFFFFF"/>
        </w:rPr>
        <w:t>录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Times New Roman" w:eastAsia="仿宋"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7"/>
        <w:jc w:val="both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 w:cs="仿宋"/>
          <w:b/>
          <w:color w:val="333333"/>
          <w:sz w:val="32"/>
          <w:szCs w:val="32"/>
          <w:shd w:val="clear" w:color="auto" w:fill="FFFFFF"/>
        </w:rPr>
        <w:t>第一部分</w:t>
      </w:r>
      <w:r>
        <w:rPr>
          <w:rFonts w:ascii="Times New Roman" w:hAnsi="Times New Roman" w:eastAsia="仿宋"/>
          <w:b/>
          <w:color w:val="333333"/>
          <w:sz w:val="32"/>
          <w:szCs w:val="32"/>
          <w:shd w:val="clear" w:color="auto" w:fill="FFFFFF"/>
        </w:rPr>
        <w:t> </w:t>
      </w:r>
      <w:r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b/>
          <w:color w:val="333333"/>
          <w:sz w:val="32"/>
          <w:szCs w:val="32"/>
          <w:shd w:val="clear" w:color="auto" w:fill="FFFFFF"/>
        </w:rPr>
        <w:t>年部门预算说明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7"/>
        <w:rPr>
          <w:rFonts w:ascii="仿宋" w:hAnsi="仿宋" w:eastAsia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32"/>
          <w:szCs w:val="32"/>
          <w:shd w:val="clear" w:color="auto" w:fill="FFFFFF"/>
        </w:rPr>
        <w:t>第二部分</w:t>
      </w:r>
      <w:r>
        <w:rPr>
          <w:rFonts w:ascii="Times New Roman" w:hAnsi="Times New Roman" w:eastAsia="仿宋"/>
          <w:b/>
          <w:color w:val="333333"/>
          <w:sz w:val="32"/>
          <w:szCs w:val="32"/>
          <w:shd w:val="clear" w:color="auto" w:fill="FFFFFF"/>
        </w:rPr>
        <w:t> </w:t>
      </w:r>
      <w:r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b/>
          <w:color w:val="333333"/>
          <w:sz w:val="32"/>
          <w:szCs w:val="32"/>
          <w:shd w:val="clear" w:color="auto" w:fill="FFFFFF"/>
        </w:rPr>
        <w:t>年部门预算表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、收支总表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、收入总表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、支出总表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、支出预算分类汇总表（按政府预算经济分类）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、支出预算分类汇总表（按部门预算经济分类）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、财政拨款收支总表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7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、一般公共预算支出表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8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人员经费（工资福利支出）（按政府预算经济分类）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9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人员经费（工资福利支出）（按部门预算经济分类）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人员经费（对个人和家庭的补助）（按政府预算经济分类）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人员经费（对个人和家庭的补助）（按部门预算经济分类）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公用经费（商品和服务支出）（按政府预算经济分类）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、一般公共预算基本支出表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-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公用经费（商品和服务支出）（按部门预算经济分类）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、一般公共预算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经费支出表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15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、政府性基金预算支出表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、政府性基金预算支出分类汇总表（按政府预算经济分类）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17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、政府性基金预算支出分类汇总表（按部门预算经济分类）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18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、国有资本经营预算支出表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19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、财政专户管理资金预算支出表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、省级专项资金预算汇总表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、省级专项资金绩效目标表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、其他项目支出绩效目标表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、部门整体支出绩效目标表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jc w:val="both"/>
        <w:rPr>
          <w:rFonts w:ascii="仿宋" w:hAnsi="仿宋" w:eastAsia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注：以上部门预算报表中，空表表示本部门无相关收支情况。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34"/>
        <w:jc w:val="both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Times New Roman" w:eastAsia="仿宋"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jc w:val="both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Times New Roman" w:eastAsia="仿宋"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jc w:val="both"/>
        <w:rPr>
          <w:rFonts w:ascii="仿宋" w:hAnsi="仿宋" w:eastAsia="仿宋"/>
          <w:color w:val="333333"/>
          <w:sz w:val="28"/>
          <w:szCs w:val="28"/>
        </w:rPr>
      </w:pPr>
      <w:r>
        <w:rPr>
          <w:rFonts w:ascii="仿宋" w:hAnsi="Times New Roman" w:eastAsia="仿宋"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jc w:val="both"/>
        <w:rPr>
          <w:rFonts w:ascii="Times New Roman" w:hAnsi="Times New Roman"/>
          <w:color w:val="333333"/>
          <w:sz w:val="28"/>
          <w:szCs w:val="28"/>
        </w:rPr>
      </w:pPr>
    </w:p>
    <w:p>
      <w:pPr>
        <w:pStyle w:val="4"/>
        <w:widowControl/>
        <w:shd w:val="clear" w:color="auto" w:fill="FFFFFF"/>
        <w:spacing w:beforeAutospacing="0" w:afterAutospacing="0" w:line="600" w:lineRule="atLeast"/>
        <w:jc w:val="both"/>
        <w:rPr>
          <w:rFonts w:ascii="Times New Roman" w:hAnsi="Times New Roman"/>
          <w:color w:val="333333"/>
          <w:sz w:val="28"/>
          <w:szCs w:val="28"/>
        </w:rPr>
      </w:pPr>
    </w:p>
    <w:p>
      <w:pPr>
        <w:pStyle w:val="4"/>
        <w:widowControl/>
        <w:shd w:val="clear" w:color="auto" w:fill="FFFFFF"/>
        <w:spacing w:beforeAutospacing="0" w:afterAutospacing="0" w:line="600" w:lineRule="atLeast"/>
        <w:jc w:val="center"/>
        <w:rPr>
          <w:rFonts w:ascii="Times New Roman" w:hAnsi="Times New Roman"/>
          <w:color w:val="333333"/>
          <w:sz w:val="28"/>
          <w:szCs w:val="28"/>
        </w:rPr>
      </w:pPr>
    </w:p>
    <w:p>
      <w:pPr>
        <w:pStyle w:val="4"/>
        <w:widowControl/>
        <w:shd w:val="clear" w:color="auto" w:fill="FFFFFF"/>
        <w:spacing w:beforeAutospacing="0" w:afterAutospacing="0" w:line="600" w:lineRule="atLeast"/>
        <w:jc w:val="center"/>
        <w:rPr>
          <w:rFonts w:asciiTheme="minorEastAsia" w:hAnsiTheme="minorEastAsia"/>
          <w:color w:val="333333"/>
          <w:sz w:val="32"/>
          <w:szCs w:val="32"/>
        </w:rPr>
      </w:pPr>
    </w:p>
    <w:p>
      <w:pPr>
        <w:pStyle w:val="4"/>
        <w:widowControl/>
        <w:shd w:val="clear" w:color="auto" w:fill="FFFFFF"/>
        <w:spacing w:beforeAutospacing="0" w:afterAutospacing="0" w:line="600" w:lineRule="atLeast"/>
        <w:jc w:val="center"/>
        <w:rPr>
          <w:rFonts w:ascii="仿宋" w:hAnsi="仿宋" w:eastAsia="仿宋"/>
          <w:b/>
          <w:color w:val="333333"/>
          <w:sz w:val="32"/>
          <w:szCs w:val="32"/>
        </w:rPr>
      </w:pPr>
      <w:r>
        <w:rPr>
          <w:rFonts w:ascii="仿宋" w:hAnsi="仿宋" w:eastAsia="仿宋" w:cs="方正小标宋_GBK"/>
          <w:b/>
          <w:color w:val="333333"/>
          <w:sz w:val="32"/>
          <w:szCs w:val="32"/>
          <w:shd w:val="clear" w:color="auto" w:fill="FFFFFF"/>
        </w:rPr>
        <w:t>第一部分</w:t>
      </w:r>
      <w:r>
        <w:rPr>
          <w:rFonts w:hint="eastAsia" w:eastAsia="仿宋" w:asciiTheme="minorEastAsia" w:hAnsiTheme="minorEastAsia"/>
          <w:b/>
          <w:color w:val="333333"/>
          <w:sz w:val="32"/>
          <w:szCs w:val="32"/>
          <w:shd w:val="clear" w:color="auto" w:fill="FFFFFF"/>
        </w:rPr>
        <w:t xml:space="preserve">  </w:t>
      </w:r>
      <w:r>
        <w:rPr>
          <w:rFonts w:ascii="仿宋" w:hAnsi="仿宋" w:eastAsia="仿宋"/>
          <w:b/>
          <w:color w:val="333333"/>
          <w:sz w:val="32"/>
          <w:szCs w:val="32"/>
          <w:shd w:val="clear" w:color="auto" w:fill="FFFFFF"/>
        </w:rPr>
        <w:t>2021</w:t>
      </w:r>
      <w:r>
        <w:rPr>
          <w:rFonts w:ascii="仿宋" w:hAnsi="仿宋" w:eastAsia="仿宋" w:cs="方正小标宋_GBK"/>
          <w:b/>
          <w:color w:val="333333"/>
          <w:sz w:val="32"/>
          <w:szCs w:val="32"/>
          <w:shd w:val="clear" w:color="auto" w:fill="FFFFFF"/>
        </w:rPr>
        <w:t>年部门预算说明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rPr>
          <w:rFonts w:ascii="仿宋" w:hAnsi="仿宋" w:eastAsia="仿宋"/>
          <w:color w:val="333333"/>
          <w:sz w:val="32"/>
          <w:szCs w:val="32"/>
        </w:rPr>
      </w:pPr>
      <w:r>
        <w:rPr>
          <w:rFonts w:ascii="仿宋" w:hAnsi="Times New Roman" w:eastAsia="仿宋"/>
          <w:b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22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黑体"/>
          <w:color w:val="333333"/>
          <w:sz w:val="32"/>
          <w:szCs w:val="32"/>
          <w:shd w:val="clear" w:color="auto" w:fill="FFFFFF"/>
        </w:rPr>
        <w:t>一、部门基本概况</w:t>
      </w:r>
    </w:p>
    <w:p>
      <w:pPr>
        <w:pStyle w:val="4"/>
        <w:widowControl/>
        <w:shd w:val="clear" w:color="auto" w:fill="FFFFFF"/>
        <w:spacing w:line="600" w:lineRule="atLeast"/>
        <w:ind w:firstLine="622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（一）职能职责。</w:t>
      </w:r>
    </w:p>
    <w:p>
      <w:pPr>
        <w:pStyle w:val="4"/>
        <w:widowControl/>
        <w:shd w:val="clear" w:color="auto" w:fill="FFFFFF"/>
        <w:spacing w:line="600" w:lineRule="atLeast"/>
        <w:ind w:firstLine="622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1.全面履行保护传承和展演的职责，坚持以“保护为主，抢救第一、合理利用、传承发展”为工作方针，坚持花鼓戏保护的真实性和整体性，使花鼓戏在全社会得到确认、尊重和弘扬。</w:t>
      </w:r>
    </w:p>
    <w:p>
      <w:pPr>
        <w:pStyle w:val="4"/>
        <w:widowControl/>
        <w:shd w:val="clear" w:color="auto" w:fill="FFFFFF"/>
        <w:spacing w:line="600" w:lineRule="atLeast"/>
        <w:ind w:firstLine="622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2.以保护传承研究并以创作演出优秀现代花鼓戏为主，同时排演传统和新编古装戏，致力于继承、借鉴、创新、提高，抓改革求发展。</w:t>
      </w:r>
    </w:p>
    <w:p>
      <w:pPr>
        <w:pStyle w:val="4"/>
        <w:widowControl/>
        <w:shd w:val="clear" w:color="auto" w:fill="FFFFFF"/>
        <w:spacing w:line="600" w:lineRule="atLeast"/>
        <w:ind w:firstLine="622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3.加强竞争激励机制，合理配置人才资源，优化人员结构，努力培养高素质专业技术人员。</w:t>
      </w:r>
    </w:p>
    <w:p>
      <w:pPr>
        <w:pStyle w:val="4"/>
        <w:widowControl/>
        <w:shd w:val="clear" w:color="auto" w:fill="FFFFFF"/>
        <w:spacing w:line="600" w:lineRule="atLeast"/>
        <w:ind w:firstLine="622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4.适应社会主义市场经济发展的要求，着力构建充满活力、富有效率、更加开放、有利用于文化发展的体制机制。</w:t>
      </w:r>
    </w:p>
    <w:p>
      <w:pPr>
        <w:pStyle w:val="4"/>
        <w:widowControl/>
        <w:shd w:val="clear" w:color="auto" w:fill="FFFFFF"/>
        <w:spacing w:line="600" w:lineRule="atLeast"/>
        <w:ind w:firstLine="622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（二）机构设置。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22"/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我中心隶属于湖南省文旅厅，为正处级差额拨款事业单位，占地18亩，排练厅两个，标准剧场一个,现有内设机构：艺术室、演出团、办公室、政工科、财务科、湖南戏曲演出中心。</w:t>
      </w:r>
    </w:p>
    <w:p>
      <w:pPr>
        <w:widowControl/>
        <w:numPr>
          <w:ilvl w:val="0"/>
          <w:numId w:val="1"/>
        </w:numPr>
        <w:spacing w:line="600" w:lineRule="exact"/>
        <w:ind w:firstLine="627" w:firstLineChars="196"/>
        <w:jc w:val="left"/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  <w:lang w:val="en-US" w:eastAsia="zh-CN"/>
        </w:rPr>
        <w:t>预算单位构成。</w:t>
      </w:r>
    </w:p>
    <w:p>
      <w:pPr>
        <w:widowControl/>
        <w:numPr>
          <w:numId w:val="0"/>
        </w:numPr>
        <w:spacing w:line="600" w:lineRule="exact"/>
        <w:ind w:firstLine="960" w:firstLineChars="3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2021年部门预算汇总公开单位构成包括：湖南省花鼓戏保护传承中心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本级。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22"/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24"/>
        <w:rPr>
          <w:rFonts w:ascii="仿宋" w:hAnsi="仿宋" w:eastAsia="仿宋"/>
          <w:color w:val="333333"/>
          <w:sz w:val="32"/>
          <w:szCs w:val="32"/>
        </w:rPr>
      </w:pPr>
      <w:r>
        <w:rPr>
          <w:rFonts w:ascii="仿宋" w:hAnsi="Times New Roman" w:eastAsia="仿宋"/>
          <w:b/>
          <w:color w:val="333333"/>
          <w:sz w:val="32"/>
          <w:szCs w:val="32"/>
          <w:shd w:val="clear" w:color="auto" w:fill="FFFFFF"/>
        </w:rPr>
        <w:t>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22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黑体"/>
          <w:color w:val="333333"/>
          <w:sz w:val="32"/>
          <w:szCs w:val="32"/>
          <w:shd w:val="clear" w:color="auto" w:fill="FFFFFF"/>
        </w:rPr>
        <w:t>二、部门收支总体情况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24"/>
        <w:jc w:val="both"/>
        <w:rPr>
          <w:rFonts w:ascii="仿宋" w:hAnsi="仿宋" w:eastAsia="仿宋" w:cs="仿宋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（一）收入预算：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包括一般公共预算、政府性基金、国有资本经营预算等财政拨款收入，以及经营收入、事业收入等单位资金。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年本部门收入预算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2128.11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万元，其中：一般公共预算拨款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1662.61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万元，中央财政补助收入80万元，事业收入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40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万元，上年结转结余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245.50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万元。收入较去年相比减少了275.49万元，具体情况如下：一般公共预算拨款增加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193.2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是文化综合发展专项纳入预算管理；中央补助财政收入增加2万元，主要是增加国家级非物质文化遗产保护专项；其他收入增加了20万元，主要是增加租场收入；结余资金减少490.69万元，原因是按照省财政厅统一要求加快预算执行，盘活存量资金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24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（二）支出预算：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年本部门支出预算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2128.11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万元，其中：文化旅游体育与传媒支出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1804.11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万元，社会保障和就业支出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198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万元，住房保障支出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126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万元。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支出较去年增加增加</w:t>
      </w:r>
      <w:r>
        <w:rPr>
          <w:rFonts w:hint="eastAsia" w:ascii="仿宋" w:hAnsi="仿宋" w:eastAsia="仿宋"/>
          <w:color w:val="333333"/>
          <w:sz w:val="32"/>
          <w:szCs w:val="32"/>
        </w:rPr>
        <w:t>275.49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万元，主要是收入增加，对应支出增加，增加了纳入预算的文化旅游体育与传媒专项支出</w:t>
      </w:r>
      <w:r>
        <w:rPr>
          <w:rFonts w:hint="eastAsia" w:ascii="仿宋" w:hAnsi="仿宋" w:eastAsia="仿宋" w:cs="仿宋"/>
          <w:b/>
          <w:color w:val="333333"/>
          <w:sz w:val="32"/>
          <w:szCs w:val="32"/>
        </w:rPr>
        <w:t>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黑体"/>
          <w:color w:val="333333"/>
          <w:sz w:val="32"/>
          <w:szCs w:val="32"/>
          <w:shd w:val="clear" w:color="auto" w:fill="FFFFFF"/>
        </w:rPr>
        <w:t>三、一般公共预算拨款支出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年本部门一般公共预算拨款支出预算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1988.11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万元，其中：文化旅游体育与传媒支出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1664.11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万元，占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83.70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 xml:space="preserve"> %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；社会保障和就业支出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198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万元，占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9.96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 xml:space="preserve"> %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；住房保障支出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126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万元，占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6.34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 xml:space="preserve"> %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。安排情况如下：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（一）基本支出：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年本部门基本支出预算数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1526.61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万元，主要用于保障部门正常运转、完成日常工作任务等经费支出，包括基本工资、津贴补贴等人员经费以及办公费、水电费、物业管理等公用经费。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（二）项目支出：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年本部门项目支出预算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601.50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主要用于本部门为事业发展目标而发生的支出，包括有关事业发展专项、专项业务费、基本建设支出等，其中：文化综合发展专项276万元，主要用于新创剧目《夫子正传》，“百年百部”大型花鼓戏《老表轶事》、《桃花烟雨》，演艺惠民专项，大型修缮舞美仓库及宿舍消防改造，省级非遗传承人补助；中央补助国家级非遗保护专项80万元,主要用于复排大型传统古装戏《春草闯堂》以及开展其他花鼓戏非遗传承工作；文化事业发展专项和文化综合发展专项共245.50万元，主要用于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重点剧目创作、“雅韵三湘”和演艺惠民演出等花鼓戏业务工作开展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黑体"/>
          <w:color w:val="333333"/>
          <w:sz w:val="32"/>
          <w:szCs w:val="32"/>
          <w:shd w:val="clear" w:color="auto" w:fill="FFFFFF"/>
        </w:rPr>
        <w:t>四、政府性基金预算支出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 xml:space="preserve">     本部门无政府性基金安排的支出。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黑体"/>
          <w:color w:val="333333"/>
          <w:sz w:val="32"/>
          <w:szCs w:val="32"/>
          <w:shd w:val="clear" w:color="auto" w:fill="FFFFFF"/>
        </w:rPr>
        <w:t>五、其他重要事项的情况说明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（一）机关运行经费：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1600" w:firstLineChars="500"/>
        <w:rPr>
          <w:rFonts w:ascii="仿宋" w:hAnsi="仿宋" w:eastAsia="仿宋" w:cs="楷体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bCs/>
          <w:color w:val="333333"/>
          <w:sz w:val="32"/>
          <w:szCs w:val="32"/>
          <w:shd w:val="clear" w:color="auto" w:fill="FFFFFF"/>
        </w:rPr>
        <w:t>本部门无机关运行费用。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Autospacing="0" w:afterAutospacing="0" w:line="600" w:lineRule="atLeast"/>
        <w:ind w:firstLine="660"/>
        <w:jc w:val="both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三公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经费预算：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left="660" w:firstLine="960" w:firstLineChars="300"/>
        <w:jc w:val="both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bCs/>
          <w:color w:val="333333"/>
          <w:sz w:val="32"/>
          <w:szCs w:val="32"/>
          <w:shd w:val="clear" w:color="auto" w:fill="FFFFFF"/>
        </w:rPr>
        <w:t>本部门无“三公”经费预算。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Autospacing="0" w:afterAutospacing="0" w:line="600" w:lineRule="atLeast"/>
        <w:ind w:firstLine="660"/>
        <w:jc w:val="both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一般性支出情况：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left="660" w:firstLine="960" w:firstLineChars="300"/>
        <w:jc w:val="both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bCs/>
          <w:color w:val="333333"/>
          <w:sz w:val="32"/>
          <w:szCs w:val="32"/>
          <w:shd w:val="clear" w:color="auto" w:fill="FFFFFF"/>
        </w:rPr>
        <w:t>本部门2021年未用预算资金安排会议、晚会、赛事活动等一般性支出。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Autospacing="0" w:afterAutospacing="0" w:line="600" w:lineRule="atLeast"/>
        <w:ind w:firstLine="660"/>
        <w:jc w:val="both"/>
        <w:rPr>
          <w:rFonts w:ascii="仿宋" w:hAnsi="仿宋" w:eastAsia="仿宋" w:cs="楷体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政府采购情况：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left="660" w:firstLine="960" w:firstLineChars="30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本部门2021年无政府采购情况。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（五）国有资产占用使用及新增资产配置情况：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截至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月底，本部门共有公务用车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辆，其中，其他按照规定配备的公务用车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辆；单位价值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50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万元以上通用设备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台，单位价值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万元以上专用设备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台。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年拟新增配置公务用车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辆，其中，其他按照规定配备的公务用车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辆；新增配备单位价值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50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万元以上通用设备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台，单位价值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100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万元以上专用设备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台。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楷体"/>
          <w:color w:val="333333"/>
          <w:sz w:val="32"/>
          <w:szCs w:val="32"/>
          <w:shd w:val="clear" w:color="auto" w:fill="FFFFFF"/>
        </w:rPr>
        <w:t>（六）预算绩效目标说明：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本部门所有支出实行绩效目标管理。纳入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年部门整体支出绩效目标的金额为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2128.11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万元，其中，基本支出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1526.61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万元，项目支出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601.50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万元，具体绩效目标详见报表。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黑体"/>
          <w:color w:val="333333"/>
          <w:sz w:val="32"/>
          <w:szCs w:val="32"/>
          <w:shd w:val="clear" w:color="auto" w:fill="FFFFFF"/>
        </w:rPr>
        <w:t>六、名词解释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行政运行经费：是指各部门的公用经费，包括办公及印刷费、邮电费、差旅费、会议费、福利费、日常维修费、专用资料及一般设备购置费、办公用房水电费、办公用房物业管理费、公务用车运行维护费以及其他费用。</w:t>
      </w:r>
    </w:p>
    <w:p>
      <w:pPr>
        <w:pStyle w:val="4"/>
        <w:widowControl/>
        <w:shd w:val="clear" w:color="auto" w:fill="FFFFFF"/>
        <w:spacing w:beforeAutospacing="0" w:afterAutospacing="0" w:line="600" w:lineRule="atLeast"/>
        <w:ind w:firstLine="660"/>
        <w:jc w:val="both"/>
        <w:rPr>
          <w:rFonts w:ascii="仿宋" w:hAnsi="仿宋" w:eastAsia="仿宋"/>
          <w:color w:val="333333"/>
          <w:sz w:val="32"/>
          <w:szCs w:val="32"/>
        </w:rPr>
      </w:pP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、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”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经费：纳入省（市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/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县）财政预算管理的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三公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“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A43FE"/>
    <w:multiLevelType w:val="singleLevel"/>
    <w:tmpl w:val="F65A43FE"/>
    <w:lvl w:ilvl="0" w:tentative="0">
      <w:start w:val="2"/>
      <w:numFmt w:val="chineseCounting"/>
      <w:suff w:val="nothing"/>
      <w:lvlText w:val="（%1）"/>
      <w:lvlJc w:val="left"/>
      <w:rPr>
        <w:rFonts w:hint="eastAsia"/>
        <w:b w:val="0"/>
      </w:rPr>
    </w:lvl>
  </w:abstractNum>
  <w:abstractNum w:abstractNumId="1">
    <w:nsid w:val="72B23003"/>
    <w:multiLevelType w:val="singleLevel"/>
    <w:tmpl w:val="72B23003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649FA"/>
    <w:rsid w:val="000378E1"/>
    <w:rsid w:val="000D4768"/>
    <w:rsid w:val="000E7EE7"/>
    <w:rsid w:val="002B59BC"/>
    <w:rsid w:val="003649FA"/>
    <w:rsid w:val="003D66EA"/>
    <w:rsid w:val="004109B1"/>
    <w:rsid w:val="004471DA"/>
    <w:rsid w:val="004667C7"/>
    <w:rsid w:val="004D73E4"/>
    <w:rsid w:val="004F474F"/>
    <w:rsid w:val="005B793F"/>
    <w:rsid w:val="005D0FEA"/>
    <w:rsid w:val="00642AAA"/>
    <w:rsid w:val="00661E29"/>
    <w:rsid w:val="006D6E89"/>
    <w:rsid w:val="0075440A"/>
    <w:rsid w:val="008519AC"/>
    <w:rsid w:val="00866D9B"/>
    <w:rsid w:val="008962E7"/>
    <w:rsid w:val="008C4164"/>
    <w:rsid w:val="00972DE7"/>
    <w:rsid w:val="009878D4"/>
    <w:rsid w:val="009B0662"/>
    <w:rsid w:val="009B4E3B"/>
    <w:rsid w:val="00A1363E"/>
    <w:rsid w:val="00A16171"/>
    <w:rsid w:val="00BA5641"/>
    <w:rsid w:val="00BE37B3"/>
    <w:rsid w:val="00C8633D"/>
    <w:rsid w:val="00D058B2"/>
    <w:rsid w:val="00E41609"/>
    <w:rsid w:val="00EB709D"/>
    <w:rsid w:val="00F66C93"/>
    <w:rsid w:val="00F70116"/>
    <w:rsid w:val="17EB3BAD"/>
    <w:rsid w:val="19EA659B"/>
    <w:rsid w:val="1D494A3A"/>
    <w:rsid w:val="2CF35A1E"/>
    <w:rsid w:val="5C3C7620"/>
    <w:rsid w:val="5D777347"/>
    <w:rsid w:val="5DC51D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402</Words>
  <Characters>2295</Characters>
  <Lines>19</Lines>
  <Paragraphs>5</Paragraphs>
  <TotalTime>0</TotalTime>
  <ScaleCrop>false</ScaleCrop>
  <LinksUpToDate>false</LinksUpToDate>
  <CharactersWithSpaces>2692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2021-03-17T10:54:00Z</dcterms:created>
  <dc:creator>Administrator</dc:creator>
  <cp:lastModifiedBy>周峥</cp:lastModifiedBy>
  <cp:lastPrinted>2021-03-17T11:23:00Z</cp:lastPrinted>
  <dcterms:modified xsi:type="dcterms:W3CDTF">2022-09-05T14:24:35Z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