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1140" w:after="56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2021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年湖南省艺术研究院预算说明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99" w:lineRule="exact"/>
        <w:ind w:left="0" w:right="0" w:firstLine="600"/>
        <w:jc w:val="left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  <w:t>—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、单位基本概况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99" w:lineRule="exact"/>
        <w:ind w:left="0" w:leftChars="0" w:right="0" w:firstLine="720" w:firstLineChars="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  <w:lang w:val="en-US" w:eastAsia="en-US" w:bidi="en-US"/>
        </w:rPr>
        <w:t>（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  <w:lang w:val="en-US" w:eastAsia="zh-CN" w:bidi="en-US"/>
        </w:rPr>
        <w:t>一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  <w:lang w:val="en-US" w:eastAsia="en-US" w:bidi="en-US"/>
        </w:rPr>
        <w:t>）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职能职责。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湖南省艺术研究院隶属于湖南省文化和旅游厅，公益一</w:t>
      </w:r>
      <w:r>
        <w:rPr>
          <w:rFonts w:hint="eastAsia" w:ascii="仿宋" w:hAnsi="仿宋" w:eastAsia="仿宋" w:cs="仿宋"/>
          <w:color w:val="2D2E4A"/>
          <w:spacing w:val="0"/>
          <w:w w:val="100"/>
          <w:position w:val="0"/>
        </w:rPr>
        <w:t>类事业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单位，是湖南省唯一的省级综合艺术类科研机构，2015年加挂湖南省书法院。湖南省艺术研究院的主要工作职能是艺术研究和艺术创作。承担着艺术科学课题研究；全省重点剧（节）目咨询、论证、辅导、推介;舞台艺术创作、评论，国家艺术基金项目申报辅导、执行监督和宣传推广；非物质文化遗产抢救、保护、传承和研究；艺术人才培训；艺术信息及艺术档案整理、研究、开发和传播；优秀艺术作品、艺术理论研究成果的编辑出版。组织开展书法研究和创作；培养书法人才；开展书法交流、普及与推广活动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99" w:lineRule="exact"/>
        <w:ind w:left="0" w:leftChars="0" w:right="0" w:firstLine="720" w:firstLineChars="0"/>
        <w:jc w:val="both"/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（二）机构设置。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剧目和非遗研究工</w:t>
      </w:r>
      <w:r>
        <w:rPr>
          <w:rFonts w:hint="eastAsia" w:ascii="仿宋" w:hAnsi="仿宋" w:eastAsia="仿宋" w:cs="仿宋"/>
          <w:color w:val="2D2E4A"/>
          <w:spacing w:val="0"/>
          <w:w w:val="100"/>
          <w:position w:val="0"/>
        </w:rPr>
        <w:t>作部、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湖南舞台艺术创作服务中心、《艺海》编</w:t>
      </w:r>
      <w:r>
        <w:rPr>
          <w:rFonts w:hint="eastAsia" w:ascii="仿宋" w:hAnsi="仿宋" w:eastAsia="仿宋" w:cs="仿宋"/>
          <w:color w:val="2D2E4A"/>
          <w:spacing w:val="0"/>
          <w:w w:val="100"/>
          <w:position w:val="0"/>
        </w:rPr>
        <w:t>辑部、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湖南文化艺术档案馆筹备办公室、艺术信息部、办公室、政工人事科、国家艺术基金湖南项目管理办公室、知音合唱团。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99" w:lineRule="exact"/>
        <w:ind w:left="0" w:right="0" w:firstLine="78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汇总公开单位为湖南省艺术研究院本级。仅包含本级。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99" w:lineRule="exact"/>
        <w:ind w:left="0" w:right="0" w:firstLine="600"/>
        <w:jc w:val="both"/>
        <w:rPr>
          <w:rFonts w:hint="eastAsia" w:ascii="黑体" w:hAnsi="黑体" w:eastAsia="黑体" w:cs="黑体"/>
          <w:b w:val="0"/>
          <w:bCs w:val="0"/>
        </w:rPr>
      </w:pPr>
      <w:bookmarkStart w:id="0" w:name="bookmark0"/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二</w:t>
      </w:r>
      <w:bookmarkEnd w:id="0"/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、单位收支总体情况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99" w:lineRule="exact"/>
        <w:ind w:left="0" w:leftChars="0" w:right="0" w:firstLine="720" w:firstLineChars="0"/>
        <w:jc w:val="both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（一）收入预算：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包括一般公共预算、政府性基金、国有资本经营预算等财政拨款收入，以</w:t>
      </w:r>
      <w:r>
        <w:rPr>
          <w:rFonts w:hint="eastAsia" w:ascii="仿宋" w:hAnsi="仿宋" w:eastAsia="仿宋" w:cs="仿宋"/>
          <w:color w:val="2D2E4A"/>
          <w:spacing w:val="0"/>
          <w:w w:val="100"/>
          <w:position w:val="0"/>
        </w:rPr>
        <w:t>及经营收入、事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业收入等单位资金。2021年本单位收入预算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1708.27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万元,其中，一般公共预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算拨款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en-US" w:bidi="en-US"/>
        </w:rPr>
        <w:t>1625.17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万元,事业收入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</w:rPr>
        <w:t>10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万元,上年财政结转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en-US" w:bidi="en-US"/>
        </w:rPr>
        <w:t>73.10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万元。收入较去年增加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en-US" w:bidi="en-US"/>
        </w:rPr>
        <w:t>445.78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万元,主要是：1）、一般公共预算拨款增加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  <w:t>680.40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万元，其中2021年增加工资晋级晋档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  <w:t>2.4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万元，增加一次性项目搬迁经费653万元，文化综合专项《书道湖湘》展览25万元；2）、事业收入减少50万元，主要是艺海杂志版面取消收费，艺术系列继续教育班取消收费；3）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上年财政结转2021年比2020年减少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  <w:t>184.62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6780"/>
        </w:tabs>
        <w:bidi w:val="0"/>
        <w:spacing w:before="0" w:after="0" w:line="600" w:lineRule="exact"/>
        <w:ind w:left="0" w:leftChars="0" w:right="0" w:firstLine="720" w:firstLineChars="0"/>
        <w:jc w:val="both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（二）支出预算：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2021年本单位支出预算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en-US" w:bidi="en-US"/>
        </w:rPr>
        <w:t>1708.27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万元，其中，教育支出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en-US" w:bidi="en-US"/>
        </w:rPr>
        <w:t>40.00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万元:文化旅游体育与传媒支出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en-US" w:bidi="en-US"/>
        </w:rPr>
        <w:t>1522.91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万元:社会保障和就业支出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zh-CN"/>
        </w:rPr>
        <w:t>67.76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万元；卫生健康支出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en-US" w:bidi="en-US"/>
        </w:rPr>
        <w:t>4.60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万:住房保障支出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en-US" w:bidi="en-US"/>
        </w:rPr>
        <w:t>73.00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万。支出较去年增加（减少）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u w:val="single"/>
          <w:lang w:val="en-US" w:eastAsia="en-US" w:bidi="en-US"/>
        </w:rPr>
        <w:t>445.78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万元,主要是1）、一般公共预算拨款增加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  <w:t>680.40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其中2021年增加工资晋级晋档2.4万元，增加一次性项目搬迁经费653万元，文化综合专项《书道湖湘》展览25万元；2）、事业收入减少50万元，主要是艺海杂志版面取消收费，艺术系列继续教育班取消收费；3）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上年财政结转2021年比2020年减少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  <w:t>184.62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</w:rPr>
        <w:t>万元。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600" w:lineRule="exact"/>
        <w:ind w:left="0" w:right="0" w:firstLine="640"/>
        <w:jc w:val="both"/>
        <w:rPr>
          <w:rFonts w:hint="eastAsia" w:ascii="黑体" w:hAnsi="黑体" w:eastAsia="黑体" w:cs="黑体"/>
        </w:rPr>
      </w:pPr>
      <w:bookmarkStart w:id="1" w:name="bookmark1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三</w:t>
      </w:r>
      <w:bookmarkEnd w:id="1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、一般公共预算拨款支出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6036"/>
        </w:tabs>
        <w:bidi w:val="0"/>
        <w:spacing w:before="0" w:after="0" w:line="636" w:lineRule="exact"/>
        <w:ind w:left="0" w:right="0" w:firstLine="64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2021年本单位一般公共预算拨款支出预算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1698.27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none"/>
          <w:lang w:val="en-US" w:eastAsia="zh-CN" w:bidi="en-US"/>
        </w:rPr>
        <w:t>万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元，其中，教育支出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40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万元,占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2.36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none"/>
          <w:lang w:val="en-US" w:eastAsia="zh-CN" w:bidi="en-US"/>
        </w:rPr>
        <w:t>%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；文化旅游体育与传媒支出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512.91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万元,占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89.09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%；社会保障和就业支出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67.76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万元,占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3.99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%;卫生健康支出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 xml:space="preserve">4.6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万，占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0.27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%；住房保障支出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73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万,占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4.29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none"/>
          <w:lang w:val="en-US" w:eastAsia="zh-CN" w:bidi="en-US"/>
        </w:rPr>
        <w:t>%</w:t>
      </w:r>
      <w:r>
        <w:rPr>
          <w:rFonts w:hint="eastAsia" w:ascii="仿宋" w:hAnsi="仿宋" w:eastAsia="仿宋" w:cs="仿宋"/>
          <w:i/>
          <w:iCs/>
          <w:color w:val="000000"/>
          <w:spacing w:val="0"/>
          <w:w w:val="100"/>
          <w:position w:val="0"/>
        </w:rPr>
        <w:t>。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具体安排情况如下：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544"/>
        </w:tabs>
        <w:bidi w:val="0"/>
        <w:spacing w:before="0" w:after="0" w:line="608" w:lineRule="exact"/>
        <w:ind w:left="0" w:leftChars="0" w:right="0" w:firstLine="720" w:firstLineChars="0"/>
        <w:jc w:val="both"/>
        <w:rPr>
          <w:rFonts w:hint="eastAsia" w:ascii="仿宋" w:hAnsi="仿宋" w:eastAsia="仿宋" w:cs="仿宋"/>
        </w:rPr>
      </w:pPr>
      <w:bookmarkStart w:id="2" w:name="bookmark2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</w:t>
      </w:r>
      <w:bookmarkEnd w:id="2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一）基本支出：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2021年本单位基本支出预算数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 xml:space="preserve">738.67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620"/>
        </w:tabs>
        <w:bidi w:val="0"/>
        <w:spacing w:before="0" w:after="0" w:line="601" w:lineRule="exact"/>
        <w:ind w:left="0" w:leftChars="0" w:right="0" w:firstLine="720" w:firstLineChars="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（二）项目支出：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2021年本单位项目支出预算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 xml:space="preserve">969.60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万元，主要是部门为完成特定行政工作任务或事业发展目标而发生的支出，包括有关事业发展专项、专项业务费、基本建设支出等，其中：国家艺术基金支出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zh-CN"/>
        </w:rPr>
        <w:t>16.00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万元，主要用于做好申报项目辅导、管理、组织工作；做好监督、结项工作等方面；书法院常年经费支出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/>
        </w:rPr>
        <w:t>135.00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万元，主要用于书法课题研究《湖南书法史》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40.00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万元；编印《湖南书法》 四期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14.00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万元；宣传经费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万元；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zh-CN"/>
        </w:rPr>
        <w:t>“书道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湖湘”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——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湖南省书法院第二届学术交流展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50.00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万元；举办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zh-CN"/>
        </w:rPr>
        <w:t>“书道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湖湘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——全国书法名家讲坛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万元；锦绣潇湘 清廉湖南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——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全省廉政诗文书法大展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11.00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万元。等方面；书法院培训支出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40.00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万元,主要用于培训本省书法中青年骨干人才；艺海杂志支出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27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50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万元（舞台艺术研究和艺术研究课题），主要用于艺海杂志稿酬及印刷费等。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zh-CN"/>
        </w:rPr>
        <w:t>“书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道湖湘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zh-CN"/>
        </w:rPr>
        <w:t>”学术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交流展经费（文化综合发展资金）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/>
        </w:rPr>
        <w:t>25.00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万元，主要用于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zh-CN"/>
        </w:rPr>
        <w:t>“书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道湖湘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”——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湖南省书法院首届学术交流展作品集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12.30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万元（含论文查重3000元），论文集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6.00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万元。书法作品拍摄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0.75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万元。湖南省美术馆开幕展呈设计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2.95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万元，安保、布置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3.00</w:t>
      </w:r>
      <w:bookmarkStart w:id="3" w:name="bookmark3"/>
      <w:bookmarkEnd w:id="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万元；搬家经费支出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10.00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万元,主要用于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租赁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办公楼搬迁至新址办公楼；装饰装修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572.00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 xml:space="preserve">万元,主要用于新购办公楼装修；院新址（含过渡）物业管理费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13.80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万元,用于支付院新址（含过渡）物业管理费；租赁费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31.20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none"/>
          <w:lang w:val="en-US" w:eastAsia="en-US" w:bidi="en-US"/>
        </w:rPr>
        <w:t>万元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，主要用于支付租赁过渡房租赁费用；院办公家具购置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26.00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万元,用于购置办公家具；上年结转项目建党百年、脱贫攻坚全省剧本主题创作工程支出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73.10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万元,主要用于剧本主题创作釆风成本、专家老师劳务及作品推荐，发布等费用。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344"/>
        </w:tabs>
        <w:bidi w:val="0"/>
        <w:spacing w:before="0" w:after="0" w:line="601" w:lineRule="exact"/>
        <w:ind w:left="0" w:right="0" w:firstLine="660"/>
        <w:jc w:val="both"/>
        <w:rPr>
          <w:rFonts w:hint="eastAsia" w:ascii="黑体" w:hAnsi="黑体" w:eastAsia="黑体" w:cs="黑体"/>
        </w:rPr>
      </w:pPr>
      <w:bookmarkStart w:id="4" w:name="bookmark4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四</w:t>
      </w:r>
      <w:bookmarkEnd w:id="4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、政府性基金预算支出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601" w:lineRule="exact"/>
        <w:ind w:left="0" w:right="0" w:firstLine="66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2021年本单位无政府性基金支出预算。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344"/>
        </w:tabs>
        <w:bidi w:val="0"/>
        <w:spacing w:before="0" w:after="0" w:line="601" w:lineRule="exact"/>
        <w:ind w:left="0" w:right="0" w:firstLine="660"/>
        <w:jc w:val="both"/>
        <w:rPr>
          <w:rFonts w:hint="eastAsia" w:ascii="黑体" w:hAnsi="黑体" w:eastAsia="黑体" w:cs="黑体"/>
        </w:rPr>
      </w:pPr>
      <w:bookmarkStart w:id="5" w:name="bookmark5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五</w:t>
      </w:r>
      <w:bookmarkEnd w:id="5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、其他重要事项的情况说明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601"/>
        </w:tabs>
        <w:bidi w:val="0"/>
        <w:spacing w:before="0" w:after="0" w:line="606" w:lineRule="exact"/>
        <w:ind w:left="0" w:leftChars="0" w:right="0" w:firstLine="720" w:firstLineChars="0"/>
        <w:jc w:val="both"/>
        <w:rPr>
          <w:rFonts w:hint="eastAsia" w:ascii="仿宋" w:hAnsi="仿宋" w:eastAsia="仿宋" w:cs="仿宋"/>
        </w:rPr>
      </w:pPr>
      <w:bookmarkStart w:id="6" w:name="bookmark6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</w:t>
      </w:r>
      <w:bookmarkEnd w:id="6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一）机关运行经费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:2021年本单位机关运行经费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 xml:space="preserve">39.91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万元，比上年预算减少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65.63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万元,下降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60.81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%,主要是2020年单位整体搬迁增加预算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24.00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608"/>
        </w:tabs>
        <w:bidi w:val="0"/>
        <w:spacing w:before="0" w:after="0" w:line="612" w:lineRule="exact"/>
        <w:ind w:left="0" w:leftChars="0" w:right="0" w:firstLine="720" w:firstLineChars="0"/>
        <w:jc w:val="both"/>
        <w:rPr>
          <w:rFonts w:hint="eastAsia" w:ascii="仿宋" w:hAnsi="仿宋" w:eastAsia="仿宋" w:cs="仿宋"/>
        </w:rPr>
      </w:pPr>
      <w:bookmarkStart w:id="7" w:name="bookmark7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</w:t>
      </w:r>
      <w:bookmarkEnd w:id="7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二）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三公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  <w:lang w:eastAsia="zh-CN"/>
        </w:rPr>
        <w:t>”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经费预算：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2021年本单位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三公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经费预算数为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5.00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万元,其中，公务接待费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1.00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万元,公务用车购置及运行费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4.00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万元（其中，公务用车购置费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万元，公务用车运行费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4.00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万元），2021年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三公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经费预算较上年持平。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60" w:line="498" w:lineRule="exact"/>
        <w:ind w:left="0" w:leftChars="0" w:right="0" w:firstLine="723" w:firstLineChars="24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（三）一般性支出情况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:2021年本单位会议费预算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14.00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万元，其中国家艺术基金会议费预算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4.00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万元,拟召开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4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会议，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zh-CN"/>
        </w:rPr>
        <w:t>人数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400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人,内容为召开国家艺术基金新一年度初</w:t>
      </w:r>
      <w:r>
        <w:rPr>
          <w:rFonts w:hint="eastAsia" w:ascii="仿宋" w:hAnsi="仿宋" w:eastAsia="仿宋" w:cs="仿宋"/>
          <w:color w:val="2D2E4A"/>
          <w:spacing w:val="0"/>
          <w:w w:val="100"/>
          <w:position w:val="0"/>
        </w:rPr>
        <w:t>审通过项目答辩培训大会及模拟答辩培训及配合国家艺术基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金组织专家大会电视电话会议、巡查监督等会议；书法院会议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10.00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万元,书法院拟召开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会议，人数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100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 xml:space="preserve">人，内容为2021年书法院年终总结会议及2021年《湖南书法》全省联络工作会议。培训费预算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40.00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，拟开展全省中青年书法人才培训，人数90人，内容为全省中青年书法培训人才，课时设置：开班和结业仪式结合政治学习安排4个课时，书法理论安排10课时，国学讲习安排2个课时，临创实践安排8个课时，笔会交流安排2个课时，座谈研讨安排2个课时，考察釆风安排4个课时。邀请全国知名书法家、省内知名书法家30余位前来授课。经费预算：住宿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16.00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万元、餐饮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7.20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万元、材料费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万元、交通费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万元、课时费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12.00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万元、场地租金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1.80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620"/>
        </w:tabs>
        <w:bidi w:val="0"/>
        <w:spacing w:before="0" w:after="0" w:line="600" w:lineRule="exact"/>
        <w:ind w:left="0" w:leftChars="0" w:right="0" w:firstLine="720" w:firstLineChars="0"/>
        <w:jc w:val="both"/>
        <w:rPr>
          <w:rFonts w:hint="eastAsia" w:ascii="仿宋" w:hAnsi="仿宋" w:eastAsia="仿宋" w:cs="仿宋"/>
        </w:rPr>
      </w:pPr>
      <w:bookmarkStart w:id="8" w:name="bookmark8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</w:t>
      </w:r>
      <w:bookmarkEnd w:id="8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四）政府采购情况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:2021年本部门政府釆购预算总额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598.00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万元,其中，货物类釆购预算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26.00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万元:工程类采购预算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572.00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万元:服务类釆购预算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0.00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620"/>
        </w:tabs>
        <w:bidi w:val="0"/>
        <w:spacing w:before="0" w:after="0" w:line="600" w:lineRule="exact"/>
        <w:ind w:left="0" w:leftChars="0" w:right="0" w:firstLine="720" w:firstLineChars="0"/>
        <w:jc w:val="both"/>
        <w:rPr>
          <w:rFonts w:hint="eastAsia" w:ascii="仿宋" w:hAnsi="仿宋" w:eastAsia="仿宋" w:cs="仿宋"/>
        </w:rPr>
      </w:pPr>
      <w:bookmarkStart w:id="9" w:name="bookmark9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</w:t>
      </w:r>
      <w:bookmarkEnd w:id="9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五）国有资产占用使用及新增资产配置情况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：截至2020年12月底，本单位共有公务用车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辆，其中，机要通信用车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辆,应急保障用车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辆,执法执勤用车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辆,特种专业技术用车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辆，其他按照规定配备的公务用车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辆；单位价值50万元以上通用设备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台，单位价值100万元以上专用设备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台。2021年拟新增配置公务用车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辆,其中，机要通信用车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辆，应急保障用车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辆，执法执勤用车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辆，特种专业技术用车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辆，其他按照规定配备的公务用车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辆；新增配备单位价值50万元以上通用设备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台，单位价值100万元以上专用设备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</w:rPr>
        <w:t>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台。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7752"/>
        </w:tabs>
        <w:bidi w:val="0"/>
        <w:spacing w:before="0" w:after="0" w:line="596" w:lineRule="exact"/>
        <w:ind w:left="0" w:leftChars="0" w:right="0" w:firstLine="720" w:firstLineChars="0"/>
        <w:jc w:val="left"/>
        <w:rPr>
          <w:rFonts w:hint="eastAsia" w:ascii="仿宋" w:hAnsi="仿宋" w:eastAsia="仿宋" w:cs="仿宋"/>
        </w:rPr>
      </w:pPr>
      <w:bookmarkStart w:id="10" w:name="bookmark10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（</w:t>
      </w:r>
      <w:bookmarkEnd w:id="10"/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</w:rPr>
        <w:t>六）预算绩效目标说明：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本单位所有支出实行绩效目标管理。纳入2021年单位整体支出绩效目标的金额为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1009.51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万元,其中，基本支出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39.91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万元,项目支出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en-US" w:bidi="en-US"/>
        </w:rPr>
        <w:t>969.60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万元,具体绩效目标详见报表。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96" w:lineRule="exact"/>
        <w:ind w:left="0" w:right="0" w:firstLine="660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六、名词解释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104"/>
        </w:tabs>
        <w:bidi w:val="0"/>
        <w:spacing w:before="0" w:after="0" w:line="600" w:lineRule="exact"/>
        <w:ind w:left="0" w:right="0" w:firstLine="660"/>
        <w:jc w:val="both"/>
        <w:rPr>
          <w:rFonts w:hint="eastAsia" w:ascii="仿宋" w:hAnsi="仿宋" w:eastAsia="仿宋" w:cs="仿宋"/>
        </w:rPr>
      </w:pPr>
      <w:bookmarkStart w:id="11" w:name="bookmark11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1</w:t>
      </w:r>
      <w:bookmarkEnd w:id="11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1104"/>
        </w:tabs>
        <w:bidi w:val="0"/>
        <w:spacing w:before="0" w:after="0" w:line="603" w:lineRule="exact"/>
        <w:ind w:left="0" w:right="0" w:firstLine="660"/>
        <w:jc w:val="both"/>
        <w:rPr>
          <w:rFonts w:hint="eastAsia" w:ascii="仿宋" w:hAnsi="仿宋" w:eastAsia="仿宋" w:cs="仿宋"/>
        </w:rPr>
        <w:sectPr>
          <w:footerReference r:id="rId6" w:type="first"/>
          <w:footerReference r:id="rId5" w:type="default"/>
          <w:footnotePr>
            <w:numFmt w:val="decimal"/>
          </w:footnotePr>
          <w:pgSz w:w="11900" w:h="16840"/>
          <w:pgMar w:top="1004" w:right="1746" w:bottom="1224" w:left="1778" w:header="0" w:footer="3" w:gutter="0"/>
          <w:cols w:space="720" w:num="1"/>
          <w:titlePg/>
          <w:rtlGutter w:val="0"/>
          <w:docGrid w:linePitch="360" w:charSpace="0"/>
        </w:sectPr>
      </w:pPr>
      <w:bookmarkStart w:id="12" w:name="bookmark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2</w:t>
      </w:r>
      <w:bookmarkEnd w:id="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、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三公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经费：纳入省（市/县）财政预算管理的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“三公”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经费，是指用一般公共预算拨款安排的公务接待费、公务用 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仿宋" w:hAnsi="仿宋" w:eastAsia="仿宋" w:cs="仿宋"/>
        </w:rPr>
      </w:pPr>
      <w:bookmarkStart w:id="13" w:name="bookmark13"/>
      <w:bookmarkStart w:id="14" w:name="bookmark14"/>
      <w:bookmarkStart w:id="15" w:name="bookmark1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第二部分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0"/>
          <w:szCs w:val="30"/>
        </w:rPr>
        <w:t>2021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年单位预算表</w:t>
      </w:r>
      <w:bookmarkEnd w:id="13"/>
      <w:bookmarkEnd w:id="14"/>
      <w:bookmarkEnd w:id="15"/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840" w:line="604" w:lineRule="exact"/>
        <w:ind w:left="0" w:right="0" w:firstLine="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附件2：</w:t>
      </w:r>
    </w:p>
    <w:p>
      <w:pPr>
        <w:pStyle w:val="11"/>
        <w:keepNext/>
        <w:keepLines/>
        <w:widowControl w:val="0"/>
        <w:shd w:val="clear" w:color="auto" w:fill="auto"/>
        <w:bidi w:val="0"/>
        <w:spacing w:before="0" w:after="560" w:line="240" w:lineRule="auto"/>
        <w:ind w:left="0" w:right="0" w:firstLine="0"/>
        <w:jc w:val="center"/>
        <w:rPr>
          <w:rFonts w:hint="eastAsia" w:ascii="仿宋" w:hAnsi="仿宋" w:eastAsia="仿宋" w:cs="仿宋"/>
        </w:rPr>
      </w:pPr>
      <w:bookmarkStart w:id="16" w:name="bookmark18"/>
      <w:bookmarkStart w:id="17" w:name="bookmark17"/>
      <w:bookmarkStart w:id="18" w:name="bookmark1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公幵内容上传公开平台有关要求</w:t>
      </w:r>
      <w:bookmarkEnd w:id="16"/>
      <w:bookmarkEnd w:id="17"/>
      <w:bookmarkEnd w:id="18"/>
    </w:p>
    <w:p>
      <w:pPr>
        <w:pStyle w:val="5"/>
        <w:keepNext w:val="0"/>
        <w:keepLines w:val="0"/>
        <w:widowControl w:val="0"/>
        <w:numPr>
          <w:numId w:val="0"/>
        </w:numPr>
        <w:shd w:val="clear" w:color="auto" w:fill="auto"/>
        <w:bidi w:val="0"/>
        <w:spacing w:before="0" w:after="220" w:line="604" w:lineRule="exact"/>
        <w:ind w:leftChars="0" w:right="0" w:right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/>
        </w:rPr>
        <w:t xml:space="preserve">     （一）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单位预算公开。各单位统一公开说明及附表名称, 文档命名</w:t>
      </w:r>
      <w:r>
        <w:rPr>
          <w:rFonts w:hint="eastAsia" w:ascii="仿宋" w:hAnsi="仿宋" w:eastAsia="仿宋" w:cs="仿宋"/>
          <w:i/>
          <w:iCs/>
          <w:color w:val="000000"/>
          <w:spacing w:val="0"/>
          <w:w w:val="100"/>
          <w:position w:val="0"/>
        </w:rPr>
        <w:t>为“XX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单位2021年预算公开说明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及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x</w:t>
      </w:r>
      <w:bookmarkStart w:id="19" w:name="_GoBack"/>
      <w:bookmarkEnd w:id="1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x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单位2021年预算表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，放入命名为“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xx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单位2021年预算公开”的文件夹中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提高公开内容的准确性和完整性，请单位将公开说明及附表转换为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PDF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格式。</w:t>
      </w:r>
    </w:p>
    <w:sectPr>
      <w:footerReference r:id="rId7" w:type="default"/>
      <w:footnotePr>
        <w:numFmt w:val="decimal"/>
      </w:footnotePr>
      <w:pgSz w:w="11900" w:h="16840"/>
      <w:pgMar w:top="9674" w:right="1762" w:bottom="1158" w:left="1798" w:header="9246" w:footer="730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柳公权楷书">
    <w:panose1 w:val="02010600010101010101"/>
    <w:charset w:val="86"/>
    <w:family w:val="auto"/>
    <w:pitch w:val="default"/>
    <w:sig w:usb0="A00002BF" w:usb1="18CF7CFB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3742690</wp:posOffset>
              </wp:positionH>
              <wp:positionV relativeFrom="page">
                <wp:posOffset>9979660</wp:posOffset>
              </wp:positionV>
              <wp:extent cx="53340" cy="685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340" cy="685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1026" o:spt="202" type="#_x0000_t202" style="position:absolute;left:0pt;margin-left:294.7pt;margin-top:785.8pt;height:5.4pt;width:4.2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bRMPnYAAAA&#10;DQEAAA8AAAAAAAAAAQAgAAAAIgAAAGRycy9kb3ducmV2LnhtbFBLAQIUABQAAAAIAIdO4kAsLiQJ&#10;qwEAAG0DAAAOAAAAAAAAAAEAIAAAACc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docVars>
    <w:docVar w:name="commondata" w:val="eyJoZGlkIjoiYjMwMjQwZjllMTFjY2UxNThkNTAzYWFlZWQwZDA4Y2IifQ=="/>
  </w:docVars>
  <w:rsids>
    <w:rsidRoot w:val="00000000"/>
    <w:rsid w:val="0B4A17A2"/>
    <w:rsid w:val="0E6C0FC3"/>
    <w:rsid w:val="1A2D5157"/>
    <w:rsid w:val="653F3F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uiPriority w:val="0"/>
    <w:pPr>
      <w:widowControl w:val="0"/>
      <w:shd w:val="clear" w:color="auto" w:fill="auto"/>
      <w:spacing w:line="420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6">
    <w:name w:val="Header or footer|2_"/>
    <w:basedOn w:val="3"/>
    <w:link w:val="7"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7">
    <w:name w:val="Header or footer|2"/>
    <w:basedOn w:val="1"/>
    <w:link w:val="6"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8">
    <w:name w:val="Header or footer|1_"/>
    <w:basedOn w:val="3"/>
    <w:link w:val="9"/>
    <w:uiPriority w:val="0"/>
    <w:rPr>
      <w:sz w:val="16"/>
      <w:szCs w:val="16"/>
      <w:u w:val="none"/>
      <w:shd w:val="clear" w:color="auto" w:fill="auto"/>
      <w:lang w:val="zh-TW" w:eastAsia="zh-TW" w:bidi="zh-TW"/>
    </w:rPr>
  </w:style>
  <w:style w:type="paragraph" w:customStyle="1" w:styleId="9">
    <w:name w:val="Header or footer|1"/>
    <w:basedOn w:val="1"/>
    <w:link w:val="8"/>
    <w:uiPriority w:val="0"/>
    <w:pPr>
      <w:widowControl w:val="0"/>
      <w:shd w:val="clear" w:color="auto" w:fill="auto"/>
    </w:pPr>
    <w:rPr>
      <w:sz w:val="16"/>
      <w:szCs w:val="16"/>
      <w:u w:val="none"/>
      <w:shd w:val="clear" w:color="auto" w:fill="auto"/>
      <w:lang w:val="zh-TW" w:eastAsia="zh-TW" w:bidi="zh-TW"/>
    </w:rPr>
  </w:style>
  <w:style w:type="character" w:customStyle="1" w:styleId="10">
    <w:name w:val="Heading #1|1_"/>
    <w:basedOn w:val="3"/>
    <w:link w:val="11"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11">
    <w:name w:val="Heading #1|1"/>
    <w:basedOn w:val="1"/>
    <w:link w:val="10"/>
    <w:uiPriority w:val="0"/>
    <w:pPr>
      <w:widowControl w:val="0"/>
      <w:shd w:val="clear" w:color="auto" w:fill="auto"/>
      <w:spacing w:after="280"/>
      <w:jc w:val="center"/>
      <w:outlineLvl w:val="0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3137</Words>
  <Characters>3568</Characters>
  <TotalTime>12</TotalTime>
  <ScaleCrop>false</ScaleCrop>
  <LinksUpToDate>false</LinksUpToDate>
  <CharactersWithSpaces>3689</CharactersWithSpaces>
  <Application>WPS Office_11.1.0.12353_F1E327BC-269C-435d-A152-05C5408002CA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2022-09-05T01:54:50Z</dcterms:created>
  <dc:creator>Administrator</dc:creator>
  <cp:lastModifiedBy>玲珑心香</cp:lastModifiedBy>
  <dcterms:modified xsi:type="dcterms:W3CDTF">2022-09-05T02:33:11Z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0337711799834D14AFE2604CD79C98B4</vt:lpwstr>
  </property>
</Properties>
</file>