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2021年度</w:t>
      </w:r>
    </w:p>
    <w:p>
      <w:pPr>
        <w:pStyle w:val="13"/>
        <w:jc w:val="center"/>
        <w:rPr>
          <w:sz w:val="84"/>
          <w:szCs w:val="84"/>
        </w:rPr>
      </w:pPr>
      <w:r>
        <w:rPr>
          <w:rFonts w:hint="eastAsia"/>
          <w:sz w:val="84"/>
          <w:szCs w:val="84"/>
        </w:rPr>
        <w:t>湖南省网球足球运动管理 中心部门决算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00" w:lineRule="exact"/>
        <w:jc w:val="center"/>
        <w:rPr>
          <w:b/>
          <w:sz w:val="36"/>
          <w:szCs w:val="28"/>
        </w:rPr>
      </w:pPr>
      <w:r>
        <w:rPr>
          <w:rFonts w:hint="eastAsia"/>
          <w:b/>
          <w:sz w:val="36"/>
          <w:szCs w:val="28"/>
        </w:rPr>
        <w:t>目录</w:t>
      </w:r>
    </w:p>
    <w:p>
      <w:pPr>
        <w:pStyle w:val="13"/>
        <w:spacing w:line="500" w:lineRule="exact"/>
        <w:rPr>
          <w:rFonts w:ascii="仿宋_GB2312" w:hAnsi="仿宋_GB2312" w:cs="仿宋_GB2312"/>
          <w:b/>
          <w:sz w:val="28"/>
          <w:szCs w:val="28"/>
        </w:rPr>
      </w:pPr>
      <w:r>
        <w:rPr>
          <w:rFonts w:hint="eastAsia"/>
          <w:b/>
          <w:sz w:val="28"/>
          <w:szCs w:val="28"/>
        </w:rPr>
        <w:t>第一部分湖南省网球足球运动管理中心单位概况</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3"/>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3"/>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3"/>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pStyle w:val="13"/>
        <w:jc w:val="both"/>
        <w:rPr>
          <w:sz w:val="84"/>
          <w:szCs w:val="84"/>
        </w:rPr>
      </w:pPr>
    </w:p>
    <w:p>
      <w:pPr>
        <w:pStyle w:val="13"/>
        <w:jc w:val="both"/>
        <w:rPr>
          <w:sz w:val="84"/>
          <w:szCs w:val="84"/>
        </w:rPr>
      </w:pPr>
    </w:p>
    <w:p>
      <w:pPr>
        <w:pStyle w:val="13"/>
        <w:jc w:val="both"/>
        <w:rPr>
          <w:sz w:val="84"/>
          <w:szCs w:val="84"/>
        </w:rPr>
      </w:pPr>
    </w:p>
    <w:p>
      <w:pPr>
        <w:pStyle w:val="13"/>
        <w:jc w:val="center"/>
        <w:rPr>
          <w:sz w:val="84"/>
          <w:szCs w:val="84"/>
        </w:rPr>
      </w:pPr>
      <w:r>
        <w:rPr>
          <w:rFonts w:hint="eastAsia"/>
          <w:sz w:val="84"/>
          <w:szCs w:val="84"/>
        </w:rPr>
        <w:t>第一部分</w:t>
      </w:r>
      <w:r>
        <w:rPr>
          <w:sz w:val="84"/>
          <w:szCs w:val="84"/>
        </w:rPr>
        <w:t xml:space="preserve"> </w:t>
      </w:r>
    </w:p>
    <w:p>
      <w:pPr>
        <w:pStyle w:val="13"/>
        <w:jc w:val="center"/>
        <w:rPr>
          <w:sz w:val="84"/>
          <w:szCs w:val="84"/>
        </w:rPr>
      </w:pPr>
      <w:r>
        <w:rPr>
          <w:rFonts w:hint="eastAsia"/>
          <w:sz w:val="84"/>
          <w:szCs w:val="84"/>
        </w:rPr>
        <w:t>湖南省网球足球运动管理</w:t>
      </w:r>
    </w:p>
    <w:p>
      <w:pPr>
        <w:pStyle w:val="13"/>
        <w:jc w:val="center"/>
        <w:rPr>
          <w:sz w:val="84"/>
          <w:szCs w:val="84"/>
        </w:rPr>
      </w:pPr>
      <w:r>
        <w:rPr>
          <w:rFonts w:hint="eastAsia"/>
          <w:sz w:val="84"/>
          <w:szCs w:val="84"/>
        </w:rPr>
        <w:t>中心</w:t>
      </w:r>
    </w:p>
    <w:p>
      <w:pPr>
        <w:pStyle w:val="13"/>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27" w:firstLineChars="196"/>
        <w:jc w:val="left"/>
        <w:rPr>
          <w:rFonts w:asciiTheme="minorEastAsia" w:hAnsiTheme="minorEastAsia"/>
          <w:b/>
          <w:sz w:val="32"/>
          <w:szCs w:val="32"/>
        </w:rPr>
      </w:pPr>
      <w:r>
        <w:rPr>
          <w:rFonts w:hint="eastAsia" w:cs="仿宋" w:asciiTheme="minorEastAsia" w:hAnsiTheme="minorEastAsia"/>
          <w:color w:val="313131"/>
          <w:sz w:val="32"/>
          <w:szCs w:val="32"/>
        </w:rPr>
        <w:t>湖南省网球足球</w:t>
      </w:r>
      <w:r>
        <w:rPr>
          <w:rFonts w:hint="eastAsia" w:cs="仿宋" w:asciiTheme="minorEastAsia" w:hAnsiTheme="minorEastAsia"/>
          <w:sz w:val="32"/>
          <w:szCs w:val="32"/>
        </w:rPr>
        <w:t>运动</w:t>
      </w:r>
      <w:r>
        <w:rPr>
          <w:rFonts w:hint="eastAsia" w:cs="仿宋" w:asciiTheme="minorEastAsia" w:hAnsiTheme="minorEastAsia"/>
          <w:color w:val="313131"/>
          <w:sz w:val="32"/>
          <w:szCs w:val="32"/>
        </w:rPr>
        <w:t>管理中心</w:t>
      </w:r>
      <w:r>
        <w:rPr>
          <w:rFonts w:hint="eastAsia" w:cs="仿宋" w:asciiTheme="minorEastAsia" w:hAnsiTheme="minorEastAsia"/>
          <w:sz w:val="32"/>
          <w:szCs w:val="32"/>
        </w:rPr>
        <w:t>成立于2003年，是湖南省体育局的二级机构,属全额拨款的事业单位</w:t>
      </w:r>
      <w:r>
        <w:rPr>
          <w:rFonts w:hint="eastAsia" w:cs="仿宋" w:asciiTheme="minorEastAsia" w:hAnsiTheme="minorEastAsia"/>
          <w:color w:val="333333"/>
          <w:sz w:val="32"/>
          <w:szCs w:val="32"/>
        </w:rPr>
        <w:t>。</w:t>
      </w:r>
      <w:r>
        <w:rPr>
          <w:rFonts w:hint="eastAsia" w:cs="仿宋" w:asciiTheme="minorEastAsia" w:hAnsiTheme="minorEastAsia"/>
          <w:sz w:val="32"/>
          <w:szCs w:val="32"/>
        </w:rPr>
        <w:t>承担着我省专业队训练及竞技体育网球、足球项目的全运会、亚运会、奥运会等大型比赛任务，负责全省青少年网球、足球的选拔、培训、和组织比赛等工作。</w:t>
      </w:r>
    </w:p>
    <w:p>
      <w:pPr>
        <w:ind w:firstLine="800" w:firstLineChars="250"/>
        <w:jc w:val="left"/>
        <w:rPr>
          <w:rFonts w:asciiTheme="minorEastAsia" w:hAnsiTheme="minorEastAsia"/>
          <w:sz w:val="32"/>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spacing w:line="600" w:lineRule="exact"/>
        <w:ind w:firstLine="960" w:firstLineChars="300"/>
        <w:rPr>
          <w:rFonts w:ascii="仿宋" w:hAnsi="仿宋" w:eastAsia="仿宋"/>
          <w:bCs/>
          <w:kern w:val="0"/>
          <w:sz w:val="32"/>
          <w:szCs w:val="32"/>
        </w:rPr>
      </w:pPr>
      <w:r>
        <w:rPr>
          <w:rFonts w:hint="eastAsia" w:asciiTheme="minorEastAsia" w:hAnsiTheme="minorEastAsia"/>
          <w:bCs/>
          <w:kern w:val="0"/>
          <w:sz w:val="32"/>
          <w:szCs w:val="32"/>
        </w:rPr>
        <w:t>我单位内设3个机构包括：办</w:t>
      </w:r>
      <w:r>
        <w:rPr>
          <w:rFonts w:asciiTheme="minorEastAsia" w:hAnsiTheme="minorEastAsia"/>
          <w:bCs/>
          <w:kern w:val="0"/>
          <w:sz w:val="32"/>
          <w:szCs w:val="32"/>
        </w:rPr>
        <w:t>公室、竞训科、综合科</w:t>
      </w:r>
      <w:r>
        <w:rPr>
          <w:rFonts w:ascii="仿宋" w:hAnsi="仿宋" w:eastAsia="仿宋"/>
          <w:bCs/>
          <w:kern w:val="0"/>
          <w:sz w:val="32"/>
          <w:szCs w:val="32"/>
        </w:rPr>
        <w:t>。</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w:t>
      </w:r>
    </w:p>
    <w:p>
      <w:pPr>
        <w:widowControl/>
        <w:spacing w:line="600" w:lineRule="exact"/>
        <w:ind w:firstLine="960" w:firstLineChars="300"/>
        <w:rPr>
          <w:rFonts w:asciiTheme="minorEastAsia" w:hAnsiTheme="minorEastAsia"/>
          <w:bCs/>
          <w:kern w:val="0"/>
          <w:sz w:val="32"/>
          <w:szCs w:val="32"/>
        </w:rPr>
      </w:pPr>
      <w:r>
        <w:rPr>
          <w:rFonts w:hint="eastAsia" w:asciiTheme="minorEastAsia" w:hAnsiTheme="minorEastAsia"/>
          <w:bCs/>
          <w:kern w:val="0"/>
          <w:sz w:val="32"/>
          <w:szCs w:val="32"/>
        </w:rPr>
        <w:t>湖南省网球足球运动管理中心</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21年部门决算汇总公开单位构成为：湖南省网球足球运动管理中心。</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7"/>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2747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983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七、文化旅游体育与传媒支出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2740.12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八、社会保障和就业支出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68.4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九、卫生健康支出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kern w:val="0"/>
                <w:sz w:val="22"/>
              </w:rPr>
              <w:t>37.4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十、节能环保支出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十一、城乡社区支出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十二、农林水支出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十三、交通运输支出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十四、资源勘探工业信息等支出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十五、商业服务业等支出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十六、金融支出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十七、援助其他地区支出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十八、自然资源海洋气象等支出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十九、住房保障支出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二十、粮油物资储备支出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二十一、国有资本经营预算支出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二十二、灾害防治及应急管理支出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二十三、其他支出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kern w:val="0"/>
                <w:sz w:val="22"/>
              </w:rPr>
              <w:t>1633.67</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二十四、债务还本支出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二十五、债务付息支出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Arial"/>
                <w:kern w:val="0"/>
                <w:sz w:val="22"/>
              </w:rPr>
            </w:pPr>
            <w:r>
              <w:rPr>
                <w:rFonts w:hint="eastAsia" w:ascii="宋体" w:hAnsi="宋体" w:eastAsia="宋体" w:cs="Arial"/>
                <w:kern w:val="0"/>
                <w:sz w:val="22"/>
              </w:rPr>
              <w:t>二十六、抗疫特别国债安排的支出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3730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4479.59</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1413.31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663.72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5143.31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kern w:val="0"/>
                <w:sz w:val="22"/>
              </w:rPr>
              <w:t>5143.31</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7"/>
        <w:tblW w:w="15560" w:type="dxa"/>
        <w:tblInd w:w="0" w:type="dxa"/>
        <w:shd w:val="clear" w:color="auto" w:fill="FFFFFF" w:themeFill="background1"/>
        <w:tblLayout w:type="fixed"/>
        <w:tblCellMar>
          <w:top w:w="0" w:type="dxa"/>
          <w:left w:w="0" w:type="dxa"/>
          <w:bottom w:w="0" w:type="dxa"/>
          <w:right w:w="0" w:type="dxa"/>
        </w:tblCellMar>
      </w:tblPr>
      <w:tblGrid>
        <w:gridCol w:w="15560"/>
      </w:tblGrid>
      <w:tr>
        <w:tblPrEx>
          <w:shd w:val="clear" w:color="auto" w:fill="FFFFFF" w:themeFill="background1"/>
          <w:tblCellMar>
            <w:top w:w="0" w:type="dxa"/>
            <w:left w:w="0" w:type="dxa"/>
            <w:bottom w:w="0" w:type="dxa"/>
            <w:right w:w="0" w:type="dxa"/>
          </w:tblCellMar>
        </w:tblPrEx>
        <w:trPr>
          <w:trHeight w:val="90" w:hRule="atLeast"/>
        </w:trPr>
        <w:tc>
          <w:tcPr>
            <w:tcW w:w="15560" w:type="dxa"/>
            <w:tcBorders>
              <w:top w:val="nil"/>
              <w:left w:val="nil"/>
              <w:bottom w:val="nil"/>
              <w:right w:val="nil"/>
            </w:tcBorders>
            <w:shd w:val="clear" w:color="auto" w:fill="FFFFFF" w:themeFill="background1"/>
            <w:noWrap/>
            <w:tcMar>
              <w:top w:w="15" w:type="dxa"/>
              <w:left w:w="15" w:type="dxa"/>
              <w:bottom w:w="0" w:type="dxa"/>
              <w:right w:w="15" w:type="dxa"/>
            </w:tcMar>
            <w:vAlign w:val="center"/>
          </w:tcPr>
          <w:tbl>
            <w:tblPr>
              <w:tblStyle w:val="7"/>
              <w:tblW w:w="15398" w:type="dxa"/>
              <w:tblInd w:w="0" w:type="dxa"/>
              <w:shd w:val="clear" w:color="auto" w:fill="FFFFFF" w:themeFill="background1"/>
              <w:tblLayout w:type="fixed"/>
              <w:tblCellMar>
                <w:top w:w="0" w:type="dxa"/>
                <w:left w:w="108" w:type="dxa"/>
                <w:bottom w:w="0" w:type="dxa"/>
                <w:right w:w="108" w:type="dxa"/>
              </w:tblCellMar>
            </w:tblPr>
            <w:tblGrid>
              <w:gridCol w:w="317"/>
              <w:gridCol w:w="318"/>
              <w:gridCol w:w="318"/>
              <w:gridCol w:w="3408"/>
              <w:gridCol w:w="1577"/>
              <w:gridCol w:w="1577"/>
              <w:gridCol w:w="1844"/>
              <w:gridCol w:w="1309"/>
              <w:gridCol w:w="1577"/>
              <w:gridCol w:w="1226"/>
              <w:gridCol w:w="1927"/>
            </w:tblGrid>
            <w:tr>
              <w:tblPrEx>
                <w:tblCellMar>
                  <w:top w:w="0" w:type="dxa"/>
                  <w:left w:w="108" w:type="dxa"/>
                  <w:bottom w:w="0" w:type="dxa"/>
                  <w:right w:w="108" w:type="dxa"/>
                </w:tblCellMar>
              </w:tblPrEx>
              <w:trPr>
                <w:trHeight w:val="375" w:hRule="atLeast"/>
              </w:trPr>
              <w:tc>
                <w:tcPr>
                  <w:tcW w:w="15393" w:type="dxa"/>
                  <w:gridSpan w:val="11"/>
                  <w:tcBorders>
                    <w:top w:val="nil"/>
                    <w:left w:val="nil"/>
                    <w:bottom w:val="nil"/>
                  </w:tcBorders>
                  <w:shd w:val="clear" w:color="auto" w:fill="FFFFFF" w:themeFill="background1"/>
                  <w:noWrap/>
                  <w:vAlign w:val="center"/>
                </w:tcPr>
                <w:p>
                  <w:pPr>
                    <w:widowControl/>
                    <w:jc w:val="center"/>
                    <w:rPr>
                      <w:rFonts w:ascii="宋体" w:hAnsi="宋体" w:eastAsia="宋体" w:cs="Arial"/>
                      <w:kern w:val="0"/>
                      <w:sz w:val="30"/>
                      <w:szCs w:val="30"/>
                    </w:rPr>
                  </w:pPr>
                  <w:r>
                    <w:rPr>
                      <w:rFonts w:hint="eastAsia" w:ascii="宋体" w:hAnsi="宋体" w:eastAsia="宋体" w:cs="Arial"/>
                      <w:kern w:val="0"/>
                      <w:sz w:val="30"/>
                      <w:szCs w:val="30"/>
                    </w:rPr>
                    <w:t>收入决算表</w:t>
                  </w:r>
                </w:p>
                <w:p>
                  <w:pPr>
                    <w:widowControl/>
                    <w:jc w:val="center"/>
                    <w:rPr>
                      <w:rFonts w:ascii="宋体" w:hAnsi="宋体" w:eastAsia="宋体" w:cs="Arial"/>
                      <w:kern w:val="0"/>
                      <w:sz w:val="30"/>
                      <w:szCs w:val="30"/>
                    </w:rPr>
                  </w:pPr>
                </w:p>
              </w:tc>
            </w:tr>
            <w:tr>
              <w:tblPrEx>
                <w:shd w:val="clear" w:color="auto" w:fill="FFFFFF" w:themeFill="background1"/>
                <w:tblCellMar>
                  <w:top w:w="0" w:type="dxa"/>
                  <w:left w:w="108" w:type="dxa"/>
                  <w:bottom w:w="0" w:type="dxa"/>
                  <w:right w:w="108" w:type="dxa"/>
                </w:tblCellMar>
              </w:tblPrEx>
              <w:trPr>
                <w:trHeight w:val="300" w:hRule="atLeast"/>
              </w:trPr>
              <w:tc>
                <w:tcPr>
                  <w:tcW w:w="318"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18"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18"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407"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76"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76"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843"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309"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76"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226"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926" w:type="dxa"/>
                  <w:tcBorders>
                    <w:top w:val="nil"/>
                    <w:left w:val="nil"/>
                    <w:bottom w:val="nil"/>
                  </w:tcBorders>
                  <w:shd w:val="clear" w:color="auto" w:fill="FFFFFF" w:themeFill="background1"/>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公开02表</w:t>
                  </w:r>
                </w:p>
              </w:tc>
            </w:tr>
            <w:tr>
              <w:tblPrEx>
                <w:shd w:val="clear" w:color="auto" w:fill="FFFFFF" w:themeFill="background1"/>
                <w:tblCellMar>
                  <w:top w:w="0" w:type="dxa"/>
                  <w:left w:w="108" w:type="dxa"/>
                  <w:bottom w:w="0" w:type="dxa"/>
                  <w:right w:w="108" w:type="dxa"/>
                </w:tblCellMar>
              </w:tblPrEx>
              <w:trPr>
                <w:trHeight w:val="300" w:hRule="atLeast"/>
              </w:trPr>
              <w:tc>
                <w:tcPr>
                  <w:tcW w:w="4361" w:type="dxa"/>
                  <w:gridSpan w:val="4"/>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部门：湖南省网球足球运动管理中心</w:t>
                  </w:r>
                </w:p>
              </w:tc>
              <w:tc>
                <w:tcPr>
                  <w:tcW w:w="1576" w:type="dxa"/>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76" w:type="dxa"/>
                  <w:tcBorders>
                    <w:top w:val="nil"/>
                    <w:left w:val="nil"/>
                    <w:bottom w:val="single" w:color="808080" w:sz="4" w:space="0"/>
                    <w:right w:val="nil"/>
                  </w:tcBorders>
                  <w:shd w:val="clear" w:color="auto" w:fill="FFFFFF" w:themeFill="background1"/>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843" w:type="dxa"/>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309" w:type="dxa"/>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76" w:type="dxa"/>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226" w:type="dxa"/>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926" w:type="dxa"/>
                  <w:tcBorders>
                    <w:top w:val="nil"/>
                    <w:left w:val="nil"/>
                    <w:bottom w:val="single" w:color="auto" w:sz="4" w:space="0"/>
                  </w:tcBorders>
                  <w:shd w:val="clear" w:color="auto" w:fill="FFFFFF" w:themeFill="background1"/>
                  <w:noWrap/>
                  <w:vAlign w:val="center"/>
                </w:tcPr>
                <w:p>
                  <w:pPr>
                    <w:widowControl/>
                    <w:ind w:right="110"/>
                    <w:jc w:val="right"/>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shd w:val="clear" w:color="auto" w:fill="FFFFFF" w:themeFill="background1"/>
                <w:tblCellMar>
                  <w:top w:w="0" w:type="dxa"/>
                  <w:left w:w="108" w:type="dxa"/>
                  <w:bottom w:w="0" w:type="dxa"/>
                  <w:right w:w="108" w:type="dxa"/>
                </w:tblCellMar>
              </w:tblPrEx>
              <w:trPr>
                <w:trHeight w:val="300" w:hRule="atLeast"/>
              </w:trPr>
              <w:tc>
                <w:tcPr>
                  <w:tcW w:w="4361" w:type="dxa"/>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1576" w:type="dxa"/>
                  <w:vMerge w:val="restart"/>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本年收入合计</w:t>
                  </w:r>
                </w:p>
              </w:tc>
              <w:tc>
                <w:tcPr>
                  <w:tcW w:w="1576" w:type="dxa"/>
                  <w:vMerge w:val="restart"/>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财政拨款收入</w:t>
                  </w:r>
                </w:p>
              </w:tc>
              <w:tc>
                <w:tcPr>
                  <w:tcW w:w="1843" w:type="dxa"/>
                  <w:vMerge w:val="restart"/>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上级补助收入</w:t>
                  </w:r>
                </w:p>
              </w:tc>
              <w:tc>
                <w:tcPr>
                  <w:tcW w:w="1309" w:type="dxa"/>
                  <w:vMerge w:val="restart"/>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事业收入</w:t>
                  </w:r>
                </w:p>
              </w:tc>
              <w:tc>
                <w:tcPr>
                  <w:tcW w:w="1576" w:type="dxa"/>
                  <w:vMerge w:val="restart"/>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经营收入</w:t>
                  </w:r>
                </w:p>
              </w:tc>
              <w:tc>
                <w:tcPr>
                  <w:tcW w:w="1226" w:type="dxa"/>
                  <w:vMerge w:val="restart"/>
                  <w:tcBorders>
                    <w:top w:val="nil"/>
                    <w:left w:val="nil"/>
                    <w:bottom w:val="single" w:color="000000" w:sz="4" w:space="0"/>
                    <w:right w:val="single" w:color="auto"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附属单位上缴收入</w:t>
                  </w:r>
                </w:p>
              </w:tc>
              <w:tc>
                <w:tcPr>
                  <w:tcW w:w="1926" w:type="dxa"/>
                  <w:vMerge w:val="restar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其他收入</w:t>
                  </w:r>
                </w:p>
              </w:tc>
            </w:tr>
            <w:tr>
              <w:tblPrEx>
                <w:shd w:val="clear" w:color="auto" w:fill="FFFFFF" w:themeFill="background1"/>
                <w:tblCellMar>
                  <w:top w:w="0" w:type="dxa"/>
                  <w:left w:w="108" w:type="dxa"/>
                  <w:bottom w:w="0" w:type="dxa"/>
                  <w:right w:w="108" w:type="dxa"/>
                </w:tblCellMar>
              </w:tblPrEx>
              <w:trPr>
                <w:trHeight w:val="312" w:hRule="atLeast"/>
              </w:trPr>
              <w:tc>
                <w:tcPr>
                  <w:tcW w:w="954" w:type="dxa"/>
                  <w:gridSpan w:val="3"/>
                  <w:vMerge w:val="restart"/>
                  <w:tcBorders>
                    <w:top w:val="nil"/>
                    <w:left w:val="single" w:color="000000" w:sz="4" w:space="0"/>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功能分类科目编码</w:t>
                  </w:r>
                </w:p>
              </w:tc>
              <w:tc>
                <w:tcPr>
                  <w:tcW w:w="3407" w:type="dxa"/>
                  <w:vMerge w:val="restart"/>
                  <w:tcBorders>
                    <w:top w:val="nil"/>
                    <w:left w:val="nil"/>
                    <w:bottom w:val="single" w:color="000000" w:sz="4" w:space="0"/>
                    <w:right w:val="single" w:color="000000" w:sz="4" w:space="0"/>
                  </w:tcBorders>
                  <w:shd w:val="clear" w:color="auto" w:fill="FFFFFF" w:themeFill="background1"/>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843"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309"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226" w:type="dxa"/>
                  <w:vMerge w:val="continue"/>
                  <w:tcBorders>
                    <w:top w:val="nil"/>
                    <w:left w:val="nil"/>
                    <w:bottom w:val="single" w:color="000000"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926"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r>
            <w:tr>
              <w:tblPrEx>
                <w:shd w:val="clear" w:color="auto" w:fill="FFFFFF" w:themeFill="background1"/>
                <w:tblCellMar>
                  <w:top w:w="0" w:type="dxa"/>
                  <w:left w:w="108" w:type="dxa"/>
                  <w:bottom w:w="0" w:type="dxa"/>
                  <w:right w:w="108" w:type="dxa"/>
                </w:tblCellMar>
              </w:tblPrEx>
              <w:trPr>
                <w:trHeight w:val="312" w:hRule="atLeast"/>
              </w:trPr>
              <w:tc>
                <w:tcPr>
                  <w:tcW w:w="954" w:type="dxa"/>
                  <w:gridSpan w:val="3"/>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3407"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843"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309"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226" w:type="dxa"/>
                  <w:vMerge w:val="continue"/>
                  <w:tcBorders>
                    <w:top w:val="nil"/>
                    <w:left w:val="nil"/>
                    <w:bottom w:val="single" w:color="000000"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926"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r>
            <w:tr>
              <w:tblPrEx>
                <w:shd w:val="clear" w:color="auto" w:fill="FFFFFF" w:themeFill="background1"/>
                <w:tblCellMar>
                  <w:top w:w="0" w:type="dxa"/>
                  <w:left w:w="108" w:type="dxa"/>
                  <w:bottom w:w="0" w:type="dxa"/>
                  <w:right w:w="108" w:type="dxa"/>
                </w:tblCellMar>
              </w:tblPrEx>
              <w:trPr>
                <w:trHeight w:val="312" w:hRule="atLeast"/>
              </w:trPr>
              <w:tc>
                <w:tcPr>
                  <w:tcW w:w="954" w:type="dxa"/>
                  <w:gridSpan w:val="3"/>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3407"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843"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309"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576"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226" w:type="dxa"/>
                  <w:vMerge w:val="continue"/>
                  <w:tcBorders>
                    <w:top w:val="nil"/>
                    <w:left w:val="nil"/>
                    <w:bottom w:val="single" w:color="000000"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926"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r>
            <w:tr>
              <w:tblPrEx>
                <w:tblCellMar>
                  <w:top w:w="0" w:type="dxa"/>
                  <w:left w:w="108" w:type="dxa"/>
                  <w:bottom w:w="0" w:type="dxa"/>
                  <w:right w:w="108" w:type="dxa"/>
                </w:tblCellMar>
              </w:tblPrEx>
              <w:trPr>
                <w:trHeight w:val="300" w:hRule="atLeast"/>
              </w:trPr>
              <w:tc>
                <w:tcPr>
                  <w:tcW w:w="4361" w:type="dxa"/>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栏次</w:t>
                  </w:r>
                </w:p>
              </w:tc>
              <w:tc>
                <w:tcPr>
                  <w:tcW w:w="1576"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576"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843"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309"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576"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1226"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c>
                <w:tcPr>
                  <w:tcW w:w="1926" w:type="dxa"/>
                  <w:tcBorders>
                    <w:top w:val="single" w:color="auto" w:sz="4" w:space="0"/>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7</w:t>
                  </w:r>
                </w:p>
              </w:tc>
            </w:tr>
            <w:tr>
              <w:tblPrEx>
                <w:shd w:val="clear" w:color="auto" w:fill="FFFFFF" w:themeFill="background1"/>
                <w:tblCellMar>
                  <w:top w:w="0" w:type="dxa"/>
                  <w:left w:w="108" w:type="dxa"/>
                  <w:bottom w:w="0" w:type="dxa"/>
                  <w:right w:w="108" w:type="dxa"/>
                </w:tblCellMar>
              </w:tblPrEx>
              <w:trPr>
                <w:trHeight w:val="300" w:hRule="atLeast"/>
              </w:trPr>
              <w:tc>
                <w:tcPr>
                  <w:tcW w:w="4361" w:type="dxa"/>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3730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3730</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文化旅游体育与传媒支出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2641.2</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2641.2</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20703</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体育</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2266.2</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2266.2</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2070304</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运动项目管理</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963.2</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963.2</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2070305</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体育竞赛</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160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160</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2070307</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体育场馆</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60</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2070399</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其他体育支出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1083</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1083</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20799</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其他文化旅游体育与传媒支出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375</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375</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2079999</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其他文化旅游体育与传媒支出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375</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375</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208</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社会保障和就业支出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68.4</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68.4</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20805</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行政事业单位养老支出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68.4</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68.4</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2080505</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机关事业单位基本养老保险缴费支出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68.4</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68.4</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210</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卫生健康支出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37.4</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37.4</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21011</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行政事业单位医疗</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37.4</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37.4</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2101102</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事业单位医疗</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37.4</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37.4</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其他支出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983</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983</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22960</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彩票公益金安排的支出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983</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983</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CellMar>
                  <w:top w:w="0" w:type="dxa"/>
                  <w:left w:w="108" w:type="dxa"/>
                  <w:bottom w:w="0" w:type="dxa"/>
                  <w:right w:w="108" w:type="dxa"/>
                </w:tblCellMar>
              </w:tblPrEx>
              <w:trPr>
                <w:trHeight w:val="300" w:hRule="atLeast"/>
              </w:trPr>
              <w:tc>
                <w:tcPr>
                  <w:tcW w:w="954"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2296003</w:t>
                  </w:r>
                </w:p>
              </w:tc>
              <w:tc>
                <w:tcPr>
                  <w:tcW w:w="3407"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用于体育事业的彩票公益金支出</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983</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983</w:t>
                  </w:r>
                </w:p>
              </w:tc>
              <w:tc>
                <w:tcPr>
                  <w:tcW w:w="1843"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309"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57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2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926"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15393" w:type="dxa"/>
                  <w:gridSpan w:val="11"/>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注：本表反映部门本年度取得的各项收入情况。</w:t>
                  </w:r>
                </w:p>
              </w:tc>
            </w:tr>
          </w:tbl>
          <w:tbl>
            <w:tblPr>
              <w:tblStyle w:val="7"/>
              <w:tblpPr w:leftFromText="180" w:rightFromText="180" w:vertAnchor="text" w:horzAnchor="page" w:tblpX="88" w:tblpY="-10"/>
              <w:tblOverlap w:val="never"/>
              <w:tblW w:w="15398" w:type="dxa"/>
              <w:tblInd w:w="0" w:type="dxa"/>
              <w:shd w:val="clear" w:color="auto" w:fill="FFFFFF" w:themeFill="background1"/>
              <w:tblLayout w:type="fixed"/>
              <w:tblCellMar>
                <w:top w:w="0" w:type="dxa"/>
                <w:left w:w="108" w:type="dxa"/>
                <w:bottom w:w="0" w:type="dxa"/>
                <w:right w:w="108" w:type="dxa"/>
              </w:tblCellMar>
            </w:tblPr>
            <w:tblGrid>
              <w:gridCol w:w="330"/>
              <w:gridCol w:w="331"/>
              <w:gridCol w:w="331"/>
              <w:gridCol w:w="3840"/>
              <w:gridCol w:w="1761"/>
              <w:gridCol w:w="1761"/>
              <w:gridCol w:w="1761"/>
              <w:gridCol w:w="1761"/>
              <w:gridCol w:w="1761"/>
              <w:gridCol w:w="1761"/>
            </w:tblGrid>
            <w:tr>
              <w:tblPrEx>
                <w:shd w:val="clear" w:color="auto" w:fill="FFFFFF" w:themeFill="background1"/>
                <w:tblCellMar>
                  <w:top w:w="0" w:type="dxa"/>
                  <w:left w:w="108" w:type="dxa"/>
                  <w:bottom w:w="0" w:type="dxa"/>
                  <w:right w:w="108" w:type="dxa"/>
                </w:tblCellMar>
              </w:tblPrEx>
              <w:trPr>
                <w:trHeight w:val="375" w:hRule="atLeast"/>
              </w:trPr>
              <w:tc>
                <w:tcPr>
                  <w:tcW w:w="15398" w:type="dxa"/>
                  <w:gridSpan w:val="10"/>
                  <w:tcBorders>
                    <w:top w:val="nil"/>
                    <w:left w:val="nil"/>
                    <w:bottom w:val="nil"/>
                  </w:tcBorders>
                  <w:shd w:val="clear" w:color="auto" w:fill="FFFFFF" w:themeFill="background1"/>
                  <w:noWrap/>
                  <w:vAlign w:val="center"/>
                </w:tcPr>
                <w:p>
                  <w:pPr>
                    <w:widowControl/>
                    <w:jc w:val="center"/>
                    <w:rPr>
                      <w:rFonts w:ascii="宋体" w:hAnsi="宋体" w:eastAsia="宋体" w:cs="Arial"/>
                      <w:kern w:val="0"/>
                      <w:sz w:val="18"/>
                      <w:szCs w:val="18"/>
                    </w:rPr>
                  </w:pPr>
                </w:p>
                <w:p>
                  <w:pPr>
                    <w:widowControl/>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支出决算表</w:t>
                  </w:r>
                </w:p>
                <w:p>
                  <w:pPr>
                    <w:widowControl/>
                    <w:jc w:val="center"/>
                    <w:rPr>
                      <w:rFonts w:ascii="宋体" w:hAnsi="宋体" w:eastAsia="宋体" w:cs="Arial"/>
                      <w:kern w:val="0"/>
                      <w:sz w:val="18"/>
                      <w:szCs w:val="18"/>
                    </w:rPr>
                  </w:pPr>
                </w:p>
              </w:tc>
            </w:tr>
            <w:tr>
              <w:tblPrEx>
                <w:shd w:val="clear" w:color="auto" w:fill="FFFFFF" w:themeFill="background1"/>
                <w:tblCellMar>
                  <w:top w:w="0" w:type="dxa"/>
                  <w:left w:w="108" w:type="dxa"/>
                  <w:bottom w:w="0" w:type="dxa"/>
                  <w:right w:w="108" w:type="dxa"/>
                </w:tblCellMar>
              </w:tblPrEx>
              <w:trPr>
                <w:trHeight w:val="300" w:hRule="atLeast"/>
              </w:trPr>
              <w:tc>
                <w:tcPr>
                  <w:tcW w:w="330"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31"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31"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840"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nil"/>
                  </w:tcBorders>
                  <w:shd w:val="clear" w:color="auto" w:fill="FFFFFF" w:themeFill="background1"/>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公开03表</w:t>
                  </w:r>
                </w:p>
              </w:tc>
            </w:tr>
            <w:tr>
              <w:tblPrEx>
                <w:shd w:val="clear" w:color="auto" w:fill="FFFFFF" w:themeFill="background1"/>
                <w:tblCellMar>
                  <w:top w:w="0" w:type="dxa"/>
                  <w:left w:w="108" w:type="dxa"/>
                  <w:bottom w:w="0" w:type="dxa"/>
                  <w:right w:w="108" w:type="dxa"/>
                </w:tblCellMar>
              </w:tblPrEx>
              <w:trPr>
                <w:trHeight w:val="300" w:hRule="atLeast"/>
              </w:trPr>
              <w:tc>
                <w:tcPr>
                  <w:tcW w:w="4832" w:type="dxa"/>
                  <w:gridSpan w:val="4"/>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部门：湖南省网球足球运动管理中心</w:t>
                  </w:r>
                </w:p>
              </w:tc>
              <w:tc>
                <w:tcPr>
                  <w:tcW w:w="1761" w:type="dxa"/>
                  <w:tcBorders>
                    <w:top w:val="nil"/>
                    <w:left w:val="nil"/>
                    <w:bottom w:val="single" w:color="808080" w:sz="4" w:space="0"/>
                    <w:right w:val="nil"/>
                  </w:tcBorders>
                  <w:shd w:val="clear" w:color="auto" w:fill="FFFFFF" w:themeFill="background1"/>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761" w:type="dxa"/>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single" w:color="808080"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single" w:color="auto" w:sz="4" w:space="0"/>
                    <w:right w:val="nil"/>
                  </w:tcBorders>
                  <w:shd w:val="clear" w:color="auto" w:fill="FFFFFF" w:themeFill="background1"/>
                  <w:noWrap/>
                  <w:vAlign w:val="center"/>
                </w:tcPr>
                <w:p>
                  <w:pPr>
                    <w:widowControl/>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761" w:type="dxa"/>
                  <w:tcBorders>
                    <w:top w:val="nil"/>
                    <w:left w:val="nil"/>
                    <w:bottom w:val="single" w:color="auto" w:sz="4" w:space="0"/>
                  </w:tcBorders>
                  <w:shd w:val="clear" w:color="auto" w:fill="FFFFFF" w:themeFill="background1"/>
                  <w:noWrap/>
                  <w:vAlign w:val="center"/>
                </w:tcPr>
                <w:p>
                  <w:pPr>
                    <w:widowControl/>
                    <w:jc w:val="right"/>
                    <w:rPr>
                      <w:rFonts w:ascii="宋体" w:hAnsi="宋体" w:eastAsia="宋体" w:cs="Arial"/>
                      <w:color w:val="000000"/>
                      <w:kern w:val="0"/>
                      <w:sz w:val="22"/>
                    </w:rPr>
                  </w:pPr>
                  <w:r>
                    <w:rPr>
                      <w:rFonts w:hint="eastAsia" w:ascii="宋体" w:hAnsi="宋体" w:eastAsia="宋体" w:cs="Arial"/>
                      <w:color w:val="000000"/>
                      <w:kern w:val="0"/>
                      <w:sz w:val="22"/>
                    </w:rPr>
                    <w:t>金额单位：万元</w:t>
                  </w:r>
                </w:p>
              </w:tc>
            </w:tr>
            <w:tr>
              <w:tblPrEx>
                <w:shd w:val="clear" w:color="auto" w:fill="FFFFFF" w:themeFill="background1"/>
                <w:tblCellMar>
                  <w:top w:w="0" w:type="dxa"/>
                  <w:left w:w="108" w:type="dxa"/>
                  <w:bottom w:w="0" w:type="dxa"/>
                  <w:right w:w="108" w:type="dxa"/>
                </w:tblCellMar>
              </w:tblPrEx>
              <w:trPr>
                <w:trHeight w:val="300" w:hRule="atLeast"/>
              </w:trPr>
              <w:tc>
                <w:tcPr>
                  <w:tcW w:w="4832" w:type="dxa"/>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w:t>
                  </w:r>
                </w:p>
              </w:tc>
              <w:tc>
                <w:tcPr>
                  <w:tcW w:w="1761" w:type="dxa"/>
                  <w:vMerge w:val="restart"/>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本年支出合计</w:t>
                  </w:r>
                </w:p>
              </w:tc>
              <w:tc>
                <w:tcPr>
                  <w:tcW w:w="1761" w:type="dxa"/>
                  <w:vMerge w:val="restart"/>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基本支出</w:t>
                  </w:r>
                </w:p>
              </w:tc>
              <w:tc>
                <w:tcPr>
                  <w:tcW w:w="1761" w:type="dxa"/>
                  <w:vMerge w:val="restart"/>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项目支出</w:t>
                  </w:r>
                </w:p>
              </w:tc>
              <w:tc>
                <w:tcPr>
                  <w:tcW w:w="1761" w:type="dxa"/>
                  <w:vMerge w:val="restart"/>
                  <w:tcBorders>
                    <w:top w:val="nil"/>
                    <w:left w:val="nil"/>
                    <w:bottom w:val="single" w:color="000000" w:sz="4" w:space="0"/>
                    <w:right w:val="single" w:color="auto"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上缴上级支出</w:t>
                  </w:r>
                </w:p>
              </w:tc>
              <w:tc>
                <w:tcPr>
                  <w:tcW w:w="1761" w:type="dxa"/>
                  <w:vMerge w:val="restar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经营支出</w:t>
                  </w:r>
                </w:p>
              </w:tc>
              <w:tc>
                <w:tcPr>
                  <w:tcW w:w="1761" w:type="dxa"/>
                  <w:vMerge w:val="restar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对附属单位补助支出</w:t>
                  </w:r>
                </w:p>
              </w:tc>
            </w:tr>
            <w:tr>
              <w:tblPrEx>
                <w:shd w:val="clear" w:color="auto" w:fill="FFFFFF" w:themeFill="background1"/>
                <w:tblCellMar>
                  <w:top w:w="0" w:type="dxa"/>
                  <w:left w:w="108" w:type="dxa"/>
                  <w:bottom w:w="0" w:type="dxa"/>
                  <w:right w:w="108" w:type="dxa"/>
                </w:tblCellMar>
              </w:tblPrEx>
              <w:trPr>
                <w:trHeight w:val="312" w:hRule="atLeast"/>
              </w:trPr>
              <w:tc>
                <w:tcPr>
                  <w:tcW w:w="992" w:type="dxa"/>
                  <w:gridSpan w:val="3"/>
                  <w:vMerge w:val="restart"/>
                  <w:tcBorders>
                    <w:top w:val="nil"/>
                    <w:left w:val="single" w:color="000000" w:sz="4" w:space="0"/>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功能分类科目编码</w:t>
                  </w:r>
                </w:p>
              </w:tc>
              <w:tc>
                <w:tcPr>
                  <w:tcW w:w="3840" w:type="dxa"/>
                  <w:vMerge w:val="restart"/>
                  <w:tcBorders>
                    <w:top w:val="nil"/>
                    <w:left w:val="nil"/>
                    <w:bottom w:val="single" w:color="000000" w:sz="4" w:space="0"/>
                    <w:right w:val="single" w:color="000000" w:sz="4" w:space="0"/>
                  </w:tcBorders>
                  <w:shd w:val="clear" w:color="auto" w:fill="FFFFFF" w:themeFill="background1"/>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科目名称</w:t>
                  </w: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r>
            <w:tr>
              <w:tblPrEx>
                <w:shd w:val="clear" w:color="auto" w:fill="FFFFFF" w:themeFill="background1"/>
                <w:tblCellMar>
                  <w:top w:w="0" w:type="dxa"/>
                  <w:left w:w="108" w:type="dxa"/>
                  <w:bottom w:w="0" w:type="dxa"/>
                  <w:right w:w="108" w:type="dxa"/>
                </w:tblCellMar>
              </w:tblPrEx>
              <w:trPr>
                <w:trHeight w:val="312" w:hRule="atLeast"/>
              </w:trPr>
              <w:tc>
                <w:tcPr>
                  <w:tcW w:w="992" w:type="dxa"/>
                  <w:gridSpan w:val="3"/>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3840"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r>
            <w:tr>
              <w:tblPrEx>
                <w:tblCellMar>
                  <w:top w:w="0" w:type="dxa"/>
                  <w:left w:w="108" w:type="dxa"/>
                  <w:bottom w:w="0" w:type="dxa"/>
                  <w:right w:w="108" w:type="dxa"/>
                </w:tblCellMar>
              </w:tblPrEx>
              <w:trPr>
                <w:trHeight w:val="312" w:hRule="atLeast"/>
              </w:trPr>
              <w:tc>
                <w:tcPr>
                  <w:tcW w:w="992" w:type="dxa"/>
                  <w:gridSpan w:val="3"/>
                  <w:vMerge w:val="continue"/>
                  <w:tcBorders>
                    <w:top w:val="nil"/>
                    <w:left w:val="single" w:color="000000" w:sz="4" w:space="0"/>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3840"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000000"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nil"/>
                    <w:left w:val="nil"/>
                    <w:bottom w:val="single" w:color="000000"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c>
                <w:tcPr>
                  <w:tcW w:w="1761"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jc w:val="left"/>
                    <w:rPr>
                      <w:rFonts w:ascii="宋体" w:hAnsi="宋体" w:eastAsia="宋体" w:cs="Arial"/>
                      <w:kern w:val="0"/>
                      <w:sz w:val="20"/>
                      <w:szCs w:val="20"/>
                    </w:rPr>
                  </w:pPr>
                </w:p>
              </w:tc>
            </w:tr>
            <w:tr>
              <w:tblPrEx>
                <w:shd w:val="clear" w:color="auto" w:fill="FFFFFF" w:themeFill="background1"/>
                <w:tblCellMar>
                  <w:top w:w="0" w:type="dxa"/>
                  <w:left w:w="108" w:type="dxa"/>
                  <w:bottom w:w="0" w:type="dxa"/>
                  <w:right w:w="108" w:type="dxa"/>
                </w:tblCellMar>
              </w:tblPrEx>
              <w:trPr>
                <w:trHeight w:val="300" w:hRule="atLeast"/>
              </w:trPr>
              <w:tc>
                <w:tcPr>
                  <w:tcW w:w="4832" w:type="dxa"/>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栏次</w:t>
                  </w:r>
                </w:p>
              </w:tc>
              <w:tc>
                <w:tcPr>
                  <w:tcW w:w="1761"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761"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761"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761" w:type="dxa"/>
                  <w:tcBorders>
                    <w:top w:val="nil"/>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761" w:type="dxa"/>
                  <w:tcBorders>
                    <w:top w:val="single" w:color="auto" w:sz="4" w:space="0"/>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1761" w:type="dxa"/>
                  <w:tcBorders>
                    <w:top w:val="single" w:color="auto" w:sz="4" w:space="0"/>
                    <w:left w:val="nil"/>
                    <w:bottom w:val="single" w:color="000000" w:sz="4" w:space="0"/>
                    <w:right w:val="single" w:color="000000" w:sz="4" w:space="0"/>
                  </w:tcBorders>
                  <w:shd w:val="clear" w:color="auto" w:fill="FFFFFF" w:themeFill="background1"/>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6</w:t>
                  </w:r>
                </w:p>
              </w:tc>
            </w:tr>
            <w:tr>
              <w:tblPrEx>
                <w:shd w:val="clear" w:color="auto" w:fill="FFFFFF" w:themeFill="background1"/>
                <w:tblCellMar>
                  <w:top w:w="0" w:type="dxa"/>
                  <w:left w:w="108" w:type="dxa"/>
                  <w:bottom w:w="0" w:type="dxa"/>
                  <w:right w:w="108" w:type="dxa"/>
                </w:tblCellMar>
              </w:tblPrEx>
              <w:trPr>
                <w:trHeight w:val="300" w:hRule="atLeast"/>
              </w:trPr>
              <w:tc>
                <w:tcPr>
                  <w:tcW w:w="4832" w:type="dxa"/>
                  <w:gridSpan w:val="4"/>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合计</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4479.59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910.7</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3568.89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文化旅游体育与传媒支出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2740.12</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804.9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1935.22</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20703</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体育</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2237.79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804.9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1432.89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2070304</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运动项目管理</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962.9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804.9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158</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2070305</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ind w:firstLine="200" w:firstLineChars="100"/>
                    <w:jc w:val="left"/>
                    <w:rPr>
                      <w:rFonts w:ascii="宋体" w:hAnsi="宋体" w:eastAsia="宋体" w:cs="Arial"/>
                      <w:kern w:val="0"/>
                      <w:sz w:val="20"/>
                      <w:szCs w:val="20"/>
                    </w:rPr>
                  </w:pPr>
                  <w:r>
                    <w:rPr>
                      <w:rFonts w:hint="eastAsia" w:ascii="宋体" w:hAnsi="宋体" w:eastAsia="宋体" w:cs="Arial"/>
                      <w:kern w:val="0"/>
                      <w:sz w:val="20"/>
                      <w:szCs w:val="20"/>
                    </w:rPr>
                    <w:t xml:space="preserve">体育竞赛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160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160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r>
            <w:tr>
              <w:tblPrEx>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2070307</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体育场馆</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72</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72</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2070399</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其他体育支出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1042.89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1042.89</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20799</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其他文化旅游体育与传媒支出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502.33</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502.33</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2079999</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其他文化旅游体育与传媒支出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502.33</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502.33</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208</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社会保障和就业支出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68.4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68.4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20805</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行政事业单位养老支出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68.4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68.4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2080505</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机关事业单位基本养老保险缴费支出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68.4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68.4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210</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卫生健康支出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21011</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行政事业单位医疗</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37.4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kern w:val="0"/>
                      <w:sz w:val="20"/>
                      <w:szCs w:val="20"/>
                    </w:rPr>
                    <w:t>2101102</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ind w:firstLine="200" w:firstLineChars="100"/>
                    <w:jc w:val="left"/>
                    <w:rPr>
                      <w:rFonts w:ascii="宋体" w:hAnsi="宋体" w:eastAsia="宋体" w:cs="Arial"/>
                      <w:b/>
                      <w:bCs/>
                      <w:kern w:val="0"/>
                      <w:sz w:val="20"/>
                      <w:szCs w:val="20"/>
                    </w:rPr>
                  </w:pPr>
                  <w:r>
                    <w:rPr>
                      <w:rFonts w:hint="eastAsia" w:ascii="宋体" w:hAnsi="宋体" w:eastAsia="宋体" w:cs="Arial"/>
                      <w:kern w:val="0"/>
                      <w:sz w:val="20"/>
                      <w:szCs w:val="20"/>
                    </w:rPr>
                    <w:t>事业单位医疗</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37.4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37.4</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其他支出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1633.67</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1633.67</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22960</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b/>
                      <w:bCs/>
                      <w:kern w:val="0"/>
                      <w:sz w:val="20"/>
                      <w:szCs w:val="20"/>
                    </w:rPr>
                  </w:pPr>
                  <w:r>
                    <w:rPr>
                      <w:rFonts w:hint="eastAsia" w:ascii="宋体" w:hAnsi="宋体" w:eastAsia="宋体" w:cs="Arial"/>
                      <w:b/>
                      <w:bCs/>
                      <w:kern w:val="0"/>
                      <w:sz w:val="20"/>
                      <w:szCs w:val="20"/>
                    </w:rPr>
                    <w:t>彩票公益金安排的支出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1633.67</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1633.67</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b/>
                      <w:bCs/>
                      <w:kern w:val="0"/>
                      <w:sz w:val="20"/>
                      <w:szCs w:val="20"/>
                    </w:rPr>
                  </w:pPr>
                  <w:r>
                    <w:rPr>
                      <w:rFonts w:hint="eastAsia" w:ascii="宋体" w:hAnsi="宋体" w:eastAsia="宋体" w:cs="Arial"/>
                      <w:b/>
                      <w:bCs/>
                      <w:kern w:val="0"/>
                      <w:sz w:val="20"/>
                      <w:szCs w:val="20"/>
                    </w:rPr>
                    <w:t>0.00</w:t>
                  </w:r>
                </w:p>
              </w:tc>
            </w:tr>
            <w:tr>
              <w:tblPrEx>
                <w:shd w:val="clear" w:color="auto" w:fill="FFFFFF" w:themeFill="background1"/>
                <w:tblCellMar>
                  <w:top w:w="0" w:type="dxa"/>
                  <w:left w:w="108" w:type="dxa"/>
                  <w:bottom w:w="0" w:type="dxa"/>
                  <w:right w:w="108" w:type="dxa"/>
                </w:tblCellMar>
              </w:tblPrEx>
              <w:trPr>
                <w:trHeight w:val="300" w:hRule="atLeast"/>
              </w:trPr>
              <w:tc>
                <w:tcPr>
                  <w:tcW w:w="992" w:type="dxa"/>
                  <w:gridSpan w:val="3"/>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2296003</w:t>
                  </w:r>
                </w:p>
              </w:tc>
              <w:tc>
                <w:tcPr>
                  <w:tcW w:w="3840" w:type="dxa"/>
                  <w:tcBorders>
                    <w:top w:val="nil"/>
                    <w:left w:val="nil"/>
                    <w:bottom w:val="single" w:color="000000" w:sz="4" w:space="0"/>
                    <w:right w:val="single" w:color="000000" w:sz="4" w:space="0"/>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 xml:space="preserve">  用于体育事业的彩票公益金支出</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1633.67</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1633.67</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761" w:type="dxa"/>
                  <w:tcBorders>
                    <w:top w:val="nil"/>
                    <w:left w:val="nil"/>
                    <w:bottom w:val="single" w:color="000000" w:sz="4" w:space="0"/>
                    <w:right w:val="single" w:color="000000" w:sz="4" w:space="0"/>
                  </w:tcBorders>
                  <w:shd w:val="clear" w:color="auto" w:fill="FFFFFF" w:themeFill="background1"/>
                  <w:noWrap/>
                  <w:vAlign w:val="center"/>
                </w:tcPr>
                <w:p>
                  <w:pPr>
                    <w:widowControl/>
                    <w:jc w:val="right"/>
                    <w:rPr>
                      <w:rFonts w:ascii="宋体" w:hAnsi="宋体" w:eastAsia="宋体" w:cs="Arial"/>
                      <w:kern w:val="0"/>
                      <w:sz w:val="20"/>
                      <w:szCs w:val="20"/>
                    </w:rPr>
                  </w:pPr>
                  <w:r>
                    <w:rPr>
                      <w:rFonts w:hint="eastAsia" w:ascii="宋体" w:hAnsi="宋体" w:eastAsia="宋体" w:cs="Arial"/>
                      <w:kern w:val="0"/>
                      <w:sz w:val="20"/>
                      <w:szCs w:val="20"/>
                    </w:rPr>
                    <w:t>0.00</w:t>
                  </w:r>
                </w:p>
              </w:tc>
            </w:tr>
            <w:tr>
              <w:tblPrEx>
                <w:tblCellMar>
                  <w:top w:w="0" w:type="dxa"/>
                  <w:left w:w="108" w:type="dxa"/>
                  <w:bottom w:w="0" w:type="dxa"/>
                  <w:right w:w="108" w:type="dxa"/>
                </w:tblCellMar>
              </w:tblPrEx>
              <w:trPr>
                <w:trHeight w:val="300" w:hRule="atLeast"/>
              </w:trPr>
              <w:tc>
                <w:tcPr>
                  <w:tcW w:w="15398" w:type="dxa"/>
                  <w:gridSpan w:val="10"/>
                  <w:tcBorders>
                    <w:top w:val="nil"/>
                    <w:left w:val="nil"/>
                    <w:bottom w:val="nil"/>
                    <w:right w:val="nil"/>
                  </w:tcBorders>
                  <w:shd w:val="clear" w:color="auto" w:fill="FFFFFF" w:themeFill="background1"/>
                  <w:noWrap/>
                  <w:vAlign w:val="center"/>
                </w:tcPr>
                <w:p>
                  <w:pPr>
                    <w:widowControl/>
                    <w:jc w:val="left"/>
                    <w:rPr>
                      <w:rFonts w:ascii="宋体" w:hAnsi="宋体" w:eastAsia="宋体" w:cs="Arial"/>
                      <w:kern w:val="0"/>
                      <w:sz w:val="20"/>
                      <w:szCs w:val="20"/>
                    </w:rPr>
                  </w:pPr>
                  <w:r>
                    <w:rPr>
                      <w:rFonts w:hint="eastAsia" w:ascii="宋体" w:hAnsi="宋体" w:eastAsia="宋体" w:cs="Arial"/>
                      <w:kern w:val="0"/>
                      <w:sz w:val="20"/>
                      <w:szCs w:val="20"/>
                    </w:rPr>
                    <w:t>注：本表反映部门本年度各项支出情况。</w:t>
                  </w:r>
                </w:p>
              </w:tc>
            </w:tr>
          </w:tbl>
          <w:p>
            <w:pPr>
              <w:jc w:val="center"/>
              <w:rPr>
                <w:rFonts w:ascii="华文中宋" w:hAnsi="华文中宋" w:eastAsia="华文中宋"/>
                <w:color w:val="000000"/>
                <w:sz w:val="32"/>
                <w:szCs w:val="32"/>
              </w:rPr>
            </w:pPr>
          </w:p>
          <w:tbl>
            <w:tblPr>
              <w:tblStyle w:val="7"/>
              <w:tblpPr w:leftFromText="180" w:rightFromText="180" w:vertAnchor="text" w:horzAnchor="page" w:tblpX="68" w:tblpY="-1"/>
              <w:tblOverlap w:val="never"/>
              <w:tblW w:w="15398" w:type="dxa"/>
              <w:tblInd w:w="0" w:type="dxa"/>
              <w:tblLayout w:type="fixed"/>
              <w:tblCellMar>
                <w:top w:w="0" w:type="dxa"/>
                <w:left w:w="108" w:type="dxa"/>
                <w:bottom w:w="0" w:type="dxa"/>
                <w:right w:w="108" w:type="dxa"/>
              </w:tblCellMar>
            </w:tblPr>
            <w:tblGrid>
              <w:gridCol w:w="2945"/>
              <w:gridCol w:w="258"/>
              <w:gridCol w:w="416"/>
              <w:gridCol w:w="67"/>
              <w:gridCol w:w="1444"/>
              <w:gridCol w:w="3211"/>
              <w:gridCol w:w="851"/>
              <w:gridCol w:w="1511"/>
              <w:gridCol w:w="212"/>
              <w:gridCol w:w="1319"/>
              <w:gridCol w:w="1531"/>
              <w:gridCol w:w="1633"/>
            </w:tblGrid>
            <w:tr>
              <w:tblPrEx>
                <w:tblCellMar>
                  <w:top w:w="0" w:type="dxa"/>
                  <w:left w:w="108" w:type="dxa"/>
                  <w:bottom w:w="0" w:type="dxa"/>
                  <w:right w:w="108" w:type="dxa"/>
                </w:tblCellMar>
              </w:tblPrEx>
              <w:trPr>
                <w:trHeight w:val="375" w:hRule="atLeast"/>
              </w:trPr>
              <w:tc>
                <w:tcPr>
                  <w:tcW w:w="2945" w:type="dxa"/>
                  <w:tcBorders>
                    <w:top w:val="nil"/>
                    <w:left w:val="nil"/>
                    <w:bottom w:val="nil"/>
                    <w:right w:val="nil"/>
                  </w:tcBorders>
                  <w:shd w:val="clear" w:color="000000" w:fill="FFFFFF"/>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741" w:type="dxa"/>
                  <w:gridSpan w:val="3"/>
                  <w:tcBorders>
                    <w:top w:val="nil"/>
                    <w:left w:val="nil"/>
                    <w:bottom w:val="nil"/>
                    <w:right w:val="nil"/>
                  </w:tcBorders>
                  <w:shd w:val="clear" w:color="000000" w:fill="FFFFFF"/>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44" w:type="dxa"/>
                  <w:tcBorders>
                    <w:top w:val="nil"/>
                    <w:left w:val="nil"/>
                    <w:bottom w:val="nil"/>
                    <w:right w:val="nil"/>
                  </w:tcBorders>
                  <w:shd w:val="clear" w:color="000000" w:fill="FFFFFF"/>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5573" w:type="dxa"/>
                  <w:gridSpan w:val="3"/>
                  <w:tcBorders>
                    <w:top w:val="nil"/>
                    <w:left w:val="nil"/>
                    <w:bottom w:val="nil"/>
                    <w:right w:val="nil"/>
                  </w:tcBorders>
                  <w:shd w:val="clear" w:color="000000" w:fill="FFFFFF" w:themeFill="background1"/>
                  <w:noWrap/>
                  <w:vAlign w:val="center"/>
                </w:tcPr>
                <w:p>
                  <w:pPr>
                    <w:widowControl/>
                    <w:shd w:val="clear" w:color="auto" w:fill="FFFFFF" w:themeFill="background1"/>
                    <w:jc w:val="center"/>
                    <w:rPr>
                      <w:rFonts w:ascii="黑体" w:hAnsi="黑体" w:eastAsia="黑体" w:cs="Arial"/>
                      <w:color w:val="000000"/>
                      <w:kern w:val="0"/>
                      <w:sz w:val="30"/>
                      <w:szCs w:val="30"/>
                    </w:rPr>
                  </w:pPr>
                </w:p>
                <w:p>
                  <w:pPr>
                    <w:widowControl/>
                    <w:shd w:val="clear" w:color="auto" w:fill="FFFFFF" w:themeFill="background1"/>
                    <w:jc w:val="center"/>
                    <w:rPr>
                      <w:rFonts w:ascii="黑体" w:hAnsi="黑体" w:eastAsia="黑体" w:cs="Arial"/>
                      <w:color w:val="000000"/>
                      <w:kern w:val="0"/>
                      <w:sz w:val="30"/>
                      <w:szCs w:val="30"/>
                    </w:rPr>
                  </w:pPr>
                  <w:r>
                    <w:rPr>
                      <w:rFonts w:hint="eastAsia" w:ascii="黑体" w:hAnsi="黑体" w:eastAsia="黑体" w:cs="Arial"/>
                      <w:color w:val="000000"/>
                      <w:kern w:val="0"/>
                      <w:sz w:val="30"/>
                      <w:szCs w:val="30"/>
                    </w:rPr>
                    <w:t>财政拨款收入支出决算总表</w:t>
                  </w:r>
                </w:p>
              </w:tc>
              <w:tc>
                <w:tcPr>
                  <w:tcW w:w="1531" w:type="dxa"/>
                  <w:gridSpan w:val="2"/>
                  <w:tcBorders>
                    <w:top w:val="nil"/>
                    <w:left w:val="nil"/>
                    <w:bottom w:val="nil"/>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31" w:type="dxa"/>
                  <w:tcBorders>
                    <w:top w:val="nil"/>
                    <w:left w:val="nil"/>
                    <w:bottom w:val="nil"/>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633" w:type="dxa"/>
                  <w:tcBorders>
                    <w:top w:val="nil"/>
                    <w:left w:val="nil"/>
                    <w:bottom w:val="nil"/>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r>
            <w:tr>
              <w:tblPrEx>
                <w:tblCellMar>
                  <w:top w:w="0" w:type="dxa"/>
                  <w:left w:w="108" w:type="dxa"/>
                  <w:bottom w:w="0" w:type="dxa"/>
                  <w:right w:w="108" w:type="dxa"/>
                </w:tblCellMar>
              </w:tblPrEx>
              <w:trPr>
                <w:trHeight w:val="300" w:hRule="atLeast"/>
              </w:trPr>
              <w:tc>
                <w:tcPr>
                  <w:tcW w:w="2945" w:type="dxa"/>
                  <w:tcBorders>
                    <w:top w:val="nil"/>
                    <w:left w:val="nil"/>
                    <w:bottom w:val="nil"/>
                    <w:right w:val="nil"/>
                  </w:tcBorders>
                  <w:shd w:val="clear" w:color="000000" w:fill="FFFFFF"/>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741" w:type="dxa"/>
                  <w:gridSpan w:val="3"/>
                  <w:tcBorders>
                    <w:top w:val="nil"/>
                    <w:left w:val="nil"/>
                    <w:bottom w:val="nil"/>
                    <w:right w:val="nil"/>
                  </w:tcBorders>
                  <w:shd w:val="clear" w:color="000000" w:fill="FFFFFF"/>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444" w:type="dxa"/>
                  <w:tcBorders>
                    <w:top w:val="nil"/>
                    <w:left w:val="nil"/>
                    <w:bottom w:val="nil"/>
                    <w:right w:val="nil"/>
                  </w:tcBorders>
                  <w:shd w:val="clear" w:color="000000" w:fill="FFFFFF"/>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211" w:type="dxa"/>
                  <w:tcBorders>
                    <w:top w:val="nil"/>
                    <w:left w:val="nil"/>
                    <w:bottom w:val="nil"/>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851" w:type="dxa"/>
                  <w:tcBorders>
                    <w:top w:val="nil"/>
                    <w:left w:val="nil"/>
                    <w:bottom w:val="nil"/>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11" w:type="dxa"/>
                  <w:tcBorders>
                    <w:top w:val="nil"/>
                    <w:left w:val="nil"/>
                    <w:bottom w:val="nil"/>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31" w:type="dxa"/>
                  <w:gridSpan w:val="2"/>
                  <w:tcBorders>
                    <w:top w:val="nil"/>
                    <w:left w:val="nil"/>
                    <w:bottom w:val="nil"/>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31" w:type="dxa"/>
                  <w:tcBorders>
                    <w:top w:val="nil"/>
                    <w:left w:val="nil"/>
                    <w:bottom w:val="nil"/>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633" w:type="dxa"/>
                  <w:tcBorders>
                    <w:top w:val="nil"/>
                    <w:left w:val="nil"/>
                    <w:bottom w:val="nil"/>
                    <w:right w:val="nil"/>
                  </w:tcBorders>
                  <w:shd w:val="clear" w:color="000000" w:fill="FFFFFF" w:themeFill="background1"/>
                  <w:noWrap/>
                  <w:vAlign w:val="center"/>
                </w:tcPr>
                <w:p>
                  <w:pPr>
                    <w:widowControl/>
                    <w:shd w:val="clear" w:color="auto" w:fill="FFFFFF" w:themeFill="background1"/>
                    <w:jc w:val="right"/>
                    <w:rPr>
                      <w:rFonts w:ascii="宋体" w:hAnsi="宋体" w:eastAsia="宋体" w:cs="Arial"/>
                      <w:color w:val="000000"/>
                      <w:kern w:val="0"/>
                      <w:sz w:val="22"/>
                    </w:rPr>
                  </w:pPr>
                  <w:r>
                    <w:rPr>
                      <w:rFonts w:hint="eastAsia" w:ascii="宋体" w:hAnsi="宋体" w:eastAsia="宋体" w:cs="Arial"/>
                      <w:color w:val="000000"/>
                      <w:kern w:val="0"/>
                      <w:sz w:val="22"/>
                    </w:rPr>
                    <w:t>公开04表</w:t>
                  </w:r>
                </w:p>
              </w:tc>
            </w:tr>
            <w:tr>
              <w:tblPrEx>
                <w:tblCellMar>
                  <w:top w:w="0" w:type="dxa"/>
                  <w:left w:w="108" w:type="dxa"/>
                  <w:bottom w:w="0" w:type="dxa"/>
                  <w:right w:w="108" w:type="dxa"/>
                </w:tblCellMar>
              </w:tblPrEx>
              <w:trPr>
                <w:trHeight w:val="300" w:hRule="atLeast"/>
              </w:trPr>
              <w:tc>
                <w:tcPr>
                  <w:tcW w:w="3686" w:type="dxa"/>
                  <w:gridSpan w:val="4"/>
                  <w:tcBorders>
                    <w:top w:val="nil"/>
                    <w:left w:val="nil"/>
                    <w:bottom w:val="single" w:color="808080" w:sz="4" w:space="0"/>
                    <w:right w:val="nil"/>
                  </w:tcBorders>
                  <w:shd w:val="clear" w:color="000000" w:fill="FFFFFF"/>
                  <w:noWrap/>
                  <w:vAlign w:val="center"/>
                </w:tcPr>
                <w:p>
                  <w:pPr>
                    <w:widowControl/>
                    <w:shd w:val="clear" w:color="auto" w:fill="FFFFFF" w:themeFill="background1"/>
                    <w:jc w:val="left"/>
                    <w:rPr>
                      <w:rFonts w:ascii="宋体" w:hAnsi="宋体" w:eastAsia="宋体" w:cs="Arial"/>
                      <w:color w:val="000000"/>
                      <w:kern w:val="0"/>
                      <w:sz w:val="22"/>
                    </w:rPr>
                  </w:pPr>
                  <w:r>
                    <w:rPr>
                      <w:rFonts w:hint="eastAsia" w:ascii="宋体" w:hAnsi="宋体" w:eastAsia="宋体" w:cs="Arial"/>
                      <w:color w:val="000000"/>
                      <w:kern w:val="0"/>
                      <w:sz w:val="22"/>
                    </w:rPr>
                    <w:t>部门：湖南省网球足球运动管理中心</w:t>
                  </w:r>
                </w:p>
              </w:tc>
              <w:tc>
                <w:tcPr>
                  <w:tcW w:w="1444" w:type="dxa"/>
                  <w:tcBorders>
                    <w:top w:val="nil"/>
                    <w:left w:val="nil"/>
                    <w:bottom w:val="single" w:color="808080" w:sz="4" w:space="0"/>
                    <w:right w:val="nil"/>
                  </w:tcBorders>
                  <w:shd w:val="clear" w:color="000000" w:fill="FFFFFF"/>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3211" w:type="dxa"/>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851" w:type="dxa"/>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color w:val="000000"/>
                      <w:kern w:val="0"/>
                      <w:sz w:val="22"/>
                    </w:rPr>
                  </w:pPr>
                  <w:r>
                    <w:rPr>
                      <w:rFonts w:hint="eastAsia" w:ascii="宋体" w:hAnsi="宋体" w:eastAsia="宋体" w:cs="Arial"/>
                      <w:color w:val="000000"/>
                      <w:kern w:val="0"/>
                      <w:sz w:val="22"/>
                    </w:rPr>
                    <w:t>2021年度</w:t>
                  </w:r>
                </w:p>
              </w:tc>
              <w:tc>
                <w:tcPr>
                  <w:tcW w:w="1511" w:type="dxa"/>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31" w:type="dxa"/>
                  <w:gridSpan w:val="2"/>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531" w:type="dxa"/>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r>
                    <w:rPr>
                      <w:rFonts w:hint="eastAsia" w:ascii="宋体" w:hAnsi="宋体" w:eastAsia="宋体" w:cs="Arial"/>
                      <w:kern w:val="0"/>
                      <w:sz w:val="18"/>
                      <w:szCs w:val="18"/>
                    </w:rPr>
                    <w:t>　</w:t>
                  </w:r>
                </w:p>
              </w:tc>
              <w:tc>
                <w:tcPr>
                  <w:tcW w:w="1633" w:type="dxa"/>
                  <w:tcBorders>
                    <w:top w:val="nil"/>
                    <w:left w:val="nil"/>
                    <w:bottom w:val="single" w:color="auto" w:sz="4" w:space="0"/>
                    <w:right w:val="nil"/>
                  </w:tcBorders>
                  <w:shd w:val="clear" w:color="000000" w:fill="FFFFFF" w:themeFill="background1"/>
                  <w:noWrap/>
                  <w:vAlign w:val="center"/>
                </w:tcPr>
                <w:p>
                  <w:pPr>
                    <w:widowControl/>
                    <w:shd w:val="clear" w:color="auto" w:fill="FFFFFF" w:themeFill="background1"/>
                    <w:ind w:right="330"/>
                    <w:jc w:val="right"/>
                    <w:rPr>
                      <w:rFonts w:ascii="宋体" w:hAnsi="宋体" w:eastAsia="宋体" w:cs="Arial"/>
                      <w:color w:val="000000"/>
                      <w:kern w:val="0"/>
                      <w:sz w:val="22"/>
                    </w:rPr>
                  </w:pPr>
                  <w:r>
                    <w:rPr>
                      <w:rFonts w:hint="eastAsia" w:ascii="宋体" w:hAnsi="宋体" w:eastAsia="宋体" w:cs="Arial"/>
                      <w:color w:val="000000"/>
                      <w:kern w:val="0"/>
                      <w:sz w:val="22"/>
                    </w:rPr>
                    <w:t>金额单位： 万元</w:t>
                  </w:r>
                </w:p>
              </w:tc>
            </w:tr>
            <w:tr>
              <w:tblPrEx>
                <w:tblCellMar>
                  <w:top w:w="0" w:type="dxa"/>
                  <w:left w:w="108" w:type="dxa"/>
                  <w:bottom w:w="0" w:type="dxa"/>
                  <w:right w:w="108" w:type="dxa"/>
                </w:tblCellMar>
              </w:tblPrEx>
              <w:trPr>
                <w:trHeight w:val="300" w:hRule="atLeast"/>
              </w:trPr>
              <w:tc>
                <w:tcPr>
                  <w:tcW w:w="3686" w:type="dxa"/>
                  <w:gridSpan w:val="4"/>
                  <w:tcBorders>
                    <w:top w:val="nil"/>
                    <w:left w:val="nil"/>
                    <w:bottom w:val="single" w:color="808080" w:sz="4" w:space="0"/>
                    <w:right w:val="nil"/>
                  </w:tcBorders>
                  <w:shd w:val="clear" w:color="000000" w:fill="FFFFFF"/>
                  <w:noWrap/>
                  <w:vAlign w:val="center"/>
                </w:tcPr>
                <w:p>
                  <w:pPr>
                    <w:widowControl/>
                    <w:shd w:val="clear" w:color="auto" w:fill="FFFFFF" w:themeFill="background1"/>
                    <w:jc w:val="left"/>
                    <w:rPr>
                      <w:rFonts w:ascii="宋体" w:hAnsi="宋体" w:eastAsia="宋体" w:cs="Arial"/>
                      <w:color w:val="000000"/>
                      <w:kern w:val="0"/>
                      <w:sz w:val="22"/>
                    </w:rPr>
                  </w:pPr>
                </w:p>
              </w:tc>
              <w:tc>
                <w:tcPr>
                  <w:tcW w:w="1444" w:type="dxa"/>
                  <w:tcBorders>
                    <w:top w:val="nil"/>
                    <w:left w:val="nil"/>
                    <w:bottom w:val="single" w:color="808080" w:sz="4" w:space="0"/>
                    <w:right w:val="nil"/>
                  </w:tcBorders>
                  <w:shd w:val="clear" w:color="000000" w:fill="FFFFFF"/>
                  <w:noWrap/>
                  <w:vAlign w:val="center"/>
                </w:tcPr>
                <w:p>
                  <w:pPr>
                    <w:widowControl/>
                    <w:shd w:val="clear" w:color="auto" w:fill="FFFFFF" w:themeFill="background1"/>
                    <w:jc w:val="left"/>
                    <w:rPr>
                      <w:rFonts w:ascii="宋体" w:hAnsi="宋体" w:eastAsia="宋体" w:cs="Arial"/>
                      <w:kern w:val="0"/>
                      <w:sz w:val="18"/>
                      <w:szCs w:val="18"/>
                    </w:rPr>
                  </w:pPr>
                </w:p>
              </w:tc>
              <w:tc>
                <w:tcPr>
                  <w:tcW w:w="3211" w:type="dxa"/>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p>
              </w:tc>
              <w:tc>
                <w:tcPr>
                  <w:tcW w:w="851" w:type="dxa"/>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color w:val="000000"/>
                      <w:kern w:val="0"/>
                      <w:sz w:val="22"/>
                    </w:rPr>
                  </w:pPr>
                </w:p>
              </w:tc>
              <w:tc>
                <w:tcPr>
                  <w:tcW w:w="1511" w:type="dxa"/>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p>
              </w:tc>
              <w:tc>
                <w:tcPr>
                  <w:tcW w:w="1531" w:type="dxa"/>
                  <w:gridSpan w:val="2"/>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p>
              </w:tc>
              <w:tc>
                <w:tcPr>
                  <w:tcW w:w="1531" w:type="dxa"/>
                  <w:tcBorders>
                    <w:top w:val="nil"/>
                    <w:left w:val="nil"/>
                    <w:bottom w:val="single" w:color="808080" w:sz="4" w:space="0"/>
                    <w:right w:val="nil"/>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18"/>
                      <w:szCs w:val="18"/>
                    </w:rPr>
                  </w:pPr>
                </w:p>
              </w:tc>
              <w:tc>
                <w:tcPr>
                  <w:tcW w:w="1633" w:type="dxa"/>
                  <w:tcBorders>
                    <w:top w:val="nil"/>
                    <w:left w:val="nil"/>
                    <w:bottom w:val="single" w:color="auto" w:sz="4" w:space="0"/>
                    <w:right w:val="nil"/>
                  </w:tcBorders>
                  <w:shd w:val="clear" w:color="000000" w:fill="FFFFFF" w:themeFill="background1"/>
                  <w:noWrap/>
                  <w:vAlign w:val="center"/>
                </w:tcPr>
                <w:p>
                  <w:pPr>
                    <w:widowControl/>
                    <w:shd w:val="clear" w:color="auto" w:fill="FFFFFF" w:themeFill="background1"/>
                    <w:ind w:right="330"/>
                    <w:jc w:val="right"/>
                    <w:rPr>
                      <w:rFonts w:ascii="宋体" w:hAnsi="宋体" w:eastAsia="宋体" w:cs="Arial"/>
                      <w:color w:val="000000"/>
                      <w:kern w:val="0"/>
                      <w:sz w:val="22"/>
                    </w:rPr>
                  </w:pPr>
                </w:p>
              </w:tc>
            </w:tr>
            <w:tr>
              <w:tblPrEx>
                <w:tblCellMar>
                  <w:top w:w="0" w:type="dxa"/>
                  <w:left w:w="108" w:type="dxa"/>
                  <w:bottom w:w="0" w:type="dxa"/>
                  <w:right w:w="108" w:type="dxa"/>
                </w:tblCellMar>
              </w:tblPrEx>
              <w:trPr>
                <w:trHeight w:val="300" w:hRule="atLeast"/>
              </w:trPr>
              <w:tc>
                <w:tcPr>
                  <w:tcW w:w="5130" w:type="dxa"/>
                  <w:gridSpan w:val="5"/>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收     入</w:t>
                  </w:r>
                </w:p>
              </w:tc>
              <w:tc>
                <w:tcPr>
                  <w:tcW w:w="10268" w:type="dxa"/>
                  <w:gridSpan w:val="7"/>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支     出</w:t>
                  </w:r>
                </w:p>
              </w:tc>
            </w:tr>
            <w:tr>
              <w:tblPrEx>
                <w:tblCellMar>
                  <w:top w:w="0" w:type="dxa"/>
                  <w:left w:w="108" w:type="dxa"/>
                  <w:bottom w:w="0" w:type="dxa"/>
                  <w:right w:w="108" w:type="dxa"/>
                </w:tblCellMar>
              </w:tblPrEx>
              <w:trPr>
                <w:trHeight w:val="312" w:hRule="atLeast"/>
              </w:trPr>
              <w:tc>
                <w:tcPr>
                  <w:tcW w:w="3203" w:type="dxa"/>
                  <w:gridSpan w:val="2"/>
                  <w:vMerge w:val="restart"/>
                  <w:tcBorders>
                    <w:top w:val="nil"/>
                    <w:left w:val="single" w:color="000000" w:sz="4" w:space="0"/>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416" w:type="dxa"/>
                  <w:vMerge w:val="restart"/>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行次</w:t>
                  </w:r>
                </w:p>
              </w:tc>
              <w:tc>
                <w:tcPr>
                  <w:tcW w:w="1511" w:type="dxa"/>
                  <w:gridSpan w:val="2"/>
                  <w:vMerge w:val="restart"/>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金额</w:t>
                  </w:r>
                </w:p>
              </w:tc>
              <w:tc>
                <w:tcPr>
                  <w:tcW w:w="3211" w:type="dxa"/>
                  <w:vMerge w:val="restart"/>
                  <w:tcBorders>
                    <w:top w:val="nil"/>
                    <w:left w:val="nil"/>
                    <w:bottom w:val="single" w:color="000000" w:sz="4" w:space="0"/>
                    <w:right w:val="single" w:color="000000" w:sz="4" w:space="0"/>
                  </w:tcBorders>
                  <w:shd w:val="clear" w:color="000000" w:fill="FFFFFF" w:themeFill="background1"/>
                  <w:vAlign w:val="bottom"/>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项目</w:t>
                  </w:r>
                </w:p>
              </w:tc>
              <w:tc>
                <w:tcPr>
                  <w:tcW w:w="851" w:type="dxa"/>
                  <w:vMerge w:val="restart"/>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行次</w:t>
                  </w:r>
                </w:p>
              </w:tc>
              <w:tc>
                <w:tcPr>
                  <w:tcW w:w="1723" w:type="dxa"/>
                  <w:gridSpan w:val="2"/>
                  <w:vMerge w:val="restart"/>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合计</w:t>
                  </w:r>
                </w:p>
              </w:tc>
              <w:tc>
                <w:tcPr>
                  <w:tcW w:w="1319" w:type="dxa"/>
                  <w:vMerge w:val="restart"/>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一般公共预算财政拨款</w:t>
                  </w:r>
                </w:p>
              </w:tc>
              <w:tc>
                <w:tcPr>
                  <w:tcW w:w="1531" w:type="dxa"/>
                  <w:vMerge w:val="restart"/>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政府性基金预算财政拨款</w:t>
                  </w:r>
                </w:p>
              </w:tc>
              <w:tc>
                <w:tcPr>
                  <w:tcW w:w="1633" w:type="dxa"/>
                  <w:vMerge w:val="restart"/>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国有资本经营预算财政拨款</w:t>
                  </w:r>
                </w:p>
              </w:tc>
            </w:tr>
            <w:tr>
              <w:tblPrEx>
                <w:tblCellMar>
                  <w:top w:w="0" w:type="dxa"/>
                  <w:left w:w="108" w:type="dxa"/>
                  <w:bottom w:w="0" w:type="dxa"/>
                  <w:right w:w="108" w:type="dxa"/>
                </w:tblCellMar>
              </w:tblPrEx>
              <w:trPr>
                <w:trHeight w:val="600" w:hRule="atLeast"/>
              </w:trPr>
              <w:tc>
                <w:tcPr>
                  <w:tcW w:w="3203" w:type="dxa"/>
                  <w:gridSpan w:val="2"/>
                  <w:vMerge w:val="continue"/>
                  <w:tcBorders>
                    <w:top w:val="nil"/>
                    <w:left w:val="single" w:color="000000" w:sz="4" w:space="0"/>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c>
                <w:tcPr>
                  <w:tcW w:w="416" w:type="dxa"/>
                  <w:vMerge w:val="continue"/>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c>
                <w:tcPr>
                  <w:tcW w:w="1511" w:type="dxa"/>
                  <w:gridSpan w:val="2"/>
                  <w:vMerge w:val="continue"/>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c>
                <w:tcPr>
                  <w:tcW w:w="3211" w:type="dxa"/>
                  <w:vMerge w:val="continue"/>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c>
                <w:tcPr>
                  <w:tcW w:w="851" w:type="dxa"/>
                  <w:vMerge w:val="continue"/>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c>
                <w:tcPr>
                  <w:tcW w:w="1723" w:type="dxa"/>
                  <w:gridSpan w:val="2"/>
                  <w:vMerge w:val="continue"/>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c>
                <w:tcPr>
                  <w:tcW w:w="1319" w:type="dxa"/>
                  <w:vMerge w:val="continue"/>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c>
                <w:tcPr>
                  <w:tcW w:w="1531" w:type="dxa"/>
                  <w:vMerge w:val="continue"/>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c>
                <w:tcPr>
                  <w:tcW w:w="1633" w:type="dxa"/>
                  <w:vMerge w:val="continue"/>
                  <w:tcBorders>
                    <w:top w:val="nil"/>
                    <w:left w:val="nil"/>
                    <w:bottom w:val="single" w:color="000000" w:sz="4" w:space="0"/>
                    <w:right w:val="single" w:color="000000" w:sz="4" w:space="0"/>
                  </w:tcBorders>
                  <w:shd w:val="clear" w:color="000000" w:fill="FFFFFF" w:themeFill="background1"/>
                  <w:vAlign w:val="center"/>
                </w:tcPr>
                <w:p>
                  <w:pPr>
                    <w:widowControl/>
                    <w:shd w:val="clear" w:color="auto" w:fill="FFFFFF" w:themeFill="background1"/>
                    <w:jc w:val="left"/>
                    <w:rPr>
                      <w:rFonts w:ascii="宋体" w:hAnsi="宋体" w:eastAsia="宋体" w:cs="Arial"/>
                      <w:kern w:val="0"/>
                      <w:sz w:val="20"/>
                      <w:szCs w:val="20"/>
                    </w:rPr>
                  </w:pP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栏次</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　</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3211" w:type="dxa"/>
                  <w:tcBorders>
                    <w:top w:val="nil"/>
                    <w:left w:val="nil"/>
                    <w:bottom w:val="single" w:color="000000" w:sz="4" w:space="0"/>
                    <w:right w:val="single" w:color="000000" w:sz="4" w:space="0"/>
                  </w:tcBorders>
                  <w:shd w:val="clear" w:color="000000" w:fill="FFFFFF" w:themeFill="background1"/>
                  <w:noWrap/>
                  <w:vAlign w:val="bottom"/>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栏次</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　</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一、一般公共预算财政拨款</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2747</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一、一般公共服务支出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33</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二、政府性基金预算财政拨款</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983</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二、外交支出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34</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三、国有资本经营财政拨款</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三、国防支出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35</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四、公共安全支出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36</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五、教育支出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37</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6</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六、科学技术支出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38</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7</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七、文化旅游体育与传媒支出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39</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2740.12</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2740.12</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8</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八、社会保障和就业支出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40</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68.4</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68.4</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9</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九、卫生健康支出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41</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37.4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37.4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10</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十、节能环保支出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42</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11</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十一、城乡社区支出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43</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12</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十二、农林水支出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44</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13</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十三、交通运输支出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45</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14</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十四、资源勘探工业信息等支出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46</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15</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十五、商业服务业等支出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47</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16</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十六、金融支出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48</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17</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十七、援助其他地区支出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49</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18</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十八、自然资源海洋气象等支出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50</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19</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十九、住房保障支出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51</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20</w:t>
                  </w:r>
                </w:p>
              </w:tc>
              <w:tc>
                <w:tcPr>
                  <w:tcW w:w="1511"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二十、粮油物资储备支出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52</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21</w:t>
                  </w:r>
                </w:p>
              </w:tc>
              <w:tc>
                <w:tcPr>
                  <w:tcW w:w="1511" w:type="dxa"/>
                  <w:gridSpan w:val="2"/>
                  <w:tcBorders>
                    <w:top w:val="nil"/>
                    <w:left w:val="nil"/>
                    <w:bottom w:val="single" w:color="auto"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二十一、国有资本经营预算支出</w:t>
                  </w:r>
                </w:p>
              </w:tc>
              <w:tc>
                <w:tcPr>
                  <w:tcW w:w="85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53</w:t>
                  </w:r>
                </w:p>
              </w:tc>
              <w:tc>
                <w:tcPr>
                  <w:tcW w:w="1723" w:type="dxa"/>
                  <w:gridSpan w:val="2"/>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000000"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auto"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22</w:t>
                  </w:r>
                </w:p>
              </w:tc>
              <w:tc>
                <w:tcPr>
                  <w:tcW w:w="1511" w:type="dxa"/>
                  <w:gridSpan w:val="2"/>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single" w:color="auto"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二十二、灾害防治及应急管理支出</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54</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23</w:t>
                  </w:r>
                </w:p>
              </w:tc>
              <w:tc>
                <w:tcPr>
                  <w:tcW w:w="1511" w:type="dxa"/>
                  <w:gridSpan w:val="2"/>
                  <w:tcBorders>
                    <w:top w:val="single" w:color="auto" w:sz="4" w:space="0"/>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二十三、其他支出</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55</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1633.67</w:t>
                  </w: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1633.67</w:t>
                  </w: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b/>
                      <w:bCs/>
                      <w:kern w:val="0"/>
                      <w:sz w:val="20"/>
                      <w:szCs w:val="20"/>
                    </w:rPr>
                  </w:pPr>
                  <w:r>
                    <w:rPr>
                      <w:rFonts w:hint="eastAsia" w:ascii="宋体" w:hAnsi="宋体" w:eastAsia="宋体" w:cs="Arial"/>
                      <w:b/>
                      <w:bCs/>
                      <w:kern w:val="0"/>
                      <w:sz w:val="20"/>
                      <w:szCs w:val="20"/>
                    </w:rPr>
                    <w:t>　</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24</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二十四、债务还本支出</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56</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25</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二十五、债务付息支出</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57</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26</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二十六、抗疫特别国债安排的支出</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58</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b/>
                      <w:bCs/>
                      <w:kern w:val="0"/>
                      <w:sz w:val="20"/>
                      <w:szCs w:val="20"/>
                    </w:rPr>
                  </w:pPr>
                  <w:r>
                    <w:rPr>
                      <w:rFonts w:hint="eastAsia" w:ascii="宋体" w:hAnsi="宋体" w:eastAsia="宋体" w:cs="Arial"/>
                      <w:b/>
                      <w:bCs/>
                      <w:kern w:val="0"/>
                      <w:sz w:val="20"/>
                      <w:szCs w:val="20"/>
                    </w:rPr>
                    <w:t>本年收入合计</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27</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3730</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b/>
                      <w:bCs/>
                      <w:kern w:val="0"/>
                      <w:sz w:val="20"/>
                      <w:szCs w:val="20"/>
                    </w:rPr>
                  </w:pPr>
                  <w:r>
                    <w:rPr>
                      <w:rFonts w:hint="eastAsia" w:ascii="宋体" w:hAnsi="宋体" w:eastAsia="宋体" w:cs="Arial"/>
                      <w:b/>
                      <w:bCs/>
                      <w:kern w:val="0"/>
                      <w:sz w:val="20"/>
                      <w:szCs w:val="20"/>
                    </w:rPr>
                    <w:t>本年支出合计</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59</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4479.59</w:t>
                  </w: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2845.92</w:t>
                  </w: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1633.67</w:t>
                  </w: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年初财政拨款结转和结余</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28</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1413.31</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年末财政拨款结转和结余</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60</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663.72</w:t>
                  </w: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170.21</w:t>
                  </w: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493.51</w:t>
                  </w: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xml:space="preserve">  一般公共预算财政拨款</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29</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269.13</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61</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xml:space="preserve">  政府性基金预算财政拨款</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30</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1144.18</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62</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xml:space="preserve">  国有资本经营预算财政拨款</w:t>
                  </w:r>
                </w:p>
              </w:tc>
              <w:tc>
                <w:tcPr>
                  <w:tcW w:w="416"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31</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63</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3203" w:type="dxa"/>
                  <w:gridSpan w:val="2"/>
                  <w:tcBorders>
                    <w:top w:val="nil"/>
                    <w:left w:val="single" w:color="000000" w:sz="4" w:space="0"/>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b/>
                      <w:bCs/>
                      <w:kern w:val="0"/>
                      <w:sz w:val="20"/>
                      <w:szCs w:val="20"/>
                    </w:rPr>
                  </w:pPr>
                  <w:r>
                    <w:rPr>
                      <w:rFonts w:hint="eastAsia" w:ascii="宋体" w:hAnsi="宋体" w:eastAsia="宋体" w:cs="Arial"/>
                      <w:b/>
                      <w:bCs/>
                      <w:kern w:val="0"/>
                      <w:sz w:val="20"/>
                      <w:szCs w:val="20"/>
                    </w:rPr>
                    <w:t>总计</w:t>
                  </w:r>
                </w:p>
              </w:tc>
              <w:tc>
                <w:tcPr>
                  <w:tcW w:w="416" w:type="dxa"/>
                  <w:tcBorders>
                    <w:top w:val="nil"/>
                    <w:left w:val="nil"/>
                    <w:bottom w:val="single" w:color="000000" w:sz="12"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32</w:t>
                  </w:r>
                </w:p>
              </w:tc>
              <w:tc>
                <w:tcPr>
                  <w:tcW w:w="1511"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5143.31</w:t>
                  </w:r>
                </w:p>
              </w:tc>
              <w:tc>
                <w:tcPr>
                  <w:tcW w:w="321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left"/>
                    <w:rPr>
                      <w:rFonts w:ascii="宋体" w:hAnsi="宋体" w:eastAsia="宋体" w:cs="Arial"/>
                      <w:b/>
                      <w:bCs/>
                      <w:kern w:val="0"/>
                      <w:sz w:val="20"/>
                      <w:szCs w:val="20"/>
                    </w:rPr>
                  </w:pPr>
                  <w:r>
                    <w:rPr>
                      <w:rFonts w:hint="eastAsia" w:ascii="宋体" w:hAnsi="宋体" w:eastAsia="宋体" w:cs="Arial"/>
                      <w:b/>
                      <w:bCs/>
                      <w:kern w:val="0"/>
                      <w:sz w:val="20"/>
                      <w:szCs w:val="20"/>
                    </w:rPr>
                    <w:t>总计</w:t>
                  </w:r>
                </w:p>
              </w:tc>
              <w:tc>
                <w:tcPr>
                  <w:tcW w:w="85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center"/>
                    <w:rPr>
                      <w:rFonts w:ascii="宋体" w:hAnsi="宋体" w:eastAsia="宋体" w:cs="Arial"/>
                      <w:kern w:val="0"/>
                      <w:sz w:val="20"/>
                      <w:szCs w:val="20"/>
                    </w:rPr>
                  </w:pPr>
                  <w:r>
                    <w:rPr>
                      <w:rFonts w:hint="eastAsia" w:ascii="宋体" w:hAnsi="宋体" w:eastAsia="宋体" w:cs="Arial"/>
                      <w:kern w:val="0"/>
                      <w:sz w:val="20"/>
                      <w:szCs w:val="20"/>
                    </w:rPr>
                    <w:t>64</w:t>
                  </w:r>
                </w:p>
              </w:tc>
              <w:tc>
                <w:tcPr>
                  <w:tcW w:w="1723" w:type="dxa"/>
                  <w:gridSpan w:val="2"/>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5143.31</w:t>
                  </w:r>
                </w:p>
              </w:tc>
              <w:tc>
                <w:tcPr>
                  <w:tcW w:w="1319"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3016.13</w:t>
                  </w:r>
                </w:p>
              </w:tc>
              <w:tc>
                <w:tcPr>
                  <w:tcW w:w="1531"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2127.18</w:t>
                  </w:r>
                </w:p>
              </w:tc>
              <w:tc>
                <w:tcPr>
                  <w:tcW w:w="1633" w:type="dxa"/>
                  <w:tcBorders>
                    <w:top w:val="nil"/>
                    <w:left w:val="nil"/>
                    <w:bottom w:val="single" w:color="000000" w:sz="4" w:space="0"/>
                    <w:right w:val="single" w:color="000000" w:sz="4" w:space="0"/>
                  </w:tcBorders>
                  <w:shd w:val="clear" w:color="auto" w:fill="FFFFFF" w:themeFill="background1"/>
                  <w:noWrap/>
                  <w:vAlign w:val="center"/>
                </w:tcPr>
                <w:p>
                  <w:pPr>
                    <w:widowControl/>
                    <w:shd w:val="clear" w:color="auto" w:fill="FFFFFF" w:themeFill="background1"/>
                    <w:jc w:val="right"/>
                    <w:rPr>
                      <w:rFonts w:ascii="宋体" w:hAnsi="宋体" w:eastAsia="宋体" w:cs="Arial"/>
                      <w:kern w:val="0"/>
                      <w:sz w:val="20"/>
                      <w:szCs w:val="20"/>
                    </w:rPr>
                  </w:pPr>
                  <w:r>
                    <w:rPr>
                      <w:rFonts w:hint="eastAsia" w:ascii="宋体" w:hAnsi="宋体" w:eastAsia="宋体" w:cs="Arial"/>
                      <w:kern w:val="0"/>
                      <w:sz w:val="20"/>
                      <w:szCs w:val="20"/>
                    </w:rPr>
                    <w:t>　</w:t>
                  </w:r>
                </w:p>
              </w:tc>
            </w:tr>
            <w:tr>
              <w:tblPrEx>
                <w:tblCellMar>
                  <w:top w:w="0" w:type="dxa"/>
                  <w:left w:w="108" w:type="dxa"/>
                  <w:bottom w:w="0" w:type="dxa"/>
                  <w:right w:w="108" w:type="dxa"/>
                </w:tblCellMar>
              </w:tblPrEx>
              <w:trPr>
                <w:trHeight w:val="300" w:hRule="atLeast"/>
              </w:trPr>
              <w:tc>
                <w:tcPr>
                  <w:tcW w:w="13765" w:type="dxa"/>
                  <w:gridSpan w:val="11"/>
                  <w:tcBorders>
                    <w:top w:val="nil"/>
                    <w:left w:val="nil"/>
                    <w:bottom w:val="nil"/>
                    <w:right w:val="nil"/>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注：本表反映部门本年度一般公共预算财政拨款、政府性基金预算财政拨款和国有资本经营预算财政拨款的总收支和年末结转结余情况。</w:t>
                  </w:r>
                </w:p>
              </w:tc>
              <w:tc>
                <w:tcPr>
                  <w:tcW w:w="1633" w:type="dxa"/>
                  <w:tcBorders>
                    <w:top w:val="nil"/>
                    <w:left w:val="nil"/>
                    <w:bottom w:val="nil"/>
                    <w:right w:val="nil"/>
                  </w:tcBorders>
                  <w:shd w:val="clear" w:color="auto" w:fill="FFFFFF" w:themeFill="background1"/>
                  <w:noWrap/>
                  <w:vAlign w:val="center"/>
                </w:tcPr>
                <w:p>
                  <w:pPr>
                    <w:widowControl/>
                    <w:shd w:val="clear" w:color="auto" w:fill="FFFFFF" w:themeFill="background1"/>
                    <w:jc w:val="left"/>
                    <w:rPr>
                      <w:rFonts w:ascii="宋体" w:hAnsi="宋体" w:eastAsia="宋体" w:cs="Arial"/>
                      <w:kern w:val="0"/>
                      <w:sz w:val="20"/>
                      <w:szCs w:val="20"/>
                    </w:rPr>
                  </w:pPr>
                  <w:r>
                    <w:rPr>
                      <w:rFonts w:hint="eastAsia" w:ascii="宋体" w:hAnsi="宋体" w:eastAsia="宋体" w:cs="Arial"/>
                      <w:kern w:val="0"/>
                      <w:sz w:val="20"/>
                      <w:szCs w:val="20"/>
                    </w:rPr>
                    <w:t>　</w:t>
                  </w:r>
                </w:p>
              </w:tc>
            </w:tr>
          </w:tbl>
          <w:p>
            <w:pPr>
              <w:jc w:val="center"/>
              <w:rPr>
                <w:rFonts w:ascii="华文中宋" w:hAnsi="华文中宋" w:eastAsia="华文中宋"/>
                <w:color w:val="000000"/>
                <w:sz w:val="32"/>
                <w:szCs w:val="32"/>
              </w:rPr>
            </w:pPr>
          </w:p>
          <w:p>
            <w:pPr>
              <w:jc w:val="center"/>
              <w:rPr>
                <w:rFonts w:ascii="华文中宋" w:hAnsi="华文中宋" w:eastAsia="华文中宋"/>
                <w:color w:val="000000"/>
                <w:sz w:val="32"/>
                <w:szCs w:val="32"/>
              </w:rPr>
            </w:pPr>
          </w:p>
          <w:p>
            <w:pPr>
              <w:jc w:val="center"/>
              <w:rPr>
                <w:rFonts w:ascii="华文中宋" w:hAnsi="华文中宋" w:eastAsia="华文中宋"/>
                <w:color w:val="000000"/>
                <w:sz w:val="32"/>
                <w:szCs w:val="32"/>
              </w:rPr>
            </w:pPr>
          </w:p>
          <w:p>
            <w:pPr>
              <w:shd w:val="clear" w:color="auto" w:fill="FFFFFF" w:themeFill="background1"/>
              <w:jc w:val="center"/>
              <w:rPr>
                <w:rFonts w:ascii="华文中宋" w:hAnsi="华文中宋" w:eastAsia="华文中宋"/>
                <w:color w:val="000000"/>
                <w:sz w:val="32"/>
                <w:szCs w:val="32"/>
              </w:rPr>
            </w:pPr>
          </w:p>
          <w:p>
            <w:pPr>
              <w:shd w:val="clear" w:color="auto" w:fill="FFFFFF" w:themeFill="background1"/>
              <w:jc w:val="center"/>
              <w:rPr>
                <w:rFonts w:ascii="华文中宋" w:hAnsi="华文中宋" w:eastAsia="华文中宋"/>
                <w:color w:val="000000"/>
                <w:sz w:val="32"/>
                <w:szCs w:val="32"/>
              </w:rPr>
            </w:pPr>
          </w:p>
          <w:p>
            <w:pPr>
              <w:jc w:val="center"/>
              <w:rPr>
                <w:rFonts w:ascii="华文中宋" w:hAnsi="华文中宋" w:eastAsia="华文中宋"/>
                <w:color w:val="000000"/>
                <w:sz w:val="32"/>
                <w:szCs w:val="32"/>
              </w:rPr>
            </w:pPr>
          </w:p>
          <w:p>
            <w:pPr>
              <w:jc w:val="center"/>
              <w:rPr>
                <w:rFonts w:ascii="华文中宋" w:hAnsi="华文中宋" w:eastAsia="华文中宋"/>
                <w:color w:val="000000"/>
                <w:sz w:val="32"/>
                <w:szCs w:val="32"/>
              </w:rPr>
            </w:pPr>
          </w:p>
          <w:p>
            <w:pPr>
              <w:jc w:val="center"/>
              <w:rPr>
                <w:rFonts w:ascii="华文中宋" w:hAnsi="华文中宋" w:eastAsia="华文中宋"/>
                <w:color w:val="000000"/>
                <w:sz w:val="32"/>
                <w:szCs w:val="32"/>
              </w:rPr>
            </w:pPr>
          </w:p>
          <w:p>
            <w:pPr>
              <w:jc w:val="center"/>
              <w:rPr>
                <w:rFonts w:ascii="华文中宋" w:hAnsi="华文中宋" w:eastAsia="华文中宋" w:cs="宋体"/>
                <w:color w:val="000000"/>
                <w:sz w:val="32"/>
                <w:szCs w:val="32"/>
              </w:rPr>
            </w:pPr>
          </w:p>
        </w:tc>
      </w:tr>
    </w:tbl>
    <w:p>
      <w:pPr>
        <w:widowControl/>
        <w:jc w:val="center"/>
        <w:rPr>
          <w:rFonts w:ascii="Times New Roman" w:hAnsi="Times New Roman" w:eastAsia="方正小标宋_GBK" w:cs="Times New Roman"/>
          <w:kern w:val="0"/>
          <w:sz w:val="36"/>
          <w:szCs w:val="36"/>
        </w:rPr>
      </w:pPr>
      <w:bookmarkStart w:id="0" w:name="RANGE!A1:I22"/>
      <w:bookmarkEnd w:id="0"/>
      <w:bookmarkStart w:id="1" w:name="RANGE!A1:F16"/>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湖南省网球足球运动管理中心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公开05表</w:t>
      </w:r>
    </w:p>
    <w:p>
      <w:pPr>
        <w:widowControl/>
        <w:spacing w:before="156" w:beforeLines="50"/>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7"/>
        <w:tblW w:w="14219" w:type="dxa"/>
        <w:jc w:val="center"/>
        <w:tblLayout w:type="autofit"/>
        <w:tblCellMar>
          <w:top w:w="0" w:type="dxa"/>
          <w:left w:w="108" w:type="dxa"/>
          <w:bottom w:w="0" w:type="dxa"/>
          <w:right w:w="108" w:type="dxa"/>
        </w:tblCellMar>
      </w:tblPr>
      <w:tblGrid>
        <w:gridCol w:w="1200"/>
        <w:gridCol w:w="3750"/>
        <w:gridCol w:w="2777"/>
        <w:gridCol w:w="3492"/>
        <w:gridCol w:w="3000"/>
      </w:tblGrid>
      <w:tr>
        <w:tblPrEx>
          <w:tblCellMar>
            <w:top w:w="0" w:type="dxa"/>
            <w:left w:w="108" w:type="dxa"/>
            <w:bottom w:w="0" w:type="dxa"/>
            <w:right w:w="108" w:type="dxa"/>
          </w:tblCellMar>
        </w:tblPrEx>
        <w:trPr>
          <w:trHeight w:val="405" w:hRule="atLeast"/>
          <w:jc w:val="center"/>
        </w:trPr>
        <w:tc>
          <w:tcPr>
            <w:tcW w:w="4950"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269"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75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77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75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77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75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77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95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7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95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7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2845.92</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910.7</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1935.22</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207</w:t>
            </w:r>
          </w:p>
        </w:tc>
        <w:tc>
          <w:tcPr>
            <w:tcW w:w="375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文化旅游体育与传媒支出</w:t>
            </w:r>
          </w:p>
        </w:tc>
        <w:tc>
          <w:tcPr>
            <w:tcW w:w="27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2740.12</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804.9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1935.22</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20703</w:t>
            </w:r>
          </w:p>
        </w:tc>
        <w:tc>
          <w:tcPr>
            <w:tcW w:w="375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体育</w:t>
            </w:r>
          </w:p>
        </w:tc>
        <w:tc>
          <w:tcPr>
            <w:tcW w:w="27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2237.79</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804.9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1432.89</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2070304</w:t>
            </w:r>
          </w:p>
        </w:tc>
        <w:tc>
          <w:tcPr>
            <w:tcW w:w="375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运动项目管理</w:t>
            </w:r>
          </w:p>
        </w:tc>
        <w:tc>
          <w:tcPr>
            <w:tcW w:w="27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962.9</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804.9</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158</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2070305</w:t>
            </w:r>
          </w:p>
        </w:tc>
        <w:tc>
          <w:tcPr>
            <w:tcW w:w="375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体育竞赛</w:t>
            </w:r>
          </w:p>
        </w:tc>
        <w:tc>
          <w:tcPr>
            <w:tcW w:w="27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160</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2070307</w:t>
            </w:r>
          </w:p>
        </w:tc>
        <w:tc>
          <w:tcPr>
            <w:tcW w:w="375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体育场馆</w:t>
            </w:r>
          </w:p>
        </w:tc>
        <w:tc>
          <w:tcPr>
            <w:tcW w:w="277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72</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72</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2070399</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其他体育支出</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1042.89</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1042.89</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20799</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其他文化旅游体育与传媒支出</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502.33</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502.33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2079999</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其他文化旅游体育与传媒支出</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502.33</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502.33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208</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社会保障和就业支出</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68.4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68.4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20805</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行政事业单位养老支出</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68.4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68.4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2080505</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机关事业单位基本养老保险缴费支出</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68.4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68.4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210</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卫生健康支出</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37.4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37.4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21011</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行政事业单位医疗</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37.4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37.4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2101102</w:t>
            </w:r>
          </w:p>
        </w:tc>
        <w:tc>
          <w:tcPr>
            <w:tcW w:w="375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事业单位医疗</w:t>
            </w:r>
          </w:p>
        </w:tc>
        <w:tc>
          <w:tcPr>
            <w:tcW w:w="2777"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37.4</w:t>
            </w:r>
          </w:p>
        </w:tc>
        <w:tc>
          <w:tcPr>
            <w:tcW w:w="3492"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37.4</w:t>
            </w:r>
          </w:p>
        </w:tc>
        <w:tc>
          <w:tcPr>
            <w:tcW w:w="3000" w:type="dxa"/>
            <w:tcBorders>
              <w:top w:val="nil"/>
              <w:left w:val="nil"/>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center"/>
        <w:rPr>
          <w:rFonts w:ascii="Times New Roman" w:hAnsi="Times New Roman" w:eastAsia="仿宋_GB2312" w:cs="Times New Roman"/>
          <w:bCs/>
          <w:kern w:val="0"/>
          <w:szCs w:val="21"/>
        </w:rPr>
      </w:pPr>
    </w:p>
    <w:p>
      <w:pPr>
        <w:widowControl/>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7"/>
        <w:tblW w:w="0" w:type="auto"/>
        <w:tblInd w:w="0" w:type="dxa"/>
        <w:tblLayout w:type="fixed"/>
        <w:tblCellMar>
          <w:top w:w="0" w:type="dxa"/>
          <w:left w:w="108" w:type="dxa"/>
          <w:bottom w:w="0" w:type="dxa"/>
          <w:right w:w="108" w:type="dxa"/>
        </w:tblCellMar>
      </w:tblPr>
      <w:tblGrid>
        <w:gridCol w:w="1077"/>
        <w:gridCol w:w="2830"/>
        <w:gridCol w:w="1690"/>
        <w:gridCol w:w="1140"/>
        <w:gridCol w:w="2040"/>
        <w:gridCol w:w="1570"/>
        <w:gridCol w:w="1120"/>
        <w:gridCol w:w="2280"/>
        <w:gridCol w:w="1867"/>
      </w:tblGrid>
      <w:tr>
        <w:tblPrEx>
          <w:tblCellMar>
            <w:top w:w="0" w:type="dxa"/>
            <w:left w:w="108" w:type="dxa"/>
            <w:bottom w:w="0" w:type="dxa"/>
            <w:right w:w="108" w:type="dxa"/>
          </w:tblCellMar>
        </w:tblPrEx>
        <w:trPr>
          <w:trHeight w:val="1320" w:hRule="atLeast"/>
        </w:trPr>
        <w:tc>
          <w:tcPr>
            <w:tcW w:w="15614"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28"/>
                <w:szCs w:val="28"/>
              </w:rPr>
            </w:pPr>
            <w:bookmarkStart w:id="2" w:name="RANGE!A1:I34"/>
            <w:r>
              <w:rPr>
                <w:rFonts w:hint="eastAsia" w:ascii="华文中宋" w:hAnsi="华文中宋" w:eastAsia="华文中宋" w:cs="宋体"/>
                <w:color w:val="000000"/>
                <w:kern w:val="0"/>
                <w:sz w:val="28"/>
                <w:szCs w:val="28"/>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湖南省网球足球运动管理中心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504" w:hRule="atLeast"/>
        </w:trPr>
        <w:tc>
          <w:tcPr>
            <w:tcW w:w="10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28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6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0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5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8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827.25</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74.5</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211</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11.67</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21.6</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196.86</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179.46</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1.54</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68.4</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4.84</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6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1.33</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37.4</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14.42</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13.43</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53</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6</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4.29</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39.1</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8.95</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0.53</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3.6</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4.68</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2.84</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13</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0.85</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3</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0.00</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0.49</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4.5</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10.7</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07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2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1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04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2.16</w:t>
            </w:r>
          </w:p>
        </w:tc>
        <w:tc>
          <w:tcPr>
            <w:tcW w:w="112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2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390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69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836.2</w:t>
            </w:r>
          </w:p>
        </w:tc>
        <w:tc>
          <w:tcPr>
            <w:tcW w:w="8150"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8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74.5</w:t>
            </w:r>
          </w:p>
        </w:tc>
      </w:tr>
      <w:tr>
        <w:tblPrEx>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ind w:left="14280" w:hanging="14280" w:hangingChars="6800"/>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w:t>
      </w:r>
      <w:r>
        <w:rPr>
          <w:rFonts w:hint="eastAsia" w:ascii="Times New Roman" w:hAnsi="Times New Roman" w:eastAsia="仿宋_GB2312" w:cs="Times New Roman"/>
          <w:color w:val="000000"/>
          <w:kern w:val="0"/>
          <w:szCs w:val="21"/>
        </w:rPr>
        <w:t>湖南省网球足球运动管理中心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center"/>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单位：万元</w:t>
      </w:r>
    </w:p>
    <w:tbl>
      <w:tblPr>
        <w:tblStyle w:val="7"/>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3.3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3</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3</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0</w:t>
            </w:r>
            <w:r>
              <w:rPr>
                <w:rFonts w:ascii="Times New Roman" w:hAnsi="Times New Roman" w:eastAsia="仿宋_GB2312" w:cs="Times New Roman"/>
                <w:kern w:val="0"/>
                <w:szCs w:val="21"/>
              </w:rPr>
              <w:t>　</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湖南省网球足球运动管理中心</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7"/>
        <w:tblW w:w="1467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3310"/>
        <w:gridCol w:w="1860"/>
        <w:gridCol w:w="1590"/>
        <w:gridCol w:w="1300"/>
        <w:gridCol w:w="1980"/>
        <w:gridCol w:w="1590"/>
        <w:gridCol w:w="19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443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186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159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487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19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31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1860" w:type="dxa"/>
            <w:vMerge w:val="continue"/>
            <w:vAlign w:val="center"/>
          </w:tcPr>
          <w:p>
            <w:pPr>
              <w:widowControl/>
              <w:jc w:val="left"/>
              <w:rPr>
                <w:rFonts w:ascii="Times New Roman" w:hAnsi="Times New Roman" w:eastAsia="仿宋_GB2312" w:cs="Times New Roman"/>
                <w:b/>
                <w:kern w:val="0"/>
                <w:szCs w:val="21"/>
              </w:rPr>
            </w:pPr>
          </w:p>
        </w:tc>
        <w:tc>
          <w:tcPr>
            <w:tcW w:w="1590" w:type="dxa"/>
            <w:vMerge w:val="continue"/>
            <w:vAlign w:val="center"/>
          </w:tcPr>
          <w:p>
            <w:pPr>
              <w:widowControl/>
              <w:jc w:val="left"/>
              <w:rPr>
                <w:rFonts w:ascii="Times New Roman" w:hAnsi="Times New Roman" w:eastAsia="仿宋_GB2312" w:cs="Times New Roman"/>
                <w:b/>
                <w:kern w:val="0"/>
                <w:szCs w:val="21"/>
              </w:rPr>
            </w:pPr>
          </w:p>
        </w:tc>
        <w:tc>
          <w:tcPr>
            <w:tcW w:w="13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198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159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192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3310" w:type="dxa"/>
            <w:vMerge w:val="continue"/>
            <w:vAlign w:val="center"/>
          </w:tcPr>
          <w:p>
            <w:pPr>
              <w:widowControl/>
              <w:jc w:val="left"/>
              <w:rPr>
                <w:rFonts w:ascii="Times New Roman" w:hAnsi="Times New Roman" w:eastAsia="仿宋_GB2312" w:cs="Times New Roman"/>
                <w:kern w:val="0"/>
                <w:szCs w:val="21"/>
              </w:rPr>
            </w:pPr>
          </w:p>
        </w:tc>
        <w:tc>
          <w:tcPr>
            <w:tcW w:w="1860" w:type="dxa"/>
            <w:vMerge w:val="continue"/>
            <w:vAlign w:val="center"/>
          </w:tcPr>
          <w:p>
            <w:pPr>
              <w:widowControl/>
              <w:jc w:val="left"/>
              <w:rPr>
                <w:rFonts w:ascii="Times New Roman" w:hAnsi="Times New Roman" w:eastAsia="仿宋_GB2312" w:cs="Times New Roman"/>
                <w:kern w:val="0"/>
                <w:szCs w:val="21"/>
              </w:rPr>
            </w:pPr>
          </w:p>
        </w:tc>
        <w:tc>
          <w:tcPr>
            <w:tcW w:w="1590" w:type="dxa"/>
            <w:vMerge w:val="continue"/>
            <w:vAlign w:val="center"/>
          </w:tcPr>
          <w:p>
            <w:pPr>
              <w:widowControl/>
              <w:jc w:val="left"/>
              <w:rPr>
                <w:rFonts w:ascii="Times New Roman" w:hAnsi="Times New Roman" w:eastAsia="仿宋_GB2312" w:cs="Times New Roman"/>
                <w:kern w:val="0"/>
                <w:szCs w:val="21"/>
              </w:rPr>
            </w:pPr>
          </w:p>
        </w:tc>
        <w:tc>
          <w:tcPr>
            <w:tcW w:w="1300" w:type="dxa"/>
            <w:vMerge w:val="continue"/>
            <w:vAlign w:val="center"/>
          </w:tcPr>
          <w:p>
            <w:pPr>
              <w:widowControl/>
              <w:jc w:val="left"/>
              <w:rPr>
                <w:rFonts w:ascii="Times New Roman" w:hAnsi="Times New Roman" w:eastAsia="仿宋_GB2312" w:cs="Times New Roman"/>
                <w:kern w:val="0"/>
                <w:szCs w:val="21"/>
              </w:rPr>
            </w:pPr>
          </w:p>
        </w:tc>
        <w:tc>
          <w:tcPr>
            <w:tcW w:w="1980" w:type="dxa"/>
            <w:vMerge w:val="continue"/>
            <w:vAlign w:val="center"/>
          </w:tcPr>
          <w:p>
            <w:pPr>
              <w:widowControl/>
              <w:jc w:val="left"/>
              <w:rPr>
                <w:rFonts w:ascii="Times New Roman" w:hAnsi="Times New Roman" w:eastAsia="仿宋_GB2312" w:cs="Times New Roman"/>
                <w:kern w:val="0"/>
                <w:szCs w:val="21"/>
              </w:rPr>
            </w:pPr>
          </w:p>
        </w:tc>
        <w:tc>
          <w:tcPr>
            <w:tcW w:w="1590" w:type="dxa"/>
            <w:vMerge w:val="continue"/>
            <w:vAlign w:val="center"/>
          </w:tcPr>
          <w:p>
            <w:pPr>
              <w:widowControl/>
              <w:jc w:val="left"/>
              <w:rPr>
                <w:rFonts w:ascii="Times New Roman" w:hAnsi="Times New Roman" w:eastAsia="仿宋_GB2312" w:cs="Times New Roman"/>
                <w:kern w:val="0"/>
                <w:szCs w:val="21"/>
              </w:rPr>
            </w:pPr>
          </w:p>
        </w:tc>
        <w:tc>
          <w:tcPr>
            <w:tcW w:w="192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3310" w:type="dxa"/>
            <w:vMerge w:val="continue"/>
            <w:vAlign w:val="center"/>
          </w:tcPr>
          <w:p>
            <w:pPr>
              <w:widowControl/>
              <w:jc w:val="left"/>
              <w:rPr>
                <w:rFonts w:ascii="Times New Roman" w:hAnsi="Times New Roman" w:eastAsia="仿宋_GB2312" w:cs="Times New Roman"/>
                <w:kern w:val="0"/>
                <w:szCs w:val="21"/>
              </w:rPr>
            </w:pPr>
          </w:p>
        </w:tc>
        <w:tc>
          <w:tcPr>
            <w:tcW w:w="1860" w:type="dxa"/>
            <w:vMerge w:val="continue"/>
            <w:vAlign w:val="center"/>
          </w:tcPr>
          <w:p>
            <w:pPr>
              <w:widowControl/>
              <w:jc w:val="left"/>
              <w:rPr>
                <w:rFonts w:ascii="Times New Roman" w:hAnsi="Times New Roman" w:eastAsia="仿宋_GB2312" w:cs="Times New Roman"/>
                <w:kern w:val="0"/>
                <w:szCs w:val="21"/>
              </w:rPr>
            </w:pPr>
          </w:p>
        </w:tc>
        <w:tc>
          <w:tcPr>
            <w:tcW w:w="1590" w:type="dxa"/>
            <w:vMerge w:val="continue"/>
            <w:vAlign w:val="center"/>
          </w:tcPr>
          <w:p>
            <w:pPr>
              <w:widowControl/>
              <w:jc w:val="left"/>
              <w:rPr>
                <w:rFonts w:ascii="Times New Roman" w:hAnsi="Times New Roman" w:eastAsia="仿宋_GB2312" w:cs="Times New Roman"/>
                <w:kern w:val="0"/>
                <w:szCs w:val="21"/>
              </w:rPr>
            </w:pPr>
          </w:p>
        </w:tc>
        <w:tc>
          <w:tcPr>
            <w:tcW w:w="1300" w:type="dxa"/>
            <w:vMerge w:val="continue"/>
            <w:vAlign w:val="center"/>
          </w:tcPr>
          <w:p>
            <w:pPr>
              <w:widowControl/>
              <w:jc w:val="left"/>
              <w:rPr>
                <w:rFonts w:ascii="Times New Roman" w:hAnsi="Times New Roman" w:eastAsia="仿宋_GB2312" w:cs="Times New Roman"/>
                <w:kern w:val="0"/>
                <w:szCs w:val="21"/>
              </w:rPr>
            </w:pPr>
          </w:p>
        </w:tc>
        <w:tc>
          <w:tcPr>
            <w:tcW w:w="1980" w:type="dxa"/>
            <w:vMerge w:val="continue"/>
            <w:vAlign w:val="center"/>
          </w:tcPr>
          <w:p>
            <w:pPr>
              <w:widowControl/>
              <w:jc w:val="left"/>
              <w:rPr>
                <w:rFonts w:ascii="Times New Roman" w:hAnsi="Times New Roman" w:eastAsia="仿宋_GB2312" w:cs="Times New Roman"/>
                <w:kern w:val="0"/>
                <w:szCs w:val="21"/>
              </w:rPr>
            </w:pPr>
          </w:p>
        </w:tc>
        <w:tc>
          <w:tcPr>
            <w:tcW w:w="1590" w:type="dxa"/>
            <w:vMerge w:val="continue"/>
            <w:vAlign w:val="center"/>
          </w:tcPr>
          <w:p>
            <w:pPr>
              <w:widowControl/>
              <w:jc w:val="left"/>
              <w:rPr>
                <w:rFonts w:ascii="Times New Roman" w:hAnsi="Times New Roman" w:eastAsia="仿宋_GB2312" w:cs="Times New Roman"/>
                <w:kern w:val="0"/>
                <w:szCs w:val="21"/>
              </w:rPr>
            </w:pPr>
          </w:p>
        </w:tc>
        <w:tc>
          <w:tcPr>
            <w:tcW w:w="192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443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186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3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98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9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443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86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1144.18</w:t>
            </w: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983</w:t>
            </w:r>
          </w:p>
        </w:tc>
        <w:tc>
          <w:tcPr>
            <w:tcW w:w="13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1633.67</w:t>
            </w:r>
          </w:p>
        </w:tc>
        <w:tc>
          <w:tcPr>
            <w:tcW w:w="1980" w:type="dxa"/>
            <w:shd w:val="clear" w:color="auto" w:fill="auto"/>
            <w:vAlign w:val="center"/>
          </w:tcPr>
          <w:p>
            <w:pPr>
              <w:widowControl/>
              <w:jc w:val="center"/>
              <w:rPr>
                <w:rFonts w:ascii="Times New Roman" w:hAnsi="Times New Roman" w:eastAsia="仿宋_GB2312" w:cs="Times New Roman"/>
                <w:kern w:val="0"/>
                <w:szCs w:val="21"/>
              </w:rPr>
            </w:pP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1633.67</w:t>
            </w:r>
          </w:p>
        </w:tc>
        <w:tc>
          <w:tcPr>
            <w:tcW w:w="19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493.51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229</w:t>
            </w:r>
          </w:p>
        </w:tc>
        <w:tc>
          <w:tcPr>
            <w:tcW w:w="331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其他支出</w:t>
            </w:r>
          </w:p>
        </w:tc>
        <w:tc>
          <w:tcPr>
            <w:tcW w:w="186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1144.18</w:t>
            </w: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983</w:t>
            </w:r>
          </w:p>
        </w:tc>
        <w:tc>
          <w:tcPr>
            <w:tcW w:w="13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1633.67</w:t>
            </w:r>
          </w:p>
        </w:tc>
        <w:tc>
          <w:tcPr>
            <w:tcW w:w="1980" w:type="dxa"/>
            <w:shd w:val="clear" w:color="auto" w:fill="auto"/>
            <w:vAlign w:val="center"/>
          </w:tcPr>
          <w:p>
            <w:pPr>
              <w:widowControl/>
              <w:jc w:val="center"/>
              <w:rPr>
                <w:rFonts w:ascii="Times New Roman" w:hAnsi="Times New Roman" w:eastAsia="仿宋_GB2312" w:cs="Times New Roman"/>
                <w:kern w:val="0"/>
                <w:szCs w:val="21"/>
              </w:rPr>
            </w:pP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1633.67</w:t>
            </w:r>
          </w:p>
        </w:tc>
        <w:tc>
          <w:tcPr>
            <w:tcW w:w="19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493.51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22960</w:t>
            </w:r>
            <w:r>
              <w:rPr>
                <w:rFonts w:ascii="Times New Roman" w:hAnsi="Times New Roman" w:eastAsia="仿宋_GB2312" w:cs="Times New Roman"/>
                <w:kern w:val="0"/>
                <w:szCs w:val="21"/>
              </w:rPr>
              <w:t>　</w:t>
            </w:r>
          </w:p>
        </w:tc>
        <w:tc>
          <w:tcPr>
            <w:tcW w:w="331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彩票公益金安排的支出</w:t>
            </w:r>
          </w:p>
        </w:tc>
        <w:tc>
          <w:tcPr>
            <w:tcW w:w="186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1144.18</w:t>
            </w: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983</w:t>
            </w:r>
          </w:p>
        </w:tc>
        <w:tc>
          <w:tcPr>
            <w:tcW w:w="13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1644.67</w:t>
            </w:r>
          </w:p>
        </w:tc>
        <w:tc>
          <w:tcPr>
            <w:tcW w:w="1980" w:type="dxa"/>
            <w:shd w:val="clear" w:color="auto" w:fill="auto"/>
            <w:vAlign w:val="center"/>
          </w:tcPr>
          <w:p>
            <w:pPr>
              <w:widowControl/>
              <w:jc w:val="center"/>
              <w:rPr>
                <w:rFonts w:ascii="Times New Roman" w:hAnsi="Times New Roman" w:eastAsia="仿宋_GB2312" w:cs="Times New Roman"/>
                <w:kern w:val="0"/>
                <w:szCs w:val="21"/>
              </w:rPr>
            </w:pP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1633.67</w:t>
            </w:r>
          </w:p>
        </w:tc>
        <w:tc>
          <w:tcPr>
            <w:tcW w:w="19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493.51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2296003</w:t>
            </w:r>
            <w:r>
              <w:rPr>
                <w:rFonts w:ascii="Times New Roman" w:hAnsi="Times New Roman" w:eastAsia="仿宋_GB2312" w:cs="Times New Roman"/>
                <w:kern w:val="0"/>
                <w:szCs w:val="21"/>
              </w:rPr>
              <w:t>　</w:t>
            </w:r>
          </w:p>
        </w:tc>
        <w:tc>
          <w:tcPr>
            <w:tcW w:w="3310" w:type="dxa"/>
            <w:shd w:val="clear" w:color="auto" w:fill="auto"/>
            <w:vAlign w:val="center"/>
          </w:tcPr>
          <w:p>
            <w:pPr>
              <w:widowControl/>
              <w:jc w:val="left"/>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用于体育事业的彩票公益金支出</w:t>
            </w:r>
            <w:r>
              <w:rPr>
                <w:rFonts w:ascii="Times New Roman" w:hAnsi="Times New Roman" w:eastAsia="仿宋_GB2312" w:cs="Times New Roman"/>
                <w:kern w:val="0"/>
                <w:szCs w:val="21"/>
              </w:rPr>
              <w:t>　</w:t>
            </w:r>
          </w:p>
        </w:tc>
        <w:tc>
          <w:tcPr>
            <w:tcW w:w="186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1144.18</w:t>
            </w: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983</w:t>
            </w:r>
          </w:p>
        </w:tc>
        <w:tc>
          <w:tcPr>
            <w:tcW w:w="13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1633.67</w:t>
            </w:r>
          </w:p>
        </w:tc>
        <w:tc>
          <w:tcPr>
            <w:tcW w:w="1980" w:type="dxa"/>
            <w:shd w:val="clear" w:color="auto" w:fill="auto"/>
            <w:vAlign w:val="center"/>
          </w:tcPr>
          <w:p>
            <w:pPr>
              <w:widowControl/>
              <w:jc w:val="center"/>
              <w:rPr>
                <w:rFonts w:ascii="Times New Roman" w:hAnsi="Times New Roman" w:eastAsia="仿宋_GB2312" w:cs="Times New Roman"/>
                <w:kern w:val="0"/>
                <w:szCs w:val="21"/>
              </w:rPr>
            </w:pPr>
          </w:p>
        </w:tc>
        <w:tc>
          <w:tcPr>
            <w:tcW w:w="159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1633.67</w:t>
            </w:r>
          </w:p>
        </w:tc>
        <w:tc>
          <w:tcPr>
            <w:tcW w:w="192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rPr>
              <w:t>493.51</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31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6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9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9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9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9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31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6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9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9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9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9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31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86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9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98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9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9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7"/>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0</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0</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3"/>
        <w:rPr>
          <w:sz w:val="72"/>
          <w:szCs w:val="72"/>
        </w:rPr>
        <w:sectPr>
          <w:pgSz w:w="16838" w:h="11906" w:orient="landscape"/>
          <w:pgMar w:top="720" w:right="720" w:bottom="720" w:left="720" w:header="851" w:footer="992" w:gutter="0"/>
          <w:cols w:space="425" w:num="1"/>
          <w:docGrid w:type="lines" w:linePitch="312" w:charSpace="0"/>
        </w:sect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sz w:val="32"/>
          <w:szCs w:val="32"/>
        </w:rPr>
      </w:pPr>
      <w:r>
        <w:rPr>
          <w:sz w:val="70"/>
          <w:szCs w:val="70"/>
        </w:rPr>
        <w:br w:type="page"/>
      </w:r>
    </w:p>
    <w:p>
      <w:pPr>
        <w:pStyle w:val="13"/>
        <w:rPr>
          <w:rFonts w:hAnsi="黑体"/>
          <w:b/>
          <w:sz w:val="32"/>
          <w:szCs w:val="32"/>
        </w:rPr>
      </w:pPr>
      <w:r>
        <w:rPr>
          <w:rFonts w:hint="eastAsia" w:hAnsi="黑体"/>
          <w:b/>
          <w:sz w:val="32"/>
          <w:szCs w:val="32"/>
        </w:rPr>
        <w:t>一、收入支出决算总体情况说明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2021年度收、支总计5143.31万元。与上年相比，增加589.39万元，增长12.94%，主要是因为一般公共预算财政拨款收入增加。</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2021年度收入合计3730万元，其中：财政拨款收入3730万元，占100%；上级补助收入0万元，占0%；事业收入0万元，占0%；经营收入0万元，占0%；附属单位上缴收入0万元，占0%；其他收入0万元，占0%。</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2021年度支出合计4479.59万元，其中：基本支出910.7万元，占20.33%；项目支出3568.89万元，占79.67%；上缴上级支出0万元，占0%；经营支出0万元，占0%；对附属单位补助支出0万元，占0%。</w:t>
      </w:r>
    </w:p>
    <w:p>
      <w:pPr>
        <w:pStyle w:val="13"/>
        <w:rPr>
          <w:rFonts w:hAnsi="黑体"/>
          <w:b/>
          <w:sz w:val="32"/>
          <w:szCs w:val="32"/>
        </w:rPr>
      </w:pPr>
      <w:r>
        <w:rPr>
          <w:rFonts w:hint="eastAsia" w:hAnsi="黑体"/>
          <w:b/>
          <w:sz w:val="32"/>
          <w:szCs w:val="32"/>
        </w:rPr>
        <w:t>四、财政拨款收入支出决算总体情况说明</w:t>
      </w:r>
    </w:p>
    <w:p>
      <w:pPr>
        <w:pStyle w:val="13"/>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2021年度财政拨款收、支总计5143.31万元，与上年相比，增加589.39万元,增长12.94%，主要是因为一般公共预算财政拨款收入增加。</w:t>
      </w:r>
    </w:p>
    <w:p>
      <w:pPr>
        <w:pStyle w:val="13"/>
        <w:rPr>
          <w:rFonts w:hAnsi="黑体"/>
          <w:b/>
          <w:sz w:val="32"/>
          <w:szCs w:val="32"/>
        </w:rPr>
      </w:pPr>
      <w:r>
        <w:rPr>
          <w:rFonts w:hint="eastAsia" w:hAnsi="黑体"/>
          <w:b/>
          <w:sz w:val="32"/>
          <w:szCs w:val="32"/>
        </w:rPr>
        <w:t>五、一般公共预算财政拨款支出决算情况说明</w:t>
      </w:r>
    </w:p>
    <w:p>
      <w:pPr>
        <w:pStyle w:val="13"/>
        <w:ind w:firstLine="320" w:firstLineChars="1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2845.92万元，占本年支出合计的63.53%，与上年相比，财政拨款支出增加1592.02万元，增长126.97%，主要是因为2020年新进运动员15名，教练员3名，人员经费有所有增加；足球事业发展专项经费大幅增加；追加室外网球场15片场地翻新改造工程、备战全运会经费等。</w:t>
      </w: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2021年度财政拨款支出2845.92万元，主要用于以下方面：一般公共服务（类）支出0万元，占0%；教育（类）支出0万元，占0%；</w:t>
      </w:r>
      <w:r>
        <w:rPr>
          <w:rFonts w:hint="eastAsia" w:asciiTheme="minorEastAsia" w:hAnsiTheme="minorEastAsia" w:eastAsiaTheme="minorEastAsia"/>
          <w:color w:val="333333"/>
          <w:sz w:val="32"/>
          <w:szCs w:val="32"/>
          <w:shd w:val="clear" w:color="auto" w:fill="FFFFFF"/>
        </w:rPr>
        <w:t>文化体育与传媒（类）支出</w:t>
      </w:r>
      <w:r>
        <w:rPr>
          <w:rFonts w:hint="eastAsia" w:asciiTheme="minorEastAsia" w:hAnsiTheme="minorEastAsia" w:eastAsiaTheme="minorEastAsia"/>
          <w:sz w:val="32"/>
          <w:szCs w:val="32"/>
        </w:rPr>
        <w:t>2740.12万元，占96.28%；社会保障和就业（类）支出68.4万元，占2.4%；卫生健康(类)支出37.4万元，占1.32%。</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2021年度财政拨款支出年初预算数为2561.1万元，支出决算数为2845.92万元，完成年初预算的111.12%，其中：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1、文化体育与传媒支出（类）体育（款）运动项目管理（项）。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年初预算为953.2万元，支出决算为962.9万元，完成年初预算的101.02%，决算数大于年初预算数的主要原因是：年中调整增加运动项目管理内资金支付。</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2、文化体育与传媒支出（类）体育（款）体育竞赛（项）。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年初预算为160万元，支出决算为160万元，完成年初预算的100%。</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3、文化体育与传媒支出（类）体育（款）体育场馆（项）。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年初预算为72万元，支出决算为72万元，完成年初预算的100%。</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4、文化体育与传媒支出（类）体育（款）其他体育支出（项）。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年初预算为1093万元，支出决算为1042.89万元，完成年初预算的95.42%，决算数小于年初预算数的主要原因是：年中追加足球场配套功能设施建设经费。</w:t>
      </w:r>
    </w:p>
    <w:p>
      <w:pPr>
        <w:widowControl/>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5、</w:t>
      </w:r>
      <w:r>
        <w:rPr>
          <w:rFonts w:hint="eastAsia" w:cs="黑体" w:asciiTheme="minorEastAsia" w:hAnsiTheme="minorEastAsia"/>
          <w:color w:val="000000"/>
          <w:kern w:val="0"/>
          <w:sz w:val="32"/>
          <w:szCs w:val="32"/>
        </w:rPr>
        <w:t>文化体育与传媒支出（类）其他文化体育与传媒支出（款）其他文化体育与传媒支出（项）。</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年初预算为167.1万元，支出决算为502.33万元，完成年初预算300.6%。决算数大于预算数的主要原因是：年中追加公共文化服务体系建设绩效奖励和室外网球场15片场地翻新改造工程支出。</w:t>
      </w:r>
    </w:p>
    <w:p>
      <w:pPr>
        <w:widowControl/>
        <w:ind w:firstLine="800" w:firstLineChars="25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6、社会保障和就业支出（类）行政事业单位养老支出（款）机关事业单位基本养老保险缴费支出（项）。</w:t>
      </w:r>
    </w:p>
    <w:p>
      <w:pPr>
        <w:widowControl/>
        <w:ind w:left="638" w:leftChars="304"/>
        <w:rPr>
          <w:rFonts w:asciiTheme="minorEastAsia" w:hAnsiTheme="minorEastAsia"/>
          <w:sz w:val="32"/>
          <w:szCs w:val="32"/>
        </w:rPr>
      </w:pPr>
      <w:r>
        <w:rPr>
          <w:rFonts w:hint="eastAsia" w:asciiTheme="minorEastAsia" w:hAnsiTheme="minorEastAsia"/>
          <w:sz w:val="32"/>
          <w:szCs w:val="32"/>
        </w:rPr>
        <w:t xml:space="preserve">  </w:t>
      </w:r>
      <w:r>
        <w:rPr>
          <w:rFonts w:hint="eastAsia" w:cs="黑体" w:asciiTheme="minorEastAsia" w:hAnsiTheme="minorEastAsia"/>
          <w:color w:val="000000"/>
          <w:kern w:val="0"/>
          <w:sz w:val="32"/>
          <w:szCs w:val="32"/>
        </w:rPr>
        <w:t>年初预算为78.4万元，支出决算为68.4万元，完成年初预算87.24%，</w:t>
      </w:r>
      <w:r>
        <w:rPr>
          <w:rFonts w:hint="eastAsia" w:asciiTheme="minorEastAsia" w:hAnsiTheme="minorEastAsia"/>
          <w:sz w:val="32"/>
          <w:szCs w:val="32"/>
        </w:rPr>
        <w:t xml:space="preserve">7、 </w:t>
      </w:r>
      <w:r>
        <w:rPr>
          <w:rFonts w:hint="eastAsia" w:ascii="宋体" w:hAnsi="宋体" w:eastAsia="宋体" w:cs="宋体"/>
          <w:color w:val="333333"/>
          <w:sz w:val="32"/>
          <w:szCs w:val="32"/>
          <w:shd w:val="clear" w:color="auto" w:fill="FFFFFF"/>
        </w:rPr>
        <w:t>卫生健康支出（类）行政事业单位医疗（款） 事业单位医疗（项）。</w:t>
      </w:r>
      <w:r>
        <w:rPr>
          <w:rFonts w:hint="eastAsia" w:asciiTheme="minorEastAsia" w:hAnsiTheme="minorEastAsia"/>
          <w:sz w:val="32"/>
          <w:szCs w:val="32"/>
        </w:rPr>
        <w:t xml:space="preserve">  </w:t>
      </w:r>
    </w:p>
    <w:p>
      <w:pPr>
        <w:widowControl/>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年初预算为37.4万元，支出决算为37.4万元，完成年初预算100%。</w:t>
      </w:r>
    </w:p>
    <w:p>
      <w:pPr>
        <w:pStyle w:val="13"/>
        <w:rPr>
          <w:rFonts w:hAnsi="黑体"/>
          <w:b/>
          <w:sz w:val="32"/>
          <w:szCs w:val="32"/>
        </w:rPr>
      </w:pPr>
      <w:r>
        <w:rPr>
          <w:rFonts w:hint="eastAsia" w:hAnsi="黑体"/>
          <w:b/>
          <w:sz w:val="32"/>
          <w:szCs w:val="32"/>
        </w:rPr>
        <w:t>六、一般公共预算财政拨款基本支出决算情况说明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2021年度财政拨款基本支出910.7万元，其中：人员经费836.2万元，占基本支出的91.82%,主要包括基本工资、津贴补贴、奖金、伙食补助费、</w:t>
      </w:r>
      <w:r>
        <w:rPr>
          <w:rFonts w:asciiTheme="minorEastAsia" w:hAnsiTheme="minorEastAsia" w:eastAsiaTheme="minorEastAsia"/>
          <w:sz w:val="32"/>
          <w:szCs w:val="32"/>
        </w:rPr>
        <w:t>绩效工资、机关事业单位基本养老保险缴费、职业年金缴费、职工基本医疗保险缴费、其他</w:t>
      </w:r>
      <w:r>
        <w:rPr>
          <w:rFonts w:hint="eastAsia" w:asciiTheme="minorEastAsia" w:hAnsiTheme="minorEastAsia" w:eastAsiaTheme="minorEastAsia"/>
          <w:sz w:val="32"/>
          <w:szCs w:val="32"/>
        </w:rPr>
        <w:t>社会保障缴费、住房公积金、医疗费、其他工资福利支出、对个人和家庭的补助；公用经费74.5万元，占基本支出的8.18%，主要包括办公费、水费、电费、邮电费、差旅费、维修（护）费、培训费、公务接待费、劳务费、委托业务费、工会经费、公务用车运行维护费、其他交通费用、税金及附加费用、其他商品和服务支出。</w:t>
      </w:r>
    </w:p>
    <w:p>
      <w:pPr>
        <w:pStyle w:val="13"/>
        <w:rPr>
          <w:rFonts w:hAnsi="黑体"/>
          <w:b/>
          <w:sz w:val="32"/>
          <w:szCs w:val="32"/>
        </w:rPr>
      </w:pPr>
      <w:r>
        <w:rPr>
          <w:rFonts w:hint="eastAsia" w:hAnsi="黑体"/>
          <w:b/>
          <w:sz w:val="32"/>
          <w:szCs w:val="32"/>
        </w:rPr>
        <w:t>七、一般公共预算财政拨款“三公”经费支出决算情况说明</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2021年度“三公”经费财政拨款支出预算为3.3万元，支出决算为3万元，完成预算的90.9%，其中：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因公出国（境）费支出预算为0万元，支出决算为0万元，与上年相比持平。</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公务接待费支出预算为0.3万元，支出决算为0万元，决算数小于预算数的主要原因是：厉行节约，严格报销制度，进一步规范公务接待费管理。与上年相比预算持平，决算减少0.04万元。</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公务用车购置费支出预算为0万元，支出决算为0万元，与上年相比持平。</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公务用车运行维护费支出预算为3万元，支出决算为3万元，完成预算的100%。与上年相比决算减少0.34万元。</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2021年度“三公”经费财政拨款支出决算中，公务接待费支出决算0万元，占0%,因公出国（境）费支出决算0万元，占0%,公务用车购置费及运行维护费支出决算3万元，占100%。其中：</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3、公务用车购置费及运行维护费支出决算为3万元，其中：公务用车购置费0万元</w:t>
      </w:r>
      <w:r>
        <w:rPr>
          <w:rFonts w:hint="eastAsia" w:asciiTheme="minorEastAsia" w:hAnsiTheme="minorEastAsia"/>
          <w:sz w:val="32"/>
          <w:szCs w:val="32"/>
          <w:lang w:eastAsia="zh-CN"/>
        </w:rPr>
        <w:t>，</w:t>
      </w:r>
      <w:r>
        <w:rPr>
          <w:rFonts w:hint="eastAsia" w:asciiTheme="minorEastAsia" w:hAnsiTheme="minorEastAsia" w:eastAsiaTheme="minorEastAsia"/>
          <w:sz w:val="32"/>
          <w:szCs w:val="32"/>
        </w:rPr>
        <w:t>本单位</w:t>
      </w:r>
      <w:r>
        <w:rPr>
          <w:rFonts w:hint="eastAsia" w:asciiTheme="minorEastAsia" w:hAnsiTheme="minorEastAsia"/>
          <w:sz w:val="32"/>
          <w:szCs w:val="32"/>
          <w:lang w:val="en-US" w:eastAsia="zh-CN"/>
        </w:rPr>
        <w:t>更</w:t>
      </w:r>
      <w:r>
        <w:rPr>
          <w:rFonts w:hint="eastAsia" w:asciiTheme="minorEastAsia" w:hAnsiTheme="minorEastAsia" w:eastAsiaTheme="minorEastAsia"/>
          <w:sz w:val="32"/>
          <w:szCs w:val="32"/>
        </w:rPr>
        <w:t>新公务用车0辆</w:t>
      </w:r>
      <w:r>
        <w:rPr>
          <w:rFonts w:hint="eastAsia" w:asciiTheme="minorEastAsia" w:hAnsiTheme="minorEastAsia"/>
          <w:sz w:val="32"/>
          <w:szCs w:val="32"/>
          <w:lang w:eastAsia="zh-CN"/>
        </w:rPr>
        <w:t>，</w:t>
      </w:r>
      <w:r>
        <w:rPr>
          <w:rFonts w:hint="eastAsia" w:asciiTheme="minorEastAsia" w:hAnsiTheme="minorEastAsia"/>
          <w:sz w:val="32"/>
          <w:szCs w:val="32"/>
          <w:lang w:val="en-US" w:eastAsia="zh-CN"/>
        </w:rPr>
        <w:t>购置公务用车0辆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公务用车运行维护费3万元，主要是公务用车燃油费、车辆保险费、车辆维修费等支出，截止2021年12月31日，我单位开支</w:t>
      </w:r>
      <w:bookmarkStart w:id="4" w:name="_GoBack"/>
      <w:bookmarkEnd w:id="4"/>
      <w:r>
        <w:rPr>
          <w:rFonts w:hint="eastAsia" w:asciiTheme="minorEastAsia" w:hAnsiTheme="minorEastAsia"/>
          <w:sz w:val="32"/>
          <w:szCs w:val="32"/>
        </w:rPr>
        <w:t>财政拨款的公务用车保有量为1辆。</w:t>
      </w:r>
    </w:p>
    <w:p>
      <w:pPr>
        <w:pStyle w:val="13"/>
        <w:numPr>
          <w:ilvl w:val="0"/>
          <w:numId w:val="2"/>
        </w:numPr>
        <w:rPr>
          <w:rFonts w:hAnsi="黑体"/>
          <w:b/>
          <w:sz w:val="32"/>
          <w:szCs w:val="32"/>
        </w:rPr>
      </w:pPr>
      <w:r>
        <w:rPr>
          <w:rFonts w:hint="eastAsia" w:hAnsi="黑体"/>
          <w:b/>
          <w:sz w:val="32"/>
          <w:szCs w:val="32"/>
        </w:rPr>
        <w:t>政府性基金预算收入支出决算情况</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2021年度政府性基金预算财政拨款收入983万元；年初结转和结余1144.18万元；支出1633.67万元，其中基本支出0万元，项目支出1633.67万元；年末结转和结余493.51万元。</w:t>
      </w:r>
    </w:p>
    <w:p>
      <w:pPr>
        <w:pStyle w:val="13"/>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其他支出（类）彩票公益金安排的支出（款）用于体育事业的彩票公益金支出（项）。</w:t>
      </w:r>
    </w:p>
    <w:p>
      <w:pPr>
        <w:pStyle w:val="13"/>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年初预算为983万元，支出决算为1633.67万元，完成年初预算数166.2%，决算数大于年初预算数的主要原因为是上年结转结余数被使用。</w:t>
      </w:r>
    </w:p>
    <w:p>
      <w:pPr>
        <w:pStyle w:val="13"/>
        <w:rPr>
          <w:rFonts w:hAnsi="黑体"/>
          <w:b/>
          <w:sz w:val="32"/>
          <w:szCs w:val="32"/>
        </w:rPr>
      </w:pPr>
      <w:r>
        <w:rPr>
          <w:rFonts w:hint="eastAsia" w:hAnsi="黑体"/>
          <w:b/>
          <w:sz w:val="32"/>
          <w:szCs w:val="32"/>
        </w:rPr>
        <w:t>九、机关运行经费支出说明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本单位2021年度机关运行经费支出0万元。</w:t>
      </w:r>
    </w:p>
    <w:p>
      <w:pPr>
        <w:pStyle w:val="13"/>
        <w:rPr>
          <w:rFonts w:hAnsi="黑体"/>
          <w:b/>
          <w:sz w:val="32"/>
          <w:szCs w:val="32"/>
        </w:rPr>
      </w:pPr>
      <w:r>
        <w:rPr>
          <w:rFonts w:hint="eastAsia" w:hAnsi="黑体"/>
          <w:b/>
          <w:sz w:val="32"/>
          <w:szCs w:val="32"/>
        </w:rPr>
        <w:t>十、一般性支出情况说明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2021年本部门开支会议费0万元，用于召开0次会议，人数0；开支培训费0.53万元，用于参加培训，人数16人，内容为在职人员线上职业教育培训；举办0次节庆、晚会、论坛、赛事活动，开支0万元。</w:t>
      </w:r>
    </w:p>
    <w:p>
      <w:pPr>
        <w:pStyle w:val="13"/>
        <w:rPr>
          <w:rFonts w:hAnsi="黑体"/>
          <w:b/>
          <w:sz w:val="32"/>
          <w:szCs w:val="32"/>
        </w:rPr>
      </w:pPr>
      <w:r>
        <w:rPr>
          <w:rFonts w:hint="eastAsia" w:hAnsi="黑体"/>
          <w:b/>
          <w:sz w:val="32"/>
          <w:szCs w:val="32"/>
        </w:rPr>
        <w:t>十一、政府采购支出说明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本部门2021年度政府采购支出总额1961.78万元，其中：政府采购货物支出69.5万元、政府采购工程支出1592.95 万元、政府采购服务支出299.33万元。授予中小企业合同金额1961.78万元，占政府采购支出总额的100%，其中：授予小微企业合同金额621.83万元，占授予中小企业合同金额的31.7%；货物采购授予中小企业合同金额占货物支出金额的3.54%，工程采购授予中小企业合同金额占工程支出金额的81.2%，服务采购授予中小企业合同金额占服务支出金额的15.26%。</w:t>
      </w:r>
    </w:p>
    <w:p>
      <w:pPr>
        <w:pStyle w:val="13"/>
        <w:ind w:firstLine="320" w:firstLineChars="100"/>
        <w:rPr>
          <w:rFonts w:hAnsi="黑体"/>
          <w:b/>
          <w:sz w:val="32"/>
          <w:szCs w:val="32"/>
        </w:rPr>
      </w:pPr>
      <w:r>
        <w:rPr>
          <w:rFonts w:hint="eastAsia" w:hAnsi="黑体"/>
          <w:b/>
          <w:sz w:val="32"/>
          <w:szCs w:val="32"/>
        </w:rPr>
        <w:t>十二、国有资产占用情况说明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1辆，其中，主要领导干部用车0辆，机要通信用车0辆、应急保障用车0辆、执法执勤用车0辆、特种专业技术用车0辆、其他用车1辆，其他用车主要是用于单位办公用车；单位价值50万元以上通用设备1台（套）；单位价值100万元以上专用设备1台（套）。</w:t>
      </w:r>
    </w:p>
    <w:p>
      <w:pPr>
        <w:pStyle w:val="13"/>
        <w:rPr>
          <w:rFonts w:hAnsi="黑体"/>
          <w:b/>
          <w:sz w:val="32"/>
          <w:szCs w:val="32"/>
        </w:rPr>
      </w:pPr>
      <w:r>
        <w:rPr>
          <w:rFonts w:hint="eastAsia" w:hAnsi="黑体"/>
          <w:b/>
          <w:sz w:val="32"/>
          <w:szCs w:val="32"/>
        </w:rPr>
        <w:t>十三、2021年度预算绩效情况说明</w:t>
      </w:r>
    </w:p>
    <w:p>
      <w:pPr>
        <w:autoSpaceDE w:val="0"/>
        <w:autoSpaceDN w:val="0"/>
        <w:adjustRightInd w:val="0"/>
        <w:ind w:firstLine="320" w:firstLineChars="1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根据预算绩效管理要求，我单位组织对：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年度一般公共预算项目支出全面开展绩效自评，其中，一级项目3 个，二级项目12</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个，共涉及资金1935.22万元，占一般公共预算项目支出总额的100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年度训练费用、运动队专用器材、高尔夫人才引进费用、网球进校园、运动队伙食费、医疗后勤保障、网球人才引进费、高尔夫球参赛费、足球二期建设项目、网球运动员外出训练经费、</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2021年板式网球赛、人才引进（足球）、训练经费（网球）、参赛经费（网球）、省网足中心足球场地建设、2020省级体彩公益金等16个政府性基金预算项目支出开展绩效自评，共涉及资金1633.67</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万元，占政府性基金预算项目支出总额的100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 组织对2021 年度0个国有资本经营预算项目支出开展绩效自评，共涉及资金0.00万元，占国有资本经营预算项目支出总额的0%。组织对“常年赛成绩奖”“办公设备购置”“备战全运会”“省级体育场馆免费低收费开放补助资金”“体育事业经费”“运动队专项器材”“足球事业发展专项”“物业费”“运动员外出训练”“中央补助地方公共体育场馆向社会免费或低收费开放专项”</w:t>
      </w:r>
      <w:r>
        <w:rPr>
          <w:rFonts w:hint="eastAsia" w:cs="黑体" w:asciiTheme="minorEastAsia" w:hAnsiTheme="minorEastAsia"/>
          <w:color w:val="000000" w:themeColor="text1"/>
          <w:kern w:val="0"/>
          <w:sz w:val="32"/>
          <w:szCs w:val="32"/>
          <w14:textFill>
            <w14:solidFill>
              <w14:schemeClr w14:val="tx1"/>
            </w14:solidFill>
          </w14:textFill>
        </w:rPr>
        <w:t>“公共文化服务体系建设绩效奖励”“体能训练健身房维修改造”“2021年中央支持地方公共文化服务体系建设绩效奖励”</w:t>
      </w:r>
      <w:r>
        <w:rPr>
          <w:rFonts w:hint="eastAsia" w:cs="黑体" w:asciiTheme="minorEastAsia" w:hAnsiTheme="minorEastAsia"/>
          <w:color w:val="000000" w:themeColor="text1"/>
          <w:kern w:val="0"/>
          <w:sz w:val="32"/>
          <w:szCs w:val="32"/>
          <w:shd w:val="clear" w:color="auto" w:fill="FFFFFF" w:themeFill="background1"/>
          <w14:textFill>
            <w14:solidFill>
              <w14:schemeClr w14:val="tx1"/>
            </w14:solidFill>
          </w14:textFill>
        </w:rPr>
        <w:t>“赛事举办及项目发展经费”</w:t>
      </w:r>
      <w:r>
        <w:rPr>
          <w:rFonts w:hint="eastAsia" w:cs="黑体" w:asciiTheme="minorEastAsia" w:hAnsiTheme="minorEastAsia"/>
          <w:color w:val="000000" w:themeColor="text1"/>
          <w:kern w:val="0"/>
          <w:sz w:val="32"/>
          <w:szCs w:val="32"/>
          <w14:textFill>
            <w14:solidFill>
              <w14:schemeClr w14:val="tx1"/>
            </w14:solidFill>
          </w14:textFill>
        </w:rPr>
        <w:t>“体育场馆免费低收费开放”“室外网球场15片场地翻新改造工程”</w:t>
      </w:r>
      <w:r>
        <w:rPr>
          <w:rFonts w:hint="eastAsia" w:cs="黑体" w:asciiTheme="minorEastAsia" w:hAnsiTheme="minorEastAsia"/>
          <w:color w:val="000000"/>
          <w:kern w:val="0"/>
          <w:sz w:val="32"/>
          <w:szCs w:val="32"/>
        </w:rPr>
        <w:t>等16个项目开展了部门评价，涉及一般公共预算支出1935.22万元，政府性基金预算支出1633.67万元，国有资本经营预算支出0万元。从评价情况来看，从评价情况来看，我单位从产出、效益、满意度三大项指标逐一评分，整体支出绩效评价基本合理、规范、有效，社会效益较好，服务对象满意度较高。</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组织对本单位开展整体支出绩效评价，涉及一般公共预算支出2845.92</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万元，政府性基金预算支出1633.67万元。从评价情况来看，从评价情况来看，我单位从产出、效益、满意度三大项指标逐一评分，整体支出绩效评价基本合理、规范、有效，社会效益较好，服务对象满意度较高。</w:t>
      </w:r>
    </w:p>
    <w:p>
      <w:pPr>
        <w:autoSpaceDE w:val="0"/>
        <w:autoSpaceDN w:val="0"/>
        <w:adjustRightInd w:val="0"/>
        <w:ind w:firstLine="320" w:firstLineChars="1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（2）部门决算中项目绩效自评结果（如有）。</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本单位部门决算中无项目绩效自评。</w:t>
      </w:r>
    </w:p>
    <w:p>
      <w:pPr>
        <w:autoSpaceDE w:val="0"/>
        <w:autoSpaceDN w:val="0"/>
        <w:adjustRightInd w:val="0"/>
        <w:ind w:firstLine="320" w:firstLineChars="1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3"/>
        <w:rPr>
          <w:rFonts w:ascii="宋体" w:hAnsi="宋体" w:eastAsia="宋体" w:cs="宋体"/>
          <w:sz w:val="32"/>
          <w:szCs w:val="32"/>
        </w:rPr>
      </w:pPr>
      <w:r>
        <w:rPr>
          <w:rFonts w:hint="eastAsia" w:asciiTheme="minorEastAsia" w:hAnsiTheme="minorEastAsia"/>
          <w:sz w:val="32"/>
          <w:szCs w:val="32"/>
        </w:rPr>
        <w:t xml:space="preserve">   </w:t>
      </w:r>
      <w:r>
        <w:rPr>
          <w:rFonts w:hint="eastAsia" w:ascii="宋体" w:hAnsi="宋体" w:eastAsia="宋体" w:cs="宋体"/>
          <w:sz w:val="32"/>
          <w:szCs w:val="32"/>
        </w:rPr>
        <w:t xml:space="preserve"> 根据《湖南省财政厅关于开展2021年度部门整体支出绩效自评工作的通知》（湘财绩〔2022〕1号）文件精神，我单位对2021年度部门整体支出进行了绩效评价工作。</w:t>
      </w:r>
    </w:p>
    <w:p>
      <w:pPr>
        <w:pStyle w:val="13"/>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rPr>
          <w:sz w:val="72"/>
          <w:szCs w:val="72"/>
        </w:rPr>
      </w:pPr>
    </w:p>
    <w:p>
      <w:pPr>
        <w:pStyle w:val="13"/>
        <w:rPr>
          <w:sz w:val="72"/>
          <w:szCs w:val="72"/>
        </w:rPr>
      </w:pPr>
    </w:p>
    <w:p>
      <w:pPr>
        <w:pStyle w:val="13"/>
        <w:jc w:val="center"/>
        <w:rPr>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hint="eastAsia" w:cs="黑体" w:asciiTheme="minorEastAsia" w:hAnsiTheme="minorEastAsia"/>
          <w:b/>
          <w:color w:val="000000"/>
          <w:kern w:val="0"/>
          <w:sz w:val="32"/>
          <w:szCs w:val="32"/>
        </w:rPr>
        <w:t>财政拨款收入</w:t>
      </w:r>
      <w:r>
        <w:rPr>
          <w:rFonts w:hint="eastAsia" w:cs="黑体" w:asciiTheme="minorEastAsia" w:hAnsiTheme="minorEastAsia"/>
          <w:color w:val="000000"/>
          <w:kern w:val="0"/>
          <w:sz w:val="32"/>
          <w:szCs w:val="32"/>
        </w:rPr>
        <w:t>：指省财政当年拨付的资金。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hint="eastAsia" w:cs="黑体" w:asciiTheme="minorEastAsia" w:hAnsiTheme="minorEastAsia"/>
          <w:b/>
          <w:color w:val="000000"/>
          <w:kern w:val="0"/>
          <w:sz w:val="32"/>
          <w:szCs w:val="32"/>
        </w:rPr>
        <w:t>政府性基金预算财政拨款</w:t>
      </w:r>
      <w:r>
        <w:rPr>
          <w:rFonts w:hint="eastAsia" w:cs="黑体" w:asciiTheme="minorEastAsia" w:hAnsiTheme="minorEastAsia"/>
          <w:color w:val="000000"/>
          <w:kern w:val="0"/>
          <w:sz w:val="32"/>
          <w:szCs w:val="32"/>
        </w:rPr>
        <w:t>：指当年拨付的用于体育事业的体彩公益金。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hint="eastAsia" w:cs="黑体" w:asciiTheme="minorEastAsia" w:hAnsiTheme="minorEastAsia"/>
          <w:b/>
          <w:color w:val="000000"/>
          <w:kern w:val="0"/>
          <w:sz w:val="32"/>
          <w:szCs w:val="32"/>
        </w:rPr>
        <w:t>年初结转和结余</w:t>
      </w:r>
      <w:r>
        <w:rPr>
          <w:rFonts w:hint="eastAsia" w:cs="黑体" w:asciiTheme="minorEastAsia" w:hAnsiTheme="minorEastAsia"/>
          <w:color w:val="000000"/>
          <w:kern w:val="0"/>
          <w:sz w:val="32"/>
          <w:szCs w:val="32"/>
        </w:rPr>
        <w:t>：指以前年度支出预算因客观条件变化未执行完毕、结转到本年度按有关规定继续使用的资金。</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四、</w:t>
      </w:r>
      <w:r>
        <w:rPr>
          <w:rFonts w:hint="eastAsia" w:cs="黑体" w:asciiTheme="minorEastAsia" w:hAnsiTheme="minorEastAsia"/>
          <w:b/>
          <w:color w:val="000000"/>
          <w:kern w:val="0"/>
          <w:sz w:val="32"/>
          <w:szCs w:val="32"/>
        </w:rPr>
        <w:t>基本支出</w:t>
      </w:r>
      <w:r>
        <w:rPr>
          <w:rFonts w:hint="eastAsia" w:cs="黑体" w:asciiTheme="minorEastAsia" w:hAnsiTheme="minorEastAsia"/>
          <w:color w:val="000000"/>
          <w:kern w:val="0"/>
          <w:sz w:val="32"/>
          <w:szCs w:val="32"/>
        </w:rPr>
        <w:t>：是指湖南省网球足球运动管理中心为保障机构正常运转、完成日常工作任务所必需的开支，其内容包括人员经费和日常公用经费两部分。</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五、</w:t>
      </w:r>
      <w:r>
        <w:rPr>
          <w:rFonts w:hint="eastAsia" w:cs="黑体" w:asciiTheme="minorEastAsia" w:hAnsiTheme="minorEastAsia"/>
          <w:b/>
          <w:color w:val="000000"/>
          <w:kern w:val="0"/>
          <w:sz w:val="32"/>
          <w:szCs w:val="32"/>
        </w:rPr>
        <w:t>项目支出</w:t>
      </w:r>
      <w:r>
        <w:rPr>
          <w:rFonts w:hint="eastAsia" w:cs="黑体" w:asciiTheme="minorEastAsia" w:hAnsiTheme="minorEastAsia"/>
          <w:color w:val="000000"/>
          <w:kern w:val="0"/>
          <w:sz w:val="32"/>
          <w:szCs w:val="32"/>
        </w:rPr>
        <w:t>：是指基本支出之外，为完成特定的项目事业发展目标所发生的支出。</w:t>
      </w:r>
    </w:p>
    <w:p>
      <w:pPr>
        <w:ind w:firstLine="620"/>
        <w:rPr>
          <w:rFonts w:cs="黑体" w:asciiTheme="minorEastAsia" w:hAnsiTheme="minorEastAsia"/>
          <w:color w:val="000000"/>
          <w:kern w:val="0"/>
          <w:sz w:val="32"/>
          <w:szCs w:val="32"/>
        </w:rPr>
      </w:pPr>
      <w:r>
        <w:rPr>
          <w:rFonts w:hint="eastAsia" w:cs="黑体" w:asciiTheme="minorEastAsia" w:hAnsiTheme="minorEastAsia"/>
          <w:bCs/>
          <w:color w:val="000000"/>
          <w:kern w:val="0"/>
          <w:sz w:val="32"/>
          <w:szCs w:val="32"/>
        </w:rPr>
        <w:t>六、</w:t>
      </w:r>
      <w:r>
        <w:rPr>
          <w:rFonts w:hint="eastAsia" w:cs="黑体" w:asciiTheme="minorEastAsia" w:hAnsiTheme="minorEastAsia"/>
          <w:b/>
          <w:color w:val="000000"/>
          <w:kern w:val="0"/>
          <w:sz w:val="32"/>
          <w:szCs w:val="32"/>
        </w:rPr>
        <w:t>文化体育与传媒支出（类）体育（款）运动项目管理（项）</w:t>
      </w:r>
      <w:r>
        <w:rPr>
          <w:rFonts w:hint="eastAsia" w:cs="黑体" w:asciiTheme="minorEastAsia" w:hAnsiTheme="minorEastAsia"/>
          <w:color w:val="000000"/>
          <w:kern w:val="0"/>
          <w:sz w:val="32"/>
          <w:szCs w:val="32"/>
        </w:rPr>
        <w:t>：主要反映湖南省网球足球运动管理中心的运行和业务支出。</w:t>
      </w:r>
    </w:p>
    <w:p>
      <w:pPr>
        <w:pStyle w:val="13"/>
        <w:ind w:firstLine="640" w:firstLineChars="200"/>
        <w:rPr>
          <w:rFonts w:ascii="宋体" w:hAnsi="宋体" w:eastAsia="宋体" w:cs="宋体"/>
          <w:sz w:val="32"/>
          <w:szCs w:val="32"/>
        </w:rPr>
      </w:pPr>
      <w:r>
        <w:rPr>
          <w:rFonts w:hint="eastAsia" w:ascii="宋体" w:hAnsi="宋体" w:eastAsia="宋体" w:cs="宋体"/>
          <w:sz w:val="32"/>
          <w:szCs w:val="32"/>
        </w:rPr>
        <w:t>七、</w:t>
      </w:r>
      <w:r>
        <w:rPr>
          <w:rFonts w:hint="eastAsia" w:ascii="宋体" w:hAnsi="宋体" w:eastAsia="宋体" w:cs="宋体"/>
          <w:b/>
          <w:bCs/>
          <w:sz w:val="32"/>
          <w:szCs w:val="32"/>
        </w:rPr>
        <w:t>文化体育与传媒支出（类）体育（款）体育竞赛（项）</w:t>
      </w:r>
      <w:r>
        <w:rPr>
          <w:rFonts w:hint="eastAsia" w:ascii="宋体" w:hAnsi="宋体" w:eastAsia="宋体" w:cs="宋体"/>
          <w:sz w:val="32"/>
          <w:szCs w:val="32"/>
        </w:rPr>
        <w:t>：主要反映综合性运动会及单项体育比赛支出。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八、</w:t>
      </w:r>
      <w:r>
        <w:rPr>
          <w:rFonts w:hint="eastAsia" w:cs="黑体" w:asciiTheme="minorEastAsia" w:hAnsiTheme="minorEastAsia"/>
          <w:b/>
          <w:color w:val="000000"/>
          <w:kern w:val="0"/>
          <w:sz w:val="32"/>
          <w:szCs w:val="32"/>
        </w:rPr>
        <w:t>文化体育与传媒支出（类）体育（款）体育场馆（项）</w:t>
      </w:r>
      <w:r>
        <w:rPr>
          <w:rFonts w:hint="eastAsia" w:cs="黑体" w:asciiTheme="minorEastAsia" w:hAnsiTheme="minorEastAsia"/>
          <w:color w:val="000000"/>
          <w:kern w:val="0"/>
          <w:sz w:val="32"/>
          <w:szCs w:val="32"/>
        </w:rPr>
        <w:t>：主要反映各体育场馆的运行保障支出。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九</w:t>
      </w:r>
      <w:r>
        <w:rPr>
          <w:rFonts w:cs="黑体" w:asciiTheme="minorEastAsia" w:hAnsiTheme="minorEastAsia"/>
          <w:color w:val="000000"/>
          <w:kern w:val="0"/>
          <w:sz w:val="32"/>
          <w:szCs w:val="32"/>
        </w:rPr>
        <w:t>、</w:t>
      </w:r>
      <w:r>
        <w:rPr>
          <w:rFonts w:hint="eastAsia" w:cs="黑体" w:asciiTheme="minorEastAsia" w:hAnsiTheme="minorEastAsia"/>
          <w:b/>
          <w:color w:val="000000"/>
          <w:kern w:val="0"/>
          <w:sz w:val="32"/>
          <w:szCs w:val="32"/>
        </w:rPr>
        <w:t>文化体育与传媒支出（类）体育（款）其他体育支出（项）</w:t>
      </w:r>
      <w:r>
        <w:rPr>
          <w:rFonts w:hint="eastAsia" w:cs="黑体" w:asciiTheme="minorEastAsia" w:hAnsiTheme="minorEastAsia"/>
          <w:color w:val="000000"/>
          <w:kern w:val="0"/>
          <w:sz w:val="32"/>
          <w:szCs w:val="32"/>
        </w:rPr>
        <w:t>：主要反映除上述项目外其他用于体育方面的支出。</w:t>
      </w:r>
    </w:p>
    <w:p>
      <w:pPr>
        <w:ind w:firstLine="62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十</w:t>
      </w:r>
      <w:r>
        <w:rPr>
          <w:rFonts w:cs="黑体" w:asciiTheme="minorEastAsia" w:hAnsiTheme="minorEastAsia"/>
          <w:color w:val="000000"/>
          <w:kern w:val="0"/>
          <w:sz w:val="32"/>
          <w:szCs w:val="32"/>
        </w:rPr>
        <w:t>、</w:t>
      </w:r>
      <w:r>
        <w:rPr>
          <w:rFonts w:hint="eastAsia" w:cs="黑体" w:asciiTheme="minorEastAsia" w:hAnsiTheme="minorEastAsia"/>
          <w:b/>
          <w:color w:val="000000"/>
          <w:kern w:val="0"/>
          <w:sz w:val="32"/>
          <w:szCs w:val="32"/>
        </w:rPr>
        <w:t>文化体育与传媒（类）其他文化体育与传媒支出（款）其他文化体育与传媒支出（项）</w:t>
      </w:r>
      <w:r>
        <w:rPr>
          <w:rFonts w:hint="eastAsia" w:cs="黑体" w:asciiTheme="minorEastAsia" w:hAnsiTheme="minorEastAsia"/>
          <w:color w:val="000000"/>
          <w:kern w:val="0"/>
          <w:sz w:val="32"/>
          <w:szCs w:val="32"/>
        </w:rPr>
        <w:t>：主要反映财政部门安排用于其他文化体育与传媒方面的专项支出。</w:t>
      </w:r>
    </w:p>
    <w:p>
      <w:pPr>
        <w:ind w:firstLine="620"/>
        <w:rPr>
          <w:rFonts w:cs="黑体" w:asciiTheme="minorEastAsia" w:hAnsiTheme="minorEastAsia"/>
          <w:color w:val="000000"/>
          <w:kern w:val="0"/>
          <w:sz w:val="32"/>
          <w:szCs w:val="32"/>
        </w:rPr>
      </w:pPr>
      <w:r>
        <w:rPr>
          <w:rFonts w:cs="黑体" w:asciiTheme="minorEastAsia" w:hAnsiTheme="minorEastAsia"/>
          <w:color w:val="000000"/>
          <w:kern w:val="0"/>
          <w:sz w:val="32"/>
          <w:szCs w:val="32"/>
        </w:rPr>
        <w:t>十</w:t>
      </w:r>
      <w:r>
        <w:rPr>
          <w:rFonts w:hint="eastAsia" w:cs="黑体" w:asciiTheme="minorEastAsia" w:hAnsiTheme="minorEastAsia"/>
          <w:color w:val="000000"/>
          <w:kern w:val="0"/>
          <w:sz w:val="32"/>
          <w:szCs w:val="32"/>
        </w:rPr>
        <w:t>一</w:t>
      </w:r>
      <w:r>
        <w:rPr>
          <w:rFonts w:cs="黑体" w:asciiTheme="minorEastAsia" w:hAnsiTheme="minorEastAsia"/>
          <w:color w:val="000000"/>
          <w:kern w:val="0"/>
          <w:sz w:val="32"/>
          <w:szCs w:val="32"/>
        </w:rPr>
        <w:t>、</w:t>
      </w:r>
      <w:r>
        <w:rPr>
          <w:rFonts w:hint="eastAsia" w:cs="黑体" w:asciiTheme="minorEastAsia" w:hAnsiTheme="minorEastAsia"/>
          <w:b/>
          <w:color w:val="000000"/>
          <w:kern w:val="0"/>
          <w:sz w:val="32"/>
          <w:szCs w:val="32"/>
        </w:rPr>
        <w:t>社会保障和就业支出（类）行政事业单位离退休（款）机关事业单位基本养老保险缴费支出（项）</w:t>
      </w:r>
      <w:r>
        <w:rPr>
          <w:rFonts w:hint="eastAsia" w:cs="黑体" w:asciiTheme="minorEastAsia" w:hAnsiTheme="minorEastAsia"/>
          <w:color w:val="000000"/>
          <w:kern w:val="0"/>
          <w:sz w:val="32"/>
          <w:szCs w:val="32"/>
        </w:rPr>
        <w:t>：主要反映湖南省网球足球运动管理中心各单位人员基本养老保险缴费支出。</w:t>
      </w:r>
    </w:p>
    <w:p>
      <w:pPr>
        <w:pStyle w:val="13"/>
        <w:ind w:firstLine="640" w:firstLineChars="200"/>
        <w:rPr>
          <w:rFonts w:ascii="宋体" w:hAnsi="宋体" w:eastAsia="宋体" w:cs="宋体"/>
          <w:sz w:val="32"/>
          <w:szCs w:val="32"/>
        </w:rPr>
      </w:pPr>
      <w:r>
        <w:rPr>
          <w:rFonts w:hint="eastAsia" w:ascii="宋体" w:hAnsi="宋体" w:eastAsia="宋体" w:cs="宋体"/>
          <w:sz w:val="32"/>
          <w:szCs w:val="32"/>
        </w:rPr>
        <w:t>十二、</w:t>
      </w:r>
      <w:r>
        <w:rPr>
          <w:rFonts w:hint="eastAsia" w:ascii="宋体" w:hAnsi="宋体" w:eastAsia="宋体" w:cs="宋体"/>
          <w:b/>
          <w:bCs/>
          <w:sz w:val="32"/>
          <w:szCs w:val="32"/>
        </w:rPr>
        <w:t>卫生健康支出（类）行政事业单位医疗（款）事业单位医疗（项）</w:t>
      </w:r>
      <w:r>
        <w:rPr>
          <w:rFonts w:hint="eastAsia" w:ascii="宋体" w:hAnsi="宋体" w:eastAsia="宋体" w:cs="宋体"/>
          <w:sz w:val="32"/>
          <w:szCs w:val="32"/>
        </w:rPr>
        <w:t>:主要反映财政部门安排的事业单位基本医疗保险缴费经费。</w:t>
      </w:r>
    </w:p>
    <w:p>
      <w:pPr>
        <w:pStyle w:val="13"/>
        <w:ind w:firstLine="640" w:firstLineChars="200"/>
        <w:rPr>
          <w:rFonts w:ascii="宋体" w:hAnsi="宋体" w:eastAsia="宋体" w:cs="宋体"/>
          <w:sz w:val="32"/>
          <w:szCs w:val="32"/>
        </w:rPr>
      </w:pPr>
      <w:r>
        <w:rPr>
          <w:rFonts w:hint="eastAsia" w:ascii="宋体" w:hAnsi="宋体" w:eastAsia="宋体" w:cs="宋体"/>
          <w:sz w:val="32"/>
          <w:szCs w:val="32"/>
        </w:rPr>
        <w:t>十三、</w:t>
      </w:r>
      <w:r>
        <w:rPr>
          <w:rFonts w:hint="eastAsia" w:ascii="宋体" w:hAnsi="宋体" w:eastAsia="宋体" w:cs="宋体"/>
          <w:b/>
          <w:bCs/>
          <w:sz w:val="32"/>
          <w:szCs w:val="32"/>
        </w:rPr>
        <w:t>其他支出（类）彩票公益金安排的支出（款） 用于体育事业的彩票公益金支出（项）</w:t>
      </w:r>
      <w:r>
        <w:rPr>
          <w:rFonts w:hint="eastAsia" w:ascii="宋体" w:hAnsi="宋体" w:eastAsia="宋体" w:cs="宋体"/>
          <w:sz w:val="32"/>
          <w:szCs w:val="32"/>
        </w:rPr>
        <w:t>：指用于体育事业的体育彩票公益金支出。</w:t>
      </w:r>
    </w:p>
    <w:p>
      <w:pPr>
        <w:pStyle w:val="13"/>
        <w:ind w:firstLine="640" w:firstLineChars="200"/>
        <w:rPr>
          <w:rFonts w:ascii="宋体" w:hAnsi="宋体" w:eastAsia="宋体" w:cs="宋体"/>
          <w:sz w:val="32"/>
          <w:szCs w:val="32"/>
        </w:rPr>
      </w:pPr>
      <w:r>
        <w:rPr>
          <w:rFonts w:hint="eastAsia" w:ascii="宋体" w:hAnsi="宋体" w:eastAsia="宋体" w:cs="宋体"/>
          <w:sz w:val="32"/>
          <w:szCs w:val="32"/>
        </w:rPr>
        <w:t>十四、</w:t>
      </w:r>
      <w:r>
        <w:rPr>
          <w:rFonts w:hint="eastAsia" w:ascii="宋体" w:hAnsi="宋体" w:eastAsia="宋体" w:cs="宋体"/>
          <w:b/>
          <w:bCs/>
          <w:sz w:val="32"/>
          <w:szCs w:val="32"/>
        </w:rPr>
        <w:t>公务接待费支出口径：主要反映文化旅游体育与传媒支出（类）体育（款）运动项目管理（项）</w:t>
      </w:r>
      <w:r>
        <w:rPr>
          <w:rFonts w:hint="eastAsia" w:ascii="宋体" w:hAnsi="宋体" w:eastAsia="宋体" w:cs="宋体"/>
          <w:sz w:val="32"/>
          <w:szCs w:val="32"/>
        </w:rPr>
        <w:t>：基本支出中单位按规定开支的各类公务接待费用。</w:t>
      </w:r>
    </w:p>
    <w:p>
      <w:pPr>
        <w:pStyle w:val="13"/>
        <w:ind w:firstLine="640" w:firstLineChars="200"/>
        <w:rPr>
          <w:rFonts w:eastAsia="宋体"/>
          <w:sz w:val="72"/>
          <w:szCs w:val="72"/>
        </w:rPr>
      </w:pPr>
      <w:r>
        <w:rPr>
          <w:rFonts w:hint="eastAsia" w:ascii="宋体" w:hAnsi="宋体" w:eastAsia="宋体" w:cs="宋体"/>
          <w:sz w:val="32"/>
          <w:szCs w:val="32"/>
        </w:rPr>
        <w:t>十五、</w:t>
      </w:r>
      <w:r>
        <w:rPr>
          <w:rFonts w:hint="eastAsia" w:ascii="宋体" w:hAnsi="宋体" w:eastAsia="宋体" w:cs="宋体"/>
          <w:b/>
          <w:bCs/>
          <w:sz w:val="32"/>
          <w:szCs w:val="32"/>
        </w:rPr>
        <w:t>公务用车运行维护费支出口径：主要反映文化旅游体育与传媒支出（类）体育（款）运动项目管理（项）</w:t>
      </w:r>
      <w:r>
        <w:rPr>
          <w:rFonts w:hint="eastAsia" w:ascii="宋体" w:hAnsi="宋体" w:eastAsia="宋体" w:cs="宋体"/>
          <w:sz w:val="32"/>
          <w:szCs w:val="32"/>
        </w:rPr>
        <w:t>：基本支出中单位按规定保留的公务用车的燃料费、维修费、保险费、过路过桥费等支出。</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 xml:space="preserve">                                                        </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spacing w:line="360" w:lineRule="auto"/>
        <w:jc w:val="center"/>
        <w:rPr>
          <w:rFonts w:ascii="Times New Roman" w:hAnsi="Times New Roman" w:cs="宋体"/>
          <w:b/>
          <w:bCs/>
          <w:color w:val="000000" w:themeColor="text1"/>
          <w:sz w:val="40"/>
          <w:szCs w:val="40"/>
          <w14:textFill>
            <w14:solidFill>
              <w14:schemeClr w14:val="tx1"/>
            </w14:solidFill>
          </w14:textFill>
        </w:rPr>
      </w:pPr>
      <w:r>
        <w:rPr>
          <w:rFonts w:hint="eastAsia" w:ascii="Times New Roman" w:hAnsi="Times New Roman" w:cs="宋体"/>
          <w:b/>
          <w:bCs/>
          <w:color w:val="000000" w:themeColor="text1"/>
          <w:sz w:val="40"/>
          <w:szCs w:val="40"/>
          <w14:textFill>
            <w14:solidFill>
              <w14:schemeClr w14:val="tx1"/>
            </w14:solidFill>
          </w14:textFill>
        </w:rPr>
        <w:t>湖南省网球足球运动管理中心</w:t>
      </w:r>
    </w:p>
    <w:p>
      <w:pPr>
        <w:spacing w:line="360" w:lineRule="auto"/>
        <w:jc w:val="center"/>
        <w:rPr>
          <w:rFonts w:ascii="Times New Roman" w:hAnsi="Times New Roman" w:cs="宋体"/>
          <w:b/>
          <w:bCs/>
          <w:color w:val="000000" w:themeColor="text1"/>
          <w:sz w:val="40"/>
          <w:szCs w:val="40"/>
          <w14:textFill>
            <w14:solidFill>
              <w14:schemeClr w14:val="tx1"/>
            </w14:solidFill>
          </w14:textFill>
        </w:rPr>
      </w:pPr>
      <w:r>
        <w:rPr>
          <w:rFonts w:ascii="Times New Roman" w:hAnsi="Times New Roman" w:cs="Times New Roman"/>
          <w:b/>
          <w:bCs/>
          <w:color w:val="000000" w:themeColor="text1"/>
          <w:sz w:val="40"/>
          <w:szCs w:val="40"/>
          <w14:textFill>
            <w14:solidFill>
              <w14:schemeClr w14:val="tx1"/>
            </w14:solidFill>
          </w14:textFill>
        </w:rPr>
        <w:t>20</w:t>
      </w:r>
      <w:r>
        <w:rPr>
          <w:rFonts w:hint="eastAsia" w:ascii="Times New Roman" w:hAnsi="Times New Roman" w:cs="Times New Roman"/>
          <w:b/>
          <w:bCs/>
          <w:color w:val="000000" w:themeColor="text1"/>
          <w:sz w:val="40"/>
          <w:szCs w:val="40"/>
          <w14:textFill>
            <w14:solidFill>
              <w14:schemeClr w14:val="tx1"/>
            </w14:solidFill>
          </w14:textFill>
        </w:rPr>
        <w:t>21</w:t>
      </w:r>
      <w:r>
        <w:rPr>
          <w:rFonts w:hint="eastAsia" w:ascii="Times New Roman" w:hAnsi="Times New Roman" w:cs="宋体"/>
          <w:b/>
          <w:bCs/>
          <w:color w:val="000000" w:themeColor="text1"/>
          <w:sz w:val="40"/>
          <w:szCs w:val="40"/>
          <w14:textFill>
            <w14:solidFill>
              <w14:schemeClr w14:val="tx1"/>
            </w14:solidFill>
          </w14:textFill>
        </w:rPr>
        <w:t>年度部门整体支出绩效自评报告</w:t>
      </w:r>
    </w:p>
    <w:p>
      <w:pPr>
        <w:spacing w:line="360" w:lineRule="auto"/>
        <w:ind w:firstLine="707" w:firstLineChars="221"/>
        <w:rPr>
          <w:rFonts w:ascii="Times New Roman" w:hAnsi="仿宋" w:cs="宋体"/>
          <w:color w:val="000000" w:themeColor="text1"/>
          <w:sz w:val="32"/>
          <w:szCs w:val="32"/>
          <w14:textFill>
            <w14:solidFill>
              <w14:schemeClr w14:val="tx1"/>
            </w14:solidFill>
          </w14:textFill>
        </w:rPr>
      </w:pPr>
    </w:p>
    <w:p>
      <w:pPr>
        <w:spacing w:line="360" w:lineRule="auto"/>
        <w:ind w:firstLine="707" w:firstLineChars="221"/>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为进一步规范财政资金管理，强化部门绩效和责任意识，切实提高财政资金使用效益。根据《中华人民共和国预算法》关于“各级政府、各部门、各单位应当对预算支出情况开展绩效评价”的规定和《湖南省财政厅关于开展2021年度部门整体支出绩效自评工作的通知》（湘财绩〔2022〕1号）要求，湖南省网球足球运动管理中心对2021年度部门整体支出开展了绩效自评工作。现将绩效自评情况报告如下：</w:t>
      </w:r>
    </w:p>
    <w:p>
      <w:pPr>
        <w:spacing w:line="360" w:lineRule="auto"/>
        <w:ind w:firstLine="640" w:firstLineChars="200"/>
        <w:rPr>
          <w:rFonts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一、单位基本情况</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（一）机构设置</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湖南省网球足球运动管理中心于2003年4月起系湖南省体育局的二级机构，属全额拨款的事业单位。内设办公室、竟训科、综合科3个职能科室。</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（二）人员情况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截止2021年12月31日，湖南省网球足球运动管理中心员工人数共计64人，其中：在职人数54人，退休人员10人，在职人员控制率79.41%。</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（三）主要职能</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承担湖南省竞技体育网球项目的全运会、亚运会、奥运会等大型比赛任务；负责湖南省青少年网球的选拔、培训、和组织比赛等工作。</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（四）部门预算情况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湖南省网球足球运动管理中心预算合计5,143.31万元。包括上年结余结转1,413.31万元（其中一般公共预算财政拨款269.13万元，政府性基金预算财政拨款1,144.18万元），湖南省体育局批复年初预算3,275.00万元（其中一般公共预算财政拨款2,292.00万元，政府性基金预算财政拨款983.00万元），年中追加455.00万元（其中一般公共预算财政拨款455.00万元）。</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（五）非税收入征收情况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2021年，湖南省网球足球运动管理中心年初部门预算的纳入非税收入67.00万元，年末实际上缴非税收入67.16万元。</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（六）绩效总目标</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1.改善中心体育训练环境，完成足球场（二期）、室外网球场15片场地、体能训练健身房改扩建项目，通过翻新改造，满足运动队对训练场地的要求，让运动员有更好的体能训练环境。</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2.引进我省高水平运动员、教练员，加快运动员人才队伍建设，提升竞技实力，为参加全省和国内重大比赛打下基础，为高水平的竞技体育培养后备人才。</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3.积极组织举办各类体育赛事，全力备战全运会，努力推进中心竞技体育向前发展。</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4.积极组织开展青训与梯队建设项目。</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5.做好场馆免费低收费开放，积极响应全民健身国家战略，满足人民群众日益增长的健身需求。</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6.为运动员训练配备必要的运动队专用器材，改善设施条件，加强后勤保障服务，提高运动员的训练条件。</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7.加强日常管理，努力做好其他各项工作。</w:t>
      </w:r>
    </w:p>
    <w:p>
      <w:pPr>
        <w:spacing w:line="360" w:lineRule="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二、一般公共预算支出情况</w:t>
      </w:r>
    </w:p>
    <w:p>
      <w:pPr>
        <w:spacing w:line="360" w:lineRule="auto"/>
        <w:ind w:firstLine="640"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（一）基本支出情况</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 xml:space="preserve">基本支出指用于为保障机构正常运转、完成日常工作任务而发生的支出，包括人员经费和公用经费。                              </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 xml:space="preserve">2021年年初预算批复的基本支出为911.00万元，年财政拨款收入为911万元。  </w:t>
      </w:r>
      <w:r>
        <w:rPr>
          <w:rFonts w:hint="eastAsia" w:ascii="仿宋" w:hAnsi="仿宋" w:eastAsia="仿宋" w:cs="仿宋"/>
          <w:bCs/>
          <w:color w:val="000000" w:themeColor="text1"/>
          <w:sz w:val="32"/>
          <w:szCs w:val="32"/>
          <w14:textFill>
            <w14:solidFill>
              <w14:schemeClr w14:val="tx1"/>
            </w14:solidFill>
          </w14:textFill>
        </w:rPr>
        <w:tab/>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2021年决算的基本支出为910.70万元，其中：人员经费836.20万元，公用经费74.50万元。</w:t>
      </w:r>
    </w:p>
    <w:p>
      <w:pPr>
        <w:spacing w:line="360" w:lineRule="auto"/>
        <w:ind w:firstLine="640"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（二）项目支出情况</w:t>
      </w:r>
    </w:p>
    <w:p>
      <w:pPr>
        <w:spacing w:line="360" w:lineRule="auto"/>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项目支出是在基本支出之外为完成其特定的行政工作任务而发生的支出，主要文化旅游体育与传媒支出。</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1.资金情况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2021年预算批复的项目支出为1,650.10万元，年中追加455万元，全年财政拨款收入为2105.1万元。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2021年决算项目支出为1,935.22万元，为文化旅游体育与传媒支出1,935.22万元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2.项目情况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常年赛成绩奖，预算数3.00万元，决算数3.00万元，结余0.00万元。主要用于发放运动员、教练员及工作人员2020年常年赛奖金，在一定程度上缓解了在训优秀运动员训练津贴过低的矛盾，有效促使运动员在比赛中顽强拼搏、为国争光，更好地调动各方面积极性，促进体育事业健康发展。</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备战全运会，预算数160.00万元，决算数160.00万元，结余0.00万元。主要用于备战全运会发生的训练费用、服装、营养补充及生活用品、参赛差旅费及长沙红土网球赛等，为在全运会取得好成绩提供了强有力的保障，为红土网球赛的正常举办提供好的后勤等服务。</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（3）省级体育场馆免费低收费开放补助资金，预算数10.00万元，决算数10.00万元，结余0.00万元。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（4）运动队专项器材，预算数70.00万元，决算数70.00万元，结余0.00万元。主要用于采购网球、网球拍、穿线机等专用设备，改善了运动员的设施条件，为中心培养高水平的运动员作铺垫。</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足球事业发展专项，预算数1,000.00万元，决算数949.89万元，结余50.11万元。主要用于湖南省男子足球队参加第十四届全运周期综合性运动会、省女子足球后勤保障、人才引进、青训与梯队建设等相关支出，为促进中心足球体育事业的发展有着极其重要的意义。</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（6）运动员外出训练，预算数15.00万元，决算数15.00万元，结余0.00万元。主要用于运动员外出训练差旅费。</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中央补助地方公共体育场馆向社会免费或低收费开放专项，上年结转12.00万元，预算数62.00万元，决算数62.00万元，结余0.00万元。主要用于场馆内设施设备安装及维修等，改善了场馆训练环境，通过免低收费等方式面向社会公众开放，极大地提高了城镇居民健身活动的开展，丰富了群众及运动员的业余生活，增强了人民的体质。</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赛事举办及项目发展经费，上年结转90.00万元，预算数90.00万元，决算数90.00万元，结余0.00万元。主要用于足球场多功能房装修、湖南省青少年网球赛费用等，改善了训练费的条件，有利于推动中心青少年网球、足球体育事业的发展。</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9）提前下达2021年中央支持地方公共文化服务体系建设补助资金-室外网球场15片场地翻新改造工程，预算数255万元，决算数233.10万元，结余21.9万元。项目已完工验收，结余资金用于支付质保金，通过翻新改造，满足了运动队对训练场地的要求。</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（10）办公设备购置3.00，预算数3.00万元，决算数3.00万元，结余0.00万元。用于采购电脑、打印机、复印件等办公设备，进一步改善了工作环境，提高了办公工作效率。</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（11）物业费，预算数70.00万元，决算数70.00万元，结余0.00万元。全部用于中心聘请物业公司及维护场馆等费用，进一步改善了中心办公及训练环境，改善了市民休闲健身的环境。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（12）足球场配套功能设施建设经费，预算数80.00万元，决算数0.00万元，结余80.00万元。由于该项目资金下达时间较完，资金暂未使用，计划于2022年第二季度进行使用。</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（13）公共文化服务体系建设绩效奖励，上年结转62.34万元，预算数62.34万元，决算数62.34万元，结余0.00万元。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（14）体能训练健身房维修改造项目，上年结转104.78万元，预算数104.78万元，决算数103.48万元，结余1.30万元。该项目已完工验收，结余资金用于支付质保金。主要用于体能训练费器械添置和装修。</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（15）2021年中央支持地方公共文化服务体系建设绩效奖励，预算数120.00万元，决算数103.41万元，结余16.59万元。</w:t>
      </w:r>
    </w:p>
    <w:p>
      <w:pPr>
        <w:spacing w:line="360" w:lineRule="auto"/>
        <w:ind w:firstLine="320" w:firstLineChars="1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（三）“三公”经费支出使用和管理情况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1.2021年“三公经费”支出情况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2021年“三公”经费年初预算数总额为3.30万元，其中：公务接待费0.30万元、公务用车运行维护费3.00万元，出国经费0.00万元；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2021年“三公”经费决算支出总额为3.00万元，其中：公务接待费0.00万元，公务用车运行维护费3.00万元，出国经费0.00万元。三公经费总额控制在预算范围内。</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2.与上年度比较“三公经费”控制情况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2020年“三公”经费决算支出总额为3.39万元，其中：公务接待费0.04万元，公务用车运行维护费3.35万元，出国经费0.00万元。与上年比较，三公经费支出总额减少0.39万元，单位在“三公”经费方面的控制效果明显。</w:t>
      </w:r>
    </w:p>
    <w:p>
      <w:pPr>
        <w:numPr>
          <w:ilvl w:val="0"/>
          <w:numId w:val="3"/>
        </w:numPr>
        <w:spacing w:line="360" w:lineRule="auto"/>
        <w:ind w:firstLine="640" w:firstLineChars="200"/>
        <w:jc w:val="left"/>
        <w:rPr>
          <w:rFonts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政府性基金预算支出情况</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度政府性基金拨款预算可用指标2,127.18万元，其中上年结转1,144.18万元，年初预算983.00万元。2021年度政府性基金拨款决算数1,633.67万元，本年结余493.51万元。主要用于体育事业的彩票公益金项目支出，具体如下：</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（1）人才引进（足球），上年结转19.42万元，预算数19.42万元，决算数19.42万元，结余0.00万元。主要用于足球教练员费用。</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（2）训练经费（网球），上年结转3.02万元，预算数3.02万元，决算数3.02万元，结余0.00万元。用于支付网球运动员训练发生的相关支出。</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（3）参赛经费（网球），上年结转12.56万元，预算数12.56万元，决算数12.56万元，结余0.00万元。用于支付为参加长沙红土中巡赛所发生的训练费、差旅费等。</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（4）省网足中心足球场地建设，上年结转174.73万元，预算数174.73万元，决算数174.68万元，结余0.05万元。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（5）省级体彩公益金（足球二期），上年结转934.46万元，预算数934.46万元，决算数729.67万元，结余204.89万元。该工程已验收，结余资金将用于支付项目尾款。</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（6）训练费用，预算数3.00万元，决算数3.00万元，结余0.00万元。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（7）运动队专用器材，预算20.00万元，决算数19.44万元，结余0.56万元，结余资金为质保金。用于采购体育器材、比赛用服装等，</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（8）高尔夫人才引进费用，预算数279.00万元，决算数279.00万元，结余0.00万元。主要用于引进高尔夫运动员费用。</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（9）网球进校园，预算数10.00万元，决算数10.00万元，结余0.00万元。主要用于网球进校园培训支出。</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（10）运动队伙食费，预算数6.00万元，决算数6.00万元，结余0.00万元。主要用于运动员伙食物资采购，有利于提高运动员身体素质。</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（11）医疗后勤保障，预算数20.00万元，决算数20.00万元，结余0.00万元。主要用于医疗器械、药品采购及教练员劳务等。</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（12）网球人才引进费，预算数25.00万元，决算数25.00万元，结余0.00万元。主要用于网球教练员人才费用。</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（13）高尔夫球参赛费，预算数20.00万元，决算数20.00万元，结余0.00万元。主要用于参加高尔夫全运费所发生的差旅费支出。</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（14）足球二期建设项目，预算数480.00万元，决算数191.89万元，结余288.01万元。该项目已验收，结余资金用于支付尾款。</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（15）网球运动员外出训练经费，预算数100.00万元，决算数100.00万元，结余0.00万元。</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（16）2021年板式网球赛，预算数20.00万元，决算数20.00万元，结余0.00万元。主要用于湖南省2021年板式网球比赛费用，提升我省板式网球知名度。</w:t>
      </w:r>
    </w:p>
    <w:p>
      <w:pPr>
        <w:numPr>
          <w:ilvl w:val="0"/>
          <w:numId w:val="3"/>
        </w:numPr>
        <w:spacing w:line="360" w:lineRule="auto"/>
        <w:ind w:firstLine="640" w:firstLineChars="200"/>
        <w:jc w:val="lef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国有资本经营预算支出情况</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无</w:t>
      </w:r>
    </w:p>
    <w:p>
      <w:pPr>
        <w:numPr>
          <w:ilvl w:val="0"/>
          <w:numId w:val="3"/>
        </w:numPr>
        <w:spacing w:line="360" w:lineRule="auto"/>
        <w:ind w:firstLine="640" w:firstLineChars="200"/>
        <w:jc w:val="lef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社会保险基金预算支出情况</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无</w:t>
      </w:r>
    </w:p>
    <w:p>
      <w:pPr>
        <w:spacing w:line="360" w:lineRule="auto"/>
        <w:ind w:firstLine="640" w:firstLineChars="200"/>
        <w:jc w:val="lef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六、部门整体支出绩效情况</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2021年，在局党组的正确领导下，中心全体职工紧紧团结在以习近平同志为核心的党中央周围，全面把握中国特色社会主义进入新时代的新要求， 为完成全年的各项工作任务，不懈努力。主要绩效如下：</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（一）如期完成场馆建设任务</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针对足球场二期项目、15片室外网球场翻新改造项目、体能训练健身房维修改造项目已全部竣工验收。足球场二期共建5片足球场，其中1片11人制足球场、4片8人制足球场；15片室外网球场通过翻新改造，满足了运动队对训练场地的要求；体能训练健身房维修改造让运动员有更好的体能训练环境。在以上三项大型基建工程项目完成的同时，中心新建党员活动室，为中心党员、职工的活动和学习提供场所；为足球场一期场地安装监控，加强安全生产，防患风险等。</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bookmarkStart w:id="3" w:name="_Toc480970810"/>
      <w:r>
        <w:rPr>
          <w:rFonts w:hint="eastAsia" w:ascii="仿宋" w:hAnsi="仿宋" w:eastAsia="仿宋" w:cs="仿宋"/>
          <w:b/>
          <w:bCs/>
          <w:color w:val="000000" w:themeColor="text1"/>
          <w:sz w:val="32"/>
          <w:szCs w:val="32"/>
          <w14:textFill>
            <w14:solidFill>
              <w14:schemeClr w14:val="tx1"/>
            </w14:solidFill>
          </w14:textFill>
        </w:rPr>
        <w:t>（二）</w:t>
      </w:r>
      <w:bookmarkEnd w:id="3"/>
      <w:r>
        <w:rPr>
          <w:rFonts w:hint="eastAsia" w:ascii="仿宋" w:hAnsi="仿宋" w:eastAsia="仿宋" w:cs="仿宋"/>
          <w:b/>
          <w:bCs/>
          <w:color w:val="000000" w:themeColor="text1"/>
          <w:sz w:val="32"/>
          <w:szCs w:val="32"/>
          <w14:textFill>
            <w14:solidFill>
              <w14:schemeClr w14:val="tx1"/>
            </w14:solidFill>
          </w14:textFill>
        </w:rPr>
        <w:t>加快运动人才队伍建设</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中心积极引进我省高水平运动员和教练员，2021年，共引进运动员6名，教练员4名，加快了运动员人才队伍建设，提升了竞技实力，为参加全省和国内重大比赛打下基础，为高水平的竞技体育培养了后备人才。</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（三）克服困难，认真组织举办各类公益性体育赛事</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年，疫情防控形势依然严峻，给举办比赛带来了许多困难和压力，由于我们严格落实疫情防控要求，在比赛延迟后，精心组织，准备充分，圆满完成了举行2021湖南省第一届网协杯青少年网球混合团体赛、2021年度华升杯青少年网球积分排名系列赛总决赛、2021湖南省板式网球赛、2021年“水井坊杯”城市网球赛、2021年度华升杯青少年网球积分排名系列赛第5站等体育赛事活动。</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（四）全力备战全运会</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今年是全运会之年，一切工作都以备战全运会为中心，为备战好全运会，中心针对运动员的具体情况，制定了从训练到后勤的各种训练计划和保障措施，经费上也给予大力支持。为加强运动员的体能训练，高薪聘请体能教练一对一进行针对性训练，把重点运动员送到广州星河湾高水平网球基地培训。全运会中心共有三人在单打、双打、混双三个项目中出线进入决赛。</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（五）做好场馆免费低收费开放</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为积极响应全民健身国家战略，满足人民群众日益增长的健身需求，中心开展惠民免费低收费场馆服务工作，全年接待服务参加网球运动的群众达一万余人次，项目的实施极大地提高了城镇居民健身活动的开展，丰富了群众及运动员的业余生活，增强了人民的体质。</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（六）推进培训与宣传工作</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中心免费向公众开展体育健身技能等培训，2021年共开展5次培训，其中参加备战第三届全国青少年网球运动会集训人数为30人，参加长沙市体育系统板式网球教学赛的人数为133人，参加雨花区少年宫2021年第一期公益培训的人数为15人，参加雨花区少年宫2021年第二期公益培训的人数为30人，参加2021年下学期大同古汉城小学公益班的人数为114人。</w:t>
      </w:r>
    </w:p>
    <w:p>
      <w:pPr>
        <w:spacing w:line="360" w:lineRule="auto"/>
        <w:ind w:firstLine="640"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（七）加强日常管理，努力做好其他各项工作</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对保密工作、档案工作，网络安全、文化宣传、依法行政等方面工作，严格按照上级有关规定要求，建章立制，明确责任，加强管理，严格执行，严肃纪律，做到不出差错，不出问题，认真完成上级交给的各项任务；在财经方面，按相关要求走流程，依制度办事，严格遵守财经纪律。</w:t>
      </w:r>
    </w:p>
    <w:p>
      <w:pPr>
        <w:spacing w:line="360" w:lineRule="auto"/>
        <w:ind w:left="420" w:leftChars="200" w:firstLine="320" w:firstLineChars="100"/>
        <w:jc w:val="lef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七、存在的问题及原因分析</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（一）部分项目执行率低。</w:t>
      </w:r>
      <w:r>
        <w:rPr>
          <w:rFonts w:hint="eastAsia" w:ascii="仿宋" w:hAnsi="仿宋" w:eastAsia="仿宋" w:cs="仿宋"/>
          <w:color w:val="000000" w:themeColor="text1"/>
          <w:sz w:val="32"/>
          <w:szCs w:val="32"/>
          <w14:textFill>
            <w14:solidFill>
              <w14:schemeClr w14:val="tx1"/>
            </w14:solidFill>
          </w14:textFill>
        </w:rPr>
        <w:t>经分析，主要原因如下：一是资金下达时间较晚，如足球场配套功能设施建设项目，2021年9月份才下达资金。二是项目已完工，但尚未进行省级验收或财评，仍有部分尾款未支付，如足球二期建设项目。</w:t>
      </w:r>
    </w:p>
    <w:p>
      <w:pPr>
        <w:spacing w:line="360" w:lineRule="auto"/>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（二）部分项目未制定项目实施计划。</w:t>
      </w:r>
      <w:r>
        <w:rPr>
          <w:rFonts w:hint="eastAsia" w:ascii="仿宋" w:hAnsi="仿宋" w:eastAsia="仿宋" w:cs="仿宋"/>
          <w:color w:val="000000" w:themeColor="text1"/>
          <w:sz w:val="32"/>
          <w:szCs w:val="32"/>
          <w14:textFill>
            <w14:solidFill>
              <w14:schemeClr w14:val="tx1"/>
            </w14:solidFill>
          </w14:textFill>
        </w:rPr>
        <w:t>中心部分项目在年初或项目实施前未制定项目实施计划或方案，导致个别项目未详细计划各阶段工作安排的时间和项目工作内容完成的时间，同时存在指标不够细化的问题。</w:t>
      </w:r>
    </w:p>
    <w:p>
      <w:pPr>
        <w:pStyle w:val="6"/>
        <w:spacing w:beforeAutospacing="0" w:afterAutospacing="0" w:line="360" w:lineRule="auto"/>
        <w:ind w:firstLine="640" w:firstLineChars="200"/>
        <w:rPr>
          <w:rFonts w:ascii="仿宋" w:hAnsi="仿宋" w:eastAsia="仿宋" w:cs="仿宋"/>
          <w:b/>
          <w:bCs/>
          <w:color w:val="000000" w:themeColor="text1"/>
          <w:kern w:val="2"/>
          <w:sz w:val="32"/>
          <w:szCs w:val="32"/>
          <w14:textFill>
            <w14:solidFill>
              <w14:schemeClr w14:val="tx1"/>
            </w14:solidFill>
          </w14:textFill>
        </w:rPr>
      </w:pPr>
      <w:r>
        <w:rPr>
          <w:rFonts w:hint="eastAsia" w:ascii="仿宋" w:hAnsi="仿宋" w:eastAsia="仿宋" w:cs="仿宋"/>
          <w:b/>
          <w:bCs/>
          <w:color w:val="000000" w:themeColor="text1"/>
          <w:kern w:val="2"/>
          <w:sz w:val="32"/>
          <w:szCs w:val="32"/>
          <w14:textFill>
            <w14:solidFill>
              <w14:schemeClr w14:val="tx1"/>
            </w14:solidFill>
          </w14:textFill>
        </w:rPr>
        <w:t>（三）资产管理部门未定期对固定资产盘点，</w:t>
      </w:r>
      <w:r>
        <w:rPr>
          <w:rFonts w:hint="eastAsia" w:ascii="仿宋" w:hAnsi="仿宋" w:eastAsia="仿宋" w:cs="仿宋"/>
          <w:color w:val="000000" w:themeColor="text1"/>
          <w:kern w:val="2"/>
          <w:sz w:val="32"/>
          <w:szCs w:val="32"/>
          <w14:textFill>
            <w14:solidFill>
              <w14:schemeClr w14:val="tx1"/>
            </w14:solidFill>
          </w14:textFill>
        </w:rPr>
        <w:t>资产清查力度不够，不利于资产管理</w:t>
      </w:r>
      <w:r>
        <w:rPr>
          <w:rFonts w:hint="eastAsia" w:ascii="仿宋" w:hAnsi="仿宋" w:eastAsia="仿宋" w:cs="仿宋"/>
          <w:b/>
          <w:bCs/>
          <w:color w:val="000000" w:themeColor="text1"/>
          <w:kern w:val="2"/>
          <w:sz w:val="32"/>
          <w:szCs w:val="32"/>
          <w14:textFill>
            <w14:solidFill>
              <w14:schemeClr w14:val="tx1"/>
            </w14:solidFill>
          </w14:textFill>
        </w:rPr>
        <w:t>。</w:t>
      </w:r>
    </w:p>
    <w:p>
      <w:pPr>
        <w:pStyle w:val="6"/>
        <w:spacing w:beforeAutospacing="0" w:afterAutospacing="0" w:line="360" w:lineRule="auto"/>
        <w:ind w:firstLine="640" w:firstLineChars="200"/>
        <w:rPr>
          <w:rFonts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b/>
          <w:bCs/>
          <w:color w:val="000000" w:themeColor="text1"/>
          <w:kern w:val="2"/>
          <w:sz w:val="32"/>
          <w:szCs w:val="32"/>
          <w14:textFill>
            <w14:solidFill>
              <w14:schemeClr w14:val="tx1"/>
            </w14:solidFill>
          </w14:textFill>
        </w:rPr>
        <w:t>（四） 物资采购有验收单、发放表，无入库单台账</w:t>
      </w:r>
      <w:r>
        <w:rPr>
          <w:rFonts w:hint="eastAsia" w:ascii="仿宋" w:hAnsi="仿宋" w:eastAsia="仿宋" w:cs="仿宋"/>
          <w:color w:val="000000" w:themeColor="text1"/>
          <w:kern w:val="2"/>
          <w:sz w:val="32"/>
          <w:szCs w:val="32"/>
          <w14:textFill>
            <w14:solidFill>
              <w14:schemeClr w14:val="tx1"/>
            </w14:solidFill>
          </w14:textFill>
        </w:rPr>
        <w:t>，单独设领用本（登记），缺乏系统全面的物资采购台账，物品领用登记无法与采购匹配。</w:t>
      </w:r>
    </w:p>
    <w:p>
      <w:pPr>
        <w:pStyle w:val="6"/>
        <w:spacing w:beforeAutospacing="0" w:afterAutospacing="0" w:line="360" w:lineRule="auto"/>
        <w:ind w:firstLine="640" w:firstLineChars="200"/>
        <w:rPr>
          <w:rFonts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b/>
          <w:bCs/>
          <w:color w:val="000000" w:themeColor="text1"/>
          <w:kern w:val="2"/>
          <w:sz w:val="32"/>
          <w:szCs w:val="32"/>
          <w14:textFill>
            <w14:solidFill>
              <w14:schemeClr w14:val="tx1"/>
            </w14:solidFill>
          </w14:textFill>
        </w:rPr>
        <w:t>（五）预算绩效管理不够完善，流于形式</w:t>
      </w:r>
      <w:r>
        <w:rPr>
          <w:rFonts w:hint="eastAsia" w:ascii="仿宋" w:hAnsi="仿宋" w:eastAsia="仿宋" w:cs="仿宋"/>
          <w:color w:val="000000" w:themeColor="text1"/>
          <w:kern w:val="2"/>
          <w:sz w:val="32"/>
          <w:szCs w:val="32"/>
          <w14:textFill>
            <w14:solidFill>
              <w14:schemeClr w14:val="tx1"/>
            </w14:solidFill>
          </w14:textFill>
        </w:rPr>
        <w:t>，对于具体项目缺乏准确的指标制定，计划实施。</w:t>
      </w:r>
    </w:p>
    <w:p>
      <w:pPr>
        <w:pStyle w:val="6"/>
        <w:spacing w:beforeAutospacing="0" w:afterAutospacing="0" w:line="360" w:lineRule="auto"/>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kern w:val="2"/>
          <w:sz w:val="32"/>
          <w:szCs w:val="32"/>
          <w14:textFill>
            <w14:solidFill>
              <w14:schemeClr w14:val="tx1"/>
            </w14:solidFill>
          </w14:textFill>
        </w:rPr>
        <w:t xml:space="preserve"> </w:t>
      </w:r>
      <w:r>
        <w:rPr>
          <w:rFonts w:hint="eastAsia" w:ascii="黑体" w:hAnsi="黑体" w:eastAsia="黑体" w:cs="黑体"/>
          <w:color w:val="000000" w:themeColor="text1"/>
          <w:sz w:val="32"/>
          <w:szCs w:val="32"/>
          <w14:textFill>
            <w14:solidFill>
              <w14:schemeClr w14:val="tx1"/>
            </w14:solidFill>
          </w14:textFill>
        </w:rPr>
        <w:t>八、下一步改进措施</w:t>
      </w:r>
    </w:p>
    <w:p>
      <w:pPr>
        <w:pStyle w:val="6"/>
        <w:spacing w:beforeAutospacing="0" w:afterAutospacing="0" w:line="360" w:lineRule="auto"/>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2"/>
          <w:sz w:val="32"/>
          <w:szCs w:val="32"/>
          <w14:textFill>
            <w14:solidFill>
              <w14:schemeClr w14:val="tx1"/>
            </w14:solidFill>
          </w14:textFill>
        </w:rPr>
        <w:t>（一）对于暂未执行的</w:t>
      </w:r>
      <w:r>
        <w:rPr>
          <w:rFonts w:hint="eastAsia" w:ascii="仿宋" w:hAnsi="仿宋" w:eastAsia="仿宋" w:cs="仿宋"/>
          <w:color w:val="000000" w:themeColor="text1"/>
          <w:sz w:val="32"/>
          <w:szCs w:val="32"/>
          <w14:textFill>
            <w14:solidFill>
              <w14:schemeClr w14:val="tx1"/>
            </w14:solidFill>
          </w14:textFill>
        </w:rPr>
        <w:t>足球场配套功能设施建设项目，中心目前正在执行前期工作安排程序，计划第二季度进行采购。</w:t>
      </w:r>
    </w:p>
    <w:p>
      <w:pPr>
        <w:pStyle w:val="6"/>
        <w:spacing w:beforeAutospacing="0" w:afterAutospacing="0" w:line="360" w:lineRule="auto"/>
        <w:ind w:firstLine="640" w:firstLineChars="200"/>
        <w:rPr>
          <w:rFonts w:ascii="仿宋" w:hAnsi="仿宋" w:eastAsia="仿宋" w:cs="仿宋"/>
          <w:color w:val="000000" w:themeColor="text1"/>
          <w:kern w:val="2"/>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（二）2022</w:t>
      </w:r>
      <w:r>
        <w:rPr>
          <w:rFonts w:hint="eastAsia" w:ascii="仿宋" w:hAnsi="仿宋" w:eastAsia="仿宋" w:cs="仿宋"/>
          <w:color w:val="000000" w:themeColor="text1"/>
          <w:kern w:val="2"/>
          <w:sz w:val="32"/>
          <w:szCs w:val="32"/>
          <w14:textFill>
            <w14:solidFill>
              <w14:schemeClr w14:val="tx1"/>
            </w14:solidFill>
          </w14:textFill>
        </w:rPr>
        <w:t>年中心已制定项目实施计划报体育局，同时将督促项目负责人制订实施进度表，推动项目的实施，尽力让项目实施的时间进度与所计划的时间吻合。</w:t>
      </w:r>
    </w:p>
    <w:p>
      <w:pPr>
        <w:pStyle w:val="6"/>
        <w:numPr>
          <w:ilvl w:val="0"/>
          <w:numId w:val="4"/>
        </w:numPr>
        <w:spacing w:beforeAutospacing="0" w:afterAutospacing="0" w:line="360" w:lineRule="auto"/>
        <w:ind w:firstLine="64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对资产展开清查，</w:t>
      </w:r>
      <w:r>
        <w:rPr>
          <w:rFonts w:hint="eastAsia" w:ascii="仿宋" w:hAnsi="仿宋" w:eastAsia="仿宋" w:cs="仿宋"/>
          <w:sz w:val="32"/>
          <w:szCs w:val="32"/>
        </w:rPr>
        <w:t>定期做好资产盘点工作，确保帐实、帐卡相符</w:t>
      </w:r>
      <w:r>
        <w:rPr>
          <w:rFonts w:hint="eastAsia" w:ascii="仿宋" w:hAnsi="仿宋" w:eastAsia="仿宋" w:cs="仿宋"/>
          <w:color w:val="000000" w:themeColor="text1"/>
          <w:sz w:val="32"/>
          <w:szCs w:val="32"/>
          <w14:textFill>
            <w14:solidFill>
              <w14:schemeClr w14:val="tx1"/>
            </w14:solidFill>
          </w14:textFill>
        </w:rPr>
        <w:t>。</w:t>
      </w:r>
    </w:p>
    <w:p>
      <w:pPr>
        <w:pStyle w:val="6"/>
        <w:numPr>
          <w:ilvl w:val="0"/>
          <w:numId w:val="4"/>
        </w:numPr>
        <w:spacing w:beforeAutospacing="0" w:afterAutospacing="0" w:line="360" w:lineRule="auto"/>
        <w:ind w:firstLine="64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对资产管理员及采购员进行业务指导，完善资产台账及耗材物料台账的登记。</w:t>
      </w:r>
    </w:p>
    <w:p>
      <w:pPr>
        <w:numPr>
          <w:ilvl w:val="0"/>
          <w:numId w:val="4"/>
        </w:numPr>
        <w:spacing w:line="600" w:lineRule="exact"/>
        <w:ind w:firstLine="640"/>
        <w:rPr>
          <w:rFonts w:ascii="仿宋" w:hAnsi="仿宋" w:eastAsia="仿宋" w:cs="仿宋"/>
          <w:sz w:val="32"/>
          <w:szCs w:val="32"/>
        </w:rPr>
      </w:pPr>
      <w:r>
        <w:rPr>
          <w:rFonts w:hint="eastAsia" w:ascii="仿宋" w:hAnsi="仿宋" w:eastAsia="仿宋" w:cs="仿宋"/>
          <w:sz w:val="32"/>
          <w:szCs w:val="32"/>
        </w:rPr>
        <w:t>完善预算及绩效管理，细化、准确编制预算。完善预算管理制度，进一步提高各科室的预算管理意识，严格按照预算编制的相关制度和要求做好预算编制工作。本着“勤俭节约、保障运行”的原则进行预算的编制。</w:t>
      </w:r>
    </w:p>
    <w:p>
      <w:pPr>
        <w:spacing w:line="360" w:lineRule="auto"/>
        <w:ind w:firstLine="320" w:firstLineChars="100"/>
        <w:jc w:val="left"/>
        <w:rPr>
          <w:rFonts w:ascii="黑体" w:hAnsi="黑体" w:eastAsia="黑体" w:cs="黑体"/>
          <w:color w:val="000000" w:themeColor="text1"/>
          <w:sz w:val="32"/>
          <w:szCs w:val="32"/>
          <w14:textFill>
            <w14:solidFill>
              <w14:schemeClr w14:val="tx1"/>
            </w14:solidFill>
          </w14:textFill>
        </w:rPr>
      </w:pPr>
    </w:p>
    <w:p>
      <w:pPr>
        <w:spacing w:line="360" w:lineRule="auto"/>
        <w:ind w:firstLine="320" w:firstLineChars="100"/>
        <w:jc w:val="lef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九、部门整体支出绩效自评结果拟应用和公开情况</w:t>
      </w:r>
    </w:p>
    <w:p>
      <w:pPr>
        <w:spacing w:line="360" w:lineRule="auto"/>
        <w:ind w:firstLine="645"/>
        <w:outlineLvl w:val="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我中心建立了内控管理制度、规范了实施程序，较好地完成了2021年度各项任务。按照要求将部门整体支出自评结果上报湖南省财政厅进行公开，优化支出结构、完善相关办法、改进预算管理。强化结果应用，建立完善评价结果与预算调整、改进管理、完善政策挂钩机制。</w:t>
      </w:r>
    </w:p>
    <w:p>
      <w:pPr>
        <w:spacing w:line="360" w:lineRule="auto"/>
        <w:ind w:firstLine="640" w:firstLineChars="200"/>
        <w:jc w:val="left"/>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十、其他需要说明的情况</w:t>
      </w:r>
    </w:p>
    <w:p>
      <w:pPr>
        <w:spacing w:line="360" w:lineRule="auto"/>
        <w:ind w:firstLine="320" w:firstLineChars="1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2021年通过电子卖场进行采购的数量为87笔，成交金249.46万元， 2021年政府采购数量5笔，政府采购执行率为96.9%，具体情况附表。 </w:t>
      </w:r>
    </w:p>
    <w:p>
      <w:pPr>
        <w:spacing w:line="360" w:lineRule="auto"/>
        <w:ind w:firstLine="320" w:firstLineChars="1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单位：万元</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2216"/>
        <w:gridCol w:w="1490"/>
        <w:gridCol w:w="1491"/>
        <w:gridCol w:w="1424"/>
        <w:gridCol w:w="1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序号</w:t>
            </w:r>
          </w:p>
        </w:tc>
        <w:tc>
          <w:tcPr>
            <w:tcW w:w="2216"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项目名称</w:t>
            </w:r>
          </w:p>
        </w:tc>
        <w:tc>
          <w:tcPr>
            <w:tcW w:w="1490" w:type="dxa"/>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采购  品目</w:t>
            </w:r>
          </w:p>
        </w:tc>
        <w:tc>
          <w:tcPr>
            <w:tcW w:w="1491" w:type="dxa"/>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预算  金额</w:t>
            </w:r>
          </w:p>
        </w:tc>
        <w:tc>
          <w:tcPr>
            <w:tcW w:w="1424" w:type="dxa"/>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成交  金额</w:t>
            </w:r>
          </w:p>
        </w:tc>
        <w:tc>
          <w:tcPr>
            <w:tcW w:w="1562" w:type="dxa"/>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采购方式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p>
        </w:tc>
        <w:tc>
          <w:tcPr>
            <w:tcW w:w="2216"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运动队专项器材采购</w:t>
            </w:r>
          </w:p>
        </w:tc>
        <w:tc>
          <w:tcPr>
            <w:tcW w:w="1490" w:type="dxa"/>
            <w:vAlign w:val="center"/>
          </w:tcPr>
          <w:p>
            <w:pPr>
              <w:spacing w:line="360" w:lineRule="auto"/>
              <w:ind w:firstLine="320" w:firstLineChars="1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货物</w:t>
            </w:r>
          </w:p>
        </w:tc>
        <w:tc>
          <w:tcPr>
            <w:tcW w:w="1491"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70</w:t>
            </w:r>
          </w:p>
        </w:tc>
        <w:tc>
          <w:tcPr>
            <w:tcW w:w="1424"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69.5</w:t>
            </w:r>
          </w:p>
        </w:tc>
        <w:tc>
          <w:tcPr>
            <w:tcW w:w="1562"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竞争性谈判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p>
        </w:tc>
        <w:tc>
          <w:tcPr>
            <w:tcW w:w="2216"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湖南省网球足球运动管理中心足球场建设暨省足协训练基地项目</w:t>
            </w:r>
          </w:p>
        </w:tc>
        <w:tc>
          <w:tcPr>
            <w:tcW w:w="1490" w:type="dxa"/>
            <w:vAlign w:val="center"/>
          </w:tcPr>
          <w:p>
            <w:pPr>
              <w:spacing w:line="360" w:lineRule="auto"/>
              <w:ind w:firstLine="320" w:firstLineChars="1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工程</w:t>
            </w:r>
          </w:p>
        </w:tc>
        <w:tc>
          <w:tcPr>
            <w:tcW w:w="1491"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1399.87</w:t>
            </w:r>
          </w:p>
        </w:tc>
        <w:tc>
          <w:tcPr>
            <w:tcW w:w="1424"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1339.95</w:t>
            </w:r>
          </w:p>
        </w:tc>
        <w:tc>
          <w:tcPr>
            <w:tcW w:w="1562"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p>
        </w:tc>
        <w:tc>
          <w:tcPr>
            <w:tcW w:w="2216"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湖南省网球足球运动管理中心室外网球场15片场地翻新改造</w:t>
            </w:r>
          </w:p>
        </w:tc>
        <w:tc>
          <w:tcPr>
            <w:tcW w:w="1490" w:type="dxa"/>
            <w:vAlign w:val="center"/>
          </w:tcPr>
          <w:p>
            <w:pPr>
              <w:spacing w:line="360" w:lineRule="auto"/>
              <w:ind w:firstLine="320" w:firstLineChars="1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工程</w:t>
            </w:r>
          </w:p>
        </w:tc>
        <w:tc>
          <w:tcPr>
            <w:tcW w:w="1491"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254.77</w:t>
            </w:r>
          </w:p>
        </w:tc>
        <w:tc>
          <w:tcPr>
            <w:tcW w:w="1424"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253</w:t>
            </w:r>
          </w:p>
        </w:tc>
        <w:tc>
          <w:tcPr>
            <w:tcW w:w="1562"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竞争性磋商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w:t>
            </w:r>
          </w:p>
        </w:tc>
        <w:tc>
          <w:tcPr>
            <w:tcW w:w="2216"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2021中国网球巡回赛.长沙望城站</w:t>
            </w:r>
          </w:p>
        </w:tc>
        <w:tc>
          <w:tcPr>
            <w:tcW w:w="1490" w:type="dxa"/>
            <w:vAlign w:val="center"/>
          </w:tcPr>
          <w:p>
            <w:pPr>
              <w:spacing w:line="360" w:lineRule="auto"/>
              <w:ind w:firstLine="320" w:firstLineChars="1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服务</w:t>
            </w:r>
          </w:p>
        </w:tc>
        <w:tc>
          <w:tcPr>
            <w:tcW w:w="1491"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100</w:t>
            </w:r>
          </w:p>
        </w:tc>
        <w:tc>
          <w:tcPr>
            <w:tcW w:w="1424"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99.9</w:t>
            </w:r>
          </w:p>
        </w:tc>
        <w:tc>
          <w:tcPr>
            <w:tcW w:w="1562"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单一来源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w:t>
            </w:r>
          </w:p>
        </w:tc>
        <w:tc>
          <w:tcPr>
            <w:tcW w:w="2216" w:type="dxa"/>
          </w:tcPr>
          <w:p>
            <w:pPr>
              <w:spacing w:line="360" w:lineRule="auto"/>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省女子足球后勤保障、人才引进、青训与梯队建设</w:t>
            </w:r>
          </w:p>
        </w:tc>
        <w:tc>
          <w:tcPr>
            <w:tcW w:w="1490" w:type="dxa"/>
            <w:vAlign w:val="center"/>
          </w:tcPr>
          <w:p>
            <w:pPr>
              <w:spacing w:line="360" w:lineRule="auto"/>
              <w:ind w:firstLine="320" w:firstLineChars="100"/>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服务</w:t>
            </w:r>
          </w:p>
        </w:tc>
        <w:tc>
          <w:tcPr>
            <w:tcW w:w="1491"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200</w:t>
            </w:r>
          </w:p>
        </w:tc>
        <w:tc>
          <w:tcPr>
            <w:tcW w:w="1424"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199.43</w:t>
            </w:r>
          </w:p>
        </w:tc>
        <w:tc>
          <w:tcPr>
            <w:tcW w:w="1562" w:type="dxa"/>
            <w:vAlign w:val="center"/>
          </w:tcPr>
          <w:p>
            <w:pPr>
              <w:spacing w:line="360" w:lineRule="auto"/>
              <w:jc w:val="center"/>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公开招标</w:t>
            </w:r>
          </w:p>
        </w:tc>
      </w:tr>
    </w:tbl>
    <w:p>
      <w:pPr>
        <w:spacing w:line="360" w:lineRule="auto"/>
        <w:ind w:firstLine="320" w:firstLineChars="100"/>
        <w:jc w:val="left"/>
        <w:rPr>
          <w:rFonts w:ascii="仿宋" w:hAnsi="仿宋" w:eastAsia="仿宋" w:cs="仿宋"/>
          <w:color w:val="000000" w:themeColor="text1"/>
          <w:sz w:val="32"/>
          <w:szCs w:val="32"/>
          <w14:textFill>
            <w14:solidFill>
              <w14:schemeClr w14:val="tx1"/>
            </w14:solidFill>
          </w14:textFill>
        </w:rPr>
      </w:pPr>
    </w:p>
    <w:p>
      <w:pPr>
        <w:pStyle w:val="2"/>
        <w:rPr>
          <w:rFonts w:ascii="仿宋" w:hAnsi="仿宋" w:eastAsia="仿宋" w:cs="仿宋"/>
          <w:color w:val="000000" w:themeColor="text1"/>
          <w:sz w:val="32"/>
          <w:szCs w:val="32"/>
          <w14:textFill>
            <w14:solidFill>
              <w14:schemeClr w14:val="tx1"/>
            </w14:solidFill>
          </w14:textFill>
        </w:rPr>
      </w:pPr>
    </w:p>
    <w:p>
      <w:pPr>
        <w:pStyle w:val="2"/>
        <w:rPr>
          <w:rFonts w:ascii="仿宋" w:hAnsi="仿宋" w:eastAsia="仿宋" w:cs="仿宋"/>
          <w:color w:val="000000" w:themeColor="text1"/>
          <w:sz w:val="32"/>
          <w:szCs w:val="32"/>
          <w14:textFill>
            <w14:solidFill>
              <w14:schemeClr w14:val="tx1"/>
            </w14:solidFill>
          </w14:textFill>
        </w:rPr>
      </w:pPr>
    </w:p>
    <w:p>
      <w:pPr>
        <w:pStyle w:val="2"/>
        <w:rPr>
          <w:rFonts w:ascii="仿宋" w:hAnsi="仿宋" w:eastAsia="仿宋" w:cs="仿宋"/>
          <w:color w:val="000000" w:themeColor="text1"/>
          <w:sz w:val="32"/>
          <w:szCs w:val="32"/>
          <w14:textFill>
            <w14:solidFill>
              <w14:schemeClr w14:val="tx1"/>
            </w14:solidFill>
          </w14:textFill>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tbl>
      <w:tblPr>
        <w:tblStyle w:val="7"/>
        <w:tblW w:w="9480" w:type="dxa"/>
        <w:tblInd w:w="98" w:type="dxa"/>
        <w:tblLayout w:type="autofit"/>
        <w:tblCellMar>
          <w:top w:w="0" w:type="dxa"/>
          <w:left w:w="108" w:type="dxa"/>
          <w:bottom w:w="0" w:type="dxa"/>
          <w:right w:w="108" w:type="dxa"/>
        </w:tblCellMar>
      </w:tblPr>
      <w:tblGrid>
        <w:gridCol w:w="6262"/>
        <w:gridCol w:w="643"/>
        <w:gridCol w:w="643"/>
        <w:gridCol w:w="824"/>
        <w:gridCol w:w="639"/>
        <w:gridCol w:w="786"/>
        <w:gridCol w:w="787"/>
      </w:tblGrid>
      <w:tr>
        <w:tblPrEx>
          <w:tblCellMar>
            <w:top w:w="0" w:type="dxa"/>
            <w:left w:w="108" w:type="dxa"/>
            <w:bottom w:w="0" w:type="dxa"/>
            <w:right w:w="108" w:type="dxa"/>
          </w:tblCellMar>
        </w:tblPrEx>
        <w:trPr>
          <w:trHeight w:val="460" w:hRule="atLeast"/>
        </w:trPr>
        <w:tc>
          <w:tcPr>
            <w:tcW w:w="3440"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b/>
                <w:bCs/>
                <w:color w:val="000000"/>
                <w:sz w:val="36"/>
                <w:szCs w:val="36"/>
              </w:rPr>
            </w:pPr>
            <w:r>
              <w:rPr>
                <w:rFonts w:hint="eastAsia" w:ascii="宋体" w:hAnsi="宋体" w:eastAsia="宋体" w:cs="宋体"/>
                <w:b/>
                <w:bCs/>
                <w:color w:val="000000"/>
                <w:kern w:val="0"/>
                <w:sz w:val="36"/>
                <w:szCs w:val="36"/>
                <w:lang w:bidi="ar"/>
              </w:rPr>
              <w:t>附件1</w:t>
            </w:r>
          </w:p>
        </w:tc>
        <w:tc>
          <w:tcPr>
            <w:tcW w:w="885" w:type="dxa"/>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885" w:type="dxa"/>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1170" w:type="dxa"/>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880" w:type="dxa"/>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1110" w:type="dxa"/>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1110" w:type="dxa"/>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r>
      <w:tr>
        <w:tblPrEx>
          <w:tblCellMar>
            <w:top w:w="0" w:type="dxa"/>
            <w:left w:w="108" w:type="dxa"/>
            <w:bottom w:w="0" w:type="dxa"/>
            <w:right w:w="108" w:type="dxa"/>
          </w:tblCellMar>
        </w:tblPrEx>
        <w:trPr>
          <w:trHeight w:val="820" w:hRule="atLeast"/>
        </w:trPr>
        <w:tc>
          <w:tcPr>
            <w:tcW w:w="0" w:type="auto"/>
            <w:gridSpan w:val="7"/>
            <w:tcBorders>
              <w:top w:val="nil"/>
              <w:left w:val="nil"/>
              <w:bottom w:val="nil"/>
              <w:right w:val="nil"/>
            </w:tcBorders>
            <w:shd w:val="clear" w:color="auto" w:fill="auto"/>
            <w:noWrap/>
            <w:vAlign w:val="center"/>
          </w:tcPr>
          <w:p>
            <w:pPr>
              <w:widowControl/>
              <w:jc w:val="center"/>
              <w:textAlignment w:val="center"/>
              <w:rPr>
                <w:rFonts w:ascii="宋体" w:hAnsi="宋体" w:eastAsia="宋体" w:cs="宋体"/>
                <w:b/>
                <w:bCs/>
                <w:color w:val="000000"/>
                <w:sz w:val="32"/>
                <w:szCs w:val="32"/>
              </w:rPr>
            </w:pPr>
            <w:r>
              <w:rPr>
                <w:rFonts w:hint="eastAsia" w:ascii="宋体" w:hAnsi="宋体" w:eastAsia="宋体" w:cs="宋体"/>
                <w:b/>
                <w:bCs/>
                <w:color w:val="000000"/>
                <w:kern w:val="0"/>
                <w:sz w:val="32"/>
                <w:szCs w:val="32"/>
                <w:lang w:bidi="ar"/>
              </w:rPr>
              <w:t>2021年度部门整体支出绩效评价基础数据表</w:t>
            </w:r>
          </w:p>
        </w:tc>
      </w:tr>
      <w:tr>
        <w:tblPrEx>
          <w:tblCellMar>
            <w:top w:w="0" w:type="dxa"/>
            <w:left w:w="108" w:type="dxa"/>
            <w:bottom w:w="0" w:type="dxa"/>
            <w:right w:w="108" w:type="dxa"/>
          </w:tblCellMar>
        </w:tblPrEx>
        <w:trPr>
          <w:trHeight w:val="280" w:hRule="atLeast"/>
        </w:trPr>
        <w:tc>
          <w:tcPr>
            <w:tcW w:w="3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财政供养人员情况（人）</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编制数</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2021年实际在职人数</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控制率</w:t>
            </w:r>
          </w:p>
        </w:tc>
      </w:tr>
      <w:tr>
        <w:tblPrEx>
          <w:tblCellMar>
            <w:top w:w="0" w:type="dxa"/>
            <w:left w:w="108" w:type="dxa"/>
            <w:bottom w:w="0" w:type="dxa"/>
            <w:right w:w="108" w:type="dxa"/>
          </w:tblCellMar>
        </w:tblPrEx>
        <w:trPr>
          <w:trHeight w:val="280" w:hRule="atLeast"/>
        </w:trPr>
        <w:tc>
          <w:tcPr>
            <w:tcW w:w="3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68</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54</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79.41%</w:t>
            </w:r>
          </w:p>
        </w:tc>
      </w:tr>
      <w:tr>
        <w:tblPrEx>
          <w:tblCellMar>
            <w:top w:w="0" w:type="dxa"/>
            <w:left w:w="108" w:type="dxa"/>
            <w:bottom w:w="0" w:type="dxa"/>
            <w:right w:w="108" w:type="dxa"/>
          </w:tblCellMar>
        </w:tblPrEx>
        <w:trPr>
          <w:trHeight w:val="6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经费控制情况（万元）</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2020年决算数</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2021年预算数</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lang w:bidi="ar"/>
              </w:rPr>
              <w:t>2021年决算数</w:t>
            </w:r>
          </w:p>
        </w:tc>
      </w:tr>
      <w:tr>
        <w:tblPrEx>
          <w:tblCellMar>
            <w:top w:w="0" w:type="dxa"/>
            <w:left w:w="108" w:type="dxa"/>
            <w:bottom w:w="0" w:type="dxa"/>
            <w:right w:w="108" w:type="dxa"/>
          </w:tblCellMar>
        </w:tblPrEx>
        <w:trPr>
          <w:trHeight w:val="3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三公经费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3.39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3.30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r>
      <w:tr>
        <w:tblPrEx>
          <w:tblCellMar>
            <w:top w:w="0" w:type="dxa"/>
            <w:left w:w="108" w:type="dxa"/>
            <w:bottom w:w="0" w:type="dxa"/>
            <w:right w:w="108" w:type="dxa"/>
          </w:tblCellMar>
        </w:tblPrEx>
        <w:trPr>
          <w:trHeight w:val="3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1.公务用车购置和维护经费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3.35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r>
      <w:tr>
        <w:tblPrEx>
          <w:tblCellMar>
            <w:top w:w="0" w:type="dxa"/>
            <w:left w:w="108" w:type="dxa"/>
            <w:bottom w:w="0" w:type="dxa"/>
            <w:right w:w="108" w:type="dxa"/>
          </w:tblCellMar>
        </w:tblPrEx>
        <w:trPr>
          <w:trHeight w:val="3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其中：公车购置</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公车运行维护</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3.35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r>
      <w:tr>
        <w:tblPrEx>
          <w:tblCellMar>
            <w:top w:w="0" w:type="dxa"/>
            <w:left w:w="108" w:type="dxa"/>
            <w:bottom w:w="0" w:type="dxa"/>
            <w:right w:w="108" w:type="dxa"/>
          </w:tblCellMar>
        </w:tblPrEx>
        <w:trPr>
          <w:trHeight w:val="3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2.出国经费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3.公务接待</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0.04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0.30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   </w:t>
            </w:r>
          </w:p>
        </w:tc>
      </w:tr>
      <w:tr>
        <w:tblPrEx>
          <w:tblCellMar>
            <w:top w:w="0" w:type="dxa"/>
            <w:left w:w="108" w:type="dxa"/>
            <w:bottom w:w="0" w:type="dxa"/>
            <w:right w:w="108" w:type="dxa"/>
          </w:tblCellMar>
        </w:tblPrEx>
        <w:trPr>
          <w:trHeight w:val="3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项目支出：</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2,437.77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4,232.31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3,568.89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40" w:firstLineChars="2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1.业务工作经费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1,904.42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2,809.19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2,532.23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配电间及场地灯光费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46.20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器材装备场地维护</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0.82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湖南省全民健身高尔夫团体赛</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竞赛经费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68.06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省女子足球队训练比赛经费等</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183.76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62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中央彩票公益金支持地方体育事业</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420.44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备战经费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100.00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60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公共体育场馆免费低收费开放补助资金</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46.00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体育场馆免费低收费开放</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16.00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常年赛成绩奖</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7.64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备战全运会</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160.00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160.00 </w:t>
            </w:r>
          </w:p>
        </w:tc>
      </w:tr>
      <w:tr>
        <w:tblPrEx>
          <w:tblCellMar>
            <w:top w:w="0" w:type="dxa"/>
            <w:left w:w="108" w:type="dxa"/>
            <w:bottom w:w="0" w:type="dxa"/>
            <w:right w:w="108" w:type="dxa"/>
          </w:tblCellMar>
        </w:tblPrEx>
        <w:trPr>
          <w:trHeight w:val="6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省级体育场馆免费低收费开放补助资金</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运动队专项器材</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70.00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足球事业发展专项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949.89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运动员外出训练</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33.68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15.00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15.00 </w:t>
            </w:r>
          </w:p>
        </w:tc>
      </w:tr>
      <w:tr>
        <w:tblPrEx>
          <w:tblCellMar>
            <w:top w:w="0" w:type="dxa"/>
            <w:left w:w="108" w:type="dxa"/>
            <w:bottom w:w="0" w:type="dxa"/>
            <w:right w:w="108" w:type="dxa"/>
          </w:tblCellMar>
        </w:tblPrEx>
        <w:trPr>
          <w:trHeight w:val="70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中央补助地方公共体育场馆向社会免费或低收费开放专项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62.00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62.00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赛事举办及项目发展经费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90.00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90.00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人才引进（足球）</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20.58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19.42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19.42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训练经费（网球）</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2.98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3.02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3.02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参赛经费（网球）</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37.44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12.56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12.56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省网足中心足球场地建设</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805.28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174.73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174.68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省级体彩公益金（足球二期）</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45.54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934.46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729.57 </w:t>
            </w:r>
          </w:p>
        </w:tc>
      </w:tr>
      <w:tr>
        <w:tblPrEx>
          <w:tblCellMar>
            <w:top w:w="0" w:type="dxa"/>
            <w:left w:w="108" w:type="dxa"/>
            <w:bottom w:w="0" w:type="dxa"/>
            <w:right w:w="108" w:type="dxa"/>
          </w:tblCellMar>
        </w:tblPrEx>
        <w:trPr>
          <w:trHeight w:val="11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提前下达2021年中央支持地方公共文化服务体系建设补助资金-室外网球场15片场地翻新改造工程</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255.00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233.10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40" w:firstLineChars="2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2.运行维护专项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67.20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73.00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73.00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办公设备购置</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物业费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64.20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70.00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440" w:firstLineChars="2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3.其他事业发展资金</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466.15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1,350.12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963.66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训练费用</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3.00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运动队专用器材</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19.44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高尔夫人才引进费用</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160.00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279.00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279.00 </w:t>
            </w:r>
          </w:p>
        </w:tc>
      </w:tr>
      <w:tr>
        <w:tblPrEx>
          <w:tblCellMar>
            <w:top w:w="0" w:type="dxa"/>
            <w:left w:w="108" w:type="dxa"/>
            <w:bottom w:w="0" w:type="dxa"/>
            <w:right w:w="108" w:type="dxa"/>
          </w:tblCellMar>
        </w:tblPrEx>
        <w:trPr>
          <w:trHeight w:val="6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网球进校园</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运动队伙食费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医疗后勤保障</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23.27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网球人才引进费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25.00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25.00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高尔夫球参赛费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足球二期建设项目</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480.00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191.99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足球场配套功能设施建设经费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80.00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网球运动员外出训练经费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100.00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2021年板式网球赛</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20.00 </w:t>
            </w:r>
          </w:p>
        </w:tc>
      </w:tr>
      <w:tr>
        <w:tblPrEx>
          <w:tblCellMar>
            <w:top w:w="0" w:type="dxa"/>
            <w:left w:w="108" w:type="dxa"/>
            <w:bottom w:w="0" w:type="dxa"/>
            <w:right w:w="108" w:type="dxa"/>
          </w:tblCellMar>
        </w:tblPrEx>
        <w:trPr>
          <w:trHeight w:val="62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公共文化服务体系建设绩效奖励</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67.66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62.34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62.34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体能训练健身房维修改造</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155.22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104.78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103.48 </w:t>
            </w:r>
          </w:p>
        </w:tc>
      </w:tr>
      <w:tr>
        <w:tblPrEx>
          <w:tblCellMar>
            <w:top w:w="0" w:type="dxa"/>
            <w:left w:w="108" w:type="dxa"/>
            <w:bottom w:w="0" w:type="dxa"/>
            <w:right w:w="108" w:type="dxa"/>
          </w:tblCellMar>
        </w:tblPrEx>
        <w:trPr>
          <w:trHeight w:val="68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60" w:firstLineChars="300"/>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2021年中央支持地方公共文化服务体系建设绩效奖励</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120.00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103.41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公用经费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46.74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74.80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74.50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其中：办公经费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8.18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8.00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11.67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水费、电费、差旅费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5.29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27.00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19.82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会议费、培训费</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0.44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0.53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政府采购金额</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1,327.64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2,024.64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1,961.78 </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部门整体支出预算调整 </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 xml:space="preserve"> —— </w:t>
            </w:r>
          </w:p>
        </w:tc>
        <w:tc>
          <w:tcPr>
            <w:tcW w:w="2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楼堂馆所控制情况</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批复规模</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实际规模（㎡）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规模控制率</w:t>
            </w:r>
          </w:p>
        </w:tc>
        <w:tc>
          <w:tcPr>
            <w:tcW w:w="8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预算投资（万元）</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实际投资（万元）</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投资概算控制率</w:t>
            </w:r>
          </w:p>
        </w:tc>
      </w:tr>
      <w:tr>
        <w:tblPrEx>
          <w:tblCellMar>
            <w:top w:w="0" w:type="dxa"/>
            <w:left w:w="108" w:type="dxa"/>
            <w:bottom w:w="0" w:type="dxa"/>
            <w:right w:w="108" w:type="dxa"/>
          </w:tblCellMar>
        </w:tblPrEx>
        <w:trPr>
          <w:trHeight w:val="36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（2021年完工项目）</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w:t>
            </w: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8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ascii="宋体" w:hAnsi="宋体" w:eastAsia="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宋体" w:hAnsi="宋体" w:eastAsia="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ascii="宋体" w:hAnsi="宋体" w:eastAsia="宋体" w:cs="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ascii="宋体" w:hAnsi="宋体" w:eastAsia="宋体" w:cs="宋体"/>
                <w:color w:val="000000"/>
                <w:sz w:val="18"/>
                <w:szCs w:val="18"/>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ascii="宋体" w:hAnsi="宋体" w:eastAsia="宋体" w:cs="宋体"/>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ascii="宋体" w:hAnsi="宋体" w:eastAsia="宋体" w:cs="宋体"/>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left"/>
              <w:rPr>
                <w:rFonts w:ascii="宋体" w:hAnsi="宋体" w:eastAsia="宋体" w:cs="宋体"/>
                <w:color w:val="000000"/>
                <w:sz w:val="18"/>
                <w:szCs w:val="18"/>
              </w:rPr>
            </w:pPr>
          </w:p>
        </w:tc>
      </w:tr>
      <w:tr>
        <w:tblPrEx>
          <w:tblCellMar>
            <w:top w:w="0" w:type="dxa"/>
            <w:left w:w="108" w:type="dxa"/>
            <w:bottom w:w="0" w:type="dxa"/>
            <w:right w:w="108" w:type="dxa"/>
          </w:tblCellMar>
        </w:tblPrEx>
        <w:trPr>
          <w:trHeight w:val="1840" w:hRule="atLeast"/>
        </w:trPr>
        <w:tc>
          <w:tcPr>
            <w:tcW w:w="3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厉行节约保障措施</w:t>
            </w:r>
          </w:p>
        </w:tc>
        <w:tc>
          <w:tcPr>
            <w:tcW w:w="60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1.建立了内控制度，明确财务管理、核算、专项资金管理等方面的相关制度。严格贯彻落实中央“八项规定”和厉行勤俭节约，反对铺张浪费要求。</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 xml:space="preserve">2.规范管理，严把经费支出关口  </w:t>
            </w:r>
            <w:r>
              <w:rPr>
                <w:rFonts w:hint="eastAsia" w:ascii="宋体" w:hAnsi="宋体" w:eastAsia="宋体" w:cs="宋体"/>
                <w:color w:val="000000"/>
                <w:kern w:val="0"/>
                <w:sz w:val="22"/>
                <w:lang w:bidi="ar"/>
              </w:rPr>
              <w:br w:type="textWrapping"/>
            </w:r>
            <w:r>
              <w:rPr>
                <w:rFonts w:hint="eastAsia" w:ascii="宋体" w:hAnsi="宋体" w:eastAsia="宋体" w:cs="宋体"/>
                <w:color w:val="000000"/>
                <w:kern w:val="0"/>
                <w:sz w:val="22"/>
                <w:lang w:bidi="ar"/>
              </w:rPr>
              <w:t>3.注重细节，切实促进节能降耗。</w:t>
            </w:r>
          </w:p>
        </w:tc>
      </w:tr>
      <w:tr>
        <w:tblPrEx>
          <w:tblCellMar>
            <w:top w:w="0" w:type="dxa"/>
            <w:left w:w="108" w:type="dxa"/>
            <w:bottom w:w="0" w:type="dxa"/>
            <w:right w:w="108" w:type="dxa"/>
          </w:tblCellMar>
        </w:tblPrEx>
        <w:trPr>
          <w:trHeight w:val="640" w:hRule="atLeast"/>
        </w:trPr>
        <w:tc>
          <w:tcPr>
            <w:tcW w:w="9480" w:type="dxa"/>
            <w:gridSpan w:val="7"/>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说明：“项目支出”需要填报基本支出以外的所有项目支出情况，“公用经费”填报基本支出中的一般商品和服务支出</w:t>
            </w:r>
          </w:p>
        </w:tc>
      </w:tr>
      <w:tr>
        <w:tblPrEx>
          <w:tblCellMar>
            <w:top w:w="0" w:type="dxa"/>
            <w:left w:w="108" w:type="dxa"/>
            <w:bottom w:w="0" w:type="dxa"/>
            <w:right w:w="108" w:type="dxa"/>
          </w:tblCellMar>
        </w:tblPrEx>
        <w:trPr>
          <w:trHeight w:val="310" w:hRule="atLeast"/>
        </w:trPr>
        <w:tc>
          <w:tcPr>
            <w:tcW w:w="0" w:type="auto"/>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0" w:type="auto"/>
            <w:tcBorders>
              <w:top w:val="nil"/>
              <w:left w:val="nil"/>
              <w:bottom w:val="nil"/>
              <w:right w:val="nil"/>
            </w:tcBorders>
            <w:shd w:val="clear" w:color="auto" w:fill="auto"/>
            <w:noWrap/>
            <w:vAlign w:val="center"/>
          </w:tcPr>
          <w:p>
            <w:pPr>
              <w:rPr>
                <w:rFonts w:ascii="Times New Roman" w:hAnsi="Times New Roman" w:eastAsia="等线" w:cs="Times New Roman"/>
                <w:color w:val="000000"/>
                <w:sz w:val="24"/>
                <w:szCs w:val="24"/>
              </w:rPr>
            </w:pPr>
          </w:p>
        </w:tc>
        <w:tc>
          <w:tcPr>
            <w:tcW w:w="0" w:type="auto"/>
            <w:tcBorders>
              <w:top w:val="nil"/>
              <w:left w:val="nil"/>
              <w:bottom w:val="nil"/>
              <w:right w:val="nil"/>
            </w:tcBorders>
            <w:shd w:val="clear" w:color="auto" w:fill="auto"/>
            <w:noWrap/>
            <w:vAlign w:val="center"/>
          </w:tcPr>
          <w:p>
            <w:pPr>
              <w:rPr>
                <w:rFonts w:ascii="Times New Roman" w:hAnsi="Times New Roman" w:eastAsia="等线" w:cs="Times New Roman"/>
                <w:color w:val="000000"/>
                <w:sz w:val="24"/>
                <w:szCs w:val="24"/>
              </w:rPr>
            </w:pPr>
          </w:p>
        </w:tc>
        <w:tc>
          <w:tcPr>
            <w:tcW w:w="0" w:type="auto"/>
            <w:tcBorders>
              <w:top w:val="nil"/>
              <w:left w:val="nil"/>
              <w:bottom w:val="nil"/>
              <w:right w:val="nil"/>
            </w:tcBorders>
            <w:shd w:val="clear" w:color="auto" w:fill="auto"/>
            <w:noWrap/>
            <w:vAlign w:val="center"/>
          </w:tcPr>
          <w:p>
            <w:pPr>
              <w:rPr>
                <w:rFonts w:ascii="Times New Roman" w:hAnsi="Times New Roman" w:eastAsia="等线" w:cs="Times New Roman"/>
                <w:color w:val="000000"/>
                <w:sz w:val="24"/>
                <w:szCs w:val="24"/>
              </w:rPr>
            </w:pPr>
          </w:p>
        </w:tc>
        <w:tc>
          <w:tcPr>
            <w:tcW w:w="0" w:type="auto"/>
            <w:tcBorders>
              <w:top w:val="nil"/>
              <w:left w:val="nil"/>
              <w:bottom w:val="nil"/>
              <w:right w:val="nil"/>
            </w:tcBorders>
            <w:shd w:val="clear" w:color="auto" w:fill="auto"/>
            <w:noWrap/>
            <w:vAlign w:val="center"/>
          </w:tcPr>
          <w:p>
            <w:pPr>
              <w:rPr>
                <w:rFonts w:ascii="Times New Roman" w:hAnsi="Times New Roman" w:eastAsia="等线" w:cs="Times New Roman"/>
                <w:color w:val="000000"/>
                <w:sz w:val="24"/>
                <w:szCs w:val="24"/>
              </w:rPr>
            </w:pPr>
          </w:p>
        </w:tc>
        <w:tc>
          <w:tcPr>
            <w:tcW w:w="0" w:type="auto"/>
            <w:tcBorders>
              <w:top w:val="nil"/>
              <w:left w:val="nil"/>
              <w:bottom w:val="nil"/>
              <w:right w:val="nil"/>
            </w:tcBorders>
            <w:shd w:val="clear" w:color="auto" w:fill="auto"/>
            <w:noWrap/>
            <w:vAlign w:val="center"/>
          </w:tcPr>
          <w:p>
            <w:pPr>
              <w:rPr>
                <w:rFonts w:ascii="Times New Roman" w:hAnsi="Times New Roman" w:eastAsia="等线" w:cs="Times New Roman"/>
                <w:color w:val="000000"/>
                <w:sz w:val="24"/>
                <w:szCs w:val="24"/>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填表人：           填报日期：           联系电话：             单位负责人签字：</w:t>
            </w: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sz w:val="24"/>
                <w:szCs w:val="24"/>
              </w:rPr>
            </w:pPr>
          </w:p>
        </w:tc>
      </w:tr>
    </w:tbl>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tbl>
      <w:tblPr>
        <w:tblStyle w:val="7"/>
        <w:tblW w:w="11056" w:type="dxa"/>
        <w:tblInd w:w="98" w:type="dxa"/>
        <w:tblLayout w:type="autofit"/>
        <w:tblCellMar>
          <w:top w:w="0" w:type="dxa"/>
          <w:left w:w="108" w:type="dxa"/>
          <w:bottom w:w="0" w:type="dxa"/>
          <w:right w:w="108" w:type="dxa"/>
        </w:tblCellMar>
      </w:tblPr>
      <w:tblGrid>
        <w:gridCol w:w="636"/>
        <w:gridCol w:w="950"/>
        <w:gridCol w:w="670"/>
        <w:gridCol w:w="435"/>
        <w:gridCol w:w="1020"/>
        <w:gridCol w:w="1770"/>
        <w:gridCol w:w="590"/>
        <w:gridCol w:w="255"/>
        <w:gridCol w:w="1140"/>
        <w:gridCol w:w="975"/>
        <w:gridCol w:w="1125"/>
        <w:gridCol w:w="1490"/>
      </w:tblGrid>
      <w:tr>
        <w:tblPrEx>
          <w:tblCellMar>
            <w:top w:w="0" w:type="dxa"/>
            <w:left w:w="108" w:type="dxa"/>
            <w:bottom w:w="0" w:type="dxa"/>
            <w:right w:w="108" w:type="dxa"/>
          </w:tblCellMar>
        </w:tblPrEx>
        <w:trPr>
          <w:trHeight w:val="420" w:hRule="atLeast"/>
        </w:trPr>
        <w:tc>
          <w:tcPr>
            <w:tcW w:w="636" w:type="dxa"/>
            <w:tcBorders>
              <w:top w:val="nil"/>
              <w:left w:val="nil"/>
              <w:bottom w:val="nil"/>
              <w:right w:val="nil"/>
            </w:tcBorders>
            <w:shd w:val="clear" w:color="auto" w:fill="auto"/>
            <w:noWrap/>
            <w:vAlign w:val="bottom"/>
          </w:tcPr>
          <w:p>
            <w:pPr>
              <w:widowControl/>
              <w:jc w:val="distribute"/>
              <w:textAlignment w:val="bottom"/>
              <w:rPr>
                <w:rFonts w:ascii="宋体" w:hAnsi="宋体" w:eastAsia="宋体" w:cs="宋体"/>
                <w:color w:val="000000"/>
                <w:sz w:val="32"/>
                <w:szCs w:val="32"/>
              </w:rPr>
            </w:pPr>
            <w:r>
              <w:rPr>
                <w:rFonts w:hint="eastAsia" w:ascii="宋体" w:hAnsi="宋体" w:eastAsia="宋体" w:cs="宋体"/>
                <w:color w:val="000000"/>
                <w:kern w:val="0"/>
                <w:sz w:val="32"/>
                <w:szCs w:val="32"/>
                <w:lang w:bidi="ar"/>
              </w:rPr>
              <w:t>附件2</w:t>
            </w:r>
          </w:p>
        </w:tc>
        <w:tc>
          <w:tcPr>
            <w:tcW w:w="950" w:type="dxa"/>
            <w:tcBorders>
              <w:top w:val="nil"/>
              <w:left w:val="nil"/>
              <w:bottom w:val="nil"/>
              <w:right w:val="nil"/>
            </w:tcBorders>
            <w:shd w:val="clear" w:color="auto" w:fill="auto"/>
            <w:noWrap/>
            <w:vAlign w:val="bottom"/>
          </w:tcPr>
          <w:p>
            <w:pPr>
              <w:jc w:val="distribute"/>
              <w:rPr>
                <w:rFonts w:ascii="宋体" w:hAnsi="宋体" w:eastAsia="宋体" w:cs="宋体"/>
                <w:color w:val="000000"/>
                <w:sz w:val="22"/>
              </w:rPr>
            </w:pPr>
          </w:p>
        </w:tc>
        <w:tc>
          <w:tcPr>
            <w:tcW w:w="670"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435"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1020"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1770"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590"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255"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1140"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975"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1125"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c>
          <w:tcPr>
            <w:tcW w:w="1490" w:type="dxa"/>
            <w:tcBorders>
              <w:top w:val="nil"/>
              <w:left w:val="nil"/>
              <w:bottom w:val="nil"/>
              <w:right w:val="nil"/>
            </w:tcBorders>
            <w:shd w:val="clear" w:color="auto" w:fill="auto"/>
            <w:noWrap/>
            <w:vAlign w:val="bottom"/>
          </w:tcPr>
          <w:p>
            <w:pPr>
              <w:rPr>
                <w:rFonts w:ascii="宋体" w:hAnsi="宋体" w:eastAsia="宋体" w:cs="宋体"/>
                <w:color w:val="000000"/>
                <w:sz w:val="22"/>
              </w:rPr>
            </w:pPr>
          </w:p>
        </w:tc>
      </w:tr>
      <w:tr>
        <w:tblPrEx>
          <w:tblCellMar>
            <w:top w:w="0" w:type="dxa"/>
            <w:left w:w="108" w:type="dxa"/>
            <w:bottom w:w="0" w:type="dxa"/>
            <w:right w:w="108" w:type="dxa"/>
          </w:tblCellMar>
        </w:tblPrEx>
        <w:trPr>
          <w:trHeight w:val="550" w:hRule="atLeast"/>
        </w:trPr>
        <w:tc>
          <w:tcPr>
            <w:tcW w:w="0" w:type="auto"/>
            <w:gridSpan w:val="12"/>
            <w:tcBorders>
              <w:top w:val="nil"/>
              <w:left w:val="nil"/>
              <w:bottom w:val="nil"/>
              <w:right w:val="nil"/>
            </w:tcBorders>
            <w:shd w:val="clear" w:color="auto" w:fill="auto"/>
            <w:noWrap/>
            <w:vAlign w:val="bottom"/>
          </w:tcPr>
          <w:p>
            <w:pPr>
              <w:widowControl/>
              <w:jc w:val="center"/>
              <w:textAlignment w:val="bottom"/>
              <w:rPr>
                <w:rFonts w:ascii="宋体" w:hAnsi="宋体" w:eastAsia="宋体" w:cs="宋体"/>
                <w:color w:val="000000"/>
                <w:sz w:val="44"/>
                <w:szCs w:val="44"/>
              </w:rPr>
            </w:pPr>
            <w:r>
              <w:rPr>
                <w:rFonts w:hint="eastAsia" w:ascii="宋体" w:hAnsi="宋体" w:eastAsia="宋体" w:cs="宋体"/>
                <w:color w:val="000000"/>
                <w:kern w:val="0"/>
                <w:sz w:val="44"/>
                <w:szCs w:val="44"/>
                <w:lang w:bidi="ar"/>
              </w:rPr>
              <w:t>2021年度部门整体支出绩效自评表</w:t>
            </w:r>
          </w:p>
        </w:tc>
      </w:tr>
      <w:tr>
        <w:tblPrEx>
          <w:tblCellMar>
            <w:top w:w="0" w:type="dxa"/>
            <w:left w:w="108" w:type="dxa"/>
            <w:bottom w:w="0" w:type="dxa"/>
            <w:right w:w="108" w:type="dxa"/>
          </w:tblCellMar>
        </w:tblPrEx>
        <w:trPr>
          <w:trHeight w:val="340" w:hRule="atLeast"/>
        </w:trPr>
        <w:tc>
          <w:tcPr>
            <w:tcW w:w="22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省级预算部门名称</w:t>
            </w:r>
          </w:p>
        </w:tc>
        <w:tc>
          <w:tcPr>
            <w:tcW w:w="880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湖南省网球足球运动管理中心</w:t>
            </w:r>
          </w:p>
        </w:tc>
      </w:tr>
      <w:tr>
        <w:tblPrEx>
          <w:tblCellMar>
            <w:top w:w="0" w:type="dxa"/>
            <w:left w:w="108" w:type="dxa"/>
            <w:bottom w:w="0" w:type="dxa"/>
            <w:right w:w="108" w:type="dxa"/>
          </w:tblCellMar>
        </w:tblPrEx>
        <w:trPr>
          <w:trHeight w:val="34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年度预算申请</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（万元）</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年初预算数</w:t>
            </w:r>
          </w:p>
        </w:tc>
        <w:tc>
          <w:tcPr>
            <w:tcW w:w="2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全年预算数</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全年执行数</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分值</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执行率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得分</w:t>
            </w:r>
          </w:p>
        </w:tc>
      </w:tr>
      <w:tr>
        <w:tblPrEx>
          <w:tblCellMar>
            <w:top w:w="0" w:type="dxa"/>
            <w:left w:w="108" w:type="dxa"/>
            <w:bottom w:w="0" w:type="dxa"/>
            <w:right w:w="108" w:type="dxa"/>
          </w:tblCellMar>
        </w:tblPrEx>
        <w:trPr>
          <w:trHeight w:val="3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年度资金总额</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3544.1</w:t>
            </w:r>
          </w:p>
        </w:tc>
        <w:tc>
          <w:tcPr>
            <w:tcW w:w="2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5143.31</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4479.59</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87.10%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8.7</w:t>
            </w:r>
          </w:p>
        </w:tc>
      </w:tr>
      <w:tr>
        <w:tblPrEx>
          <w:tblCellMar>
            <w:top w:w="0" w:type="dxa"/>
            <w:left w:w="108" w:type="dxa"/>
            <w:bottom w:w="0" w:type="dxa"/>
            <w:right w:w="108" w:type="dxa"/>
          </w:tblCellMar>
        </w:tblPrEx>
        <w:trPr>
          <w:trHeight w:val="3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435" w:type="dxa"/>
            <w:gridSpan w:val="6"/>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按收入性质分：</w:t>
            </w:r>
          </w:p>
        </w:tc>
        <w:tc>
          <w:tcPr>
            <w:tcW w:w="49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按支出性质分：</w:t>
            </w:r>
          </w:p>
        </w:tc>
      </w:tr>
      <w:tr>
        <w:tblPrEx>
          <w:tblCellMar>
            <w:top w:w="0" w:type="dxa"/>
            <w:left w:w="108" w:type="dxa"/>
            <w:bottom w:w="0" w:type="dxa"/>
            <w:right w:w="108" w:type="dxa"/>
          </w:tblCellMar>
        </w:tblPrEx>
        <w:trPr>
          <w:trHeight w:val="3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4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其中：一般公共预算：3016.13</w:t>
            </w:r>
          </w:p>
        </w:tc>
        <w:tc>
          <w:tcPr>
            <w:tcW w:w="49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其中：基本支出：910.7</w:t>
            </w:r>
          </w:p>
        </w:tc>
      </w:tr>
      <w:tr>
        <w:tblPrEx>
          <w:tblCellMar>
            <w:top w:w="0" w:type="dxa"/>
            <w:left w:w="108" w:type="dxa"/>
            <w:bottom w:w="0" w:type="dxa"/>
            <w:right w:w="108" w:type="dxa"/>
          </w:tblCellMar>
        </w:tblPrEx>
        <w:trPr>
          <w:trHeight w:val="3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4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政府性基金拨款：2127.18</w:t>
            </w:r>
          </w:p>
        </w:tc>
        <w:tc>
          <w:tcPr>
            <w:tcW w:w="49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项目支出：3568.89</w:t>
            </w:r>
          </w:p>
        </w:tc>
      </w:tr>
      <w:tr>
        <w:tblPrEx>
          <w:tblCellMar>
            <w:top w:w="0" w:type="dxa"/>
            <w:left w:w="108" w:type="dxa"/>
            <w:bottom w:w="0" w:type="dxa"/>
            <w:right w:w="108" w:type="dxa"/>
          </w:tblCellMar>
        </w:tblPrEx>
        <w:trPr>
          <w:trHeight w:val="3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4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纳入专户管理的非税收入拨款：</w:t>
            </w:r>
          </w:p>
        </w:tc>
        <w:tc>
          <w:tcPr>
            <w:tcW w:w="49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经营支出：</w:t>
            </w:r>
          </w:p>
        </w:tc>
      </w:tr>
      <w:tr>
        <w:tblPrEx>
          <w:tblCellMar>
            <w:top w:w="0" w:type="dxa"/>
            <w:left w:w="108" w:type="dxa"/>
            <w:bottom w:w="0" w:type="dxa"/>
            <w:right w:w="108" w:type="dxa"/>
          </w:tblCellMar>
        </w:tblPrEx>
        <w:trPr>
          <w:trHeight w:val="3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4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其他资金：</w:t>
            </w:r>
          </w:p>
        </w:tc>
        <w:tc>
          <w:tcPr>
            <w:tcW w:w="49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年度总体目标</w:t>
            </w:r>
          </w:p>
        </w:tc>
        <w:tc>
          <w:tcPr>
            <w:tcW w:w="54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预期目标</w:t>
            </w:r>
          </w:p>
        </w:tc>
        <w:tc>
          <w:tcPr>
            <w:tcW w:w="49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实际完成情况</w:t>
            </w:r>
          </w:p>
        </w:tc>
      </w:tr>
      <w:tr>
        <w:tblPrEx>
          <w:tblCellMar>
            <w:top w:w="0" w:type="dxa"/>
            <w:left w:w="108" w:type="dxa"/>
            <w:bottom w:w="0" w:type="dxa"/>
            <w:right w:w="108" w:type="dxa"/>
          </w:tblCellMar>
        </w:tblPrEx>
        <w:trPr>
          <w:trHeight w:val="90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435"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1、改善中心体育训练环境，对足球场、网球场、训练房等进行改扩建，通过翻新改造，满足运动队对训练场地的要求，让运动员有更好的体能训练环境。</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2、引进我省高水平运动员、教练员，加快运动员人才队伍建设，提升竞技实力，为参加全省和国内重大比赛打下基础，为高水平的竞技体育培养后备人才。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3、积极组织举办各类体育赛事，全力备战全运会，努力推进中心竞技体育向前发展。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4、积极组织开展青训与梯队建设项目。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5、做好场馆免费低收费开放，积极响应全民健身国家战略，满足人民群众日益增长的健身需求。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6、为运动员训练配备必要的运动队专用器材，改善设施条件，加强后勤保障服务，提高运动员的训练条件。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7、加强日常管理，努力做好其他各项工作。</w:t>
            </w:r>
          </w:p>
        </w:tc>
        <w:tc>
          <w:tcPr>
            <w:tcW w:w="498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1、改善中心体育训练环境，对足球场、网球场、训练房等进行改扩建，通过翻新改造，满足运动队对训练场地的要求，让运动员有更好的体能训练环境。</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2、引进我省高水平运动员、教练员，加快运动员人才队伍建设，提升竞技实力，为参加全省和国内重大比赛打下基础，为高水平的竞技体育培养后备人才。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3、积极组织举办各类体育赛事，全力备战全运会，努力推进中心竞技体育向前发展。</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4、积极组织开展青训与梯队建设项目。</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5、做好场馆免费低收费开放，积极响应全民健身国家战略，满足人民群众日益增长的健身需求。</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6、为运动员训练配备必要的运动队专用器材，改善设施条件，加强后勤保障服务，提高运动员的训练条件。</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7、加强日常管理，努力做好其他各项工作。</w:t>
            </w:r>
          </w:p>
        </w:tc>
      </w:tr>
      <w:tr>
        <w:tblPrEx>
          <w:tblCellMar>
            <w:top w:w="0" w:type="dxa"/>
            <w:left w:w="108" w:type="dxa"/>
            <w:bottom w:w="0" w:type="dxa"/>
            <w:right w:w="108" w:type="dxa"/>
          </w:tblCellMar>
        </w:tblPrEx>
        <w:trPr>
          <w:trHeight w:val="31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435"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498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540" w:hRule="atLeast"/>
        </w:trPr>
        <w:tc>
          <w:tcPr>
            <w:tcW w:w="636"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绩效指标</w:t>
            </w:r>
          </w:p>
        </w:tc>
        <w:tc>
          <w:tcPr>
            <w:tcW w:w="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一级指标</w:t>
            </w: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二级指标</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三级指标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年度指标值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实际完成值</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分值</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得分</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偏差原因分析及改进措施</w:t>
            </w: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产出指标（50分）</w:t>
            </w:r>
          </w:p>
        </w:tc>
        <w:tc>
          <w:tcPr>
            <w:tcW w:w="1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数量指标（20分）</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举办赛事活动数量</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60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全省大中型体育场馆免费低收费开放补助数量</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62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全年接待服务参加网球运动的群众人次</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≥11000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疫情影响</w:t>
            </w:r>
          </w:p>
        </w:tc>
      </w:tr>
      <w:tr>
        <w:tblPrEx>
          <w:tblCellMar>
            <w:top w:w="0" w:type="dxa"/>
            <w:left w:w="108" w:type="dxa"/>
            <w:bottom w:w="0" w:type="dxa"/>
            <w:right w:w="108" w:type="dxa"/>
          </w:tblCellMar>
        </w:tblPrEx>
        <w:trPr>
          <w:trHeight w:val="72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免费向公众开展体育健身技能等培训次数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5次</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中心大型基建工程项目完工验收</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3项</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5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举行社会影响大的全民健身品牌活动及特色项目活动</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2项</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全运会比赛名次</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前八名</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前八名</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5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全运会网球预赛出线并参加决赛人数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7人</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室外网球场场地翻新片数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15片</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足球场地新建片数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5片</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60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全省大中型体育场馆免费低收费开发补助次数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体质监测次数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参加全运会运动员人次</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38</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国内训练人次</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国内训练天数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一级运动员增长人数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10个</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12个</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12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引进教练员人数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引进运动员人数</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质量指标（20分）</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在职人员控制率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79.41%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公用经费控制率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99.50%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“三公经费”控制率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政府采购执行率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96.90%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公共体育场地设施开放率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1140" w:type="dxa"/>
            <w:tcBorders>
              <w:top w:val="single" w:color="000000" w:sz="4" w:space="0"/>
              <w:left w:val="single" w:color="000000" w:sz="4" w:space="0"/>
              <w:bottom w:val="single" w:color="000000" w:sz="4" w:space="0"/>
              <w:right w:val="nil"/>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9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大型基建工程验收符合国家标准</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管理制度健全性</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赛事任务完成率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全运会足球比赛获得积分</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项目及经费的监督检查</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运动员及教练员的质量水平</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时效指标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（6分）</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赛事按计划及时举办</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场馆保障任务完成率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项目完成时间达标率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60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成本指标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（4分）</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成本控制率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不超投资总额完成</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不超投资总额完成</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180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效益指标（30分）</w:t>
            </w:r>
          </w:p>
        </w:tc>
        <w:tc>
          <w:tcPr>
            <w:tcW w:w="110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经济效益指标（10分）</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中心非税收入增长率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1、中心闲置的场地租不出去。2、受疫情影响，原出租场地，租户不敢长租，随时有退租的可能。</w:t>
            </w: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体育场馆运营成本控制</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不超过67万</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实际67万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6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社会效益指标（10分）</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国民（湖南省）体质测定标准合格率</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94.37%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群众参与锻炼积极性</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对竞技水平提高的促进程度</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地方公共体育设施改善程度</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丰富了人民群众的文化体育生活</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94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可持续影响指标（10分）</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对竞技体育、群众体育可持续发展影响程度</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满意度指标（10分）</w:t>
            </w:r>
          </w:p>
        </w:tc>
        <w:tc>
          <w:tcPr>
            <w:tcW w:w="11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服务对象满意度指标（10分）</w:t>
            </w: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群众满意度</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运动员满意度</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63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9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1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7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单位工作人员满意度</w:t>
            </w:r>
          </w:p>
        </w:tc>
        <w:tc>
          <w:tcPr>
            <w:tcW w:w="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14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746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总分</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100.00 </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 xml:space="preserve">92.70 </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280" w:hRule="atLeast"/>
        </w:trPr>
        <w:tc>
          <w:tcPr>
            <w:tcW w:w="0" w:type="auto"/>
            <w:tcBorders>
              <w:top w:val="nil"/>
              <w:left w:val="nil"/>
              <w:bottom w:val="nil"/>
              <w:right w:val="nil"/>
            </w:tcBorders>
            <w:shd w:val="clear" w:color="auto" w:fill="auto"/>
            <w:noWrap/>
            <w:vAlign w:val="bottom"/>
          </w:tcPr>
          <w:p>
            <w:pPr>
              <w:jc w:val="left"/>
              <w:rPr>
                <w:rFonts w:ascii="仿宋_GB2312" w:hAnsi="等线" w:eastAsia="仿宋_GB2312" w:cs="仿宋_GB2312"/>
                <w:color w:val="000000"/>
                <w:szCs w:val="21"/>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670" w:type="dxa"/>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435" w:type="dxa"/>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c>
          <w:tcPr>
            <w:tcW w:w="0" w:type="auto"/>
            <w:tcBorders>
              <w:top w:val="nil"/>
              <w:left w:val="nil"/>
              <w:bottom w:val="nil"/>
              <w:right w:val="nil"/>
            </w:tcBorders>
            <w:shd w:val="clear" w:color="auto" w:fill="auto"/>
            <w:noWrap/>
            <w:vAlign w:val="bottom"/>
          </w:tcPr>
          <w:p>
            <w:pPr>
              <w:rPr>
                <w:rFonts w:ascii="等线" w:hAnsi="等线" w:eastAsia="等线" w:cs="等线"/>
                <w:color w:val="000000"/>
                <w:sz w:val="22"/>
              </w:rPr>
            </w:pPr>
          </w:p>
        </w:tc>
      </w:tr>
      <w:tr>
        <w:tblPrEx>
          <w:tblCellMar>
            <w:top w:w="0" w:type="dxa"/>
            <w:left w:w="108" w:type="dxa"/>
            <w:bottom w:w="0" w:type="dxa"/>
            <w:right w:w="108" w:type="dxa"/>
          </w:tblCellMar>
        </w:tblPrEx>
        <w:trPr>
          <w:trHeight w:val="280" w:hRule="atLeast"/>
        </w:trPr>
        <w:tc>
          <w:tcPr>
            <w:tcW w:w="0" w:type="auto"/>
            <w:gridSpan w:val="12"/>
            <w:tcBorders>
              <w:top w:val="nil"/>
              <w:left w:val="nil"/>
              <w:bottom w:val="nil"/>
              <w:right w:val="nil"/>
            </w:tcBorders>
            <w:shd w:val="clear" w:color="auto" w:fill="auto"/>
            <w:noWrap/>
            <w:vAlign w:val="center"/>
          </w:tcPr>
          <w:p>
            <w:pPr>
              <w:widowControl/>
              <w:jc w:val="left"/>
              <w:textAlignment w:val="center"/>
              <w:rPr>
                <w:rFonts w:ascii="仿宋_GB2312" w:hAnsi="等线" w:eastAsia="仿宋_GB2312" w:cs="仿宋_GB2312"/>
                <w:color w:val="000000"/>
                <w:szCs w:val="21"/>
              </w:rPr>
            </w:pPr>
            <w:r>
              <w:rPr>
                <w:rFonts w:ascii="仿宋_GB2312" w:hAnsi="等线" w:eastAsia="仿宋_GB2312" w:cs="仿宋_GB2312"/>
                <w:color w:val="000000"/>
                <w:kern w:val="0"/>
                <w:szCs w:val="21"/>
                <w:lang w:bidi="ar"/>
              </w:rPr>
              <w:t>填表人：          填报日期：            联系电话：             单位负责人签字：</w:t>
            </w:r>
          </w:p>
        </w:tc>
      </w:tr>
    </w:tbl>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tbl>
      <w:tblPr>
        <w:tblStyle w:val="7"/>
        <w:tblW w:w="10840" w:type="dxa"/>
        <w:tblInd w:w="98" w:type="dxa"/>
        <w:tblLayout w:type="autofit"/>
        <w:tblCellMar>
          <w:top w:w="0" w:type="dxa"/>
          <w:left w:w="108" w:type="dxa"/>
          <w:bottom w:w="0" w:type="dxa"/>
          <w:right w:w="108" w:type="dxa"/>
        </w:tblCellMar>
      </w:tblPr>
      <w:tblGrid>
        <w:gridCol w:w="616"/>
        <w:gridCol w:w="1005"/>
        <w:gridCol w:w="1155"/>
        <w:gridCol w:w="2400"/>
        <w:gridCol w:w="916"/>
        <w:gridCol w:w="1080"/>
        <w:gridCol w:w="1080"/>
        <w:gridCol w:w="1140"/>
        <w:gridCol w:w="1770"/>
      </w:tblGrid>
      <w:tr>
        <w:tblPrEx>
          <w:tblCellMar>
            <w:top w:w="0" w:type="dxa"/>
            <w:left w:w="108" w:type="dxa"/>
            <w:bottom w:w="0" w:type="dxa"/>
            <w:right w:w="108" w:type="dxa"/>
          </w:tblCellMar>
        </w:tblPrEx>
        <w:trPr>
          <w:trHeight w:val="420" w:hRule="atLeast"/>
        </w:trPr>
        <w:tc>
          <w:tcPr>
            <w:tcW w:w="540"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32"/>
                <w:szCs w:val="32"/>
              </w:rPr>
            </w:pPr>
            <w:r>
              <w:rPr>
                <w:rFonts w:hint="eastAsia" w:ascii="宋体" w:hAnsi="宋体" w:eastAsia="宋体" w:cs="宋体"/>
                <w:color w:val="000000"/>
                <w:kern w:val="0"/>
                <w:sz w:val="32"/>
                <w:szCs w:val="32"/>
                <w:lang w:bidi="ar"/>
              </w:rPr>
              <w:t>附件3</w:t>
            </w:r>
          </w:p>
        </w:tc>
        <w:tc>
          <w:tcPr>
            <w:tcW w:w="1005"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155"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240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67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8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8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14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77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550" w:hRule="atLeast"/>
        </w:trPr>
        <w:tc>
          <w:tcPr>
            <w:tcW w:w="0" w:type="auto"/>
            <w:gridSpan w:val="9"/>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44"/>
                <w:szCs w:val="44"/>
              </w:rPr>
            </w:pPr>
            <w:r>
              <w:rPr>
                <w:rFonts w:hint="eastAsia" w:ascii="宋体" w:hAnsi="宋体" w:eastAsia="宋体" w:cs="宋体"/>
                <w:color w:val="000000"/>
                <w:kern w:val="0"/>
                <w:sz w:val="44"/>
                <w:szCs w:val="44"/>
                <w:lang w:bidi="ar"/>
              </w:rPr>
              <w:t>2021年度项目支出绩效自评表</w:t>
            </w:r>
          </w:p>
        </w:tc>
      </w:tr>
      <w:tr>
        <w:tblPrEx>
          <w:tblCellMar>
            <w:top w:w="0" w:type="dxa"/>
            <w:left w:w="108" w:type="dxa"/>
            <w:bottom w:w="0" w:type="dxa"/>
            <w:right w:w="108" w:type="dxa"/>
          </w:tblCellMar>
        </w:tblPrEx>
        <w:trPr>
          <w:trHeight w:val="315"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项目支出名称</w:t>
            </w:r>
          </w:p>
        </w:tc>
        <w:tc>
          <w:tcPr>
            <w:tcW w:w="10300"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2021年业务工作经费项目</w:t>
            </w:r>
          </w:p>
        </w:tc>
      </w:tr>
      <w:tr>
        <w:tblPrEx>
          <w:tblCellMar>
            <w:top w:w="0" w:type="dxa"/>
            <w:left w:w="108" w:type="dxa"/>
            <w:bottom w:w="0" w:type="dxa"/>
            <w:right w:w="108" w:type="dxa"/>
          </w:tblCellMar>
        </w:tblPrEx>
        <w:trPr>
          <w:trHeight w:val="312"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300"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2"/>
              </w:rPr>
            </w:pPr>
          </w:p>
        </w:tc>
      </w:tr>
      <w:tr>
        <w:tblPrEx>
          <w:tblCellMar>
            <w:top w:w="0" w:type="dxa"/>
            <w:left w:w="108" w:type="dxa"/>
            <w:bottom w:w="0" w:type="dxa"/>
            <w:right w:w="108" w:type="dxa"/>
          </w:tblCellMar>
        </w:tblPrEx>
        <w:trPr>
          <w:trHeight w:val="500" w:hRule="atLeast"/>
        </w:trPr>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主管部门</w:t>
            </w:r>
          </w:p>
        </w:tc>
        <w:tc>
          <w:tcPr>
            <w:tcW w:w="52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湖南省体育局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实施单位</w:t>
            </w:r>
          </w:p>
        </w:tc>
        <w:tc>
          <w:tcPr>
            <w:tcW w:w="39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湖南省网球足球运动管理中心</w:t>
            </w:r>
          </w:p>
        </w:tc>
      </w:tr>
      <w:tr>
        <w:tblPrEx>
          <w:tblCellMar>
            <w:top w:w="0" w:type="dxa"/>
            <w:left w:w="108" w:type="dxa"/>
            <w:bottom w:w="0" w:type="dxa"/>
            <w:right w:w="108" w:type="dxa"/>
          </w:tblCellMar>
        </w:tblPrEx>
        <w:trPr>
          <w:trHeight w:val="520"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项目资金（万元）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年初预算数</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全年预算数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全年执行数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分值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执行率</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得分</w:t>
            </w:r>
          </w:p>
        </w:tc>
      </w:tr>
      <w:tr>
        <w:tblPrEx>
          <w:tblCellMar>
            <w:top w:w="0" w:type="dxa"/>
            <w:left w:w="108" w:type="dxa"/>
            <w:bottom w:w="0" w:type="dxa"/>
            <w:right w:w="108" w:type="dxa"/>
          </w:tblCellMar>
        </w:tblPrEx>
        <w:trPr>
          <w:trHeight w:val="315"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年度资金总额　</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1410</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2809.18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2532.23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90.14</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r>
      <w:tr>
        <w:tblPrEx>
          <w:tblCellMar>
            <w:top w:w="0" w:type="dxa"/>
            <w:left w:w="108" w:type="dxa"/>
            <w:bottom w:w="0" w:type="dxa"/>
            <w:right w:w="108" w:type="dxa"/>
          </w:tblCellMar>
        </w:tblPrEx>
        <w:trPr>
          <w:trHeight w:val="315"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其中：当年财政拨款　</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1308</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1563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1490.99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5"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00" w:firstLineChars="300"/>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上年结转资金　</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102</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1246.18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1041.24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5"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00" w:firstLineChars="300"/>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其他资金</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315"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年度总体目标</w:t>
            </w:r>
          </w:p>
        </w:tc>
        <w:tc>
          <w:tcPr>
            <w:tcW w:w="52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预期目标</w:t>
            </w:r>
          </w:p>
        </w:tc>
        <w:tc>
          <w:tcPr>
            <w:tcW w:w="50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实际完成情况　</w:t>
            </w:r>
          </w:p>
        </w:tc>
      </w:tr>
      <w:tr>
        <w:tblPrEx>
          <w:tblCellMar>
            <w:top w:w="0" w:type="dxa"/>
            <w:left w:w="108" w:type="dxa"/>
            <w:bottom w:w="0" w:type="dxa"/>
            <w:right w:w="108" w:type="dxa"/>
          </w:tblCellMar>
        </w:tblPrEx>
        <w:trPr>
          <w:trHeight w:val="294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2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1、全运会网球预赛三人出线并进入决赛，比赛名次进入前八。</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2、做好场馆免费低收费开放工作，全年接待服务参加网球运动的群众人次达到11000人。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3、改善运动员设施条件，完成网球、网球拍、网球鞋等专用器材采购。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4、举办体育赛事2场。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5、积极组织开展青训与梯队建设项目，并提供后勤保障服务。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6、引进足球教练员2名。</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7、完成室外网球场15片场地翻新改造项目。</w:t>
            </w:r>
          </w:p>
        </w:tc>
        <w:tc>
          <w:tcPr>
            <w:tcW w:w="50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　全运会网球预赛三人出线并进入决赛，比赛名次进入前八。</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2、做好场馆免费低收费开放工作，全年接待服务参加网球运动的群众人次实际达到10000人。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3、改善运动员设施条件，完成网球、网球拍、网球鞋等专用器材采购。</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4、举办体育赛事6场。</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5、积极组织开展青训与梯队建设项目，并提供后勤保障服务。</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6、引进足球教练员2名。</w:t>
            </w:r>
            <w:r>
              <w:rPr>
                <w:rFonts w:hint="eastAsia" w:ascii="宋体" w:hAnsi="宋体" w:eastAsia="宋体" w:cs="宋体"/>
                <w:color w:val="000000"/>
                <w:kern w:val="0"/>
                <w:sz w:val="20"/>
                <w:szCs w:val="20"/>
                <w:lang w:bidi="ar"/>
              </w:rPr>
              <w:br w:type="textWrapping"/>
            </w:r>
            <w:r>
              <w:rPr>
                <w:rFonts w:hint="eastAsia" w:ascii="宋体" w:hAnsi="宋体" w:eastAsia="宋体" w:cs="宋体"/>
                <w:color w:val="000000"/>
                <w:kern w:val="0"/>
                <w:sz w:val="20"/>
                <w:szCs w:val="20"/>
                <w:lang w:bidi="ar"/>
              </w:rPr>
              <w:t>7、完成室外网球场15片场地翻新改造项目。</w:t>
            </w:r>
          </w:p>
        </w:tc>
      </w:tr>
      <w:tr>
        <w:tblPrEx>
          <w:tblCellMar>
            <w:top w:w="0" w:type="dxa"/>
            <w:left w:w="108" w:type="dxa"/>
            <w:bottom w:w="0" w:type="dxa"/>
            <w:right w:w="108" w:type="dxa"/>
          </w:tblCellMar>
        </w:tblPrEx>
        <w:trPr>
          <w:trHeight w:val="315"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绩效指标</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一级指标</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二级指标</w:t>
            </w:r>
          </w:p>
        </w:tc>
        <w:tc>
          <w:tcPr>
            <w:tcW w:w="2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三级指标</w:t>
            </w:r>
          </w:p>
        </w:tc>
        <w:tc>
          <w:tcPr>
            <w:tcW w:w="6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年度指标值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实际完成值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分值</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得分</w:t>
            </w:r>
          </w:p>
        </w:tc>
        <w:tc>
          <w:tcPr>
            <w:tcW w:w="1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偏差原因分析及改进措施</w:t>
            </w:r>
          </w:p>
        </w:tc>
      </w:tr>
      <w:tr>
        <w:tblPrEx>
          <w:tblCellMar>
            <w:top w:w="0" w:type="dxa"/>
            <w:left w:w="108" w:type="dxa"/>
            <w:bottom w:w="0" w:type="dxa"/>
            <w:right w:w="108" w:type="dxa"/>
          </w:tblCellMar>
        </w:tblPrEx>
        <w:trPr>
          <w:trHeight w:val="312"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产出指标(50分)</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数量指标（20分）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全运会预赛出线人数</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全运会比赛名次</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前八名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前八名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参加全运会人次</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56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免费向公众开展体育健身技能等培训次数</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5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免费向公众开展体育健身技能等培训人数</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322人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受疫情影响</w:t>
            </w: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举办赛事活动数量</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平均每周免费对外开放时间</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35小时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31.5小时</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受疫情影响</w:t>
            </w:r>
          </w:p>
        </w:tc>
      </w:tr>
      <w:tr>
        <w:tblPrEx>
          <w:tblCellMar>
            <w:top w:w="0" w:type="dxa"/>
            <w:left w:w="108" w:type="dxa"/>
            <w:bottom w:w="0" w:type="dxa"/>
            <w:right w:w="108" w:type="dxa"/>
          </w:tblCellMar>
        </w:tblPrEx>
        <w:trPr>
          <w:trHeight w:val="64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全省大中型体育场馆免费低收费开发补助次数</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国民体制监测人数</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3000人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3065人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采购专用训练比赛网球</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150箱</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150箱</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采购专用训练比赛网球拍</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采购专用训练比赛网球线</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采购穿线机</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引进足球教练员数量</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室外网球场场地翻新改造数量</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质量指标（20分）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专用器材验收合格率</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政府采购执行率</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公共体育场地设施开放率</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大型基建工程验收符合国家标准</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赛事任务完成率</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5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向公众开展体育健身技能等培训次数增长率</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全运会足球比赛获得积分</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制度建设健全性</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时效指标（6分）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赛事按计划及时举办</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场馆保障任务完成率</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项目完成时间达标率</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86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成本指标（4分）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成本控制率</w:t>
            </w:r>
          </w:p>
        </w:tc>
        <w:tc>
          <w:tcPr>
            <w:tcW w:w="67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不超投资总额完成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不超投资总额完成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因足球二期工期延长，监理工作时间增加，监理费用增加。</w:t>
            </w:r>
          </w:p>
        </w:tc>
      </w:tr>
      <w:tr>
        <w:tblPrEx>
          <w:tblCellMar>
            <w:top w:w="0" w:type="dxa"/>
            <w:left w:w="108" w:type="dxa"/>
            <w:bottom w:w="0" w:type="dxa"/>
            <w:right w:w="108" w:type="dxa"/>
          </w:tblCellMar>
        </w:tblPrEx>
        <w:trPr>
          <w:trHeight w:val="86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效益指标（30分）</w:t>
            </w:r>
          </w:p>
        </w:tc>
        <w:tc>
          <w:tcPr>
            <w:tcW w:w="115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经济效益指标（8分）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吸引外来单位入驻体育新城，增加收入，促进中心发展</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1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0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由于疫情影响，未引进外来单位入驻体育新城</w:t>
            </w:r>
          </w:p>
        </w:tc>
      </w:tr>
      <w:tr>
        <w:tblPrEx>
          <w:tblCellMar>
            <w:top w:w="0" w:type="dxa"/>
            <w:left w:w="108" w:type="dxa"/>
            <w:bottom w:w="0" w:type="dxa"/>
            <w:right w:w="108" w:type="dxa"/>
          </w:tblCellMar>
        </w:tblPrEx>
        <w:trPr>
          <w:trHeight w:val="7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体育场馆运营成本控制</w:t>
            </w:r>
          </w:p>
        </w:tc>
        <w:tc>
          <w:tcPr>
            <w:tcW w:w="67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不超过67万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实际67万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60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社会效益指标（10分）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推动全民健身运动，推动当地体育事业发展</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丰富人民群众文化体育生活</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64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国民（湖南省）体质测定标准合格率</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94.37%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50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群众参与锻炼积极性</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对竞技水平提高的促进程度</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生态效益指标（4分）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改善生态环境</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62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可持续影响指标(8分)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对竞技体育、群众体育可持续发展影响程度</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满意度指标（10分）</w:t>
            </w: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服务对象满意度指标（10分）</w:t>
            </w: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群众满意度</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运动员满意度</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4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单位工作人员满意度</w:t>
            </w:r>
          </w:p>
        </w:tc>
        <w:tc>
          <w:tcPr>
            <w:tcW w:w="6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68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总分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92</w:t>
            </w:r>
          </w:p>
        </w:tc>
        <w:tc>
          <w:tcPr>
            <w:tcW w:w="17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trHeight w:val="260"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填表人：        填报日期：          联系电话：            单位负责人签字：</w:t>
            </w:r>
          </w:p>
        </w:tc>
      </w:tr>
    </w:tbl>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tbl>
      <w:tblPr>
        <w:tblStyle w:val="7"/>
        <w:tblW w:w="10870" w:type="dxa"/>
        <w:tblInd w:w="98" w:type="dxa"/>
        <w:tblLayout w:type="autofit"/>
        <w:tblCellMar>
          <w:top w:w="0" w:type="dxa"/>
          <w:left w:w="108" w:type="dxa"/>
          <w:bottom w:w="0" w:type="dxa"/>
          <w:right w:w="108" w:type="dxa"/>
        </w:tblCellMar>
      </w:tblPr>
      <w:tblGrid>
        <w:gridCol w:w="940"/>
        <w:gridCol w:w="1080"/>
        <w:gridCol w:w="1035"/>
        <w:gridCol w:w="2220"/>
        <w:gridCol w:w="951"/>
        <w:gridCol w:w="1080"/>
        <w:gridCol w:w="1080"/>
        <w:gridCol w:w="1080"/>
        <w:gridCol w:w="1490"/>
      </w:tblGrid>
      <w:tr>
        <w:tblPrEx>
          <w:tblCellMar>
            <w:top w:w="0" w:type="dxa"/>
            <w:left w:w="108" w:type="dxa"/>
            <w:bottom w:w="0" w:type="dxa"/>
            <w:right w:w="108" w:type="dxa"/>
          </w:tblCellMar>
        </w:tblPrEx>
        <w:trPr>
          <w:trHeight w:val="420" w:hRule="atLeast"/>
        </w:trPr>
        <w:tc>
          <w:tcPr>
            <w:tcW w:w="940"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32"/>
                <w:szCs w:val="32"/>
              </w:rPr>
            </w:pPr>
            <w:r>
              <w:rPr>
                <w:rFonts w:hint="eastAsia" w:ascii="宋体" w:hAnsi="宋体" w:eastAsia="宋体" w:cs="宋体"/>
                <w:color w:val="000000"/>
                <w:kern w:val="0"/>
                <w:sz w:val="32"/>
                <w:szCs w:val="32"/>
                <w:lang w:bidi="ar"/>
              </w:rPr>
              <w:t>附件3</w:t>
            </w:r>
          </w:p>
        </w:tc>
        <w:tc>
          <w:tcPr>
            <w:tcW w:w="108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35"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222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7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8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8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8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49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550" w:hRule="atLeast"/>
        </w:trPr>
        <w:tc>
          <w:tcPr>
            <w:tcW w:w="0" w:type="auto"/>
            <w:gridSpan w:val="9"/>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44"/>
                <w:szCs w:val="44"/>
              </w:rPr>
            </w:pPr>
            <w:r>
              <w:rPr>
                <w:rFonts w:hint="eastAsia" w:ascii="宋体" w:hAnsi="宋体" w:eastAsia="宋体" w:cs="宋体"/>
                <w:color w:val="000000"/>
                <w:kern w:val="0"/>
                <w:sz w:val="44"/>
                <w:szCs w:val="44"/>
                <w:lang w:bidi="ar"/>
              </w:rPr>
              <w:t>2021年度项目支出绩效自评表</w:t>
            </w:r>
          </w:p>
        </w:tc>
      </w:tr>
      <w:tr>
        <w:tblPrEx>
          <w:tblCellMar>
            <w:top w:w="0" w:type="dxa"/>
            <w:left w:w="108" w:type="dxa"/>
            <w:bottom w:w="0" w:type="dxa"/>
            <w:right w:w="108" w:type="dxa"/>
          </w:tblCellMar>
        </w:tblPrEx>
        <w:trPr>
          <w:trHeight w:val="315" w:hRule="atLeast"/>
        </w:trPr>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项目支出名称</w:t>
            </w:r>
          </w:p>
        </w:tc>
        <w:tc>
          <w:tcPr>
            <w:tcW w:w="9935"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2021年其他事业发展资金项目</w:t>
            </w:r>
          </w:p>
        </w:tc>
      </w:tr>
      <w:tr>
        <w:tblPrEx>
          <w:tblCellMar>
            <w:top w:w="0" w:type="dxa"/>
            <w:left w:w="108" w:type="dxa"/>
            <w:bottom w:w="0" w:type="dxa"/>
            <w:right w:w="108" w:type="dxa"/>
          </w:tblCellMar>
        </w:tblPrEx>
        <w:trPr>
          <w:trHeight w:val="312"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9935"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500" w:hRule="atLeast"/>
        </w:trPr>
        <w:tc>
          <w:tcPr>
            <w:tcW w:w="9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主管部门</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湖南省体育局</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实施单位</w:t>
            </w:r>
          </w:p>
        </w:tc>
        <w:tc>
          <w:tcPr>
            <w:tcW w:w="3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湖南省网球足球运动管理中心</w:t>
            </w:r>
          </w:p>
        </w:tc>
      </w:tr>
      <w:tr>
        <w:tblPrEx>
          <w:tblCellMar>
            <w:top w:w="0" w:type="dxa"/>
            <w:left w:w="108" w:type="dxa"/>
            <w:bottom w:w="0" w:type="dxa"/>
            <w:right w:w="108" w:type="dxa"/>
          </w:tblCellMar>
        </w:tblPrEx>
        <w:trPr>
          <w:trHeight w:val="640" w:hRule="atLeast"/>
        </w:trPr>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项目资金（万元）</w:t>
            </w: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年初预算数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全年预算数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全年执行数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执行率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得分</w:t>
            </w:r>
          </w:p>
        </w:tc>
      </w:tr>
      <w:tr>
        <w:tblPrEx>
          <w:tblCellMar>
            <w:top w:w="0" w:type="dxa"/>
            <w:left w:w="108" w:type="dxa"/>
            <w:bottom w:w="0" w:type="dxa"/>
            <w:right w:w="108" w:type="dxa"/>
          </w:tblCellMar>
        </w:tblPrEx>
        <w:trPr>
          <w:trHeight w:val="315"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年度资金总额　</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466.15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1350.13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963.66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63.81%</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6.3</w:t>
            </w:r>
          </w:p>
        </w:tc>
      </w:tr>
      <w:tr>
        <w:tblPrEx>
          <w:tblCellMar>
            <w:top w:w="0" w:type="dxa"/>
            <w:left w:w="108" w:type="dxa"/>
            <w:bottom w:w="0" w:type="dxa"/>
            <w:right w:w="108" w:type="dxa"/>
          </w:tblCellMar>
        </w:tblPrEx>
        <w:trPr>
          <w:trHeight w:val="315"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其中：当年财政拨款　</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299.02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1183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797.84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315"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30" w:firstLineChars="300"/>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上年结转资金　</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167.13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167.13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165.82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315"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1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30" w:firstLineChars="300"/>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其他资金</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315" w:hRule="atLeast"/>
        </w:trPr>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年度总体目标</w:t>
            </w: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预期目标</w:t>
            </w:r>
          </w:p>
        </w:tc>
        <w:tc>
          <w:tcPr>
            <w:tcW w:w="4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实际完成情况　</w:t>
            </w:r>
          </w:p>
        </w:tc>
      </w:tr>
      <w:tr>
        <w:tblPrEx>
          <w:tblCellMar>
            <w:top w:w="0" w:type="dxa"/>
            <w:left w:w="108" w:type="dxa"/>
            <w:bottom w:w="0" w:type="dxa"/>
            <w:right w:w="108" w:type="dxa"/>
          </w:tblCellMar>
        </w:tblPrEx>
        <w:trPr>
          <w:trHeight w:val="296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2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1、引进高尔夫运动员6名，引进网球教练员2名。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2、推进网球进校园工作，提高青少年参与网球运动的积极性。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3、提升医疗后勤保障水平。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4、足球场二期共建5片足球场。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5、积极组织开展青训与梯队建设项目，并提供后勤保障服务。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6、顺利完成2021年板式网球赛。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7、完成体能训练健身房维修改造项目。</w:t>
            </w:r>
          </w:p>
        </w:tc>
        <w:tc>
          <w:tcPr>
            <w:tcW w:w="47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1、引进高尔夫运动员6名，引进网球教练员2名。</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2、推进网球进校园工作，提高青少年参与网球运动的积极性。</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3、提升医疗后勤保障水平。</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4、足球场二期共建5片足球场。</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5、积极组织开展青训与梯队建设项目，并提供后勤保障服务。</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6、顺利完成2021年板式网球赛。</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7、完成体能训练健身房维修改造项目。</w:t>
            </w:r>
          </w:p>
        </w:tc>
      </w:tr>
      <w:tr>
        <w:tblPrEx>
          <w:tblCellMar>
            <w:top w:w="0" w:type="dxa"/>
            <w:left w:w="108" w:type="dxa"/>
            <w:bottom w:w="0" w:type="dxa"/>
            <w:right w:w="108" w:type="dxa"/>
          </w:tblCellMar>
        </w:tblPrEx>
        <w:trPr>
          <w:trHeight w:val="315" w:hRule="atLeast"/>
        </w:trPr>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绩效指标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一级指标</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二级指标</w:t>
            </w:r>
          </w:p>
        </w:tc>
        <w:tc>
          <w:tcPr>
            <w:tcW w:w="2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三级指标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年度指标值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实际完成值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得分</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偏差原因分析及改进措施</w:t>
            </w:r>
          </w:p>
        </w:tc>
      </w:tr>
      <w:tr>
        <w:tblPrEx>
          <w:tblCellMar>
            <w:top w:w="0" w:type="dxa"/>
            <w:left w:w="108" w:type="dxa"/>
            <w:bottom w:w="0" w:type="dxa"/>
            <w:right w:w="108" w:type="dxa"/>
          </w:tblCellMar>
        </w:tblPrEx>
        <w:trPr>
          <w:trHeight w:val="312"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312"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产出指标(50分)</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数量指标（20分）</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引进高尔夫运动员数量</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引进网球教练员数量</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足球场地新建片数</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5片</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5片</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完成球场照明灯数量</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21套</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21套</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完成足球场硬网数量</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1890平</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1890平</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完成足球场软网数量</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8600平</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8600平</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完成人行道铺装面积</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740平方</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740平方</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完成沥青路面面积</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700平方</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700平方</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体能训练健身房器材购置种类</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23种</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23种</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完成体能训练房装修工程</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网球运动员外出训练人数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2021年板式网球运动员参与人数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质量指标（20分）</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器材验收合格率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政府采购执行率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≥80%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公共体育场地设施开放率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67%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大型基建工程验收符合国家标准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赛事任务完成率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赛事程序完整性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制度建设健全性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74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时效指标（6分）</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场馆保障任务完成率</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项目完成时间达标率</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足球场配套功能设施建设项目因下达时间晚，暂未执行</w:t>
            </w:r>
          </w:p>
        </w:tc>
      </w:tr>
      <w:tr>
        <w:tblPrEx>
          <w:tblCellMar>
            <w:top w:w="0" w:type="dxa"/>
            <w:left w:w="108" w:type="dxa"/>
            <w:bottom w:w="0" w:type="dxa"/>
            <w:right w:w="108" w:type="dxa"/>
          </w:tblCellMar>
        </w:tblPrEx>
        <w:trPr>
          <w:trHeight w:val="74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58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成本指标（4分）</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成本控制率</w:t>
            </w:r>
          </w:p>
        </w:tc>
        <w:tc>
          <w:tcPr>
            <w:tcW w:w="870" w:type="dxa"/>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不超投资总额完成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不超投资总额完成</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64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效益指标（30分）</w:t>
            </w:r>
          </w:p>
        </w:tc>
        <w:tc>
          <w:tcPr>
            <w:tcW w:w="103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社会效益指标（15份）</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推动全民健身运动，推动当地体育事业发展</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丰富人民群众文化体育生活</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群众参与锻炼积极性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对竞技水平提高的促进程度</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地方公共体育设施改善程度</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84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生态效益指标（5分）</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改善生态环境</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12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可持续影响指标（10分）</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对竞技体育、群众体育可持续发展影响程度</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满意度指标（10分）</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服务对象满意度指标</w:t>
            </w: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群众满意度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运动员满意度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9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2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单位工作人员满意度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00" w:hRule="atLeast"/>
        </w:trPr>
        <w:tc>
          <w:tcPr>
            <w:tcW w:w="72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总分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95.3</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280"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填表人：        填报日期：          联系电话：            单位负责人签字：</w:t>
            </w:r>
          </w:p>
        </w:tc>
      </w:tr>
    </w:tbl>
    <w:p>
      <w:pPr>
        <w:ind w:firstLine="640" w:firstLineChars="200"/>
        <w:jc w:val="left"/>
        <w:rPr>
          <w:rFonts w:cs="黑体" w:asciiTheme="minorEastAsia" w:hAnsiTheme="minorEastAsia"/>
          <w:color w:val="000000"/>
          <w:kern w:val="0"/>
          <w:sz w:val="32"/>
          <w:szCs w:val="32"/>
        </w:rPr>
      </w:pPr>
    </w:p>
    <w:p/>
    <w:p/>
    <w:p/>
    <w:p/>
    <w:p/>
    <w:p/>
    <w:p/>
    <w:p/>
    <w:p/>
    <w:p/>
    <w:p/>
    <w:p/>
    <w:p/>
    <w:p/>
    <w:p/>
    <w:p/>
    <w:p/>
    <w:p/>
    <w:p/>
    <w:p/>
    <w:p/>
    <w:p/>
    <w:p/>
    <w:p/>
    <w:p/>
    <w:p/>
    <w:p/>
    <w:p/>
    <w:p>
      <w:pPr>
        <w:tabs>
          <w:tab w:val="left" w:pos="3563"/>
        </w:tabs>
        <w:jc w:val="left"/>
      </w:pPr>
      <w:r>
        <w:rPr>
          <w:rFonts w:hint="eastAsia"/>
        </w:rPr>
        <w:tab/>
      </w: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p>
      <w:pPr>
        <w:tabs>
          <w:tab w:val="left" w:pos="3563"/>
        </w:tabs>
        <w:jc w:val="left"/>
      </w:pPr>
    </w:p>
    <w:tbl>
      <w:tblPr>
        <w:tblStyle w:val="7"/>
        <w:tblW w:w="10760" w:type="dxa"/>
        <w:tblInd w:w="98" w:type="dxa"/>
        <w:tblLayout w:type="autofit"/>
        <w:tblCellMar>
          <w:top w:w="0" w:type="dxa"/>
          <w:left w:w="108" w:type="dxa"/>
          <w:bottom w:w="0" w:type="dxa"/>
          <w:right w:w="108" w:type="dxa"/>
        </w:tblCellMar>
      </w:tblPr>
      <w:tblGrid>
        <w:gridCol w:w="1080"/>
        <w:gridCol w:w="680"/>
        <w:gridCol w:w="1095"/>
        <w:gridCol w:w="2310"/>
        <w:gridCol w:w="1200"/>
        <w:gridCol w:w="1230"/>
        <w:gridCol w:w="870"/>
        <w:gridCol w:w="840"/>
        <w:gridCol w:w="1455"/>
      </w:tblGrid>
      <w:tr>
        <w:tblPrEx>
          <w:tblCellMar>
            <w:top w:w="0" w:type="dxa"/>
            <w:left w:w="108" w:type="dxa"/>
            <w:bottom w:w="0" w:type="dxa"/>
            <w:right w:w="108" w:type="dxa"/>
          </w:tblCellMar>
        </w:tblPrEx>
        <w:trPr>
          <w:trHeight w:val="550" w:hRule="atLeast"/>
        </w:trPr>
        <w:tc>
          <w:tcPr>
            <w:tcW w:w="10760" w:type="dxa"/>
            <w:gridSpan w:val="9"/>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sz w:val="44"/>
                <w:szCs w:val="44"/>
              </w:rPr>
            </w:pPr>
            <w:r>
              <w:rPr>
                <w:rFonts w:hint="eastAsia" w:ascii="宋体" w:hAnsi="宋体" w:eastAsia="宋体" w:cs="宋体"/>
                <w:color w:val="000000"/>
                <w:kern w:val="0"/>
                <w:sz w:val="44"/>
                <w:szCs w:val="44"/>
                <w:lang w:bidi="ar"/>
              </w:rPr>
              <w:t>2021年度项目支出绩效自评表</w:t>
            </w:r>
          </w:p>
        </w:tc>
      </w:tr>
      <w:tr>
        <w:tblPrEx>
          <w:tblCellMar>
            <w:top w:w="0" w:type="dxa"/>
            <w:left w:w="108" w:type="dxa"/>
            <w:bottom w:w="0" w:type="dxa"/>
            <w:right w:w="108" w:type="dxa"/>
          </w:tblCellMar>
        </w:tblPrEx>
        <w:trPr>
          <w:trHeight w:val="36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项目支出名称</w:t>
            </w:r>
          </w:p>
        </w:tc>
        <w:tc>
          <w:tcPr>
            <w:tcW w:w="9680"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2021年运行维护专项</w:t>
            </w:r>
          </w:p>
        </w:tc>
      </w:tr>
      <w:tr>
        <w:tblPrEx>
          <w:tblCellMar>
            <w:top w:w="0" w:type="dxa"/>
            <w:left w:w="108" w:type="dxa"/>
            <w:bottom w:w="0" w:type="dxa"/>
            <w:right w:w="108" w:type="dxa"/>
          </w:tblCellMar>
        </w:tblPrEx>
        <w:trPr>
          <w:trHeight w:val="3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9680"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3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主管部门</w:t>
            </w:r>
          </w:p>
        </w:tc>
        <w:tc>
          <w:tcPr>
            <w:tcW w:w="52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湖南省体育局</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实施单位</w:t>
            </w:r>
          </w:p>
        </w:tc>
        <w:tc>
          <w:tcPr>
            <w:tcW w:w="31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湖南省网球足球运动管理中心</w:t>
            </w:r>
          </w:p>
        </w:tc>
      </w:tr>
      <w:tr>
        <w:tblPrEx>
          <w:tblCellMar>
            <w:top w:w="0" w:type="dxa"/>
            <w:left w:w="108" w:type="dxa"/>
            <w:bottom w:w="0" w:type="dxa"/>
            <w:right w:w="108" w:type="dxa"/>
          </w:tblCellMar>
        </w:tblPrEx>
        <w:trPr>
          <w:trHeight w:val="36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项目资金（万元）</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年初预算数</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全年预算数</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全年执行数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分值</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执行率</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得分</w:t>
            </w:r>
          </w:p>
        </w:tc>
      </w:tr>
      <w:tr>
        <w:tblPrEx>
          <w:tblCellMar>
            <w:top w:w="0" w:type="dxa"/>
            <w:left w:w="108" w:type="dxa"/>
            <w:bottom w:w="0" w:type="dxa"/>
            <w:right w:w="108" w:type="dxa"/>
          </w:tblCellMar>
        </w:tblPrEx>
        <w:trPr>
          <w:trHeight w:val="3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年度资金总额　</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r>
      <w:tr>
        <w:tblPrEx>
          <w:tblCellMar>
            <w:top w:w="0" w:type="dxa"/>
            <w:left w:w="108" w:type="dxa"/>
            <w:bottom w:w="0" w:type="dxa"/>
            <w:right w:w="108" w:type="dxa"/>
          </w:tblCellMar>
        </w:tblPrEx>
        <w:trPr>
          <w:trHeight w:val="3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其中：当年财政拨款　</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73</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3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30" w:firstLineChars="300"/>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上年结转资金　</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3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30" w:firstLineChars="300"/>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其他资金</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36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年度总体目标</w:t>
            </w:r>
          </w:p>
        </w:tc>
        <w:tc>
          <w:tcPr>
            <w:tcW w:w="52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预期目标</w:t>
            </w:r>
          </w:p>
        </w:tc>
        <w:tc>
          <w:tcPr>
            <w:tcW w:w="43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实际完成情况　</w:t>
            </w:r>
          </w:p>
        </w:tc>
      </w:tr>
      <w:tr>
        <w:tblPrEx>
          <w:tblCellMar>
            <w:top w:w="0" w:type="dxa"/>
            <w:left w:w="108" w:type="dxa"/>
            <w:bottom w:w="0" w:type="dxa"/>
            <w:right w:w="108" w:type="dxa"/>
          </w:tblCellMar>
        </w:tblPrEx>
        <w:trPr>
          <w:trHeight w:val="13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52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满足职工办公需求，保障中心环境卫生、绿化养护及财产安全、治安管理等物业维护，为中心运动员提供良好的训练场地及良好的安全保障，使中心办公环境更加优美、卫生、安全，激发职工的办公积极性，提高工作效率。</w:t>
            </w:r>
          </w:p>
        </w:tc>
        <w:tc>
          <w:tcPr>
            <w:tcW w:w="43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满足职工办公需求，保障中心环境卫生、绿化养护及财产安全、治安管理等物业维护，为中心运动员提供良好的训练场地及良好的安全保障，使中心办公环境更加优美、卫生、安全，激发职工的办公积极性，提高工作效率。</w:t>
            </w:r>
          </w:p>
        </w:tc>
      </w:tr>
      <w:tr>
        <w:tblPrEx>
          <w:tblCellMar>
            <w:top w:w="0" w:type="dxa"/>
            <w:left w:w="108" w:type="dxa"/>
            <w:bottom w:w="0" w:type="dxa"/>
            <w:right w:w="108" w:type="dxa"/>
          </w:tblCellMar>
        </w:tblPrEx>
        <w:trPr>
          <w:trHeight w:val="46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绩效指标</w:t>
            </w: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一级指标</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二级指标</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三级指标</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年度指标值</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实际完成值</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分值</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得分</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偏差原因分析及改进措施</w:t>
            </w: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产出指标(50分)</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数量指标（20分）</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采购办公电子产品数量</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4台</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4台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签订物业公司数量</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1家</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1家</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质量指标（15分）</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环境卫生、绿化、治安达标率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办公电子产品验收合格率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办公条件是否改善及提高</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是</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时效指标（10分）</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日常保洁、维修及时性</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按合同进度执行</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5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成本指标（5分）</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成本控制率</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不超过预算</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不超过预算</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8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效益指标（30分）</w:t>
            </w:r>
          </w:p>
        </w:tc>
        <w:tc>
          <w:tcPr>
            <w:tcW w:w="1095"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社会效益指标</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（20分）</w:t>
            </w:r>
          </w:p>
        </w:tc>
        <w:tc>
          <w:tcPr>
            <w:tcW w:w="23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改善办公环境，满足员工需求</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r>
      <w:tr>
        <w:tblPrEx>
          <w:tblCellMar>
            <w:top w:w="0" w:type="dxa"/>
            <w:left w:w="108" w:type="dxa"/>
            <w:bottom w:w="0" w:type="dxa"/>
            <w:right w:w="108" w:type="dxa"/>
          </w:tblCellMar>
        </w:tblPrEx>
        <w:trPr>
          <w:trHeight w:val="6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为员工、运动员、群众休闲、健身等提供了好的场所</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8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可持续影响指标（10分）</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提高员工办公效率，改善运动员锻炼环境，促进体育事业发展</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满意度指标（10分）</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服务对象满意度指标（10分）</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群众满意度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运动员满意度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3.5</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Cs w:val="21"/>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单位工作人员满意度</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96%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3</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460" w:hRule="atLeast"/>
        </w:trPr>
        <w:tc>
          <w:tcPr>
            <w:tcW w:w="75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总分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100</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Cs w:val="21"/>
              </w:rPr>
            </w:pPr>
          </w:p>
        </w:tc>
      </w:tr>
      <w:tr>
        <w:tblPrEx>
          <w:tblCellMar>
            <w:top w:w="0" w:type="dxa"/>
            <w:left w:w="108" w:type="dxa"/>
            <w:bottom w:w="0" w:type="dxa"/>
            <w:right w:w="108" w:type="dxa"/>
          </w:tblCellMar>
        </w:tblPrEx>
        <w:trPr>
          <w:trHeight w:val="280" w:hRule="atLeast"/>
        </w:trPr>
        <w:tc>
          <w:tcPr>
            <w:tcW w:w="0" w:type="auto"/>
            <w:gridSpan w:val="9"/>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Cs w:val="21"/>
              </w:rPr>
            </w:pPr>
            <w:r>
              <w:rPr>
                <w:rFonts w:hint="eastAsia" w:ascii="宋体" w:hAnsi="宋体" w:eastAsia="宋体" w:cs="宋体"/>
                <w:color w:val="000000"/>
                <w:kern w:val="0"/>
                <w:szCs w:val="21"/>
                <w:lang w:bidi="ar"/>
              </w:rPr>
              <w:t>填表人：        填报日期：          联系电话：            单位负责人签字：</w:t>
            </w:r>
          </w:p>
        </w:tc>
      </w:tr>
    </w:tbl>
    <w:p>
      <w:pPr>
        <w:tabs>
          <w:tab w:val="left" w:pos="3563"/>
        </w:tabs>
        <w:jc w:val="left"/>
      </w:pPr>
    </w:p>
    <w:sectPr>
      <w:headerReference r:id="rId3" w:type="default"/>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161CD"/>
    <w:multiLevelType w:val="singleLevel"/>
    <w:tmpl w:val="1C2161CD"/>
    <w:lvl w:ilvl="0" w:tentative="0">
      <w:start w:val="3"/>
      <w:numFmt w:val="chineseCounting"/>
      <w:suff w:val="nothing"/>
      <w:lvlText w:val="%1、"/>
      <w:lvlJc w:val="left"/>
      <w:rPr>
        <w:rFonts w:hint="eastAsia"/>
      </w:rPr>
    </w:lvl>
  </w:abstractNum>
  <w:abstractNum w:abstractNumId="1">
    <w:nsid w:val="2EF7C104"/>
    <w:multiLevelType w:val="singleLevel"/>
    <w:tmpl w:val="2EF7C104"/>
    <w:lvl w:ilvl="0" w:tentative="0">
      <w:start w:val="3"/>
      <w:numFmt w:val="chineseCounting"/>
      <w:suff w:val="nothing"/>
      <w:lvlText w:val="（%1）"/>
      <w:lvlJc w:val="left"/>
      <w:pPr>
        <w:ind w:left="-18"/>
      </w:pPr>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7E04F5A"/>
    <w:multiLevelType w:val="singleLevel"/>
    <w:tmpl w:val="77E04F5A"/>
    <w:lvl w:ilvl="0" w:tentative="0">
      <w:start w:val="8"/>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NTdhMjE2YzAzZjJlNTI2ZWE1ZmEzZjA2YWI2Zjk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50C34"/>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6654C"/>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8523E"/>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C4560"/>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3D86363"/>
    <w:rsid w:val="05FB0D84"/>
    <w:rsid w:val="06170CAA"/>
    <w:rsid w:val="07453CAF"/>
    <w:rsid w:val="07A84382"/>
    <w:rsid w:val="08A454C4"/>
    <w:rsid w:val="0B9923F1"/>
    <w:rsid w:val="0ED03164"/>
    <w:rsid w:val="121C4E44"/>
    <w:rsid w:val="184B0528"/>
    <w:rsid w:val="186F59E6"/>
    <w:rsid w:val="1AF17CCF"/>
    <w:rsid w:val="1B8A4019"/>
    <w:rsid w:val="1CD24CBC"/>
    <w:rsid w:val="1EBB6E8E"/>
    <w:rsid w:val="200E01D7"/>
    <w:rsid w:val="222E2DCF"/>
    <w:rsid w:val="250E7A44"/>
    <w:rsid w:val="27863117"/>
    <w:rsid w:val="28D153D3"/>
    <w:rsid w:val="2ACE0D23"/>
    <w:rsid w:val="2DC01BA9"/>
    <w:rsid w:val="2FE908DA"/>
    <w:rsid w:val="338D21F9"/>
    <w:rsid w:val="39237EBB"/>
    <w:rsid w:val="3E8C28B5"/>
    <w:rsid w:val="40FB556C"/>
    <w:rsid w:val="42017700"/>
    <w:rsid w:val="42E760E8"/>
    <w:rsid w:val="432A5874"/>
    <w:rsid w:val="44BD0B06"/>
    <w:rsid w:val="45CB7590"/>
    <w:rsid w:val="4BA34C82"/>
    <w:rsid w:val="4D6E2010"/>
    <w:rsid w:val="4E961DDB"/>
    <w:rsid w:val="506B1AC8"/>
    <w:rsid w:val="50B63B0A"/>
    <w:rsid w:val="51C9424B"/>
    <w:rsid w:val="575B0BCB"/>
    <w:rsid w:val="5B721E85"/>
    <w:rsid w:val="5EE874ED"/>
    <w:rsid w:val="64F3397B"/>
    <w:rsid w:val="694707FB"/>
    <w:rsid w:val="6B603298"/>
    <w:rsid w:val="6F2446E9"/>
    <w:rsid w:val="70A23216"/>
    <w:rsid w:val="74790689"/>
    <w:rsid w:val="7B2152DD"/>
    <w:rsid w:val="7F722D26"/>
    <w:rsid w:val="7F8F48EB"/>
    <w:rsid w:val="A3D7B315"/>
    <w:rsid w:val="FB77A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szCs w:val="24"/>
    </w:r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rFonts w:cs="Times New Roman"/>
      <w:kern w:val="0"/>
      <w:sz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54</Pages>
  <Words>4689</Words>
  <Characters>26730</Characters>
  <Lines>222</Lines>
  <Paragraphs>62</Paragraphs>
  <TotalTime>10</TotalTime>
  <ScaleCrop>false</ScaleCrop>
  <LinksUpToDate>false</LinksUpToDate>
  <CharactersWithSpaces>31357</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2023-09-23T06:58:00Z</dcterms:created>
  <dc:creator>李航 null</dc:creator>
  <cp:lastModifiedBy>Melody-廖霞</cp:lastModifiedBy>
  <cp:lastPrinted>2022-08-30T10:39:00Z</cp:lastPrinted>
  <dcterms:modified xsi:type="dcterms:W3CDTF">2023-10-08T00:58:30Z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BEBAF09728C940FF8BE4C2B76F0D6BA5</vt:lpwstr>
  </property>
</Properties>
</file>