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方正小标宋_GBK" w:eastAsia="方正小标宋_GBK" w:cs="方正小标宋_GBK"/>
          <w:b w:val="0"/>
          <w:bCs/>
          <w:kern w:val="0"/>
          <w:sz w:val="44"/>
          <w:szCs w:val="44"/>
        </w:rPr>
        <w:t>2022年湖南贺龙体育馆预算</w:t>
      </w:r>
    </w:p>
    <w:p>
      <w:pPr>
        <w:jc w:val="center"/>
        <w:rPr>
          <w:rFonts w:eastAsia="楷体_GB2312"/>
          <w:b w:val="0"/>
          <w:bCs/>
          <w:kern w:val="0"/>
          <w:sz w:val="32"/>
          <w:szCs w:val="32"/>
        </w:rPr>
      </w:pPr>
    </w:p>
    <w:p>
      <w:pPr>
        <w:jc w:val="center"/>
        <w:rPr>
          <w:rFonts w:eastAsia="黑体fal"/>
          <w:b w:val="0"/>
          <w:bCs/>
          <w:kern w:val="0"/>
          <w:sz w:val="32"/>
          <w:szCs w:val="32"/>
        </w:rPr>
      </w:pPr>
      <w:r>
        <w:rPr>
          <w:rFonts w:hint="eastAsia" w:eastAsia="黑体fal"/>
          <w:b w:val="0"/>
          <w:bCs/>
          <w:kern w:val="0"/>
          <w:sz w:val="32"/>
          <w:szCs w:val="32"/>
        </w:rPr>
        <w:t>目</w:t>
      </w:r>
      <w:r>
        <w:rPr>
          <w:rFonts w:eastAsia="黑体fal"/>
          <w:b w:val="0"/>
          <w:bCs/>
          <w:kern w:val="0"/>
          <w:sz w:val="32"/>
          <w:szCs w:val="32"/>
        </w:rPr>
        <w:t xml:space="preserve"> </w:t>
      </w:r>
      <w:r>
        <w:rPr>
          <w:rFonts w:hint="eastAsia" w:eastAsia="黑体fal"/>
          <w:b w:val="0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黑体fal"/>
          <w:b w:val="0"/>
          <w:bCs/>
          <w:kern w:val="0"/>
          <w:sz w:val="32"/>
          <w:szCs w:val="32"/>
        </w:rPr>
        <w:t>录</w:t>
      </w:r>
    </w:p>
    <w:p>
      <w:pPr>
        <w:jc w:val="left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 w:val="0"/>
          <w:kern w:val="0"/>
          <w:sz w:val="32"/>
          <w:szCs w:val="32"/>
        </w:rPr>
        <w:t>第一部分 2022年贺龙体育馆预算说明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 w:val="0"/>
          <w:kern w:val="0"/>
          <w:sz w:val="32"/>
          <w:szCs w:val="32"/>
        </w:rPr>
        <w:t>第二部分 2022年贺龙体育馆预算表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20、省级专项资金预算汇总表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21、省级专项资金绩效目标表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22、其他项目支出绩效目标表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23、部门整体支出绩效目标表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注：以上单位预算报表中，空表表示本单位无相关收支情况。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both"/>
        <w:textAlignment w:val="auto"/>
        <w:rPr>
          <w:rFonts w:eastAsia="方正小标宋_GBK"/>
          <w:b w:val="0"/>
          <w:bCs/>
          <w:kern w:val="0"/>
          <w:sz w:val="36"/>
          <w:szCs w:val="36"/>
        </w:rPr>
      </w:pPr>
      <w:r>
        <w:rPr>
          <w:rFonts w:hint="eastAsia" w:ascii="方正小标宋简体" w:eastAsia="方正小标宋简体" w:cs="方正小标宋简体"/>
          <w:b w:val="0"/>
          <w:bCs/>
          <w:kern w:val="0"/>
          <w:sz w:val="44"/>
          <w:szCs w:val="44"/>
        </w:rPr>
        <w:t>第一部分 2022年湖南贺龙体育馆预算说明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eastAsia="仿宋_GB2312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ascii="黑体" w:eastAsia="黑体"/>
          <w:b w:val="0"/>
          <w:bCs/>
          <w:kern w:val="0"/>
          <w:sz w:val="32"/>
          <w:szCs w:val="32"/>
        </w:rPr>
      </w:pPr>
      <w:r>
        <w:rPr>
          <w:rFonts w:hint="eastAsia" w:ascii="黑体" w:eastAsia="黑体"/>
          <w:b w:val="0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ascii="仿宋" w:eastAsia="仿宋" w:cs="仿宋"/>
          <w:b/>
          <w:bCs w:val="0"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（一）单位职能职责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湖南贺龙体育馆，是省体育局直属差额拨款事业单位，主要承办大型群众体育、竞技体育活动，相关培训，相关社会活动等。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主要职责是：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1、负责场馆事业的发展，研究和制定场馆中、长期发展规划和管理制度；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2、制订和组织场馆体育竞赛规程与活动；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3、负责场馆社会活动的管理、指导与检查；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4、负责所管省内表演和大型公益活动的审核、上报工作；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5、规范所管场馆的活动秩序，协助有关部门查处违法违规活动</w:t>
      </w:r>
      <w:r>
        <w:rPr>
          <w:rFonts w:hint="eastAsia" w:asci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eastAsia="楷体_GB2312"/>
          <w:b/>
          <w:bCs w:val="0"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湖南贺龙体育馆独立编制机构数1个，独立核算机构数1个。我馆设置为六个科室，分别是：办公室、市场开发科、产业经营科、后勤科、场地科、保卫科。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hint="eastAsia" w:ascii="黑体" w:eastAsia="黑体"/>
          <w:b w:val="0"/>
          <w:bCs/>
          <w:kern w:val="0"/>
          <w:sz w:val="32"/>
          <w:szCs w:val="32"/>
        </w:rPr>
      </w:pPr>
      <w:r>
        <w:rPr>
          <w:rFonts w:hint="eastAsia" w:ascii="黑体" w:eastAsia="黑体"/>
          <w:b w:val="0"/>
          <w:bCs/>
          <w:kern w:val="0"/>
          <w:sz w:val="32"/>
          <w:szCs w:val="32"/>
        </w:rPr>
        <w:t>二、单位预算单位构成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outlineLvl w:val="0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ascii="仿宋_GB2312" w:eastAsia="仿宋_GB2312" w:cs="仿宋_GB2312"/>
          <w:b w:val="0"/>
          <w:bCs/>
          <w:sz w:val="32"/>
          <w:szCs w:val="32"/>
        </w:rPr>
        <w:t>本单位预算只有本级，没有其他预算单位，因此本单位预算仅含本级预算。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ascii="黑体" w:eastAsia="黑体"/>
          <w:b w:val="0"/>
          <w:bCs/>
          <w:kern w:val="0"/>
          <w:sz w:val="32"/>
          <w:szCs w:val="32"/>
        </w:rPr>
      </w:pPr>
      <w:r>
        <w:rPr>
          <w:rFonts w:ascii="黑体" w:eastAsia="黑体"/>
          <w:b w:val="0"/>
          <w:bCs/>
          <w:kern w:val="0"/>
          <w:sz w:val="32"/>
          <w:szCs w:val="32"/>
        </w:rPr>
        <w:t>三</w:t>
      </w:r>
      <w:r>
        <w:rPr>
          <w:rFonts w:hint="eastAsia" w:ascii="黑体" w:eastAsia="黑体"/>
          <w:b w:val="0"/>
          <w:bCs/>
          <w:kern w:val="0"/>
          <w:sz w:val="32"/>
          <w:szCs w:val="32"/>
        </w:rPr>
        <w:t>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（一）收入预算：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包括一般公共预算、政府性基金、国有资本经营预算等财政拨款收入，以及经营收入、事业收入等单位资金。2022年本单位收入预算2184.09万元，其中，一般公共预算拨款1948.09万元，政府性基金预算拨款136万元，国有资本经营预算拨款0万元，纳入专户管理的非税收入0万元，上年结余结转100万元。收入较去年增加797.49万元，主要是一般公共预算拨款增加801.49万元，政府性基金拨款增加136万元，上年结余结转减少140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eastAsia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（二）支出预算：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支出预算2184.09万元，其中，文化旅游体育与传媒支出1919.29万元，社会保障和就业支出56.66万元，卫生健康支出23.41万元，住房保障支出48.73万元，其他支出136万元。支出较去年增加797.49万元，主要是文化旅游体育与传媒支出增加653.74万元，社会保障和就业支出减少0.29万元，卫生健康支出减少2.59万元，住房保障支出增加10.63万元，其他支出增加136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ascii="黑体" w:eastAsia="黑体"/>
          <w:b w:val="0"/>
          <w:bCs/>
          <w:kern w:val="0"/>
          <w:sz w:val="32"/>
          <w:szCs w:val="32"/>
        </w:rPr>
      </w:pPr>
      <w:r>
        <w:rPr>
          <w:rFonts w:ascii="黑体" w:eastAsia="黑体"/>
          <w:b w:val="0"/>
          <w:bCs/>
          <w:kern w:val="0"/>
          <w:sz w:val="32"/>
          <w:szCs w:val="32"/>
        </w:rPr>
        <w:t>四</w:t>
      </w:r>
      <w:r>
        <w:rPr>
          <w:rFonts w:hint="eastAsia" w:ascii="黑体" w:eastAsia="黑体"/>
          <w:b w:val="0"/>
          <w:bCs/>
          <w:kern w:val="0"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2022年本单位一般公共预算拨款支出预算</w:t>
      </w:r>
      <w:r>
        <w:rPr>
          <w:rFonts w:hint="eastAsia" w:ascii="仿宋_GB2312" w:eastAsia="仿宋_GB2312" w:cs="仿宋_GB2312"/>
          <w:b w:val="0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48.09万元，其中，文化旅游体育与传媒支出1919.29万元，占93.71%；，社会保障和就业支出56.66万元，占2.77 %；卫生健康支出23.41万元，占1.14%；住房保障支出48.73万元占2.38%；。具体安排情况如下：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eastAsia="黑体fal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（一）基本支出：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基本支出预算数732.20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（二）项目支出：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2022年本单位项目支出预算13</w:t>
      </w:r>
      <w:r>
        <w:rPr>
          <w:rFonts w:hint="eastAsia" w:ascii="仿宋_GB2312" w:eastAsia="仿宋_GB2312" w:cs="仿宋_GB2312"/>
          <w:b w:val="0"/>
          <w:bCs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.89</w:t>
      </w:r>
      <w:bookmarkStart w:id="0" w:name="_GoBack"/>
      <w:bookmarkEnd w:id="0"/>
      <w:r>
        <w:rPr>
          <w:rFonts w:hint="eastAsia" w:ascii="仿宋_GB2312" w:eastAsia="仿宋_GB2312" w:cs="仿宋_GB2312"/>
          <w:b w:val="0"/>
          <w:bCs/>
          <w:sz w:val="32"/>
          <w:szCs w:val="32"/>
        </w:rPr>
        <w:t>万元，主要是部门为完成特定行政工作任务或事业发展目标而发生的支出，包括有关事业发展专项、专项业务费、基本建设支出等，其中：贺龙体育馆2022年支出对外开放支出103.43万元，主要用于租赁费56.44万元、专用材料费15.99万元、委托业务费6万元、其他商品和服务支出25万元等方面；贺龙馆场馆运营维护支出748.37万元，主要用于维修（护）费748.37万元等方面；室外网管改造工程支出100万元，主要用于其他和商品服务支出100万元等方面；体育发展专项-高压配电室迁建，馆外地面广场整修支出364.09万元，主要用于大型修缮364.09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ascii="黑体" w:eastAsia="黑体"/>
          <w:b w:val="0"/>
          <w:bCs/>
          <w:sz w:val="32"/>
          <w:szCs w:val="32"/>
        </w:rPr>
      </w:pPr>
      <w:r>
        <w:rPr>
          <w:rFonts w:ascii="黑体" w:eastAsia="黑体"/>
          <w:b w:val="0"/>
          <w:bCs/>
          <w:sz w:val="32"/>
          <w:szCs w:val="32"/>
        </w:rPr>
        <w:t>五</w:t>
      </w:r>
      <w:r>
        <w:rPr>
          <w:rFonts w:hint="eastAsia" w:ascii="黑体" w:eastAsia="黑体"/>
          <w:b w:val="0"/>
          <w:bCs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政府性基金支出预算136万元，其中，其他支出136万元，占100%，均为用于体育事业的彩票公益金支出；具体安排情况如下：高压配电室迁建，馆外地面广场整修政府性基金支出136万元，主要用于大型修缮136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ascii="黑体" w:eastAsia="黑体"/>
          <w:b w:val="0"/>
          <w:bCs/>
          <w:sz w:val="32"/>
          <w:szCs w:val="32"/>
        </w:rPr>
      </w:pPr>
      <w:r>
        <w:rPr>
          <w:rFonts w:ascii="黑体" w:eastAsia="黑体"/>
          <w:b w:val="0"/>
          <w:bCs/>
          <w:sz w:val="32"/>
          <w:szCs w:val="32"/>
        </w:rPr>
        <w:t>六</w:t>
      </w:r>
      <w:r>
        <w:rPr>
          <w:rFonts w:hint="eastAsia" w:ascii="黑体" w:eastAsia="黑体"/>
          <w:b w:val="0"/>
          <w:bCs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eastAsia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（一）机关运行经费：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2022年本单位机关运行经费0万元，比上年预算减少（增加或持平）0万元，下降（上升）0%。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（二）“三公”经费预算：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单位“三公”经费预算数为3万元，其中，公务接待费3万元，公务用车购置及运行费0万元（其中，公务用车购置费0万元，公务用车运行费0万元），因公出国（境）费0万元。2022年“三公”经费预算较上年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eastAsia="仿宋_GB2312"/>
          <w:b w:val="0"/>
          <w:bCs/>
          <w:kern w:val="0"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（三）一般性支出情况：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2022年本单位无会议、培训活动支出，也无节庆、晚会、论坛、赛事等活动支出。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eastAsia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（四）政府采购情况：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2022年本部门政府采购预算总额500.09万元，其中，货物类采购预算0万元；工程类采购预算500.09万元；服务类采购预算0万元。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（五）国有资产占用使用及新增资产配置情况：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截至2021年12月底，本单位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共有公务用车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辆，其中，机要通信用车0辆，应急保障用车0辆，执法执勤用车0辆，特种专业技术用车0辆，其他按照规定配备的公务用车0辆；单位价值50万元以上通用设备0台，单位价值100万元以上专用设备0台。2022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（六）预算绩效目标说明：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本单位所有支出实行绩效目标管理。纳入2022年单位整体支出绩效目标的金额为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2184.09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万元，其中，基本支出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732.20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万元，项目支出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1451.89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0" w:firstLineChars="200"/>
        <w:jc w:val="both"/>
        <w:textAlignment w:val="auto"/>
        <w:rPr>
          <w:rFonts w:ascii="黑体" w:eastAsia="黑体"/>
          <w:b w:val="0"/>
          <w:bCs/>
          <w:sz w:val="32"/>
          <w:szCs w:val="32"/>
        </w:rPr>
      </w:pPr>
      <w:r>
        <w:rPr>
          <w:rFonts w:ascii="黑体" w:eastAsia="黑体"/>
          <w:b w:val="0"/>
          <w:bCs/>
          <w:sz w:val="32"/>
          <w:szCs w:val="32"/>
        </w:rPr>
        <w:t>七</w:t>
      </w:r>
      <w:r>
        <w:rPr>
          <w:rFonts w:hint="eastAsia" w:ascii="黑体" w:eastAsia="黑体"/>
          <w:b w:val="0"/>
          <w:bCs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1、机关运行经费：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643" w:firstLineChars="200"/>
        <w:jc w:val="both"/>
        <w:textAlignment w:val="auto"/>
        <w:rPr>
          <w:rFonts w:hint="eastAsia" w:ascii="仿宋_GB2312" w:eastAsia="仿宋_GB2312" w:cs="仿宋_GB2312"/>
          <w:b w:val="0"/>
          <w:bCs/>
          <w:sz w:val="32"/>
          <w:szCs w:val="32"/>
        </w:rPr>
      </w:pPr>
      <w:r>
        <w:rPr>
          <w:rFonts w:hint="eastAsia" w:eastAsia="楷体_GB2312"/>
          <w:b/>
          <w:bCs w:val="0"/>
          <w:sz w:val="32"/>
          <w:szCs w:val="32"/>
        </w:rPr>
        <w:t>2、“三公”经费：</w:t>
      </w:r>
      <w:r>
        <w:rPr>
          <w:rFonts w:hint="eastAsia" w:ascii="仿宋_GB2312" w:eastAsia="仿宋_GB2312" w:cs="仿宋_GB2312"/>
          <w:b w:val="0"/>
          <w:bCs/>
          <w:sz w:val="32"/>
          <w:szCs w:val="32"/>
        </w:rPr>
        <w:t>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eastAsia="方正小标宋简体" w:cs="方正小标宋简体"/>
          <w:b w:val="0"/>
          <w:bCs/>
          <w:kern w:val="0"/>
          <w:sz w:val="44"/>
          <w:szCs w:val="44"/>
        </w:rPr>
        <w:t>第二部分 2022年湖南贺龙体育馆预算表</w:t>
      </w:r>
    </w:p>
    <w:p>
      <w:pPr>
        <w:spacing w:line="600" w:lineRule="exact"/>
        <w:jc w:val="left"/>
        <w:rPr>
          <w:rFonts w:eastAsia="黑体fal"/>
          <w:b w:val="0"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41" w:right="1588" w:bottom="1474" w:left="1588" w:header="851" w:footer="1134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94080" cy="2432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4334" cy="243052"/>
                      </a:xfrm>
                      <a:prstGeom prst="rect">
                        <a:avLst/>
                      </a:prstGeom>
                      <a:noFill/>
                      <a:ln w="12700" cap="flat" cmpd="sng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210" w:leftChars="100" w:right="210" w:rightChars="100" w:firstLine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fal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9.15pt;width:70.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2k4zvTAAAABAEAAA8AAAAAAAAAAQAgAAAAIgAAAGRycy9kb3du&#10;cmV2LnhtbFBLAQIUABQAAAAIAIdO4kBY2ipJBAIAAPUDAAAOAAAAAAAAAAEAIAAAACIBAABkcnMv&#10;ZTJvRG9jLnhtbFBLBQYAAAAABgAGAFkBAACYBQAAAAA=&#10;">
              <v:fill on="f" focussize="0,0"/>
              <v:stroke on="f" weight="1pt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line="240" w:lineRule="auto"/>
                      <w:ind w:left="210" w:leftChars="100" w:right="210" w:rightChars="100" w:firstLine="0"/>
                      <w:jc w:val="both"/>
                      <w:textAlignment w:val="auto"/>
                      <w:outlineLvl w:val="9"/>
                      <w:rPr>
                        <w:rFonts w:hint="eastAsia" w:eastAsia="宋体fal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docVars>
    <w:docVar w:name="commondata" w:val="eyJoZGlkIjoiNWU3NTVkYzc4YzU2YTNhMjBmNWUyYmRkMmVkYWE5YjcifQ=="/>
  </w:docVars>
  <w:rsids>
    <w:rsidRoot w:val="00000000"/>
    <w:rsid w:val="34376CF4"/>
    <w:rsid w:val="73C418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2747</Words>
  <Characters>3034</Characters>
  <Lines>158</Lines>
  <Paragraphs>62</Paragraphs>
  <TotalTime>14</TotalTime>
  <ScaleCrop>false</ScaleCrop>
  <LinksUpToDate>false</LinksUpToDate>
  <CharactersWithSpaces>3041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2022-02-21T16:00:00Z</dcterms:created>
  <dc:creator>陈军</dc:creator>
  <cp:lastModifiedBy>小七</cp:lastModifiedBy>
  <cp:lastPrinted>2022-02-22T03:51:00Z</cp:lastPrinted>
  <dcterms:modified xsi:type="dcterms:W3CDTF">2023-09-26T10:32:16Z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8CD0A5F002BA42A6AEE543871175715F_13</vt:lpwstr>
  </property>
</Properties>
</file>