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880" w:firstLineChars="200"/>
        <w:jc w:val="center"/>
        <w:textAlignment w:val="auto"/>
        <w:outlineLvl w:val="9"/>
        <w:rPr>
          <w:rFonts w:hint="eastAsia" w:ascii="方正小标宋简体" w:hAnsi="方正小标宋简体" w:eastAsia="方正小标宋简体" w:cs="方正小标宋简体"/>
          <w:b w:val="0"/>
          <w:bCs w:val="0"/>
          <w:kern w:val="0"/>
          <w:sz w:val="44"/>
          <w:szCs w:val="44"/>
        </w:rPr>
      </w:pPr>
      <w:r>
        <w:rPr>
          <w:rFonts w:hint="eastAsia" w:ascii="方正小标宋简体" w:hAnsi="方正小标宋简体" w:eastAsia="方正小标宋简体" w:cs="方正小标宋简体"/>
          <w:b w:val="0"/>
          <w:bCs w:val="0"/>
          <w:kern w:val="0"/>
          <w:sz w:val="44"/>
          <w:szCs w:val="44"/>
        </w:rPr>
        <w:t>2022年湖南省体操运动管理中心预算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黑体" w:hAnsi="黑体" w:eastAsia="黑体" w:cs="黑体"/>
          <w:bCs/>
          <w:kern w:val="0"/>
          <w:sz w:val="32"/>
          <w:szCs w:val="32"/>
        </w:rPr>
      </w:pPr>
      <w:r>
        <w:rPr>
          <w:rFonts w:hint="eastAsia" w:ascii="黑体" w:hAnsi="黑体" w:eastAsia="黑体" w:cs="黑体"/>
          <w:bCs/>
          <w:kern w:val="0"/>
          <w:sz w:val="32"/>
          <w:szCs w:val="32"/>
        </w:rPr>
        <w:t>目</w:t>
      </w:r>
      <w:r>
        <w:rPr>
          <w:rFonts w:hint="eastAsia" w:ascii="黑体" w:hAnsi="黑体" w:eastAsia="黑体" w:cs="黑体"/>
          <w:bCs/>
          <w:kern w:val="0"/>
          <w:sz w:val="32"/>
          <w:szCs w:val="32"/>
          <w:lang w:val="en-US" w:eastAsia="zh-CN"/>
        </w:rPr>
        <w:t xml:space="preserve"> </w:t>
      </w:r>
      <w:r>
        <w:rPr>
          <w:rFonts w:hint="eastAsia" w:ascii="黑体" w:hAnsi="黑体" w:eastAsia="黑体" w:cs="黑体"/>
          <w:bCs/>
          <w:kern w:val="0"/>
          <w:sz w:val="32"/>
          <w:szCs w:val="32"/>
        </w:rPr>
        <w:t xml:space="preserve"> 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bCs/>
          <w:kern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
          <w:bCs/>
          <w:kern w:val="0"/>
          <w:sz w:val="32"/>
          <w:szCs w:val="32"/>
        </w:rPr>
        <w:t>第一部分 2022年</w:t>
      </w:r>
      <w:r>
        <w:rPr>
          <w:rFonts w:hint="eastAsia" w:ascii="仿宋_GB2312" w:hAnsi="仿宋_GB2312" w:eastAsia="仿宋_GB2312" w:cs="仿宋_GB2312"/>
          <w:b/>
          <w:bCs/>
          <w:kern w:val="0"/>
          <w:sz w:val="32"/>
          <w:szCs w:val="32"/>
          <w:lang w:eastAsia="zh-CN"/>
        </w:rPr>
        <w:t>单位</w:t>
      </w:r>
      <w:r>
        <w:rPr>
          <w:rFonts w:hint="eastAsia" w:ascii="仿宋_GB2312" w:hAnsi="仿宋_GB2312" w:eastAsia="仿宋_GB2312" w:cs="仿宋_GB2312"/>
          <w:b/>
          <w:bCs/>
          <w:kern w:val="0"/>
          <w:sz w:val="32"/>
          <w:szCs w:val="32"/>
        </w:rPr>
        <w:t>预算说明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第二部分 2022年</w:t>
      </w:r>
      <w:r>
        <w:rPr>
          <w:rFonts w:hint="eastAsia" w:ascii="仿宋_GB2312" w:hAnsi="仿宋_GB2312" w:eastAsia="仿宋_GB2312" w:cs="仿宋_GB2312"/>
          <w:b/>
          <w:bCs/>
          <w:kern w:val="0"/>
          <w:sz w:val="32"/>
          <w:szCs w:val="32"/>
          <w:lang w:eastAsia="zh-CN"/>
        </w:rPr>
        <w:t>单位</w:t>
      </w:r>
      <w:r>
        <w:rPr>
          <w:rFonts w:hint="eastAsia" w:ascii="仿宋_GB2312" w:hAnsi="仿宋_GB2312" w:eastAsia="仿宋_GB2312" w:cs="仿宋_GB2312"/>
          <w:b/>
          <w:bCs/>
          <w:kern w:val="0"/>
          <w:sz w:val="32"/>
          <w:szCs w:val="32"/>
        </w:rPr>
        <w:t>预算表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1、收支总表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2、收入总表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3、支出总表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4、支出预算分类汇总表（按政府预算经济分类）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5、支出预算分类汇总表（按部门预算经济分类）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6、财政拨款收支总表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7、一般公共预算支出表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8、一般公共预算基本支出表-人员经费（工资福利支出）（按政府预算经济分类）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9、一般公共预算基本支出表-人员经费（工资福利支出）（按部门预算经济分类）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10、一般公共预算基本支出表-人员经费（对个人和家庭的补助）（按政府预算经济分类）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11、一般公共预算基本支出表-人员经费（对个人和家庭的补助）（按部门预算经济分类）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12、一般公共预算基本支出表-公用经费（商品和服务支出）（按政府预算经济分类）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13、一般公共预算基本支出表-公用经费（商品和服务支出）（按部门预算经济分类）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14、一般公共预算“三公”经费支出表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15、政府性基金预算支出表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16、政府性基金预算支出分类汇总表（按政府预算经济分类）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17、政府性基金预算支出分类汇总表（按部门预算经济分类）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18、国有资本经营预算支出表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19、财政专户管理资金预算支出表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20、省级专项资金预算汇总表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21、省级专项资金绩效目标表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22、其他项目支出绩效目标表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23、部门整体支出绩效目标表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注：以上部门预算报表中，空表表示本部门无相关收支情况。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b/>
          <w:bCs/>
          <w:kern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b/>
          <w:bCs/>
          <w:kern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b/>
          <w:bCs/>
          <w:kern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b/>
          <w:bCs/>
          <w:kern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b/>
          <w:bCs/>
          <w:kern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方正小标宋_GBK" w:hAnsi="方正小标宋_GBK" w:eastAsia="方正小标宋_GBK" w:cs="方正小标宋_GBK"/>
          <w:b w:val="0"/>
          <w:bCs w:val="0"/>
          <w:kern w:val="0"/>
          <w:sz w:val="44"/>
          <w:szCs w:val="44"/>
        </w:rPr>
      </w:pPr>
      <w:r>
        <w:rPr>
          <w:rFonts w:hint="eastAsia" w:ascii="方正小标宋_GBK" w:hAnsi="方正小标宋_GBK" w:eastAsia="方正小标宋_GBK" w:cs="方正小标宋_GBK"/>
          <w:b w:val="0"/>
          <w:bCs w:val="0"/>
          <w:kern w:val="0"/>
          <w:sz w:val="44"/>
          <w:szCs w:val="44"/>
        </w:rPr>
        <w:t>第一部分：2022年单位预算说明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964" w:firstLineChars="300"/>
        <w:jc w:val="both"/>
        <w:textAlignment w:val="auto"/>
        <w:outlineLvl w:val="9"/>
        <w:rPr>
          <w:rFonts w:hint="eastAsia" w:ascii="仿宋_GB2312" w:hAnsi="仿宋_GB2312" w:eastAsia="仿宋_GB2312" w:cs="仿宋_GB2312"/>
          <w:b/>
          <w:bCs/>
          <w:kern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rPr>
        <w:t>一、单位基本概况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（一）职能职责:</w:t>
      </w:r>
      <w:r>
        <w:rPr>
          <w:rFonts w:hint="eastAsia" w:ascii="仿宋_GB2312" w:hAnsi="仿宋_GB2312" w:eastAsia="仿宋_GB2312" w:cs="仿宋_GB2312"/>
          <w:sz w:val="32"/>
          <w:szCs w:val="32"/>
        </w:rPr>
        <w:t>为组织体操训练竞赛、促进体育运动发展；体操优秀运动队管理、后备人才培养；竞赛组织、表演赛组织；承办项目注册、教练员培训、裁判员培训、场地器材管理、群众体操项目培训、相关体育技术鉴定及咨询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color w:val="333333"/>
          <w:sz w:val="32"/>
          <w:szCs w:val="32"/>
        </w:rPr>
      </w:pPr>
      <w:r>
        <w:rPr>
          <w:rFonts w:hint="eastAsia" w:ascii="楷体_GB2312" w:hAnsi="楷体_GB2312" w:eastAsia="楷体_GB2312" w:cs="楷体_GB2312"/>
          <w:b/>
          <w:sz w:val="32"/>
          <w:szCs w:val="32"/>
        </w:rPr>
        <w:t>（二）机构设置:</w:t>
      </w:r>
      <w:r>
        <w:rPr>
          <w:rFonts w:hint="eastAsia" w:ascii="仿宋_GB2312" w:hAnsi="仿宋_GB2312" w:eastAsia="仿宋_GB2312" w:cs="仿宋_GB2312"/>
          <w:sz w:val="32"/>
          <w:szCs w:val="32"/>
        </w:rPr>
        <w:t>我单位成立于1985年，主管单位为湖南省体育局，是全额财政拨款的事业单位。内设机构10个，分别为：办公室、训练科、行政科、体操学校、体操队、蹦床队、攀岩队、卫生所、工会、膳食科。</w:t>
      </w:r>
      <w:r>
        <w:rPr>
          <w:rFonts w:hint="eastAsia" w:ascii="仿宋_GB2312" w:hAnsi="仿宋_GB2312" w:eastAsia="仿宋_GB2312" w:cs="仿宋_GB2312"/>
          <w:color w:val="333333"/>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（三）人员情况：</w:t>
      </w:r>
      <w:r>
        <w:rPr>
          <w:rFonts w:hint="eastAsia" w:ascii="仿宋_GB2312" w:hAnsi="仿宋_GB2312" w:eastAsia="仿宋_GB2312" w:cs="仿宋_GB2312"/>
          <w:sz w:val="32"/>
          <w:szCs w:val="32"/>
          <w:lang w:val="en-US" w:eastAsia="zh-CN"/>
        </w:rPr>
        <w:t>截止2021年12月底，我单位事业编制数220人，其中：教练员编制41人、运动员编制148人、管理人员编制31人。年末实有人数251人,其中:在职在编人员134人（包括教练员26人、运动员83人、管理人员25人）相较去年减少3人，退休人员48人（已纳入社保），还有未在编试训运动员9人、集训运动员36人、长聘人员23人、遗属1人。</w:t>
      </w:r>
    </w:p>
    <w:p>
      <w:pPr>
        <w:widowControl/>
        <w:ind w:firstLine="643" w:firstLineChars="200"/>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（四）预算单位构成：</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 xml:space="preserve">022年度部门预算公开单位：本单位预算只有本级，没有其他预算单位，因此本单位预算仅含本级预算。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b w:val="0"/>
          <w:bCs w:val="0"/>
          <w:sz w:val="32"/>
          <w:szCs w:val="32"/>
        </w:rPr>
      </w:pPr>
      <w:r>
        <w:rPr>
          <w:rFonts w:hint="eastAsia" w:ascii="黑体" w:hAnsi="黑体" w:eastAsia="黑体" w:cs="黑体"/>
          <w:b w:val="0"/>
          <w:bCs w:val="0"/>
          <w:kern w:val="0"/>
          <w:sz w:val="32"/>
          <w:szCs w:val="32"/>
          <w:lang w:eastAsia="zh-CN"/>
        </w:rPr>
        <w:t>二</w:t>
      </w:r>
      <w:r>
        <w:rPr>
          <w:rFonts w:hint="eastAsia" w:ascii="黑体" w:hAnsi="黑体" w:eastAsia="黑体" w:cs="黑体"/>
          <w:b w:val="0"/>
          <w:bCs w:val="0"/>
          <w:kern w:val="0"/>
          <w:sz w:val="32"/>
          <w:szCs w:val="32"/>
        </w:rPr>
        <w:t>、单位收支总体情况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（一）收入预算：</w:t>
      </w:r>
      <w:r>
        <w:rPr>
          <w:rFonts w:hint="eastAsia" w:ascii="仿宋_GB2312" w:hAnsi="仿宋_GB2312" w:eastAsia="仿宋_GB2312" w:cs="仿宋_GB2312"/>
          <w:sz w:val="32"/>
          <w:szCs w:val="32"/>
        </w:rPr>
        <w:t>包括一般公共预算、政府性基金。2022年本单位收入预算2351.99万元，其中，一般公共预算拨款（经费拨款）收入2074.79万元、政府性基金预算拨款收入277.20万元、国有资本经营预算拨款0万元、纳入专户管理的非税收入0万元、上级财政补助收入0万元、事业收入0万元、事业单位经营收入0万元、上级单位补助收入0万元、附属单位上缴收入0万元、其他收入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收入较去年减少117.01万元，主要原因是一般公共预算拨款收入减少87.21万元，政府性基金收入减少29.80万元。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（二）支出预算：</w:t>
      </w:r>
      <w:r>
        <w:rPr>
          <w:rFonts w:hint="eastAsia" w:ascii="仿宋_GB2312" w:hAnsi="仿宋_GB2312" w:eastAsia="仿宋_GB2312" w:cs="仿宋_GB2312"/>
          <w:sz w:val="32"/>
          <w:szCs w:val="32"/>
        </w:rPr>
        <w:t>2022年本单位支出预算2351.99万元，其中:</w:t>
      </w:r>
      <w:r>
        <w:rPr>
          <w:rFonts w:hint="eastAsia" w:ascii="仿宋_GB2312" w:hAnsi="仿宋_GB2312" w:eastAsia="仿宋_GB2312" w:cs="仿宋_GB2312"/>
          <w:color w:val="333333"/>
          <w:sz w:val="32"/>
          <w:szCs w:val="32"/>
          <w:shd w:val="clear" w:color="auto" w:fill="FFFFFF"/>
        </w:rPr>
        <w:t>文化旅游体育与传媒支</w:t>
      </w:r>
      <w:r>
        <w:rPr>
          <w:rFonts w:hint="eastAsia" w:ascii="仿宋_GB2312" w:hAnsi="仿宋_GB2312" w:eastAsia="仿宋_GB2312" w:cs="仿宋_GB2312"/>
          <w:sz w:val="32"/>
          <w:szCs w:val="32"/>
        </w:rPr>
        <w:t>出1684.79万元</w:t>
      </w:r>
      <w:r>
        <w:rPr>
          <w:rFonts w:hint="eastAsia" w:ascii="仿宋_GB2312" w:hAnsi="仿宋_GB2312" w:eastAsia="仿宋_GB2312" w:cs="仿宋_GB2312"/>
          <w:color w:val="333333"/>
          <w:sz w:val="32"/>
          <w:szCs w:val="32"/>
          <w:shd w:val="clear" w:color="auto" w:fill="FFFFFF"/>
        </w:rPr>
        <w:t>、社会保障与就业支出150.00万元、卫生健康支出90.00万元、住房保障支出150万元、其他支出（用于体育事业的彩票公益金支出）277.20万元</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支出较去年减少117.01万元，主要原因是</w:t>
      </w:r>
      <w:r>
        <w:rPr>
          <w:rFonts w:hint="eastAsia" w:ascii="仿宋_GB2312" w:hAnsi="仿宋_GB2312" w:eastAsia="仿宋_GB2312" w:cs="仿宋_GB2312"/>
          <w:color w:val="333333"/>
          <w:sz w:val="32"/>
          <w:szCs w:val="32"/>
          <w:shd w:val="clear" w:color="auto" w:fill="FFFFFF"/>
        </w:rPr>
        <w:t>文化旅游体育与传媒支</w:t>
      </w:r>
      <w:r>
        <w:rPr>
          <w:rFonts w:hint="eastAsia" w:ascii="仿宋_GB2312" w:hAnsi="仿宋_GB2312" w:eastAsia="仿宋_GB2312" w:cs="仿宋_GB2312"/>
          <w:sz w:val="32"/>
          <w:szCs w:val="32"/>
        </w:rPr>
        <w:t>出减少217.21万元</w:t>
      </w:r>
      <w:r>
        <w:rPr>
          <w:rFonts w:hint="eastAsia" w:ascii="仿宋_GB2312" w:hAnsi="仿宋_GB2312" w:eastAsia="仿宋_GB2312" w:cs="仿宋_GB2312"/>
          <w:color w:val="333333"/>
          <w:sz w:val="32"/>
          <w:szCs w:val="32"/>
          <w:shd w:val="clear" w:color="auto" w:fill="FFFFFF"/>
        </w:rPr>
        <w:t>、社会保障与就业支出增加40.00万元、增加了卫生健康支出90.00万元、其他支出（用于体育事业的彩票公益金支出）减少29.80万元</w:t>
      </w:r>
      <w:r>
        <w:rPr>
          <w:rFonts w:hint="eastAsia" w:ascii="仿宋_GB2312" w:hAnsi="仿宋_GB2312" w:eastAsia="仿宋_GB2312" w:cs="仿宋_GB2312"/>
          <w:b/>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eastAsia="zh-CN"/>
        </w:rPr>
        <w:t>三</w:t>
      </w:r>
      <w:r>
        <w:rPr>
          <w:rFonts w:hint="eastAsia" w:ascii="黑体" w:hAnsi="黑体" w:eastAsia="黑体" w:cs="黑体"/>
          <w:b w:val="0"/>
          <w:bCs/>
          <w:sz w:val="32"/>
          <w:szCs w:val="32"/>
        </w:rPr>
        <w:t>、一般公共预算拨款支出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2022年本单位一般公共预算拨款支出预算2074.79万元，其中：</w:t>
      </w:r>
      <w:r>
        <w:rPr>
          <w:rFonts w:hint="eastAsia" w:ascii="仿宋_GB2312" w:hAnsi="仿宋_GB2312" w:eastAsia="仿宋_GB2312" w:cs="仿宋_GB2312"/>
          <w:color w:val="333333"/>
          <w:sz w:val="32"/>
          <w:szCs w:val="32"/>
          <w:shd w:val="clear" w:color="auto" w:fill="FFFFFF"/>
        </w:rPr>
        <w:t>文化旅游体育与传媒支出1684.79万元，占81.20％；社会保障与就业支出150.00万元，占7.23％；卫生健康支出90.00万元，占4.34％；住房保障支出150.00万元，占7.23％。具体安排情况如下：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（一）基本支出：</w:t>
      </w:r>
      <w:r>
        <w:rPr>
          <w:rFonts w:hint="eastAsia" w:ascii="仿宋_GB2312" w:hAnsi="仿宋_GB2312" w:eastAsia="仿宋_GB2312" w:cs="仿宋_GB2312"/>
          <w:sz w:val="32"/>
          <w:szCs w:val="32"/>
        </w:rPr>
        <w:t>2022年本单位基本支出预算数2036.00万元，主要是为保障本单位机构正常运转、完成日常工作任务而发生的各项支出，包括用于基本工资、津贴补贴等人员经费以及办公费、印刷费、水电费、办公设备购置等公用经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（二）项目支出：</w:t>
      </w:r>
      <w:r>
        <w:rPr>
          <w:rFonts w:hint="eastAsia" w:ascii="仿宋_GB2312" w:hAnsi="仿宋_GB2312" w:eastAsia="仿宋_GB2312" w:cs="仿宋_GB2312"/>
          <w:sz w:val="32"/>
          <w:szCs w:val="32"/>
        </w:rPr>
        <w:t>2022年本单位项目支出预算315.99万元，主要是本单位为完成特定单位行政工作任务或事业发展目标而发生的支出，包括有关事业发展专项、专项业务费等。其中：文化旅游体育与传媒支出38.79万元，主要用于支付运动员教练员常年比赛成绩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eastAsia="zh-CN"/>
        </w:rPr>
        <w:t>四</w:t>
      </w:r>
      <w:r>
        <w:rPr>
          <w:rFonts w:hint="eastAsia" w:ascii="黑体" w:hAnsi="黑体" w:eastAsia="黑体" w:cs="黑体"/>
          <w:b w:val="0"/>
          <w:bCs/>
          <w:sz w:val="32"/>
          <w:szCs w:val="32"/>
        </w:rPr>
        <w:t>、政府性基金预算支出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2022年本单位政府性基金支出预算227.20万元，其中：用于体育事业的彩票公益金支出，占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％。具体安排情况如下：奥运争光项目227.20万元。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eastAsia="zh-CN"/>
        </w:rPr>
        <w:t>五、</w:t>
      </w:r>
      <w:r>
        <w:rPr>
          <w:rFonts w:hint="eastAsia" w:ascii="黑体" w:hAnsi="黑体" w:eastAsia="黑体" w:cs="黑体"/>
          <w:b w:val="0"/>
          <w:bCs/>
          <w:sz w:val="32"/>
          <w:szCs w:val="32"/>
        </w:rPr>
        <w:t>其他重要事项的情况说明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楷体_GB2312" w:hAnsi="楷体_GB2312" w:eastAsia="楷体_GB2312" w:cs="楷体_GB2312"/>
          <w:b/>
          <w:sz w:val="32"/>
          <w:szCs w:val="32"/>
          <w:lang w:eastAsia="zh-CN"/>
        </w:rPr>
        <w:t>（一）</w:t>
      </w:r>
      <w:r>
        <w:rPr>
          <w:rFonts w:hint="eastAsia" w:ascii="楷体_GB2312" w:hAnsi="楷体_GB2312" w:eastAsia="楷体_GB2312" w:cs="楷体_GB2312"/>
          <w:b/>
          <w:sz w:val="32"/>
          <w:szCs w:val="32"/>
        </w:rPr>
        <w:t>机关运行经费：</w:t>
      </w:r>
      <w:r>
        <w:rPr>
          <w:rFonts w:hint="eastAsia" w:ascii="仿宋_GB2312" w:hAnsi="仿宋_GB2312" w:eastAsia="仿宋_GB2312" w:cs="仿宋_GB2312"/>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楷体_GB2312" w:hAnsi="楷体_GB2312" w:eastAsia="楷体_GB2312" w:cs="楷体_GB2312"/>
          <w:b/>
          <w:sz w:val="32"/>
          <w:szCs w:val="32"/>
          <w:lang w:val="en-US" w:eastAsia="zh-CN"/>
        </w:rPr>
        <w:t>（二）“三公”经费预算：</w:t>
      </w:r>
      <w:r>
        <w:rPr>
          <w:rFonts w:hint="eastAsia" w:ascii="仿宋_GB2312" w:hAnsi="仿宋_GB2312" w:eastAsia="仿宋_GB2312" w:cs="仿宋_GB2312"/>
          <w:kern w:val="2"/>
          <w:sz w:val="32"/>
          <w:szCs w:val="32"/>
          <w:lang w:val="en-US" w:eastAsia="zh-CN" w:bidi="ar-SA"/>
        </w:rPr>
        <w:t xml:space="preserve">2022年本单位“三公”经费预算数为0.90万元，其中:公务接待费0.10万元，公务用车购置及运行费0.80万元（其中，公务用车购置费0万元，公务用车运行费 0.80万元），因公出国（境）费0万元。2022年“三公”经费预算与上年持平,主要原因是：其一是继续推进厉行节约，严格财务制度，进一步压减公务接待费支出，公务接待费预算与上年保持持平；其二是加强对公务车辆的管理，严格控制公车使用，提高车辆使用效率，公务用车购置费为０，与上年持平；公务用车运行维护费预算与上年保持持平。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楷体_GB2312" w:hAnsi="楷体_GB2312" w:eastAsia="楷体_GB2312" w:cs="楷体_GB2312"/>
          <w:b/>
          <w:sz w:val="32"/>
          <w:szCs w:val="32"/>
          <w:lang w:val="en-US" w:eastAsia="zh-CN"/>
        </w:rPr>
        <w:t>（三）一般性支出情况：</w:t>
      </w:r>
      <w:r>
        <w:rPr>
          <w:rFonts w:hint="eastAsia" w:ascii="仿宋_GB2312" w:hAnsi="仿宋_GB2312" w:eastAsia="仿宋_GB2312" w:cs="仿宋_GB2312"/>
          <w:kern w:val="2"/>
          <w:sz w:val="32"/>
          <w:szCs w:val="32"/>
          <w:lang w:val="en-US" w:eastAsia="zh-CN" w:bidi="ar-SA"/>
        </w:rPr>
        <w:t>2022年本单位会议费预算0万元，培训费预算0万元，拟举办节庆、晚会、论坛、赛事活动经费预算0万元。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（四）政府采购情况：</w:t>
      </w:r>
      <w:r>
        <w:rPr>
          <w:rFonts w:hint="eastAsia" w:ascii="仿宋_GB2312" w:hAnsi="仿宋_GB2312" w:eastAsia="仿宋_GB2312" w:cs="仿宋_GB2312"/>
          <w:sz w:val="32"/>
          <w:szCs w:val="32"/>
        </w:rPr>
        <w:t>2022年本单位无政府采购，因此采购预算总额</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其中：货物类采购预算0万元；工程类采购预算0万元；服务类采购预算0万元</w:t>
      </w:r>
      <w:r>
        <w:rPr>
          <w:rFonts w:hint="eastAsia" w:ascii="仿宋_GB2312" w:hAnsi="仿宋_GB2312" w:eastAsia="仿宋_GB2312" w:cs="仿宋_GB2312"/>
          <w:sz w:val="32"/>
          <w:szCs w:val="32"/>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bCs/>
          <w:kern w:val="0"/>
          <w:sz w:val="32"/>
          <w:szCs w:val="32"/>
        </w:rPr>
      </w:pPr>
      <w:r>
        <w:rPr>
          <w:rFonts w:hint="eastAsia" w:ascii="楷体_GB2312" w:hAnsi="楷体_GB2312" w:eastAsia="楷体_GB2312" w:cs="楷体_GB2312"/>
          <w:b/>
          <w:sz w:val="32"/>
          <w:szCs w:val="32"/>
        </w:rPr>
        <w:t>（五）国有资产占用使用及新增资产配置情况：</w:t>
      </w:r>
      <w:r>
        <w:rPr>
          <w:rFonts w:hint="eastAsia" w:ascii="仿宋_GB2312" w:hAnsi="仿宋_GB2312" w:eastAsia="仿宋_GB2312" w:cs="仿宋_GB2312"/>
          <w:sz w:val="32"/>
          <w:szCs w:val="32"/>
        </w:rPr>
        <w:t>截至2022年12月底，本单位</w:t>
      </w:r>
      <w:r>
        <w:rPr>
          <w:rFonts w:hint="eastAsia" w:ascii="仿宋_GB2312" w:hAnsi="仿宋_GB2312" w:eastAsia="仿宋_GB2312" w:cs="仿宋_GB2312"/>
          <w:bCs/>
          <w:kern w:val="0"/>
          <w:sz w:val="32"/>
          <w:szCs w:val="32"/>
        </w:rPr>
        <w:t>共有公务用车1辆，其中，机要通信用车0辆，应急保障用车0辆，执法执勤用车0辆，特种专业技术用车0辆，其他按照规定配备的公务用车1辆；单位价值50万元以上通用设备1套，单位价值100万元以上专用设备0台。2022年拟新增配置公务用车0辆；新增配备单位价值50万元以上通用设备0台，单位价值100万元以上专用设备0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bCs/>
          <w:kern w:val="0"/>
          <w:sz w:val="32"/>
          <w:szCs w:val="32"/>
        </w:rPr>
      </w:pPr>
      <w:r>
        <w:rPr>
          <w:rFonts w:hint="eastAsia" w:ascii="楷体_GB2312" w:hAnsi="楷体_GB2312" w:eastAsia="楷体_GB2312" w:cs="楷体_GB2312"/>
          <w:b/>
          <w:bCs/>
          <w:kern w:val="0"/>
          <w:sz w:val="32"/>
          <w:szCs w:val="32"/>
        </w:rPr>
        <w:t>（六）预算绩效目标说明：</w:t>
      </w:r>
      <w:r>
        <w:rPr>
          <w:rFonts w:hint="eastAsia" w:ascii="仿宋_GB2312" w:hAnsi="仿宋_GB2312" w:eastAsia="仿宋_GB2312" w:cs="仿宋_GB2312"/>
          <w:bCs/>
          <w:kern w:val="0"/>
          <w:sz w:val="32"/>
          <w:szCs w:val="32"/>
        </w:rPr>
        <w:t>本单位所有支出实行绩效目标管理，纳入2022年单位整体支出绩效目标的金额</w:t>
      </w:r>
      <w:r>
        <w:rPr>
          <w:rFonts w:hint="eastAsia" w:ascii="仿宋_GB2312" w:hAnsi="仿宋_GB2312" w:eastAsia="仿宋_GB2312" w:cs="仿宋_GB2312"/>
          <w:sz w:val="32"/>
          <w:szCs w:val="32"/>
        </w:rPr>
        <w:t>2351.99万</w:t>
      </w:r>
      <w:r>
        <w:rPr>
          <w:rFonts w:hint="eastAsia" w:ascii="仿宋_GB2312" w:hAnsi="仿宋_GB2312" w:eastAsia="仿宋_GB2312" w:cs="仿宋_GB2312"/>
          <w:bCs/>
          <w:kern w:val="0"/>
          <w:sz w:val="32"/>
          <w:szCs w:val="32"/>
        </w:rPr>
        <w:t>元，其中，基本支出2036.00</w:t>
      </w:r>
      <w:r>
        <w:rPr>
          <w:rFonts w:hint="eastAsia" w:ascii="仿宋_GB2312" w:hAnsi="仿宋_GB2312" w:eastAsia="仿宋_GB2312" w:cs="仿宋_GB2312"/>
          <w:sz w:val="32"/>
          <w:szCs w:val="32"/>
        </w:rPr>
        <w:t>万元</w:t>
      </w:r>
      <w:r>
        <w:rPr>
          <w:rFonts w:hint="eastAsia" w:ascii="仿宋_GB2312" w:hAnsi="仿宋_GB2312" w:eastAsia="仿宋_GB2312" w:cs="仿宋_GB2312"/>
          <w:bCs/>
          <w:kern w:val="0"/>
          <w:sz w:val="32"/>
          <w:szCs w:val="32"/>
        </w:rPr>
        <w:t>，项目支出315.99</w:t>
      </w:r>
      <w:r>
        <w:rPr>
          <w:rFonts w:hint="eastAsia" w:ascii="仿宋_GB2312" w:hAnsi="仿宋_GB2312" w:eastAsia="仿宋_GB2312" w:cs="仿宋_GB2312"/>
          <w:sz w:val="32"/>
          <w:szCs w:val="32"/>
        </w:rPr>
        <w:t>万元</w:t>
      </w:r>
      <w:r>
        <w:rPr>
          <w:rFonts w:hint="eastAsia" w:ascii="仿宋_GB2312" w:hAnsi="仿宋_GB2312" w:eastAsia="仿宋_GB2312" w:cs="仿宋_GB2312"/>
          <w:bCs/>
          <w:kern w:val="0"/>
          <w:sz w:val="32"/>
          <w:szCs w:val="32"/>
        </w:rPr>
        <w:t>，具体绩效目标详见报表。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eastAsia="zh-CN"/>
        </w:rPr>
        <w:t>六</w:t>
      </w:r>
      <w:r>
        <w:rPr>
          <w:rFonts w:hint="eastAsia" w:ascii="黑体" w:hAnsi="黑体" w:eastAsia="黑体" w:cs="黑体"/>
          <w:b w:val="0"/>
          <w:bCs/>
          <w:sz w:val="32"/>
          <w:szCs w:val="32"/>
        </w:rPr>
        <w:t>、名词解释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1、机关运行经费</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指各部门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b/>
          <w:sz w:val="32"/>
          <w:szCs w:val="32"/>
        </w:rPr>
      </w:pPr>
      <w:r>
        <w:rPr>
          <w:rFonts w:hint="eastAsia" w:ascii="楷体_GB2312" w:hAnsi="楷体_GB2312" w:eastAsia="楷体_GB2312" w:cs="楷体_GB2312"/>
          <w:b/>
          <w:sz w:val="32"/>
          <w:szCs w:val="32"/>
        </w:rPr>
        <w:t>2、“三公”经费：</w:t>
      </w:r>
      <w:r>
        <w:rPr>
          <w:rFonts w:hint="eastAsia" w:ascii="仿宋_GB2312" w:hAnsi="仿宋_GB2312" w:eastAsia="仿宋_GB2312" w:cs="仿宋_GB2312"/>
          <w:sz w:val="32"/>
          <w:szCs w:val="32"/>
        </w:rPr>
        <w:t>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r>
        <w:rPr>
          <w:rFonts w:hint="eastAsia" w:ascii="仿宋_GB2312" w:hAnsi="仿宋_GB2312" w:eastAsia="仿宋_GB2312" w:cs="仿宋_GB2312"/>
          <w:b/>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第二部分：2022年单位预算表（详见附表）</w:t>
      </w:r>
    </w:p>
    <w:sectPr>
      <w:footerReference r:id="rId3" w:type="default"/>
      <w:pgSz w:w="11906" w:h="16838"/>
      <w:pgMar w:top="2041" w:right="1587" w:bottom="1474" w:left="1587" w:header="851" w:footer="1134" w:gutter="0"/>
      <w:pgNumType w:fmt="decimal"/>
      <w:cols w:space="0" w:num="1"/>
      <w:rtlGutter w:val="0"/>
      <w:docGrid w:type="lines" w:linePitch="2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31610311"/>
                          </w:sdtPr>
                          <w:sdtEndPr>
                            <w:rPr>
                              <w:rFonts w:hint="eastAsia" w:asciiTheme="minorEastAsia" w:hAnsiTheme="minorEastAsia" w:eastAsiaTheme="minorEastAsia" w:cstheme="minorEastAsia"/>
                              <w:sz w:val="28"/>
                              <w:szCs w:val="28"/>
                            </w:rPr>
                          </w:sdtEndPr>
                          <w:sdtContent>
                            <w:p>
                              <w:pPr>
                                <w:pStyle w:val="2"/>
                                <w:keepNext w:val="0"/>
                                <w:keepLines w:val="0"/>
                                <w:pageBreakBefore w:val="0"/>
                                <w:widowControl w:val="0"/>
                                <w:kinsoku/>
                                <w:wordWrap/>
                                <w:overflowPunct/>
                                <w:topLinePunct w:val="0"/>
                                <w:autoSpaceDE/>
                                <w:autoSpaceDN/>
                                <w:bidi w:val="0"/>
                                <w:adjustRightInd/>
                                <w:snapToGrid w:val="0"/>
                                <w:spacing w:line="240" w:lineRule="auto"/>
                                <w:ind w:left="210" w:leftChars="100" w:right="210" w:rightChars="100" w:firstLine="0" w:firstLineChars="0"/>
                                <w:jc w:val="center"/>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2</w:t>
                              </w:r>
                              <w:r>
                                <w:rPr>
                                  <w:rFonts w:hint="eastAsia" w:asciiTheme="minorEastAsia" w:hAnsiTheme="minorEastAsia" w:eastAsiaTheme="minorEastAsia" w:cstheme="minorEastAsia"/>
                                  <w:sz w:val="28"/>
                                  <w:szCs w:val="28"/>
                                  <w:lang w:val="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zh-CN"/>
                                </w:rPr>
                                <w:t>—</w:t>
                              </w:r>
                            </w:p>
                          </w:sdtContent>
                        </w:sdt>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sdt>
                    <w:sdtPr>
                      <w:id w:val="31610311"/>
                    </w:sdtPr>
                    <w:sdtEndPr>
                      <w:rPr>
                        <w:rFonts w:hint="eastAsia" w:asciiTheme="minorEastAsia" w:hAnsiTheme="minorEastAsia" w:eastAsiaTheme="minorEastAsia" w:cstheme="minorEastAsia"/>
                        <w:sz w:val="28"/>
                        <w:szCs w:val="28"/>
                      </w:rPr>
                    </w:sdtEndPr>
                    <w:sdtContent>
                      <w:p>
                        <w:pPr>
                          <w:pStyle w:val="2"/>
                          <w:keepNext w:val="0"/>
                          <w:keepLines w:val="0"/>
                          <w:pageBreakBefore w:val="0"/>
                          <w:widowControl w:val="0"/>
                          <w:kinsoku/>
                          <w:wordWrap/>
                          <w:overflowPunct/>
                          <w:topLinePunct w:val="0"/>
                          <w:autoSpaceDE/>
                          <w:autoSpaceDN/>
                          <w:bidi w:val="0"/>
                          <w:adjustRightInd/>
                          <w:snapToGrid w:val="0"/>
                          <w:spacing w:line="240" w:lineRule="auto"/>
                          <w:ind w:left="210" w:leftChars="100" w:right="210" w:rightChars="100" w:firstLine="0" w:firstLineChars="0"/>
                          <w:jc w:val="center"/>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2</w:t>
                        </w:r>
                        <w:r>
                          <w:rPr>
                            <w:rFonts w:hint="eastAsia" w:asciiTheme="minorEastAsia" w:hAnsiTheme="minorEastAsia" w:eastAsiaTheme="minorEastAsia" w:cstheme="minorEastAsia"/>
                            <w:sz w:val="28"/>
                            <w:szCs w:val="28"/>
                            <w:lang w:val="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zh-CN"/>
                          </w:rPr>
                          <w:t>—</w:t>
                        </w:r>
                      </w:p>
                    </w:sdtContent>
                  </w:sdt>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44"/>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420"/>
    <w:rsid w:val="000110A4"/>
    <w:rsid w:val="00025CE1"/>
    <w:rsid w:val="000304AB"/>
    <w:rsid w:val="00033B70"/>
    <w:rsid w:val="0004444B"/>
    <w:rsid w:val="00061256"/>
    <w:rsid w:val="000672F0"/>
    <w:rsid w:val="00082D31"/>
    <w:rsid w:val="00094488"/>
    <w:rsid w:val="000C0DA3"/>
    <w:rsid w:val="000C3B21"/>
    <w:rsid w:val="000D11E5"/>
    <w:rsid w:val="000D6001"/>
    <w:rsid w:val="000E2FB1"/>
    <w:rsid w:val="000E7DBB"/>
    <w:rsid w:val="001311D5"/>
    <w:rsid w:val="00141189"/>
    <w:rsid w:val="0014383C"/>
    <w:rsid w:val="0016329A"/>
    <w:rsid w:val="001B0FDC"/>
    <w:rsid w:val="001C3202"/>
    <w:rsid w:val="00250F51"/>
    <w:rsid w:val="00294B4E"/>
    <w:rsid w:val="002B5988"/>
    <w:rsid w:val="002C3503"/>
    <w:rsid w:val="002E281B"/>
    <w:rsid w:val="00300C17"/>
    <w:rsid w:val="00344C3A"/>
    <w:rsid w:val="0034748B"/>
    <w:rsid w:val="003579B1"/>
    <w:rsid w:val="00376B34"/>
    <w:rsid w:val="003C49B0"/>
    <w:rsid w:val="0041047C"/>
    <w:rsid w:val="0046364A"/>
    <w:rsid w:val="00463CCF"/>
    <w:rsid w:val="004768B0"/>
    <w:rsid w:val="00510EA4"/>
    <w:rsid w:val="00531CC5"/>
    <w:rsid w:val="00571381"/>
    <w:rsid w:val="005A7401"/>
    <w:rsid w:val="005F4626"/>
    <w:rsid w:val="00622D5F"/>
    <w:rsid w:val="0066162C"/>
    <w:rsid w:val="006B2E39"/>
    <w:rsid w:val="006C3218"/>
    <w:rsid w:val="006D0F06"/>
    <w:rsid w:val="00756F59"/>
    <w:rsid w:val="007749D0"/>
    <w:rsid w:val="00777B23"/>
    <w:rsid w:val="007B5CA4"/>
    <w:rsid w:val="007C10BF"/>
    <w:rsid w:val="007E06B3"/>
    <w:rsid w:val="00813203"/>
    <w:rsid w:val="00814A3F"/>
    <w:rsid w:val="00871420"/>
    <w:rsid w:val="00877E47"/>
    <w:rsid w:val="00880CD6"/>
    <w:rsid w:val="008C17B0"/>
    <w:rsid w:val="00920875"/>
    <w:rsid w:val="00966E85"/>
    <w:rsid w:val="00974C30"/>
    <w:rsid w:val="009E0F42"/>
    <w:rsid w:val="00A249FA"/>
    <w:rsid w:val="00A4486C"/>
    <w:rsid w:val="00A720D6"/>
    <w:rsid w:val="00A8717F"/>
    <w:rsid w:val="00AF0641"/>
    <w:rsid w:val="00B31C43"/>
    <w:rsid w:val="00B359EA"/>
    <w:rsid w:val="00B441A4"/>
    <w:rsid w:val="00B51A85"/>
    <w:rsid w:val="00BE428F"/>
    <w:rsid w:val="00C26606"/>
    <w:rsid w:val="00C50B4B"/>
    <w:rsid w:val="00C51B3C"/>
    <w:rsid w:val="00CF20AA"/>
    <w:rsid w:val="00CF7A7D"/>
    <w:rsid w:val="00D200E5"/>
    <w:rsid w:val="00D216FE"/>
    <w:rsid w:val="00D441DD"/>
    <w:rsid w:val="00D453B2"/>
    <w:rsid w:val="00D63913"/>
    <w:rsid w:val="00DA0D8C"/>
    <w:rsid w:val="00DE503C"/>
    <w:rsid w:val="00DF4152"/>
    <w:rsid w:val="00E61E3A"/>
    <w:rsid w:val="00EA6D19"/>
    <w:rsid w:val="00EC7BEE"/>
    <w:rsid w:val="00F15FB6"/>
    <w:rsid w:val="00F5401E"/>
    <w:rsid w:val="00F63FD1"/>
    <w:rsid w:val="00FB50E7"/>
    <w:rsid w:val="00FD04D8"/>
    <w:rsid w:val="00FD55FA"/>
    <w:rsid w:val="00FE7890"/>
    <w:rsid w:val="04CB074B"/>
    <w:rsid w:val="09810D0F"/>
    <w:rsid w:val="10DA127B"/>
    <w:rsid w:val="18356653"/>
    <w:rsid w:val="1AB06A31"/>
    <w:rsid w:val="2822397B"/>
    <w:rsid w:val="2B56578B"/>
    <w:rsid w:val="2D742D4D"/>
    <w:rsid w:val="46D47F93"/>
    <w:rsid w:val="4C6E4B06"/>
    <w:rsid w:val="51651CB7"/>
    <w:rsid w:val="5C7352C0"/>
    <w:rsid w:val="5E4307E8"/>
    <w:rsid w:val="5F3810CB"/>
    <w:rsid w:val="607910B6"/>
    <w:rsid w:val="62250587"/>
    <w:rsid w:val="63E53608"/>
    <w:rsid w:val="734944C6"/>
    <w:rsid w:val="75420E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2160F0-4F96-4197-850E-B29C71AF39F7}">
  <ds:schemaRefs/>
</ds:datastoreItem>
</file>

<file path=docProps/app.xml><?xml version="1.0" encoding="utf-8"?>
<Properties xmlns="http://schemas.openxmlformats.org/officeDocument/2006/extended-properties" xmlns:vt="http://schemas.openxmlformats.org/officeDocument/2006/docPropsVTypes">
  <Template>Normal</Template>
  <Pages>8</Pages>
  <Words>563</Words>
  <Characters>3212</Characters>
  <Lines>26</Lines>
  <Paragraphs>7</Paragraphs>
  <TotalTime>4</TotalTime>
  <ScaleCrop>false</ScaleCrop>
  <LinksUpToDate>false</LinksUpToDate>
  <CharactersWithSpaces>3768</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2021-03-10T01:48:00Z</dcterms:created>
  <dc:creator>asus</dc:creator>
  <cp:lastModifiedBy>LENOVO</cp:lastModifiedBy>
  <dcterms:modified xsi:type="dcterms:W3CDTF">2023-09-26T04:52:29Z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FFAD6D80D50D4050B8F36DB71A4B8C09</vt:lpwstr>
  </property>
</Properties>
</file>