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center"/>
        <w:rPr>
          <w:rFonts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2022年湖南省羽毛球运动管理中心预算</w:t>
      </w:r>
    </w:p>
    <w:p>
      <w:pPr>
        <w:jc w:val="center"/>
        <w:rPr>
          <w:rFonts w:ascii="仿宋_GB2312" w:hAnsi="仿宋_GB2312" w:eastAsia="仿宋_GB2312" w:cs="仿宋_GB2312"/>
          <w:bCs/>
          <w:kern w:val="0"/>
          <w:sz w:val="32"/>
          <w:szCs w:val="32"/>
        </w:rPr>
      </w:pPr>
    </w:p>
    <w:p>
      <w:pPr>
        <w:jc w:val="center"/>
        <w:rPr>
          <w:rFonts w:ascii="黑体" w:hAnsi="黑体" w:eastAsia="黑体" w:cs="黑体"/>
          <w:bCs/>
          <w:kern w:val="0"/>
          <w:sz w:val="32"/>
          <w:szCs w:val="32"/>
        </w:rPr>
      </w:pPr>
      <w:r>
        <w:rPr>
          <w:rFonts w:hint="eastAsia" w:ascii="黑体" w:hAnsi="黑体" w:eastAsia="黑体" w:cs="黑体"/>
          <w:bCs/>
          <w:kern w:val="0"/>
          <w:sz w:val="32"/>
          <w:szCs w:val="32"/>
        </w:rPr>
        <w:t>目  录</w:t>
      </w:r>
    </w:p>
    <w:p>
      <w:pPr>
        <w:rPr>
          <w:rFonts w:ascii="仿宋_GB2312" w:hAnsi="仿宋_GB2312" w:eastAsia="仿宋_GB2312" w:cs="仿宋_GB2312"/>
          <w:bCs/>
          <w:kern w:val="0"/>
          <w:sz w:val="32"/>
          <w:szCs w:val="32"/>
        </w:rPr>
      </w:pPr>
    </w:p>
    <w:p>
      <w:pPr>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第一部分 2022年单位预算说明</w:t>
      </w:r>
    </w:p>
    <w:p>
      <w:pPr>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第二部分 2022年单位预算表</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1、收支总表</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2、收入总表</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3、支出总表</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4、支出预算分类汇总表（按政府预算经济分类）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5、支出预算分类汇总表（按部门预算经济分类）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6、财政拨款收支总表</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7、一般公共预算支出表</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8、一般公共预算基本支出表-人员经费（工资福利支出）（按政府预算经济分类）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9、一般公共预算基本支出表-人员经费（工资福利支出）（按部门预算经济分类）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10、一般公共预算基本支出表-人员经费（对个人和家庭的补助）（按政府预算经济分类）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11、一般公共预算基本支出表-人员经费（对个人和家庭的补助）（按部门预算经济分类）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12、一般公共预算基本支出表-公用经费（商品和服务支出）（按政府预算经济分类）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13、一般公共预算基本支出表-公用经费（商品和服务支出）（按部门预算经济分类）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14、一般公共预算“三公”经费支出表</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15、政府性基金预算支出表</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16、政府性基金预算支出分类汇总表（按政府预算经济分类）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17、政府性基金预算支出分类汇总表（按部门预算经济分类）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18、国有资本经营预算支出表</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19、财政专户管理资金预算支出表</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20、省级专项资金预算汇总表</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21、省级专项资金绩效目标表</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22、其他项目支出绩效目标表</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23、部门整体支出绩效目标表</w:t>
      </w:r>
    </w:p>
    <w:p>
      <w:pPr>
        <w:ind w:firstLine="640" w:firstLineChars="20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注：以上单位预算报表中，空表表示本单位无相关收支情况。</w:t>
      </w:r>
    </w:p>
    <w:p>
      <w:pPr>
        <w:ind w:firstLine="640" w:firstLineChars="200"/>
        <w:rPr>
          <w:rFonts w:ascii="仿宋_GB2312" w:hAnsi="仿宋_GB2312" w:eastAsia="仿宋_GB2312" w:cs="仿宋_GB2312"/>
          <w:bCs/>
          <w:kern w:val="0"/>
          <w:sz w:val="32"/>
          <w:szCs w:val="32"/>
        </w:rPr>
      </w:pPr>
    </w:p>
    <w:p>
      <w:pPr>
        <w:rPr>
          <w:rFonts w:ascii="仿宋_GB2312" w:hAnsi="仿宋_GB2312" w:eastAsia="仿宋_GB2312" w:cs="仿宋_GB2312"/>
          <w:bCs/>
          <w:kern w:val="0"/>
          <w:sz w:val="32"/>
          <w:szCs w:val="32"/>
        </w:rPr>
      </w:pPr>
    </w:p>
    <w:p>
      <w:pPr>
        <w:rPr>
          <w:rFonts w:ascii="仿宋_GB2312" w:hAnsi="仿宋_GB2312" w:eastAsia="仿宋_GB2312" w:cs="仿宋_GB2312"/>
          <w:bCs/>
          <w:kern w:val="0"/>
          <w:sz w:val="32"/>
          <w:szCs w:val="32"/>
        </w:rPr>
      </w:pPr>
    </w:p>
    <w:p>
      <w:pPr>
        <w:rPr>
          <w:rFonts w:ascii="仿宋_GB2312" w:hAnsi="仿宋_GB2312" w:eastAsia="仿宋_GB2312" w:cs="仿宋_GB2312"/>
          <w:bCs/>
          <w:kern w:val="0"/>
          <w:sz w:val="32"/>
          <w:szCs w:val="32"/>
        </w:rPr>
      </w:pPr>
    </w:p>
    <w:p>
      <w:pPr>
        <w:rPr>
          <w:rFonts w:ascii="仿宋_GB2312" w:hAnsi="仿宋_GB2312" w:eastAsia="仿宋_GB2312" w:cs="仿宋_GB2312"/>
          <w:bCs/>
          <w:kern w:val="0"/>
          <w:sz w:val="32"/>
          <w:szCs w:val="32"/>
        </w:rPr>
      </w:pPr>
    </w:p>
    <w:p>
      <w:pPr>
        <w:jc w:val="center"/>
        <w:rPr>
          <w:rFonts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第一部分 2022年单位预算说明</w:t>
      </w:r>
    </w:p>
    <w:p>
      <w:pPr>
        <w:ind w:firstLine="640" w:firstLineChars="200"/>
        <w:rPr>
          <w:rFonts w:ascii="仿宋_GB2312" w:hAnsi="仿宋_GB2312" w:eastAsia="仿宋_GB2312" w:cs="仿宋_GB2312"/>
          <w:bCs/>
          <w:kern w:val="0"/>
          <w:sz w:val="32"/>
          <w:szCs w:val="32"/>
        </w:rPr>
      </w:pPr>
    </w:p>
    <w:p>
      <w:pPr>
        <w:ind w:firstLine="640" w:firstLineChars="200"/>
        <w:rPr>
          <w:rFonts w:ascii="黑体" w:hAnsi="黑体" w:eastAsia="黑体" w:cs="黑体"/>
          <w:bCs/>
          <w:kern w:val="0"/>
          <w:sz w:val="32"/>
          <w:szCs w:val="32"/>
        </w:rPr>
      </w:pPr>
      <w:r>
        <w:rPr>
          <w:rFonts w:hint="eastAsia" w:ascii="黑体" w:hAnsi="黑体" w:eastAsia="黑体" w:cs="黑体"/>
          <w:bCs/>
          <w:kern w:val="0"/>
          <w:sz w:val="32"/>
          <w:szCs w:val="32"/>
        </w:rPr>
        <w:t>一、部门基本概况</w:t>
      </w:r>
    </w:p>
    <w:p>
      <w:pPr>
        <w:ind w:firstLine="643" w:firstLineChars="200"/>
        <w:rPr>
          <w:rFonts w:ascii="楷体_GB2312" w:hAnsi="楷体_GB2312" w:eastAsia="楷体_GB2312" w:cs="楷体_GB2312"/>
          <w:b/>
          <w:sz w:val="32"/>
          <w:szCs w:val="32"/>
        </w:rPr>
      </w:pPr>
      <w:r>
        <w:rPr>
          <w:rFonts w:hint="eastAsia" w:ascii="楷体_GB2312" w:hAnsi="楷体_GB2312" w:eastAsia="楷体_GB2312" w:cs="楷体_GB2312"/>
          <w:b/>
          <w:sz w:val="32"/>
          <w:szCs w:val="32"/>
        </w:rPr>
        <w:t>（一）职能职责</w:t>
      </w:r>
    </w:p>
    <w:p>
      <w:pPr>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湖南省羽毛球乒乓球运动管理中心是省体育局的二级机构，属全额拨款的事业单位。成立于2003年，主要职能是开展全省专业、羽毛球乒乓球运动，培养教练员、运动员、裁判员队伍，承担羽毛球、乒乓球项目全运会、亚运会、奥运会等国内国际比赛任务，负责全省专业运动员选拔、业余羽毛球乒乓球训练管理工作和推动我省羽毛球乒乓球项目发展工作。</w:t>
      </w:r>
    </w:p>
    <w:p>
      <w:pPr>
        <w:ind w:firstLine="643" w:firstLineChars="200"/>
        <w:rPr>
          <w:rFonts w:ascii="楷体_GB2312" w:hAnsi="楷体_GB2312" w:eastAsia="楷体_GB2312" w:cs="楷体_GB2312"/>
          <w:b/>
          <w:sz w:val="32"/>
          <w:szCs w:val="32"/>
        </w:rPr>
      </w:pPr>
      <w:r>
        <w:rPr>
          <w:rFonts w:hint="eastAsia" w:ascii="楷体_GB2312" w:hAnsi="楷体_GB2312" w:eastAsia="楷体_GB2312" w:cs="楷体_GB2312"/>
          <w:b/>
          <w:sz w:val="32"/>
          <w:szCs w:val="32"/>
        </w:rPr>
        <w:t>（二）机构设置</w:t>
      </w:r>
    </w:p>
    <w:p>
      <w:pPr>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本单位内设机构四个：办公室、综合科、训竟科、运动队。</w:t>
      </w:r>
      <w:r>
        <w:rPr>
          <w:rFonts w:hint="eastAsia" w:ascii="楷体_GB2312" w:hAnsi="楷体_GB2312" w:eastAsia="楷体_GB2312" w:cs="楷体_GB2312"/>
          <w:sz w:val="32"/>
          <w:szCs w:val="32"/>
          <w:lang w:eastAsia="zh-CN"/>
        </w:rPr>
        <w:t>本单位未设</w:t>
      </w:r>
      <w:bookmarkStart w:id="0" w:name="_GoBack"/>
      <w:bookmarkEnd w:id="0"/>
      <w:r>
        <w:rPr>
          <w:rFonts w:hint="eastAsia" w:ascii="仿宋" w:hAnsi="仿宋" w:eastAsia="仿宋" w:cs="仿宋"/>
          <w:sz w:val="32"/>
          <w:szCs w:val="32"/>
        </w:rPr>
        <w:t>二级单位，本预算仅指本单位预算</w:t>
      </w:r>
      <w:r>
        <w:rPr>
          <w:rFonts w:hint="eastAsia" w:ascii="仿宋" w:hAnsi="仿宋" w:eastAsia="仿宋" w:cs="仿宋"/>
          <w:sz w:val="32"/>
          <w:szCs w:val="32"/>
          <w:lang w:eastAsia="zh-CN"/>
        </w:rPr>
        <w:t>。</w:t>
      </w:r>
    </w:p>
    <w:p>
      <w:pPr>
        <w:ind w:firstLine="640" w:firstLineChars="200"/>
        <w:rPr>
          <w:rFonts w:ascii="黑体" w:hAnsi="黑体" w:eastAsia="黑体" w:cs="黑体"/>
          <w:bCs/>
          <w:kern w:val="0"/>
          <w:sz w:val="32"/>
          <w:szCs w:val="32"/>
        </w:rPr>
      </w:pPr>
      <w:r>
        <w:rPr>
          <w:rFonts w:hint="eastAsia" w:ascii="黑体" w:hAnsi="黑体" w:eastAsia="黑体" w:cs="黑体"/>
          <w:bCs/>
          <w:kern w:val="0"/>
          <w:sz w:val="32"/>
          <w:szCs w:val="32"/>
        </w:rPr>
        <w:t>二、单位收支总体情况</w:t>
      </w:r>
    </w:p>
    <w:p>
      <w:pPr>
        <w:ind w:firstLine="643" w:firstLineChars="200"/>
        <w:rPr>
          <w:rFonts w:ascii="仿宋_GB2312" w:hAnsi="仿宋_GB2312" w:eastAsia="仿宋_GB2312" w:cs="仿宋_GB2312"/>
          <w:bCs/>
          <w:sz w:val="32"/>
          <w:szCs w:val="32"/>
        </w:rPr>
      </w:pPr>
      <w:r>
        <w:rPr>
          <w:rFonts w:hint="eastAsia" w:ascii="楷体_GB2312" w:hAnsi="楷体_GB2312" w:eastAsia="楷体_GB2312" w:cs="楷体_GB2312"/>
          <w:b/>
          <w:sz w:val="32"/>
          <w:szCs w:val="32"/>
        </w:rPr>
        <w:t>（一）收入预算</w:t>
      </w:r>
      <w:r>
        <w:rPr>
          <w:rFonts w:hint="eastAsia" w:ascii="楷体_GB2312" w:hAnsi="楷体_GB2312" w:eastAsia="楷体_GB2312" w:cs="楷体_GB2312"/>
          <w:sz w:val="32"/>
          <w:szCs w:val="32"/>
        </w:rPr>
        <w:t>：</w:t>
      </w:r>
      <w:r>
        <w:rPr>
          <w:rFonts w:hint="eastAsia" w:ascii="仿宋" w:hAnsi="仿宋" w:eastAsia="仿宋" w:cs="仿宋"/>
          <w:sz w:val="32"/>
          <w:szCs w:val="32"/>
        </w:rPr>
        <w:t>2022年本单位收</w:t>
      </w:r>
      <w:r>
        <w:rPr>
          <w:rFonts w:hint="eastAsia" w:ascii="仿宋_GB2312" w:hAnsi="仿宋_GB2312" w:eastAsia="仿宋_GB2312" w:cs="仿宋_GB2312"/>
          <w:sz w:val="32"/>
          <w:szCs w:val="32"/>
        </w:rPr>
        <w:t>入预算1793.79万元，其中，一般公共预算拨款1595.89万元，政府性基金预算拨款197.9万元，上年结转结余5.9万元。</w:t>
      </w:r>
      <w:r>
        <w:rPr>
          <w:rFonts w:hint="eastAsia" w:ascii="仿宋_GB2312" w:hAnsi="仿宋_GB2312" w:eastAsia="仿宋_GB2312" w:cs="仿宋_GB2312"/>
          <w:bCs/>
          <w:sz w:val="32"/>
          <w:szCs w:val="32"/>
        </w:rPr>
        <w:t>收入较去年减少69.11万元，主要是财政拨款减少，一般公共预算拨款减少26.01万元，政府性基金拨款增加24.9万元,2021年预算收入含上年结余65万元，2022年不包含上年结余5.9万元。</w:t>
      </w:r>
    </w:p>
    <w:p>
      <w:pPr>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（二）支出预算</w:t>
      </w:r>
      <w:r>
        <w:rPr>
          <w:rFonts w:hint="eastAsia" w:ascii="仿宋_GB2312" w:hAnsi="仿宋_GB2312" w:eastAsia="仿宋_GB2312" w:cs="仿宋_GB2312"/>
          <w:sz w:val="32"/>
          <w:szCs w:val="32"/>
        </w:rPr>
        <w:t>：2022年本单位支出预算1793.79元，2022年一般公共预算拨款支出1595.89万元，其中，文化旅游体育与传媒支出1335.89万元，占83%；社会保障与就业支出98万元，占6%；卫生健康支出58万元，占4%；住房保障支出103万元，占7%；其他支出197.9万元（用于体育事业的彩票公益金支出）。支出较去年减少64.11万元，主要是文化体育与传媒支出减少94万元，社会保障和就业支出增加6万元，卫生健康支出减少24万元，其他支出（用于体育事业的彩票公益金支出）增加24.9万元。</w:t>
      </w:r>
    </w:p>
    <w:p>
      <w:pPr>
        <w:ind w:firstLine="640" w:firstLineChars="200"/>
        <w:rPr>
          <w:rFonts w:ascii="黑体" w:hAnsi="黑体" w:eastAsia="黑体" w:cs="黑体"/>
          <w:bCs/>
          <w:kern w:val="0"/>
          <w:sz w:val="32"/>
          <w:szCs w:val="32"/>
        </w:rPr>
      </w:pPr>
      <w:r>
        <w:rPr>
          <w:rFonts w:hint="eastAsia" w:ascii="黑体" w:hAnsi="黑体" w:eastAsia="黑体" w:cs="黑体"/>
          <w:bCs/>
          <w:kern w:val="0"/>
          <w:sz w:val="32"/>
          <w:szCs w:val="32"/>
        </w:rPr>
        <w:t>三、一般公共预算拨款支出</w:t>
      </w:r>
    </w:p>
    <w:p>
      <w:pPr>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sz w:val="32"/>
          <w:szCs w:val="32"/>
        </w:rPr>
        <w:t>2022年本单位一般公共预算拨款支出预算1595.89万元，其中，一般公共服务支出0万元，占0 %；公共安全支出0万元，占0%，文化旅游体育与传媒支出1323万元，占83%；社会保障与就业支出98万元，占6%；卫生健康支出58万元，占4%；住房保障支出103万元，占7%。具体安排情况如下：</w:t>
      </w:r>
    </w:p>
    <w:p>
      <w:pPr>
        <w:ind w:firstLine="643" w:firstLineChars="200"/>
        <w:rPr>
          <w:rFonts w:ascii="仿宋_GB2312" w:hAnsi="仿宋_GB2312" w:eastAsia="仿宋_GB2312" w:cs="仿宋_GB2312"/>
          <w:sz w:val="32"/>
          <w:szCs w:val="32"/>
        </w:rPr>
      </w:pPr>
      <w:r>
        <w:rPr>
          <w:rFonts w:hint="eastAsia" w:ascii="楷体_GB2312" w:hAnsi="楷体_GB2312" w:eastAsia="楷体_GB2312" w:cs="楷体_GB2312"/>
          <w:b/>
          <w:sz w:val="32"/>
          <w:szCs w:val="32"/>
        </w:rPr>
        <w:t>（一）基本支出</w:t>
      </w: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rPr>
        <w:t>2021年本单位基本支出预算数1581.5万元，主要是为保障单位机构正常运转、完成日常工作任务而发生的各项支出，包括用于基本工资、津贴补贴等人员经费以及办公费、印刷费、水电费、办公设备购置等公用经费。</w:t>
      </w:r>
    </w:p>
    <w:p>
      <w:pPr>
        <w:ind w:firstLine="643" w:firstLineChars="200"/>
        <w:rPr>
          <w:rFonts w:ascii="仿宋_GB2312" w:hAnsi="仿宋_GB2312" w:eastAsia="仿宋_GB2312" w:cs="仿宋_GB2312"/>
          <w:sz w:val="32"/>
          <w:szCs w:val="32"/>
        </w:rPr>
      </w:pPr>
      <w:r>
        <w:rPr>
          <w:rFonts w:hint="eastAsia" w:ascii="楷体_GB2312" w:hAnsi="楷体_GB2312" w:eastAsia="楷体_GB2312" w:cs="楷体_GB2312"/>
          <w:b/>
          <w:sz w:val="32"/>
          <w:szCs w:val="32"/>
        </w:rPr>
        <w:t>（二）项目支出</w:t>
      </w: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rPr>
        <w:t>2021年本单位项目支出预算206.39万元，主要是单位为完成特定行政工作任务或事业发展目标而发生的支出，包括有关事业发展专项、专项业务费、基本建设支出等，其中：文化旅游体育与传媒支出8.49万元，主要用于办公设备购置，运动员常年赛奖金等方面。</w:t>
      </w:r>
    </w:p>
    <w:p>
      <w:pPr>
        <w:ind w:firstLine="640" w:firstLineChars="200"/>
        <w:rPr>
          <w:rFonts w:ascii="黑体" w:hAnsi="黑体" w:eastAsia="黑体" w:cs="黑体"/>
          <w:bCs/>
          <w:kern w:val="0"/>
          <w:sz w:val="32"/>
          <w:szCs w:val="32"/>
        </w:rPr>
      </w:pPr>
      <w:r>
        <w:rPr>
          <w:rFonts w:hint="eastAsia" w:ascii="黑体" w:hAnsi="黑体" w:eastAsia="黑体" w:cs="黑体"/>
          <w:bCs/>
          <w:kern w:val="0"/>
          <w:sz w:val="32"/>
          <w:szCs w:val="32"/>
        </w:rPr>
        <w:t>四、政府性基金预算支出</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2021年本单位政府性基金支出预算197.9万元，其中其他支出197.9万元，占100%。具体安排情况如下：人才引进14万元，高端人才费71.3万元，运动员伙食14.6万元，医疗后勤保障58万元，器材装备维护40万元。</w:t>
      </w:r>
    </w:p>
    <w:p>
      <w:pPr>
        <w:ind w:firstLine="640" w:firstLineChars="200"/>
        <w:rPr>
          <w:rFonts w:ascii="黑体" w:hAnsi="黑体" w:eastAsia="黑体" w:cs="黑体"/>
          <w:bCs/>
          <w:kern w:val="0"/>
          <w:sz w:val="32"/>
          <w:szCs w:val="32"/>
        </w:rPr>
      </w:pPr>
      <w:r>
        <w:rPr>
          <w:rFonts w:hint="eastAsia" w:ascii="黑体" w:hAnsi="黑体" w:eastAsia="黑体" w:cs="黑体"/>
          <w:bCs/>
          <w:kern w:val="0"/>
          <w:sz w:val="32"/>
          <w:szCs w:val="32"/>
        </w:rPr>
        <w:t>五、其他重要事项的情况说明</w:t>
      </w:r>
    </w:p>
    <w:p>
      <w:pPr>
        <w:ind w:firstLine="643" w:firstLineChars="200"/>
        <w:rPr>
          <w:rFonts w:ascii="仿宋_GB2312" w:hAnsi="仿宋_GB2312" w:eastAsia="仿宋_GB2312" w:cs="仿宋_GB2312"/>
          <w:sz w:val="32"/>
          <w:szCs w:val="32"/>
        </w:rPr>
      </w:pPr>
      <w:r>
        <w:rPr>
          <w:rFonts w:hint="eastAsia" w:ascii="楷体_GB2312" w:hAnsi="楷体_GB2312" w:eastAsia="楷体_GB2312" w:cs="楷体_GB2312"/>
          <w:b/>
          <w:sz w:val="32"/>
          <w:szCs w:val="32"/>
        </w:rPr>
        <w:t>（一）机关运行经费</w:t>
      </w: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rPr>
        <w:t>2022年本单位机关运行经费0万元，比上年预算一致。</w:t>
      </w:r>
    </w:p>
    <w:p>
      <w:pPr>
        <w:ind w:firstLine="643" w:firstLineChars="200"/>
        <w:rPr>
          <w:rFonts w:ascii="仿宋_GB2312" w:hAnsi="仿宋_GB2312" w:eastAsia="仿宋_GB2312" w:cs="仿宋_GB2312"/>
          <w:sz w:val="32"/>
          <w:szCs w:val="32"/>
        </w:rPr>
      </w:pPr>
      <w:r>
        <w:rPr>
          <w:rFonts w:hint="eastAsia" w:ascii="楷体_GB2312" w:hAnsi="楷体_GB2312" w:eastAsia="楷体_GB2312" w:cs="楷体_GB2312"/>
          <w:b/>
          <w:sz w:val="32"/>
          <w:szCs w:val="32"/>
        </w:rPr>
        <w:t>（二）“三公”经费预算</w:t>
      </w: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rPr>
        <w:t>2022年本单位“三公”经费预算数为0.5万元，其中，公务接待费0.5万元，公务用车购置及运行费0万元（其中，公务用车购置费0万元，公务用车运行费0万元），因公出国（境）费0万元。2022年“三公”经费预算较上年持平。</w:t>
      </w:r>
    </w:p>
    <w:p>
      <w:pPr>
        <w:ind w:firstLine="643" w:firstLineChars="200"/>
        <w:rPr>
          <w:rFonts w:ascii="仿宋_GB2312" w:hAnsi="仿宋_GB2312" w:eastAsia="仿宋_GB2312" w:cs="仿宋_GB2312"/>
          <w:kern w:val="0"/>
          <w:sz w:val="32"/>
          <w:szCs w:val="32"/>
        </w:rPr>
      </w:pPr>
      <w:r>
        <w:rPr>
          <w:rFonts w:hint="eastAsia" w:ascii="楷体_GB2312" w:hAnsi="楷体_GB2312" w:eastAsia="楷体_GB2312" w:cs="楷体_GB2312"/>
          <w:b/>
          <w:sz w:val="32"/>
          <w:szCs w:val="32"/>
        </w:rPr>
        <w:t>（三）一般性支出情况</w:t>
      </w:r>
      <w:r>
        <w:rPr>
          <w:rFonts w:hint="eastAsia" w:ascii="楷体_GB2312" w:hAnsi="楷体_GB2312" w:eastAsia="楷体_GB2312" w:cs="楷体_GB2312"/>
          <w:sz w:val="32"/>
          <w:szCs w:val="32"/>
        </w:rPr>
        <w:t>：</w:t>
      </w:r>
      <w:r>
        <w:rPr>
          <w:rFonts w:hint="eastAsia" w:ascii="仿宋_GB2312" w:hAnsi="仿宋_GB2312" w:eastAsia="仿宋_GB2312" w:cs="仿宋_GB2312"/>
          <w:kern w:val="0"/>
          <w:sz w:val="32"/>
          <w:szCs w:val="32"/>
        </w:rPr>
        <w:t>2022年本单位会议费预算0万元，拟召开0会议，人数0人；培训费预算0万元，拟开展0培训，人数0人；拟举办0等节庆、晚会、论坛、赛事活动，经费预算0万元。</w:t>
      </w:r>
    </w:p>
    <w:p>
      <w:pPr>
        <w:ind w:firstLine="643" w:firstLineChars="200"/>
        <w:rPr>
          <w:rFonts w:ascii="仿宋_GB2312" w:hAnsi="仿宋_GB2312" w:eastAsia="仿宋_GB2312" w:cs="仿宋_GB2312"/>
          <w:sz w:val="32"/>
          <w:szCs w:val="32"/>
        </w:rPr>
      </w:pPr>
      <w:r>
        <w:rPr>
          <w:rFonts w:hint="eastAsia" w:ascii="楷体_GB2312" w:hAnsi="楷体_GB2312" w:eastAsia="楷体_GB2312" w:cs="楷体_GB2312"/>
          <w:b/>
          <w:sz w:val="32"/>
          <w:szCs w:val="32"/>
        </w:rPr>
        <w:t>（四）政府采购情况</w:t>
      </w: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rPr>
        <w:t>2022年本单位政府采购预算总额1.5万元，其中，货物类采购预算1.5万元；工程类采购预算0万元；服务类采购预算0万元。</w:t>
      </w:r>
    </w:p>
    <w:p>
      <w:pPr>
        <w:ind w:firstLine="643" w:firstLineChars="200"/>
        <w:rPr>
          <w:rFonts w:ascii="仿宋_GB2312" w:hAnsi="仿宋_GB2312" w:eastAsia="仿宋_GB2312" w:cs="仿宋_GB2312"/>
          <w:bCs/>
          <w:kern w:val="0"/>
          <w:sz w:val="32"/>
          <w:szCs w:val="32"/>
        </w:rPr>
      </w:pPr>
      <w:r>
        <w:rPr>
          <w:rFonts w:hint="eastAsia" w:ascii="楷体_GB2312" w:hAnsi="楷体_GB2312" w:eastAsia="楷体_GB2312" w:cs="楷体_GB2312"/>
          <w:b/>
          <w:sz w:val="32"/>
          <w:szCs w:val="32"/>
        </w:rPr>
        <w:t>（五）国有资产占用使用及新增资产配置情况</w:t>
      </w: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rPr>
        <w:t>截至2021年12月底，本单位</w:t>
      </w:r>
      <w:r>
        <w:rPr>
          <w:rFonts w:hint="eastAsia" w:ascii="仿宋_GB2312" w:hAnsi="仿宋_GB2312" w:eastAsia="仿宋_GB2312" w:cs="仿宋_GB2312"/>
          <w:bCs/>
          <w:kern w:val="0"/>
          <w:sz w:val="32"/>
          <w:szCs w:val="32"/>
        </w:rPr>
        <w:t>共有公务用车0辆，其中，机要通信用车0辆，应急保障用车0辆，执法执勤用车0辆，特种专业技术用车0辆，其他按照规定配备的公务用车0辆；单位价值50万元以上通用设备0台，单位价值100万元以上专用设备0台。2022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ind w:firstLine="643" w:firstLineChars="200"/>
        <w:rPr>
          <w:rFonts w:ascii="仿宋_GB2312" w:hAnsi="仿宋_GB2312" w:eastAsia="仿宋_GB2312" w:cs="仿宋_GB2312"/>
          <w:bCs/>
          <w:kern w:val="0"/>
          <w:sz w:val="32"/>
          <w:szCs w:val="32"/>
        </w:rPr>
      </w:pPr>
      <w:r>
        <w:rPr>
          <w:rFonts w:hint="eastAsia" w:ascii="楷体_GB2312" w:hAnsi="楷体_GB2312" w:eastAsia="楷体_GB2312" w:cs="楷体_GB2312"/>
          <w:b/>
          <w:bCs/>
          <w:kern w:val="0"/>
          <w:sz w:val="32"/>
          <w:szCs w:val="32"/>
        </w:rPr>
        <w:t>（六）预算绩效目标说明</w:t>
      </w:r>
      <w:r>
        <w:rPr>
          <w:rFonts w:hint="eastAsia" w:ascii="楷体_GB2312" w:hAnsi="楷体_GB2312" w:eastAsia="楷体_GB2312" w:cs="楷体_GB2312"/>
          <w:bCs/>
          <w:kern w:val="0"/>
          <w:sz w:val="32"/>
          <w:szCs w:val="32"/>
        </w:rPr>
        <w:t>：</w:t>
      </w:r>
      <w:r>
        <w:rPr>
          <w:rFonts w:hint="eastAsia" w:ascii="仿宋_GB2312" w:hAnsi="仿宋_GB2312" w:eastAsia="仿宋_GB2312" w:cs="仿宋_GB2312"/>
          <w:bCs/>
          <w:kern w:val="0"/>
          <w:sz w:val="32"/>
          <w:szCs w:val="32"/>
        </w:rPr>
        <w:t>本单位所有支出实行绩效目标管理。纳入2022年单位整体支出绩效目标的金额1793.79万元，其中，基本支出1581.5万元，项目支出212.29万元，具体绩效目标详见报表。</w:t>
      </w:r>
    </w:p>
    <w:p>
      <w:pPr>
        <w:ind w:firstLine="640" w:firstLineChars="200"/>
        <w:rPr>
          <w:rFonts w:ascii="黑体" w:hAnsi="黑体" w:eastAsia="黑体" w:cs="黑体"/>
          <w:bCs/>
          <w:kern w:val="0"/>
          <w:sz w:val="32"/>
          <w:szCs w:val="32"/>
        </w:rPr>
      </w:pPr>
      <w:r>
        <w:rPr>
          <w:rFonts w:hint="eastAsia" w:ascii="黑体" w:hAnsi="黑体" w:eastAsia="黑体" w:cs="黑体"/>
          <w:bCs/>
          <w:kern w:val="0"/>
          <w:sz w:val="32"/>
          <w:szCs w:val="32"/>
        </w:rPr>
        <w:t>六、名词解释</w:t>
      </w:r>
    </w:p>
    <w:p>
      <w:pPr>
        <w:ind w:firstLine="643" w:firstLineChars="200"/>
        <w:rPr>
          <w:rFonts w:ascii="仿宋_GB2312" w:hAnsi="仿宋_GB2312" w:eastAsia="仿宋_GB2312" w:cs="仿宋_GB2312"/>
          <w:sz w:val="32"/>
          <w:szCs w:val="32"/>
        </w:rPr>
      </w:pPr>
      <w:r>
        <w:rPr>
          <w:rFonts w:hint="eastAsia" w:ascii="楷体_GB2312" w:hAnsi="楷体_GB2312" w:eastAsia="楷体_GB2312" w:cs="楷体_GB2312"/>
          <w:b/>
          <w:bCs/>
          <w:sz w:val="32"/>
          <w:szCs w:val="32"/>
        </w:rPr>
        <w:t>1、机关运行经费</w:t>
      </w:r>
      <w:r>
        <w:rPr>
          <w:rFonts w:hint="eastAsia" w:ascii="仿宋_GB2312" w:hAnsi="仿宋_GB2312" w:eastAsia="仿宋_GB2312" w:cs="仿宋_GB2312"/>
          <w:sz w:val="32"/>
          <w:szCs w:val="32"/>
        </w:rPr>
        <w:t>：是指各单位的公用经费，包括办公及印刷费、邮电费、差旅费、会议费、福利费、日常维修费、专用资料及一般设备购置费、办公用房水电费、办公用房取暖费、办公用房物业管理费、公务用车运行维护费以及其他费用。</w:t>
      </w:r>
    </w:p>
    <w:p>
      <w:pPr>
        <w:ind w:firstLine="643" w:firstLineChars="200"/>
        <w:rPr>
          <w:rFonts w:ascii="仿宋_GB2312" w:hAnsi="仿宋_GB2312" w:eastAsia="仿宋_GB2312" w:cs="仿宋_GB2312"/>
          <w:sz w:val="32"/>
          <w:szCs w:val="32"/>
        </w:rPr>
      </w:pPr>
      <w:r>
        <w:rPr>
          <w:rFonts w:hint="eastAsia" w:ascii="楷体_GB2312" w:hAnsi="楷体_GB2312" w:eastAsia="楷体_GB2312" w:cs="楷体_GB2312"/>
          <w:b/>
          <w:bCs/>
          <w:sz w:val="32"/>
          <w:szCs w:val="32"/>
        </w:rPr>
        <w:t>2、“三公”经费：</w:t>
      </w:r>
      <w:r>
        <w:rPr>
          <w:rFonts w:hint="eastAsia" w:ascii="仿宋_GB2312" w:hAnsi="仿宋_GB2312" w:eastAsia="仿宋_GB2312" w:cs="仿宋_GB2312"/>
          <w:sz w:val="32"/>
          <w:szCs w:val="32"/>
        </w:rPr>
        <w:t>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rPr>
          <w:rFonts w:ascii="仿宋_GB2312" w:hAnsi="仿宋_GB2312" w:eastAsia="仿宋_GB2312" w:cs="仿宋_GB2312"/>
          <w:sz w:val="32"/>
          <w:szCs w:val="32"/>
        </w:rPr>
      </w:pPr>
    </w:p>
    <w:p>
      <w:pPr>
        <w:rPr>
          <w:rFonts w:ascii="仿宋_GB2312" w:hAnsi="仿宋_GB2312" w:eastAsia="仿宋_GB2312" w:cs="仿宋_GB2312"/>
          <w:sz w:val="32"/>
          <w:szCs w:val="32"/>
        </w:rPr>
      </w:pPr>
    </w:p>
    <w:p>
      <w:pPr>
        <w:spacing w:line="600" w:lineRule="exact"/>
        <w:jc w:val="center"/>
        <w:rPr>
          <w:rFonts w:eastAsia="方正小标宋_GBK"/>
          <w:bCs/>
          <w:kern w:val="0"/>
          <w:sz w:val="36"/>
          <w:szCs w:val="36"/>
        </w:rPr>
      </w:pPr>
      <w:r>
        <w:rPr>
          <w:rFonts w:hint="eastAsia" w:ascii="方正小标宋简体" w:hAnsi="方正小标宋简体" w:eastAsia="方正小标宋简体" w:cs="方正小标宋简体"/>
          <w:bCs/>
          <w:kern w:val="0"/>
          <w:sz w:val="44"/>
          <w:szCs w:val="44"/>
        </w:rPr>
        <w:t>第二部分 2021年单位预算表（见附表）</w:t>
      </w:r>
    </w:p>
    <w:p/>
    <w:sectPr>
      <w:footerReference r:id="rId3" w:type="default"/>
      <w:pgSz w:w="11906" w:h="16838"/>
      <w:pgMar w:top="2041" w:right="1587" w:bottom="1474" w:left="1587" w:header="851" w:footer="1134" w:gutter="0"/>
      <w:cols w:space="0" w:num="1"/>
      <w:docGrid w:type="lines" w:linePitch="28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ind w:left="210" w:leftChars="100" w:right="210" w:rightChars="1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snapToGrid w:val="0"/>
                      <w:ind w:left="210" w:leftChars="100" w:right="210" w:rightChars="1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4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420"/>
    <w:rsid w:val="00025CE1"/>
    <w:rsid w:val="00094488"/>
    <w:rsid w:val="000C0DA3"/>
    <w:rsid w:val="001B0FDC"/>
    <w:rsid w:val="001C3202"/>
    <w:rsid w:val="00461037"/>
    <w:rsid w:val="004C3DF0"/>
    <w:rsid w:val="00510EA4"/>
    <w:rsid w:val="0058319E"/>
    <w:rsid w:val="00622D5F"/>
    <w:rsid w:val="0065088F"/>
    <w:rsid w:val="006C3218"/>
    <w:rsid w:val="00871420"/>
    <w:rsid w:val="00A15D53"/>
    <w:rsid w:val="00BB0693"/>
    <w:rsid w:val="00CF20AA"/>
    <w:rsid w:val="00D101C2"/>
    <w:rsid w:val="00E61E3A"/>
    <w:rsid w:val="03A23B9E"/>
    <w:rsid w:val="05D823CE"/>
    <w:rsid w:val="05DC3C22"/>
    <w:rsid w:val="061211D7"/>
    <w:rsid w:val="072C4092"/>
    <w:rsid w:val="082D06ED"/>
    <w:rsid w:val="08AB0FFC"/>
    <w:rsid w:val="09A06788"/>
    <w:rsid w:val="0D055639"/>
    <w:rsid w:val="0D471888"/>
    <w:rsid w:val="1373733C"/>
    <w:rsid w:val="143E4338"/>
    <w:rsid w:val="160B6780"/>
    <w:rsid w:val="18231C45"/>
    <w:rsid w:val="1A7E2761"/>
    <w:rsid w:val="215D5D66"/>
    <w:rsid w:val="225E2552"/>
    <w:rsid w:val="24402A3F"/>
    <w:rsid w:val="26C9366D"/>
    <w:rsid w:val="273907D1"/>
    <w:rsid w:val="2824647A"/>
    <w:rsid w:val="2B896D1D"/>
    <w:rsid w:val="2C060066"/>
    <w:rsid w:val="2CAF5C72"/>
    <w:rsid w:val="2EE66EA2"/>
    <w:rsid w:val="2F326866"/>
    <w:rsid w:val="313B34D4"/>
    <w:rsid w:val="33BC4204"/>
    <w:rsid w:val="34F2763E"/>
    <w:rsid w:val="36A53876"/>
    <w:rsid w:val="36D70BC7"/>
    <w:rsid w:val="371C66BF"/>
    <w:rsid w:val="39E900D7"/>
    <w:rsid w:val="3C16078B"/>
    <w:rsid w:val="3ED07C80"/>
    <w:rsid w:val="41F42EB2"/>
    <w:rsid w:val="45D43EAB"/>
    <w:rsid w:val="45F62FD4"/>
    <w:rsid w:val="47225DDD"/>
    <w:rsid w:val="47887216"/>
    <w:rsid w:val="478F4A51"/>
    <w:rsid w:val="47C178DA"/>
    <w:rsid w:val="49C35423"/>
    <w:rsid w:val="4B890C66"/>
    <w:rsid w:val="4F2149CB"/>
    <w:rsid w:val="4F6C3BBE"/>
    <w:rsid w:val="53342035"/>
    <w:rsid w:val="53B40D38"/>
    <w:rsid w:val="53D7657F"/>
    <w:rsid w:val="56100ACE"/>
    <w:rsid w:val="57090F8F"/>
    <w:rsid w:val="57650246"/>
    <w:rsid w:val="59AD75E6"/>
    <w:rsid w:val="59F37F30"/>
    <w:rsid w:val="5BB73033"/>
    <w:rsid w:val="5D1A1C2C"/>
    <w:rsid w:val="5D216DD3"/>
    <w:rsid w:val="5DB81457"/>
    <w:rsid w:val="622E1956"/>
    <w:rsid w:val="625039D8"/>
    <w:rsid w:val="62757D15"/>
    <w:rsid w:val="6365583D"/>
    <w:rsid w:val="65920EE9"/>
    <w:rsid w:val="65E379BF"/>
    <w:rsid w:val="68B71FF3"/>
    <w:rsid w:val="69887FFD"/>
    <w:rsid w:val="6A7A1901"/>
    <w:rsid w:val="6BCE2EAF"/>
    <w:rsid w:val="6C280D18"/>
    <w:rsid w:val="6EC14DD0"/>
    <w:rsid w:val="70751703"/>
    <w:rsid w:val="719855E1"/>
    <w:rsid w:val="73342C3B"/>
    <w:rsid w:val="772A6655"/>
    <w:rsid w:val="77442F66"/>
    <w:rsid w:val="777B2C58"/>
    <w:rsid w:val="78140262"/>
    <w:rsid w:val="7AFA5482"/>
    <w:rsid w:val="7B131686"/>
    <w:rsid w:val="7D0D010D"/>
    <w:rsid w:val="7EC25B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kern w:val="0"/>
      <w:sz w:val="24"/>
    </w:rPr>
  </w:style>
  <w:style w:type="character" w:customStyle="1" w:styleId="7">
    <w:name w:val="页眉 Char"/>
    <w:basedOn w:val="6"/>
    <w:link w:val="3"/>
    <w:semiHidden/>
    <w:qFormat/>
    <w:uiPriority w:val="99"/>
    <w:rPr>
      <w:kern w:val="2"/>
      <w:sz w:val="18"/>
      <w:szCs w:val="18"/>
    </w:rPr>
  </w:style>
  <w:style w:type="character" w:customStyle="1" w:styleId="8">
    <w:name w:val="页脚 Char"/>
    <w:basedOn w:val="6"/>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421</Words>
  <Characters>2402</Characters>
  <Lines>20</Lines>
  <Paragraphs>5</Paragraphs>
  <TotalTime>0</TotalTime>
  <ScaleCrop>false</ScaleCrop>
  <LinksUpToDate>false</LinksUpToDate>
  <CharactersWithSpaces>2818</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2023-09-23T07:30:00Z</dcterms:created>
  <dc:creator>asus</dc:creator>
  <cp:lastModifiedBy>admin</cp:lastModifiedBy>
  <cp:lastPrinted>2022-02-14T01:20:00Z</cp:lastPrinted>
  <dcterms:modified xsi:type="dcterms:W3CDTF">2023-09-26T07:47:47Z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