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0"/>
          <w:szCs w:val="40"/>
        </w:rPr>
      </w:pPr>
      <w:r>
        <w:rPr>
          <w:rFonts w:hint="eastAsia" w:eastAsia="方正小标宋_GBK"/>
          <w:bCs/>
          <w:kern w:val="0"/>
          <w:sz w:val="40"/>
          <w:szCs w:val="40"/>
        </w:rPr>
        <w:t>2021年湖南省游泳运动管理中心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湖南省游泳运动管理中心是湖南省体育局二级机构，属于全额拨款事业单位，主要职能是运动队训练、竞赛，</w:t>
      </w:r>
      <w:r>
        <w:rPr>
          <w:rFonts w:hint="eastAsia" w:ascii="仿宋_GB2312" w:hAnsi="仿宋" w:eastAsia="仿宋_GB2312"/>
          <w:sz w:val="32"/>
          <w:szCs w:val="32"/>
        </w:rPr>
        <w:t>是培养、输送高质量体育人才的摇篮和专业优秀运动队训练基地。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湖南省游泳运动管理中心（原机构名：湖南省游泳跳水运动管理中心）于2003年1月25日正式批准成立,</w:t>
      </w:r>
      <w:r>
        <w:rPr>
          <w:rFonts w:hint="eastAsia" w:eastAsia="仿宋_GB2312"/>
          <w:sz w:val="32"/>
          <w:szCs w:val="32"/>
        </w:rPr>
        <w:t>设立有省游泳队、跳水队、花样游泳队、男子水球队、女子水球队五支运动队伍，下设办公室、工会、训练科、后勤财务科、场馆培训部、游泳学校、膳食科、保卫科八个部门。</w:t>
      </w:r>
    </w:p>
    <w:p>
      <w:pPr>
        <w:widowControl/>
        <w:numPr>
          <w:ilvl w:val="0"/>
          <w:numId w:val="2"/>
        </w:numPr>
        <w:spacing w:line="600" w:lineRule="exact"/>
        <w:ind w:firstLine="627" w:firstLineChars="196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单位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预算单位构成</w:t>
      </w:r>
    </w:p>
    <w:p>
      <w:pPr>
        <w:widowControl/>
        <w:numPr>
          <w:ilvl w:val="0"/>
          <w:numId w:val="0"/>
        </w:numPr>
        <w:spacing w:line="600" w:lineRule="exact"/>
        <w:rPr>
          <w:rFonts w:hint="default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eastAsia="仿宋_GB2312"/>
          <w:sz w:val="32"/>
          <w:szCs w:val="32"/>
          <w:lang w:val="en-US" w:eastAsia="zh-CN"/>
        </w:rPr>
        <w:t>本单位预算仅含本级预算。</w:t>
      </w:r>
    </w:p>
    <w:p>
      <w:pPr>
        <w:widowControl/>
        <w:spacing w:line="600" w:lineRule="exact"/>
        <w:ind w:firstLine="627" w:firstLineChars="196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4243.5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2772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</w:rPr>
        <w:t>961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上级财政补助收入225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，上年结转结余285.5</w:t>
      </w:r>
      <w:r>
        <w:rPr>
          <w:rFonts w:eastAsia="仿宋_GB2312"/>
          <w:sz w:val="32"/>
          <w:szCs w:val="32"/>
        </w:rPr>
        <w:t>万元。收入较去年减少</w:t>
      </w:r>
      <w:r>
        <w:rPr>
          <w:rFonts w:hint="eastAsia" w:eastAsia="仿宋_GB2312"/>
          <w:sz w:val="32"/>
          <w:szCs w:val="32"/>
        </w:rPr>
        <w:t>268.89</w:t>
      </w:r>
      <w:r>
        <w:rPr>
          <w:rFonts w:eastAsia="仿宋_GB2312"/>
          <w:sz w:val="32"/>
          <w:szCs w:val="32"/>
        </w:rPr>
        <w:t>万元，主要是一般公共预算拨款</w:t>
      </w:r>
      <w:r>
        <w:rPr>
          <w:rFonts w:hint="eastAsia" w:eastAsia="仿宋_GB2312"/>
          <w:sz w:val="32"/>
          <w:szCs w:val="32"/>
        </w:rPr>
        <w:t>减少132.39万元，政府性基金拨款减少332万元，上级财政补助收入减少90万元，上年结转结余增加285.5万元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4243.5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文化旅游体育与传媒支出2830.5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社会保障和就业支出206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95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，住房保障支出151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其他支出961</w:t>
      </w:r>
      <w:r>
        <w:rPr>
          <w:rFonts w:eastAsia="仿宋_GB2312"/>
          <w:sz w:val="32"/>
          <w:szCs w:val="32"/>
        </w:rPr>
        <w:t>万元。支出较去年减少</w:t>
      </w:r>
      <w:r>
        <w:rPr>
          <w:rFonts w:hint="eastAsia" w:eastAsia="仿宋_GB2312"/>
          <w:sz w:val="32"/>
          <w:szCs w:val="32"/>
        </w:rPr>
        <w:t>268.89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是文化旅游体育与传媒支出增加59.11万元，社会保障和就业支出增加6万元，住房保障支出增加1万元，卫生健康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增加95万元，其他支出减少430万元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3282.5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2830.5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86.23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社会保障和就业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206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6.28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卫生健康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95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2.89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住房保障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151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4.6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2472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810.5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运动项目管理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64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综治奖</w:t>
      </w:r>
      <w:r>
        <w:rPr>
          <w:rFonts w:eastAsia="仿宋_GB2312"/>
          <w:sz w:val="32"/>
          <w:szCs w:val="32"/>
        </w:rPr>
        <w:t>方面；</w:t>
      </w:r>
      <w:r>
        <w:rPr>
          <w:rFonts w:hint="eastAsia" w:eastAsia="仿宋_GB2312"/>
          <w:sz w:val="32"/>
          <w:szCs w:val="32"/>
        </w:rPr>
        <w:t>体育竞赛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230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备战奥运会、备战全运会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体育场馆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259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场馆运行与免低开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其他体育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60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运动员常年赛成绩奖</w:t>
      </w:r>
      <w:r>
        <w:rPr>
          <w:rFonts w:eastAsia="仿宋_GB2312"/>
          <w:sz w:val="32"/>
          <w:szCs w:val="32"/>
        </w:rPr>
        <w:t>方面；</w:t>
      </w:r>
      <w:r>
        <w:rPr>
          <w:rFonts w:hint="eastAsia" w:eastAsia="仿宋_GB2312"/>
          <w:sz w:val="32"/>
          <w:szCs w:val="32"/>
        </w:rPr>
        <w:t>其他文化旅游体育与传媒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197.5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游泳馆维修改造及设备购置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961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其他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961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%。具体安排情况如下：</w:t>
      </w:r>
      <w:r>
        <w:rPr>
          <w:rFonts w:hint="eastAsia" w:eastAsia="仿宋_GB2312"/>
          <w:sz w:val="32"/>
          <w:szCs w:val="32"/>
        </w:rPr>
        <w:t>人才引进支出84万元，主要用于优秀教练员引进等方面；训练经费（春节慰问）支出10万元，主要用于运动队春节慰问等方面；办赛费用支出10万元，主要用于承办全国女子水球冠军赛等方面；集训调标支出181万元、尖子灶调标支出9万元，主要用于集训运动员与尖子灶运动员伙食费等方面；医疗后勤保障支出30万元，主要用于支付运动员师大上课费用等方面；保障支出30万元，主要用于运动队训练、参赛竞赛保障等方面；游泳活动进校园活动支出10万元，主要用于举办游泳活动进校园活动等方面；2021年湖南省群众游泳比赛支出20万元，主要用于举办2021年湖南省群众游泳比赛等方面；游泳训练综合馆建设支出455万元，主要用于游泳场馆运行维修与设备购置等方面；高端人才激励费支出102万元，主要用于高端人才引进等方面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0.1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万元。2021年“三公”经费预算较上年持平。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2021年本单位会议费预算0万元，拟召开0会议，人数0人；培训费预算0万元，拟开展0培训，人数0人；拟举办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kern w:val="0"/>
          <w:sz w:val="32"/>
          <w:szCs w:val="32"/>
        </w:rPr>
        <w:t>节庆、晚会、论坛、赛事活动，经费预算0万元。</w:t>
      </w:r>
    </w:p>
    <w:p>
      <w:pPr>
        <w:widowControl/>
        <w:spacing w:line="600" w:lineRule="exact"/>
        <w:ind w:firstLine="434" w:firstLineChars="13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6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6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4243.5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2472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1771.5</w:t>
      </w:r>
      <w:r>
        <w:rPr>
          <w:rFonts w:eastAsia="仿宋_GB2312"/>
          <w:bCs/>
          <w:kern w:val="0"/>
          <w:sz w:val="32"/>
          <w:szCs w:val="32"/>
        </w:rPr>
        <w:t>万元</w:t>
      </w:r>
      <w:r>
        <w:rPr>
          <w:rFonts w:hint="eastAsia"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BBC53A"/>
    <w:multiLevelType w:val="singleLevel"/>
    <w:tmpl w:val="DFBBC53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341498E"/>
    <w:multiLevelType w:val="singleLevel"/>
    <w:tmpl w:val="7341498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420"/>
    <w:rsid w:val="00025CE1"/>
    <w:rsid w:val="00094488"/>
    <w:rsid w:val="000C0DA3"/>
    <w:rsid w:val="0019675B"/>
    <w:rsid w:val="001B0FDC"/>
    <w:rsid w:val="001C3202"/>
    <w:rsid w:val="001D4185"/>
    <w:rsid w:val="002B480F"/>
    <w:rsid w:val="00443FDE"/>
    <w:rsid w:val="00510EA4"/>
    <w:rsid w:val="00622D5F"/>
    <w:rsid w:val="00625C89"/>
    <w:rsid w:val="006C3218"/>
    <w:rsid w:val="00761C50"/>
    <w:rsid w:val="007C1C49"/>
    <w:rsid w:val="00871420"/>
    <w:rsid w:val="009E5F5F"/>
    <w:rsid w:val="00CF20AA"/>
    <w:rsid w:val="00D11F31"/>
    <w:rsid w:val="00E61E3A"/>
    <w:rsid w:val="02BC3F31"/>
    <w:rsid w:val="0467472E"/>
    <w:rsid w:val="078D4AB8"/>
    <w:rsid w:val="0A963B71"/>
    <w:rsid w:val="171307D3"/>
    <w:rsid w:val="18BC7D4F"/>
    <w:rsid w:val="1A243735"/>
    <w:rsid w:val="1E9C46A5"/>
    <w:rsid w:val="1EC707B1"/>
    <w:rsid w:val="20AC0FEC"/>
    <w:rsid w:val="20D50AEC"/>
    <w:rsid w:val="252926B0"/>
    <w:rsid w:val="2A1642B6"/>
    <w:rsid w:val="2E7F494F"/>
    <w:rsid w:val="2F375A4B"/>
    <w:rsid w:val="2F5474E4"/>
    <w:rsid w:val="311A48DB"/>
    <w:rsid w:val="374B472A"/>
    <w:rsid w:val="45456B72"/>
    <w:rsid w:val="47FB2B6A"/>
    <w:rsid w:val="49916536"/>
    <w:rsid w:val="4A3B0645"/>
    <w:rsid w:val="4A843199"/>
    <w:rsid w:val="4A8A57D9"/>
    <w:rsid w:val="4AC61092"/>
    <w:rsid w:val="4DF16DA6"/>
    <w:rsid w:val="4F3C1D68"/>
    <w:rsid w:val="52C54C79"/>
    <w:rsid w:val="58EB7520"/>
    <w:rsid w:val="5C560789"/>
    <w:rsid w:val="62425F01"/>
    <w:rsid w:val="6604581B"/>
    <w:rsid w:val="6A0271CE"/>
    <w:rsid w:val="6BF33EB2"/>
    <w:rsid w:val="6C007C1A"/>
    <w:rsid w:val="6C543BD3"/>
    <w:rsid w:val="6FF47406"/>
    <w:rsid w:val="70A017B8"/>
    <w:rsid w:val="74611F97"/>
    <w:rsid w:val="75947A61"/>
    <w:rsid w:val="78506734"/>
    <w:rsid w:val="78AB40D0"/>
    <w:rsid w:val="7BA91797"/>
    <w:rsid w:val="7ECD7A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465</Words>
  <Characters>2654</Characters>
  <Lines>22</Lines>
  <Paragraphs>6</Paragraphs>
  <TotalTime>4</TotalTime>
  <ScaleCrop>false</ScaleCrop>
  <LinksUpToDate>false</LinksUpToDate>
  <CharactersWithSpaces>3113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caiwus</cp:lastModifiedBy>
  <dcterms:modified xsi:type="dcterms:W3CDTF">2022-09-02T00:37:31Z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