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湖南省举重运动管理中心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43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</w:t>
      </w:r>
      <w:r>
        <w:rPr>
          <w:rFonts w:eastAsia="楷体_GB2312"/>
          <w:b/>
          <w:sz w:val="32"/>
          <w:szCs w:val="32"/>
        </w:rPr>
        <w:t>职能职责。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1.负责本省举重项目培训工作、运动训练、竞赛及运动队管理工作。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2.认真贯彻执行本省体育局的管理方针、政策，定制管理中心产业的总体发展规划和管理制度。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3.指导举重运动，促进体育事业的发展，负责举重项目的发展。组织全省及国内重大比赛，负责裁判员、运动员等级审批。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4.负责本省举重运动员队伍建设工作,协同有关部门严把选招运动员进队(校)关;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0" w:firstLineChars="2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5.完成省体育局领导交办的其他工作任务。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80"/>
        <w:jc w:val="both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8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内设机构4个（分别为办公室、竞训科、后勤科、培训部)。</w:t>
      </w:r>
    </w:p>
    <w:p>
      <w:pPr>
        <w:widowControl/>
        <w:numPr>
          <w:ilvl w:val="0"/>
          <w:numId w:val="1"/>
        </w:numPr>
        <w:spacing w:line="600" w:lineRule="exact"/>
        <w:ind w:firstLine="660"/>
        <w:jc w:val="left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单位预算单位构成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本单位预算仅含本级预算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</w:t>
      </w:r>
      <w:r>
        <w:rPr>
          <w:rFonts w:hint="eastAsia" w:eastAsia="黑体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2021年本单位收入预算</w:t>
      </w:r>
      <w:r>
        <w:rPr>
          <w:rFonts w:hint="eastAsia" w:eastAsia="仿宋_GB2312"/>
          <w:sz w:val="32"/>
          <w:szCs w:val="32"/>
        </w:rPr>
        <w:t xml:space="preserve">2355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 xml:space="preserve">1647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包含经费拨款</w:t>
      </w:r>
      <w:r>
        <w:rPr>
          <w:rFonts w:hint="eastAsia" w:eastAsia="仿宋_GB2312"/>
          <w:sz w:val="32"/>
          <w:szCs w:val="32"/>
        </w:rPr>
        <w:t>1647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万元；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政府性基金预算拨款</w:t>
      </w:r>
      <w:r>
        <w:rPr>
          <w:rFonts w:hint="eastAsia" w:eastAsia="仿宋_GB2312"/>
          <w:sz w:val="32"/>
          <w:szCs w:val="32"/>
        </w:rPr>
        <w:t xml:space="preserve">708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万元。收入较去年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增加了</w:t>
      </w:r>
      <w:r>
        <w:rPr>
          <w:rFonts w:hint="eastAsia" w:eastAsia="仿宋_GB2312"/>
          <w:sz w:val="32"/>
          <w:szCs w:val="32"/>
        </w:rPr>
        <w:t xml:space="preserve">342.83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是一般公共预算财政拨款收入增加了</w:t>
      </w:r>
      <w:r>
        <w:rPr>
          <w:rFonts w:hint="eastAsia" w:eastAsia="仿宋_GB2312"/>
          <w:sz w:val="32"/>
          <w:szCs w:val="32"/>
        </w:rPr>
        <w:t>185.11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政府性基金预算拨款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增加 </w:t>
      </w:r>
      <w:r>
        <w:rPr>
          <w:rFonts w:hint="eastAsia" w:eastAsia="仿宋_GB2312"/>
          <w:sz w:val="32"/>
          <w:szCs w:val="32"/>
        </w:rPr>
        <w:t xml:space="preserve">157.72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2355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万元，其中，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文化旅游体育与传媒支出</w:t>
      </w:r>
      <w:r>
        <w:rPr>
          <w:rFonts w:hint="eastAsia" w:eastAsia="仿宋_GB2312"/>
          <w:sz w:val="32"/>
          <w:szCs w:val="32"/>
        </w:rPr>
        <w:t xml:space="preserve">1518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万元，社会保障和就业支出 </w:t>
      </w:r>
      <w:r>
        <w:rPr>
          <w:rFonts w:hint="eastAsia" w:eastAsia="仿宋_GB2312"/>
          <w:sz w:val="32"/>
          <w:szCs w:val="32"/>
        </w:rPr>
        <w:t>44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万元，住房保障支出</w:t>
      </w:r>
      <w:r>
        <w:rPr>
          <w:rFonts w:hint="eastAsia" w:eastAsia="仿宋_GB2312"/>
          <w:sz w:val="32"/>
          <w:szCs w:val="32"/>
        </w:rPr>
        <w:t>85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万元，其他支出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（用于体育事业的彩票公益金支出）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708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。支出较去年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增加了</w:t>
      </w:r>
      <w:r>
        <w:rPr>
          <w:rFonts w:hint="eastAsia" w:eastAsia="仿宋_GB2312"/>
          <w:sz w:val="32"/>
          <w:szCs w:val="32"/>
        </w:rPr>
        <w:t xml:space="preserve"> 342.83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万元，主要是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文化旅游体育与传媒支出增加了 </w:t>
      </w:r>
      <w:r>
        <w:rPr>
          <w:rFonts w:hint="eastAsia" w:eastAsia="仿宋_GB2312"/>
          <w:sz w:val="32"/>
          <w:szCs w:val="32"/>
        </w:rPr>
        <w:t xml:space="preserve">216.11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万元，住房保障支出增加了</w:t>
      </w:r>
      <w:r>
        <w:rPr>
          <w:rFonts w:hint="eastAsia" w:eastAsia="仿宋_GB2312"/>
          <w:sz w:val="32"/>
          <w:szCs w:val="32"/>
        </w:rPr>
        <w:t xml:space="preserve"> 5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万元，其他支出增加了 </w:t>
      </w:r>
      <w:r>
        <w:rPr>
          <w:rFonts w:hint="eastAsia" w:eastAsia="仿宋_GB2312"/>
          <w:sz w:val="32"/>
          <w:szCs w:val="32"/>
        </w:rPr>
        <w:t>157.72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万元，社会保障和就业支出减少了</w:t>
      </w:r>
      <w:r>
        <w:rPr>
          <w:rFonts w:hint="eastAsia" w:eastAsia="仿宋_GB2312"/>
          <w:sz w:val="32"/>
          <w:szCs w:val="32"/>
        </w:rPr>
        <w:t xml:space="preserve"> 36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1647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万元，其中，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文化旅游体育与传媒支出 </w:t>
      </w:r>
      <w:r>
        <w:rPr>
          <w:rFonts w:hint="eastAsia" w:eastAsia="仿宋_GB2312"/>
          <w:sz w:val="32"/>
          <w:szCs w:val="32"/>
        </w:rPr>
        <w:t>1518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万元，占</w:t>
      </w:r>
      <w:r>
        <w:rPr>
          <w:rFonts w:hint="eastAsia" w:eastAsia="仿宋_GB2312"/>
          <w:sz w:val="32"/>
          <w:szCs w:val="32"/>
        </w:rPr>
        <w:t>64.46%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</w:rPr>
        <w:t>44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1.87%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；住房保障支出</w:t>
      </w:r>
      <w:r>
        <w:rPr>
          <w:rFonts w:hint="eastAsia" w:eastAsia="仿宋_GB2312"/>
          <w:sz w:val="32"/>
          <w:szCs w:val="32"/>
        </w:rPr>
        <w:t>85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万元；占</w:t>
      </w:r>
      <w:r>
        <w:rPr>
          <w:rFonts w:hint="eastAsia" w:eastAsia="仿宋_GB2312"/>
          <w:sz w:val="32"/>
          <w:szCs w:val="32"/>
        </w:rPr>
        <w:t>3.61%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；其他支出</w:t>
      </w:r>
      <w:r>
        <w:rPr>
          <w:rFonts w:hint="eastAsia" w:eastAsia="仿宋_GB2312"/>
          <w:sz w:val="32"/>
          <w:szCs w:val="32"/>
        </w:rPr>
        <w:t>708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30.06%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 xml:space="preserve">1197.7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2021年本单位项目支出预算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449.3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万元，主要是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单位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常年比赛成绩奖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45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万元，主要用于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发放优秀运动员取得好成绩奖励支出；备战奥运会经费 </w:t>
      </w:r>
      <w:r>
        <w:rPr>
          <w:rFonts w:hint="eastAsia" w:eastAsia="仿宋_GB2312"/>
          <w:sz w:val="32"/>
          <w:szCs w:val="32"/>
        </w:rPr>
        <w:t>220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万元，主要是用于聘请国家队主教练、队医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等方面；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备战全运会 </w:t>
      </w:r>
      <w:r>
        <w:rPr>
          <w:rFonts w:hint="eastAsia" w:eastAsia="仿宋_GB2312"/>
          <w:sz w:val="32"/>
          <w:szCs w:val="32"/>
        </w:rPr>
        <w:t xml:space="preserve">180 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万元，主要用于大赛前运动员转训、购买服装、器材等支出；办公设购置</w:t>
      </w:r>
      <w:r>
        <w:rPr>
          <w:rFonts w:hint="eastAsia" w:eastAsia="仿宋_GB2312"/>
          <w:sz w:val="32"/>
          <w:szCs w:val="32"/>
        </w:rPr>
        <w:t>4.3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万元，主要用于购买办公电脑、打印机等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2021年本单位政府性基金支出预算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708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用于体育事业的彩票公益金支出</w:t>
      </w:r>
      <w:r>
        <w:rPr>
          <w:rFonts w:hint="eastAsia" w:eastAsia="仿宋_GB2312"/>
          <w:sz w:val="32"/>
          <w:szCs w:val="32"/>
        </w:rPr>
        <w:t>708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。具体安排情况如下：高端人才费 </w:t>
      </w:r>
      <w:r>
        <w:rPr>
          <w:rFonts w:hint="eastAsia" w:eastAsia="仿宋_GB2312"/>
          <w:sz w:val="32"/>
          <w:szCs w:val="32"/>
        </w:rPr>
        <w:t>607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万元；伙食费调标</w:t>
      </w:r>
      <w:r>
        <w:rPr>
          <w:rFonts w:hint="eastAsia" w:eastAsia="仿宋_GB2312"/>
          <w:sz w:val="32"/>
          <w:szCs w:val="32"/>
        </w:rPr>
        <w:t xml:space="preserve"> 65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万元；医疗后勤保障支出</w:t>
      </w:r>
      <w:r>
        <w:rPr>
          <w:rFonts w:hint="eastAsia" w:eastAsia="仿宋_GB2312"/>
          <w:sz w:val="32"/>
          <w:szCs w:val="32"/>
        </w:rPr>
        <w:t>30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万元，训练经费支出 </w:t>
      </w:r>
      <w:r>
        <w:rPr>
          <w:rFonts w:hint="eastAsia" w:eastAsia="仿宋_GB2312"/>
          <w:sz w:val="32"/>
          <w:szCs w:val="32"/>
        </w:rPr>
        <w:t>6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对全运会、奥运会运动员医疗后勤保障服务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43" w:firstLineChars="20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2021年本单位机关运行经费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万元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643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ascii="仿宋" w:hAnsi="仿宋" w:eastAsia="仿宋"/>
          <w:color w:val="333333"/>
          <w:sz w:val="32"/>
          <w:szCs w:val="32"/>
        </w:rPr>
        <w:t>2021年本单位“三公”经费预算数为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5.5</w:t>
      </w:r>
      <w:r>
        <w:rPr>
          <w:rFonts w:ascii="仿宋" w:hAnsi="仿宋" w:eastAsia="仿宋"/>
          <w:color w:val="333333"/>
          <w:sz w:val="32"/>
          <w:szCs w:val="32"/>
        </w:rPr>
        <w:t>万元，其中，公务接待费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0.5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  <w:r>
        <w:rPr>
          <w:rFonts w:ascii="仿宋" w:hAnsi="仿宋" w:eastAsia="仿宋"/>
          <w:color w:val="333333"/>
          <w:sz w:val="32"/>
          <w:szCs w:val="32"/>
        </w:rPr>
        <w:t>万元，公务用车购置及运行费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5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  <w:r>
        <w:rPr>
          <w:rFonts w:ascii="仿宋" w:hAnsi="仿宋" w:eastAsia="仿宋"/>
          <w:color w:val="333333"/>
          <w:sz w:val="32"/>
          <w:szCs w:val="32"/>
        </w:rPr>
        <w:t>万元（其中，公务用车购置费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</w:t>
      </w:r>
      <w:r>
        <w:rPr>
          <w:rFonts w:ascii="仿宋" w:hAnsi="仿宋" w:eastAsia="仿宋"/>
          <w:color w:val="333333"/>
          <w:sz w:val="32"/>
          <w:szCs w:val="32"/>
        </w:rPr>
        <w:t>万元，公务用车运行</w:t>
      </w:r>
      <w:r>
        <w:rPr>
          <w:rFonts w:hint="eastAsia" w:ascii="仿宋" w:hAnsi="仿宋" w:eastAsia="仿宋"/>
          <w:color w:val="333333"/>
          <w:sz w:val="32"/>
          <w:szCs w:val="32"/>
        </w:rPr>
        <w:t>维护</w:t>
      </w:r>
      <w:r>
        <w:rPr>
          <w:rFonts w:ascii="仿宋" w:hAnsi="仿宋" w:eastAsia="仿宋"/>
          <w:color w:val="333333"/>
          <w:sz w:val="32"/>
          <w:szCs w:val="32"/>
        </w:rPr>
        <w:t>费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5</w:t>
      </w:r>
      <w:r>
        <w:rPr>
          <w:rFonts w:ascii="仿宋" w:hAnsi="仿宋" w:eastAsia="仿宋"/>
          <w:color w:val="333333"/>
          <w:sz w:val="32"/>
          <w:szCs w:val="32"/>
        </w:rPr>
        <w:t>万元），因公出国（境）费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</w:t>
      </w:r>
      <w:r>
        <w:rPr>
          <w:rFonts w:ascii="仿宋" w:hAnsi="仿宋" w:eastAsia="仿宋"/>
          <w:color w:val="333333"/>
          <w:sz w:val="32"/>
          <w:szCs w:val="32"/>
        </w:rPr>
        <w:t>万元。2021年“三公”经费预算较上年减少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0.5</w:t>
      </w:r>
      <w:r>
        <w:rPr>
          <w:rFonts w:ascii="仿宋" w:hAnsi="仿宋" w:eastAsia="仿宋"/>
          <w:color w:val="333333"/>
          <w:sz w:val="32"/>
          <w:szCs w:val="32"/>
        </w:rPr>
        <w:t>万元，</w:t>
      </w:r>
      <w:r>
        <w:rPr>
          <w:rFonts w:hint="eastAsia" w:ascii="仿宋" w:hAnsi="仿宋" w:eastAsia="仿宋"/>
          <w:color w:val="333333"/>
          <w:sz w:val="32"/>
          <w:szCs w:val="32"/>
        </w:rPr>
        <w:t>下降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8.3%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，主要原因是：其一是继续推进厉行节约，严格财务制度，统筹合理安排支出项目，进一步压减公务接待费支出，公务接待费预算比上年减少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0.5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万元，下降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50%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；其二是加强对公务车辆的管理，严格控制公车使用，提高车辆使用效率，公务用车购置费为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</w:rPr>
        <w:t xml:space="preserve"> 万元。</w:t>
      </w:r>
      <w:r>
        <w:rPr>
          <w:rFonts w:ascii="仿宋" w:hAnsi="仿宋" w:eastAsia="仿宋"/>
          <w:color w:val="333333"/>
          <w:sz w:val="32"/>
          <w:szCs w:val="32"/>
        </w:rPr>
        <w:t xml:space="preserve"> 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人；培训费预算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人；拟举办</w:t>
      </w:r>
      <w:r>
        <w:rPr>
          <w:rFonts w:hint="eastAsia" w:eastAsia="仿宋_GB2312"/>
          <w:sz w:val="32"/>
          <w:szCs w:val="32"/>
        </w:rPr>
        <w:t>0等</w:t>
      </w:r>
      <w:r>
        <w:rPr>
          <w:rFonts w:hint="eastAsia" w:ascii="仿宋" w:hAnsi="仿宋" w:eastAsia="仿宋" w:cs="仿宋"/>
          <w:kern w:val="0"/>
          <w:sz w:val="32"/>
          <w:szCs w:val="32"/>
        </w:rPr>
        <w:t>节庆、晚会、论坛、赛事活动，经费预算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2021年本部门政府采购预算总额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4.3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4.3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万元；服务类采购预算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0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万元。</w:t>
      </w:r>
    </w:p>
    <w:p>
      <w:pPr>
        <w:widowControl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ascii="仿宋" w:hAnsi="仿宋" w:eastAsia="仿宋" w:cs="仿宋"/>
          <w:kern w:val="0"/>
          <w:sz w:val="32"/>
          <w:szCs w:val="32"/>
        </w:rPr>
        <w:t>截至2020年12月底，本单位共有公务用车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1</w:t>
      </w:r>
      <w:r>
        <w:rPr>
          <w:rFonts w:ascii="仿宋" w:hAnsi="仿宋" w:eastAsia="仿宋" w:cs="仿宋"/>
          <w:kern w:val="0"/>
          <w:sz w:val="32"/>
          <w:szCs w:val="32"/>
        </w:rPr>
        <w:t>辆，其中，机要通信用车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1</w:t>
      </w:r>
      <w:r>
        <w:rPr>
          <w:rFonts w:ascii="仿宋" w:hAnsi="仿宋" w:eastAsia="仿宋" w:cs="仿宋"/>
          <w:kern w:val="0"/>
          <w:sz w:val="32"/>
          <w:szCs w:val="32"/>
        </w:rPr>
        <w:t>辆；单位价值50万元以上通用设备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台。2021年拟新增配置公务用车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辆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  <w:r>
        <w:rPr>
          <w:rFonts w:ascii="仿宋" w:hAnsi="仿宋" w:eastAsia="仿宋" w:cs="仿宋"/>
          <w:kern w:val="0"/>
          <w:sz w:val="32"/>
          <w:szCs w:val="32"/>
        </w:rPr>
        <w:t>新增配备单位价值50万元以上通用设备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ascii="仿宋" w:hAnsi="仿宋" w:eastAsia="仿宋" w:cs="仿宋"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2355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万元，其中，基本支出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1197.7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1157.3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1、机关运行经费：是指各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单位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A2C75E"/>
    <w:multiLevelType w:val="singleLevel"/>
    <w:tmpl w:val="FEA2C75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lZTUzMmY0ZThhZmJiN2Q0ZmQ2NjA3YzE2ODc4OGQifQ=="/>
  </w:docVars>
  <w:rsids>
    <w:rsidRoot w:val="00871420"/>
    <w:rsid w:val="00025CE1"/>
    <w:rsid w:val="000466B3"/>
    <w:rsid w:val="000576B8"/>
    <w:rsid w:val="00067D0C"/>
    <w:rsid w:val="00083028"/>
    <w:rsid w:val="00094488"/>
    <w:rsid w:val="000C0DA3"/>
    <w:rsid w:val="000E4071"/>
    <w:rsid w:val="000F46C6"/>
    <w:rsid w:val="00101FAF"/>
    <w:rsid w:val="00192D50"/>
    <w:rsid w:val="001B0FDC"/>
    <w:rsid w:val="001C00B8"/>
    <w:rsid w:val="001C3202"/>
    <w:rsid w:val="0021655B"/>
    <w:rsid w:val="002255C1"/>
    <w:rsid w:val="00235A65"/>
    <w:rsid w:val="002647EF"/>
    <w:rsid w:val="00286FAE"/>
    <w:rsid w:val="002B1FD8"/>
    <w:rsid w:val="002B76D9"/>
    <w:rsid w:val="002C08ED"/>
    <w:rsid w:val="002C398B"/>
    <w:rsid w:val="002C5F07"/>
    <w:rsid w:val="002D6DEA"/>
    <w:rsid w:val="002D7276"/>
    <w:rsid w:val="002E5C3A"/>
    <w:rsid w:val="00363E81"/>
    <w:rsid w:val="0036444A"/>
    <w:rsid w:val="00375FDA"/>
    <w:rsid w:val="003B42D6"/>
    <w:rsid w:val="003D2B82"/>
    <w:rsid w:val="00416724"/>
    <w:rsid w:val="00433877"/>
    <w:rsid w:val="00461A03"/>
    <w:rsid w:val="00463CBB"/>
    <w:rsid w:val="00466F0A"/>
    <w:rsid w:val="0047771D"/>
    <w:rsid w:val="004777A0"/>
    <w:rsid w:val="004F66F9"/>
    <w:rsid w:val="00510EA4"/>
    <w:rsid w:val="005121D6"/>
    <w:rsid w:val="00516925"/>
    <w:rsid w:val="005239F5"/>
    <w:rsid w:val="0052561C"/>
    <w:rsid w:val="00534164"/>
    <w:rsid w:val="00576330"/>
    <w:rsid w:val="005A153A"/>
    <w:rsid w:val="005B42CE"/>
    <w:rsid w:val="005E5731"/>
    <w:rsid w:val="005F4162"/>
    <w:rsid w:val="005F4597"/>
    <w:rsid w:val="006059B8"/>
    <w:rsid w:val="00622D5F"/>
    <w:rsid w:val="00625579"/>
    <w:rsid w:val="00675EA2"/>
    <w:rsid w:val="006900EE"/>
    <w:rsid w:val="006B56CB"/>
    <w:rsid w:val="006C3218"/>
    <w:rsid w:val="007631BD"/>
    <w:rsid w:val="007753B0"/>
    <w:rsid w:val="007B572F"/>
    <w:rsid w:val="007B6A97"/>
    <w:rsid w:val="008066CC"/>
    <w:rsid w:val="00823B11"/>
    <w:rsid w:val="00835C63"/>
    <w:rsid w:val="00842924"/>
    <w:rsid w:val="00871420"/>
    <w:rsid w:val="00871C71"/>
    <w:rsid w:val="008815B4"/>
    <w:rsid w:val="008A05DA"/>
    <w:rsid w:val="008B1FFA"/>
    <w:rsid w:val="008C4A56"/>
    <w:rsid w:val="008D7645"/>
    <w:rsid w:val="008E655E"/>
    <w:rsid w:val="008F22B8"/>
    <w:rsid w:val="008F48D4"/>
    <w:rsid w:val="008F6C57"/>
    <w:rsid w:val="00917F91"/>
    <w:rsid w:val="009304DE"/>
    <w:rsid w:val="00930CE5"/>
    <w:rsid w:val="009416F7"/>
    <w:rsid w:val="0094386F"/>
    <w:rsid w:val="009679B0"/>
    <w:rsid w:val="0099118A"/>
    <w:rsid w:val="009C0172"/>
    <w:rsid w:val="009C2B98"/>
    <w:rsid w:val="009D2A3B"/>
    <w:rsid w:val="009D58C0"/>
    <w:rsid w:val="00A0297D"/>
    <w:rsid w:val="00A37D02"/>
    <w:rsid w:val="00A75BB7"/>
    <w:rsid w:val="00A85F4E"/>
    <w:rsid w:val="00AC66E1"/>
    <w:rsid w:val="00AC68C0"/>
    <w:rsid w:val="00AF6006"/>
    <w:rsid w:val="00AF7766"/>
    <w:rsid w:val="00B1164E"/>
    <w:rsid w:val="00B131FF"/>
    <w:rsid w:val="00B2173A"/>
    <w:rsid w:val="00B23D01"/>
    <w:rsid w:val="00B36096"/>
    <w:rsid w:val="00B7025C"/>
    <w:rsid w:val="00B725BA"/>
    <w:rsid w:val="00B810EC"/>
    <w:rsid w:val="00B87510"/>
    <w:rsid w:val="00BB2B05"/>
    <w:rsid w:val="00BD6540"/>
    <w:rsid w:val="00BF0E86"/>
    <w:rsid w:val="00C021C3"/>
    <w:rsid w:val="00C0265C"/>
    <w:rsid w:val="00C3564E"/>
    <w:rsid w:val="00C556F7"/>
    <w:rsid w:val="00C57B45"/>
    <w:rsid w:val="00C70F1D"/>
    <w:rsid w:val="00C879D2"/>
    <w:rsid w:val="00C97259"/>
    <w:rsid w:val="00CE1C18"/>
    <w:rsid w:val="00CF20AA"/>
    <w:rsid w:val="00D15650"/>
    <w:rsid w:val="00D33554"/>
    <w:rsid w:val="00D434B7"/>
    <w:rsid w:val="00D8067E"/>
    <w:rsid w:val="00D81A90"/>
    <w:rsid w:val="00D97ECE"/>
    <w:rsid w:val="00DA5190"/>
    <w:rsid w:val="00DE45BB"/>
    <w:rsid w:val="00E00612"/>
    <w:rsid w:val="00E05331"/>
    <w:rsid w:val="00E2300C"/>
    <w:rsid w:val="00E35C78"/>
    <w:rsid w:val="00E40F0E"/>
    <w:rsid w:val="00E56EC5"/>
    <w:rsid w:val="00E61E3A"/>
    <w:rsid w:val="00E666FE"/>
    <w:rsid w:val="00E873AD"/>
    <w:rsid w:val="00E959D3"/>
    <w:rsid w:val="00E978A4"/>
    <w:rsid w:val="00EA3A68"/>
    <w:rsid w:val="00ED0B8F"/>
    <w:rsid w:val="00ED3C21"/>
    <w:rsid w:val="00EE5C96"/>
    <w:rsid w:val="00F07C10"/>
    <w:rsid w:val="00F11F9C"/>
    <w:rsid w:val="00F1762B"/>
    <w:rsid w:val="00F572DF"/>
    <w:rsid w:val="00F645C9"/>
    <w:rsid w:val="00F71446"/>
    <w:rsid w:val="00F76F0F"/>
    <w:rsid w:val="00FC757C"/>
    <w:rsid w:val="0F4E1CE6"/>
    <w:rsid w:val="1305001D"/>
    <w:rsid w:val="19985F33"/>
    <w:rsid w:val="1B773A54"/>
    <w:rsid w:val="217801DA"/>
    <w:rsid w:val="328C29A2"/>
    <w:rsid w:val="3588095B"/>
    <w:rsid w:val="55FD2F0B"/>
    <w:rsid w:val="7C5E5DE2"/>
    <w:rsid w:val="7EE7B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2790</Words>
  <Characters>3013</Characters>
  <Lines>22</Lines>
  <Paragraphs>6</Paragraphs>
  <TotalTime>765</TotalTime>
  <ScaleCrop>false</ScaleCrop>
  <LinksUpToDate>false</LinksUpToDate>
  <CharactersWithSpaces>3084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2021-03-10T09:48:00Z</dcterms:created>
  <dc:creator>asus</dc:creator>
  <cp:lastModifiedBy>莎</cp:lastModifiedBy>
  <cp:lastPrinted>2021-03-12T14:20:00Z</cp:lastPrinted>
  <dcterms:modified xsi:type="dcterms:W3CDTF">2022-09-08T02:45:44Z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38083C529BF7468C99A701B6A1CEA41A</vt:lpwstr>
  </property>
</Properties>
</file>