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before="226" w:beforeAutospacing="0" w:after="226" w:afterAutospacing="0"/>
        <w:jc w:val="center"/>
        <w:rPr>
          <w:rFonts w:hint="default" w:ascii="Times New Roman" w:hAnsi="Times New Roman" w:eastAsia="方正小标宋_GBK"/>
          <w:b w:val="0"/>
          <w:kern w:val="0"/>
          <w:sz w:val="44"/>
          <w:szCs w:val="44"/>
        </w:rPr>
      </w:pPr>
      <w:r>
        <w:rPr>
          <w:rFonts w:hint="default" w:ascii="Times New Roman" w:hAnsi="Times New Roman" w:eastAsia="方正小标宋_GBK"/>
          <w:b w:val="0"/>
          <w:kern w:val="0"/>
          <w:sz w:val="44"/>
          <w:szCs w:val="44"/>
        </w:rPr>
        <w:t>长沙环境保护职业技术学院2022年预算</w:t>
      </w:r>
    </w:p>
    <w:p>
      <w:pPr>
        <w:pStyle w:val="3"/>
        <w:widowControl/>
        <w:spacing w:before="226" w:beforeAutospacing="0" w:after="226" w:afterAutospacing="0"/>
        <w:jc w:val="center"/>
        <w:rPr>
          <w:rFonts w:hint="default" w:ascii="Times New Roman" w:hAnsi="Times New Roman" w:eastAsia="方正小标宋_GBK"/>
          <w:b w:val="0"/>
          <w:kern w:val="0"/>
          <w:sz w:val="44"/>
          <w:szCs w:val="44"/>
        </w:rPr>
      </w:pPr>
      <w:r>
        <w:rPr>
          <w:rFonts w:hint="default" w:ascii="Times New Roman" w:hAnsi="Times New Roman" w:eastAsia="方正小标宋_GBK"/>
          <w:b w:val="0"/>
          <w:kern w:val="0"/>
          <w:sz w:val="44"/>
          <w:szCs w:val="44"/>
        </w:rPr>
        <w:t>公开说明</w:t>
      </w:r>
    </w:p>
    <w:p>
      <w:pPr>
        <w:rPr>
          <w:rFonts w:ascii="Times New Roman" w:hAnsi="Times New Roman" w:eastAsia="方正小标宋_GBK" w:cs="Times New Roman"/>
          <w:bCs/>
          <w:kern w:val="0"/>
          <w:sz w:val="44"/>
          <w:szCs w:val="44"/>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numPr>
          <w:ilvl w:val="0"/>
          <w:numId w:val="1"/>
        </w:numPr>
        <w:spacing w:line="600" w:lineRule="exact"/>
        <w:ind w:firstLine="640" w:firstLineChars="200"/>
        <w:rPr>
          <w:rFonts w:eastAsia="仿宋_GB2312"/>
          <w:b/>
          <w:bCs/>
          <w:kern w:val="0"/>
          <w:sz w:val="32"/>
          <w:szCs w:val="32"/>
        </w:rPr>
      </w:pP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rPr>
        <w:t>2</w:t>
      </w:r>
      <w:r>
        <w:rPr>
          <w:rFonts w:eastAsia="仿宋_GB2312"/>
          <w:b/>
          <w:bCs/>
          <w:kern w:val="0"/>
          <w:sz w:val="32"/>
          <w:szCs w:val="32"/>
        </w:rPr>
        <w:t>年单位预算说明</w:t>
      </w:r>
    </w:p>
    <w:p>
      <w:pPr>
        <w:pStyle w:val="7"/>
        <w:widowControl/>
        <w:spacing w:beforeLines="50" w:beforeAutospacing="0" w:afterLines="50" w:afterAutospacing="0" w:line="460" w:lineRule="exact"/>
        <w:ind w:firstLine="640" w:firstLineChars="200"/>
        <w:rPr>
          <w:rStyle w:val="10"/>
          <w:rFonts w:ascii="Times New Roman" w:hAnsi="Times New Roman" w:eastAsia="仿宋_GB2312"/>
          <w:b w:val="0"/>
          <w:bCs/>
          <w:sz w:val="32"/>
          <w:szCs w:val="32"/>
        </w:rPr>
      </w:pPr>
      <w:r>
        <w:rPr>
          <w:rStyle w:val="10"/>
          <w:rFonts w:ascii="Times New Roman" w:hAnsi="Times New Roman" w:eastAsia="仿宋_GB2312"/>
          <w:b w:val="0"/>
          <w:bCs/>
          <w:sz w:val="32"/>
          <w:szCs w:val="32"/>
        </w:rPr>
        <w:t>一、部门职能职责</w:t>
      </w:r>
    </w:p>
    <w:p>
      <w:pPr>
        <w:pStyle w:val="7"/>
        <w:widowControl/>
        <w:spacing w:beforeLines="50" w:beforeAutospacing="0" w:afterLines="50" w:afterAutospacing="0" w:line="460" w:lineRule="exact"/>
        <w:ind w:firstLine="640" w:firstLineChars="200"/>
        <w:rPr>
          <w:rStyle w:val="10"/>
          <w:rFonts w:ascii="Times New Roman" w:hAnsi="Times New Roman" w:eastAsia="仿宋_GB2312"/>
          <w:b w:val="0"/>
          <w:bCs/>
          <w:sz w:val="32"/>
          <w:szCs w:val="32"/>
        </w:rPr>
      </w:pPr>
      <w:r>
        <w:rPr>
          <w:rStyle w:val="10"/>
          <w:rFonts w:ascii="Times New Roman" w:hAnsi="Times New Roman" w:eastAsia="仿宋_GB2312"/>
          <w:b w:val="0"/>
          <w:bCs/>
          <w:sz w:val="32"/>
          <w:szCs w:val="32"/>
        </w:rPr>
        <w:t>二、机构设置情况及部门预算构成情况</w:t>
      </w:r>
    </w:p>
    <w:p>
      <w:pPr>
        <w:pStyle w:val="7"/>
        <w:widowControl/>
        <w:spacing w:beforeLines="50" w:beforeAutospacing="0" w:afterLines="50" w:afterAutospacing="0" w:line="460" w:lineRule="exact"/>
        <w:ind w:firstLine="640" w:firstLineChars="200"/>
        <w:rPr>
          <w:rStyle w:val="10"/>
          <w:rFonts w:ascii="Times New Roman" w:hAnsi="Times New Roman" w:eastAsia="仿宋_GB2312"/>
          <w:b w:val="0"/>
          <w:bCs/>
          <w:sz w:val="32"/>
          <w:szCs w:val="32"/>
        </w:rPr>
      </w:pPr>
      <w:r>
        <w:rPr>
          <w:rStyle w:val="10"/>
          <w:rFonts w:ascii="Times New Roman" w:hAnsi="Times New Roman" w:eastAsia="仿宋_GB2312"/>
          <w:b w:val="0"/>
          <w:bCs/>
          <w:sz w:val="32"/>
          <w:szCs w:val="32"/>
        </w:rPr>
        <w:t>三、部门收支总体情况</w:t>
      </w:r>
    </w:p>
    <w:p>
      <w:pPr>
        <w:pStyle w:val="7"/>
        <w:widowControl/>
        <w:spacing w:beforeLines="50" w:beforeAutospacing="0" w:afterLines="50" w:afterAutospacing="0" w:line="460" w:lineRule="exact"/>
        <w:ind w:firstLine="640" w:firstLineChars="200"/>
        <w:rPr>
          <w:rStyle w:val="10"/>
          <w:rFonts w:ascii="Times New Roman" w:hAnsi="Times New Roman" w:eastAsia="仿宋_GB2312"/>
          <w:b w:val="0"/>
          <w:bCs/>
          <w:sz w:val="32"/>
          <w:szCs w:val="32"/>
        </w:rPr>
      </w:pPr>
      <w:r>
        <w:rPr>
          <w:rStyle w:val="10"/>
          <w:rFonts w:ascii="Times New Roman" w:hAnsi="Times New Roman" w:eastAsia="仿宋_GB2312"/>
          <w:b w:val="0"/>
          <w:bCs/>
          <w:sz w:val="32"/>
          <w:szCs w:val="32"/>
        </w:rPr>
        <w:t>四、一般公共预算拨款支出预算</w:t>
      </w:r>
    </w:p>
    <w:p>
      <w:pPr>
        <w:pStyle w:val="7"/>
        <w:widowControl/>
        <w:spacing w:beforeLines="50" w:beforeAutospacing="0" w:afterLines="50" w:afterAutospacing="0" w:line="460" w:lineRule="exact"/>
        <w:ind w:firstLine="640" w:firstLineChars="200"/>
        <w:rPr>
          <w:rStyle w:val="10"/>
          <w:rFonts w:ascii="Times New Roman" w:hAnsi="Times New Roman" w:eastAsia="仿宋_GB2312"/>
          <w:b w:val="0"/>
          <w:bCs/>
          <w:sz w:val="32"/>
          <w:szCs w:val="32"/>
        </w:rPr>
      </w:pPr>
      <w:r>
        <w:rPr>
          <w:rStyle w:val="10"/>
          <w:rFonts w:ascii="Times New Roman" w:hAnsi="Times New Roman" w:eastAsia="仿宋_GB2312"/>
          <w:b w:val="0"/>
          <w:bCs/>
          <w:sz w:val="32"/>
          <w:szCs w:val="32"/>
        </w:rPr>
        <w:t>五、政府性基金预算情况</w:t>
      </w:r>
    </w:p>
    <w:p>
      <w:pPr>
        <w:pStyle w:val="7"/>
        <w:widowControl/>
        <w:spacing w:beforeLines="50" w:beforeAutospacing="0" w:afterLines="50" w:afterAutospacing="0" w:line="460" w:lineRule="exact"/>
        <w:ind w:firstLine="640" w:firstLineChars="200"/>
        <w:rPr>
          <w:rStyle w:val="10"/>
          <w:rFonts w:ascii="Times New Roman" w:hAnsi="Times New Roman" w:eastAsia="仿宋_GB2312"/>
          <w:b w:val="0"/>
          <w:bCs/>
          <w:sz w:val="32"/>
          <w:szCs w:val="32"/>
        </w:rPr>
      </w:pPr>
      <w:r>
        <w:rPr>
          <w:rStyle w:val="10"/>
          <w:rFonts w:ascii="Times New Roman" w:hAnsi="Times New Roman" w:eastAsia="仿宋_GB2312"/>
          <w:b w:val="0"/>
          <w:bCs/>
          <w:sz w:val="32"/>
          <w:szCs w:val="32"/>
        </w:rPr>
        <w:t>六、其他情况说明</w:t>
      </w:r>
    </w:p>
    <w:p>
      <w:pPr>
        <w:widowControl/>
        <w:spacing w:line="600" w:lineRule="exact"/>
        <w:ind w:firstLine="640" w:firstLineChars="200"/>
        <w:rPr>
          <w:rFonts w:eastAsia="仿宋_GB2312"/>
          <w:b/>
          <w:bCs/>
          <w:kern w:val="0"/>
          <w:sz w:val="32"/>
          <w:szCs w:val="32"/>
        </w:rPr>
      </w:pPr>
      <w:r>
        <w:rPr>
          <w:rStyle w:val="10"/>
          <w:rFonts w:hint="eastAsia" w:ascii="Times New Roman" w:hAnsi="Times New Roman" w:eastAsia="仿宋_GB2312" w:cs="Times New Roman"/>
          <w:b w:val="0"/>
          <w:bCs/>
          <w:sz w:val="32"/>
          <w:szCs w:val="32"/>
        </w:rPr>
        <w:t>七、名词解释</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rPr>
        <w:t>2</w:t>
      </w:r>
      <w:r>
        <w:rPr>
          <w:rFonts w:eastAsia="仿宋_GB2312"/>
          <w:b/>
          <w:bCs/>
          <w:kern w:val="0"/>
          <w:sz w:val="32"/>
          <w:szCs w:val="32"/>
        </w:rPr>
        <w:t>年单位预算表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tabs>
          <w:tab w:val="left" w:pos="7199"/>
        </w:tabs>
        <w:spacing w:line="600" w:lineRule="exact"/>
        <w:ind w:firstLine="640" w:firstLineChars="200"/>
        <w:jc w:val="left"/>
        <w:rPr>
          <w:rFonts w:hint="eastAsia" w:eastAsia="仿宋_GB2312"/>
          <w:sz w:val="32"/>
          <w:szCs w:val="32"/>
          <w:lang w:eastAsia="zh-CN"/>
        </w:rPr>
      </w:pPr>
      <w:r>
        <w:rPr>
          <w:rFonts w:eastAsia="仿宋_GB2312"/>
          <w:sz w:val="32"/>
          <w:szCs w:val="32"/>
        </w:rPr>
        <w:t>20、省级专项资金预算汇总表</w:t>
      </w:r>
      <w:r>
        <w:rPr>
          <w:rFonts w:hint="eastAsia" w:eastAsia="仿宋_GB2312"/>
          <w:sz w:val="32"/>
          <w:szCs w:val="32"/>
          <w:lang w:eastAsia="zh-CN"/>
        </w:rPr>
        <w:tab/>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sz w:val="32"/>
          <w:szCs w:val="32"/>
        </w:rPr>
      </w:pPr>
      <w:r>
        <w:rPr>
          <w:rFonts w:hint="default" w:eastAsia="仿宋_GB2312" w:asciiTheme="minorHAnsi" w:hAnsiTheme="minorHAnsi" w:cstheme="minorBidi"/>
          <w:i w:val="0"/>
          <w:iCs w:val="0"/>
          <w:caps w:val="0"/>
          <w:spacing w:val="0"/>
          <w:kern w:val="2"/>
          <w:sz w:val="32"/>
          <w:szCs w:val="32"/>
          <w:shd w:val="clear"/>
          <w:lang w:val="en-US" w:eastAsia="zh-CN" w:bidi="ar-SA"/>
        </w:rPr>
        <w:t>24、一般公共预算基本支出表</w:t>
      </w:r>
    </w:p>
    <w:p>
      <w:pPr>
        <w:widowControl/>
        <w:spacing w:line="600" w:lineRule="exact"/>
        <w:ind w:firstLine="640" w:firstLineChars="200"/>
        <w:rPr>
          <w:rFonts w:eastAsia="仿宋_GB2312"/>
          <w:bCs/>
          <w:kern w:val="0"/>
          <w:sz w:val="32"/>
          <w:szCs w:val="32"/>
        </w:rPr>
      </w:pPr>
      <w:r>
        <w:rPr>
          <w:rFonts w:eastAsia="仿宋_GB2312"/>
          <w:bCs/>
          <w:kern w:val="0"/>
          <w:sz w:val="32"/>
          <w:szCs w:val="32"/>
        </w:rPr>
        <w:t>注：以上</w:t>
      </w:r>
      <w:r>
        <w:rPr>
          <w:rFonts w:hint="eastAsia" w:eastAsia="仿宋_GB2312"/>
          <w:bCs/>
          <w:kern w:val="0"/>
          <w:sz w:val="32"/>
          <w:szCs w:val="32"/>
        </w:rPr>
        <w:t>单位</w:t>
      </w:r>
      <w:r>
        <w:rPr>
          <w:rFonts w:eastAsia="仿宋_GB2312"/>
          <w:bCs/>
          <w:kern w:val="0"/>
          <w:sz w:val="32"/>
          <w:szCs w:val="32"/>
        </w:rPr>
        <w:t>预算报表中，空表表示本单位无相关收支情况。</w:t>
      </w:r>
    </w:p>
    <w:p>
      <w:pPr>
        <w:pStyle w:val="2"/>
      </w:pPr>
    </w:p>
    <w:p>
      <w:pPr>
        <w:pStyle w:val="7"/>
        <w:widowControl/>
        <w:spacing w:beforeAutospacing="0" w:afterAutospacing="0" w:line="13" w:lineRule="atLeast"/>
        <w:ind w:firstLine="420"/>
        <w:rPr>
          <w:rFonts w:ascii="Times New Roman" w:hAnsi="Times New Roman" w:eastAsia="仿宋_GB2312"/>
          <w:kern w:val="2"/>
          <w:sz w:val="32"/>
          <w:szCs w:val="32"/>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 202</w:t>
      </w:r>
      <w:r>
        <w:rPr>
          <w:rFonts w:hint="eastAsia" w:eastAsia="方正小标宋_GBK"/>
          <w:bCs/>
          <w:kern w:val="0"/>
          <w:sz w:val="36"/>
          <w:szCs w:val="36"/>
        </w:rPr>
        <w:t>2</w:t>
      </w:r>
      <w:r>
        <w:rPr>
          <w:rFonts w:eastAsia="方正小标宋_GBK"/>
          <w:bCs/>
          <w:kern w:val="0"/>
          <w:sz w:val="36"/>
          <w:szCs w:val="36"/>
        </w:rPr>
        <w:t>年单位预算说明</w:t>
      </w:r>
    </w:p>
    <w:p>
      <w:pPr>
        <w:pStyle w:val="7"/>
        <w:widowControl/>
        <w:spacing w:beforeAutospacing="0" w:afterAutospacing="0" w:line="13" w:lineRule="atLeast"/>
        <w:ind w:firstLine="420"/>
        <w:rPr>
          <w:rFonts w:ascii="Times New Roman" w:hAnsi="Times New Roman" w:eastAsia="仿宋_GB2312"/>
          <w:kern w:val="2"/>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w:t>
      </w:r>
      <w:r>
        <w:rPr>
          <w:rFonts w:hint="eastAsia" w:eastAsia="黑体"/>
          <w:bCs/>
          <w:kern w:val="0"/>
          <w:sz w:val="32"/>
          <w:szCs w:val="32"/>
        </w:rPr>
        <w:t>部门职能职责</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Times New Roman" w:hAnsi="Times New Roman" w:eastAsia="仿宋_GB2312"/>
          <w:kern w:val="2"/>
          <w:sz w:val="32"/>
          <w:szCs w:val="32"/>
        </w:rPr>
        <w:t>学院是为社会培养高素质技能型环保人才的高等职业院校，是生态环境部与湖南省人民政府共建的高职院校，以全日制高职专科学历教育为主，兼顾非全日制学历教育和非学历教育，积极发展全日制高职本科学历教育。学院发挥专业特色和人才培养优势，充分利用国家级专业技术人员继续教育基地、环保部“全国环保干部培训基地”平台，为环境保护主管部门、企事业单位提供行业培训与继续教育，提升在职人员素质，服务地方和企事业单位的发展。</w:t>
      </w:r>
    </w:p>
    <w:p>
      <w:pPr>
        <w:widowControl/>
        <w:spacing w:line="600" w:lineRule="exact"/>
        <w:ind w:firstLine="627" w:firstLineChars="196"/>
        <w:rPr>
          <w:rFonts w:ascii="Times New Roman" w:hAnsi="Times New Roman" w:eastAsia="仿宋_GB2312" w:cs="Times New Roman"/>
          <w:sz w:val="32"/>
          <w:szCs w:val="32"/>
        </w:rPr>
      </w:pPr>
      <w:r>
        <w:rPr>
          <w:rFonts w:hint="eastAsia" w:eastAsia="黑体"/>
          <w:bCs/>
          <w:kern w:val="0"/>
          <w:sz w:val="32"/>
          <w:szCs w:val="32"/>
        </w:rPr>
        <w:t>二</w:t>
      </w:r>
      <w:r>
        <w:rPr>
          <w:rFonts w:eastAsia="黑体"/>
          <w:bCs/>
          <w:kern w:val="0"/>
          <w:sz w:val="32"/>
          <w:szCs w:val="32"/>
        </w:rPr>
        <w:t>、</w:t>
      </w:r>
      <w:r>
        <w:rPr>
          <w:rFonts w:hint="eastAsia" w:eastAsia="黑体"/>
          <w:bCs/>
          <w:kern w:val="0"/>
          <w:sz w:val="32"/>
          <w:szCs w:val="32"/>
        </w:rPr>
        <w:t>机构设置及预算单位构成</w:t>
      </w:r>
      <w:r>
        <w:rPr>
          <w:rFonts w:eastAsia="黑体"/>
          <w:bCs/>
          <w:kern w:val="0"/>
          <w:sz w:val="32"/>
          <w:szCs w:val="32"/>
        </w:rPr>
        <w:t>情况</w:t>
      </w:r>
    </w:p>
    <w:p>
      <w:pPr>
        <w:pStyle w:val="7"/>
        <w:widowControl/>
        <w:spacing w:beforeAutospacing="0" w:afterAutospacing="0" w:line="13" w:lineRule="atLeast"/>
        <w:ind w:firstLine="420"/>
        <w:rPr>
          <w:rFonts w:ascii="Times New Roman" w:hAnsi="Times New Roman" w:eastAsia="楷体_GB2312"/>
          <w:b/>
          <w:kern w:val="2"/>
          <w:sz w:val="32"/>
          <w:szCs w:val="32"/>
        </w:rPr>
      </w:pPr>
      <w:r>
        <w:rPr>
          <w:rFonts w:hint="eastAsia" w:ascii="Times New Roman" w:hAnsi="Times New Roman" w:eastAsia="楷体_GB2312"/>
          <w:b/>
          <w:kern w:val="2"/>
          <w:sz w:val="32"/>
          <w:szCs w:val="32"/>
        </w:rPr>
        <w:t>（一）机构设置</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Times New Roman" w:hAnsi="Times New Roman" w:eastAsia="仿宋_GB2312"/>
          <w:kern w:val="2"/>
          <w:sz w:val="32"/>
          <w:szCs w:val="32"/>
        </w:rPr>
        <w:t>长沙环境保护职业技术学院现有24个行政职能部门、8个教学系部，开设22个专业，在校学生10314人。</w:t>
      </w:r>
    </w:p>
    <w:p>
      <w:pPr>
        <w:widowControl/>
        <w:numPr>
          <w:ilvl w:val="0"/>
          <w:numId w:val="2"/>
        </w:numPr>
        <w:spacing w:line="600" w:lineRule="exact"/>
        <w:ind w:firstLine="321" w:firstLineChars="100"/>
        <w:rPr>
          <w:rFonts w:ascii="Times New Roman" w:hAnsi="Times New Roman" w:eastAsia="楷体_GB2312" w:cs="Times New Roman"/>
          <w:b/>
          <w:sz w:val="32"/>
          <w:szCs w:val="32"/>
        </w:rPr>
      </w:pPr>
      <w:r>
        <w:rPr>
          <w:rFonts w:hint="eastAsia" w:ascii="Times New Roman" w:hAnsi="Times New Roman" w:eastAsia="楷体_GB2312" w:cs="Times New Roman"/>
          <w:b/>
          <w:sz w:val="32"/>
          <w:szCs w:val="32"/>
        </w:rPr>
        <w:t>预算单位构成情况</w:t>
      </w:r>
    </w:p>
    <w:p>
      <w:pPr>
        <w:pStyle w:val="2"/>
        <w:widowControl/>
        <w:spacing w:line="360" w:lineRule="auto"/>
        <w:ind w:firstLine="640" w:firstLineChars="200"/>
        <w:rPr>
          <w:rFonts w:ascii="Times New Roman" w:hAnsi="Times New Roman" w:eastAsia="仿宋_GB2312" w:cs="Times New Roman"/>
          <w:kern w:val="2"/>
          <w:sz w:val="32"/>
          <w:szCs w:val="32"/>
        </w:rPr>
      </w:pPr>
      <w:r>
        <w:rPr>
          <w:rFonts w:ascii="Times New Roman" w:hAnsi="Times New Roman" w:eastAsia="仿宋_GB2312" w:cs="Times New Roman"/>
          <w:color w:val="auto"/>
          <w:kern w:val="2"/>
          <w:sz w:val="32"/>
          <w:szCs w:val="32"/>
        </w:rPr>
        <w:t>我单位无下级预算单位，因此，纳入本年度部门预算编制范围为</w:t>
      </w:r>
      <w:r>
        <w:rPr>
          <w:rFonts w:hint="eastAsia" w:ascii="Times New Roman" w:hAnsi="Times New Roman" w:eastAsia="仿宋_GB2312" w:cs="Times New Roman"/>
          <w:color w:val="auto"/>
          <w:kern w:val="2"/>
          <w:sz w:val="32"/>
          <w:szCs w:val="32"/>
        </w:rPr>
        <w:t>长沙环境保护职业技术学院</w:t>
      </w:r>
      <w:r>
        <w:rPr>
          <w:rFonts w:ascii="Times New Roman" w:hAnsi="Times New Roman" w:eastAsia="仿宋_GB2312" w:cs="Times New Roman"/>
          <w:color w:val="auto"/>
          <w:kern w:val="2"/>
          <w:sz w:val="32"/>
          <w:szCs w:val="32"/>
        </w:rPr>
        <w:t>本级。</w:t>
      </w:r>
    </w:p>
    <w:p>
      <w:pPr>
        <w:widowControl/>
        <w:spacing w:line="600" w:lineRule="exact"/>
        <w:ind w:firstLine="627" w:firstLineChars="196"/>
        <w:rPr>
          <w:rFonts w:eastAsia="黑体"/>
          <w:bCs/>
          <w:kern w:val="0"/>
          <w:sz w:val="32"/>
          <w:szCs w:val="32"/>
        </w:rPr>
      </w:pPr>
      <w:r>
        <w:rPr>
          <w:rFonts w:hint="eastAsia" w:eastAsia="黑体"/>
          <w:bCs/>
          <w:kern w:val="0"/>
          <w:sz w:val="32"/>
          <w:szCs w:val="32"/>
        </w:rPr>
        <w:t>三、单位收支总体情况</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楷体" w:hAnsi="楷体" w:eastAsia="楷体" w:cs="楷体"/>
          <w:b/>
          <w:bCs/>
          <w:kern w:val="2"/>
          <w:sz w:val="32"/>
          <w:szCs w:val="32"/>
        </w:rPr>
        <w:t>（一）收入预算：</w:t>
      </w:r>
      <w:r>
        <w:rPr>
          <w:rFonts w:hint="eastAsia" w:ascii="Times New Roman" w:hAnsi="Times New Roman" w:eastAsia="仿宋_GB2312"/>
          <w:kern w:val="2"/>
          <w:sz w:val="32"/>
          <w:szCs w:val="32"/>
        </w:rPr>
        <w:t>包括一般公共预算、政府性基金、国有资本经营预算等财政拨款收入，以及经营收入、事业收入、其他收入等单位资金。2022年本单位收入预算合计19018.88万元，其中，一般公共预算拨款8689.27万元、纳入专户管理的非税收入6530万元、事业单位经营收入580.73万元、其他收入200万元、上年结转结余3018.88万元。收入较去年增加1844.28万元，增加10.74%，主要是因为以下项目有所调整：</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Times New Roman" w:hAnsi="Times New Roman" w:eastAsia="仿宋_GB2312"/>
          <w:kern w:val="2"/>
          <w:sz w:val="32"/>
          <w:szCs w:val="32"/>
        </w:rPr>
        <w:t>1、上年结转结余：2022年年初结转结余3018.88万元较2021年年初结转结余1794.6万元增加1224.28万元。2022年年初结转结余资金项目主要包含综合实训大楼、青年公寓项目、高职生均拨项目、高校改革发展资金项目、省直单位经费补助项目、课题等。</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Times New Roman" w:hAnsi="Times New Roman" w:eastAsia="仿宋_GB2312"/>
          <w:kern w:val="2"/>
          <w:sz w:val="32"/>
          <w:szCs w:val="32"/>
        </w:rPr>
        <w:t>2、经费拨款：较2021年减少了77万元，主要是2022年双一流建设资金较上年减少116万元、系统干部培训班较2021年增加30万元所致。</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Times New Roman" w:hAnsi="Times New Roman" w:eastAsia="仿宋_GB2312"/>
          <w:kern w:val="2"/>
          <w:sz w:val="32"/>
          <w:szCs w:val="32"/>
        </w:rPr>
        <w:t>3、纳入一般公共预算管理的非税收入拨款：无变化</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Times New Roman" w:hAnsi="Times New Roman" w:eastAsia="仿宋_GB2312"/>
          <w:kern w:val="2"/>
          <w:sz w:val="32"/>
          <w:szCs w:val="32"/>
        </w:rPr>
        <w:t>4、财政专户管理资金收入：较2021年增加300万元。主要是因为青年公寓（学生公寓1-6楼）建成后学院持续扩招所致。</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Times New Roman" w:hAnsi="Times New Roman" w:eastAsia="仿宋_GB2312"/>
          <w:kern w:val="2"/>
          <w:sz w:val="32"/>
          <w:szCs w:val="32"/>
        </w:rPr>
        <w:t>5、上级财政补助收入：较2021年增加122万元。</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Times New Roman" w:hAnsi="Times New Roman" w:eastAsia="仿宋_GB2312"/>
          <w:kern w:val="2"/>
          <w:sz w:val="32"/>
          <w:szCs w:val="32"/>
        </w:rPr>
        <w:t>6、事业单位经营收入：较2021年增加75万元。</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Times New Roman" w:hAnsi="Times New Roman" w:eastAsia="仿宋_GB2312"/>
          <w:kern w:val="2"/>
          <w:sz w:val="32"/>
          <w:szCs w:val="32"/>
        </w:rPr>
        <w:t>7、其他收入：2022年学院实行全口径预算，将其他收入预算200万元纳入了预算总盘子。</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楷体" w:hAnsi="楷体" w:eastAsia="楷体" w:cs="楷体"/>
          <w:b/>
          <w:bCs/>
          <w:kern w:val="2"/>
          <w:sz w:val="32"/>
          <w:szCs w:val="32"/>
        </w:rPr>
        <w:t>（二）支出预算：</w:t>
      </w:r>
      <w:r>
        <w:rPr>
          <w:rFonts w:hint="eastAsia" w:ascii="Times New Roman" w:hAnsi="Times New Roman" w:eastAsia="仿宋_GB2312"/>
          <w:kern w:val="2"/>
          <w:sz w:val="32"/>
          <w:szCs w:val="32"/>
        </w:rPr>
        <w:t>2022年本单位支出预算 19018.88万元，其中，一般公共服务支出0.31万元，社会保障和就业支出1829.98万元，科学技术支出17.77万元，教育支出16446.82万元，住房保障支出724万元。支出较去年增加1844.28万元，增加10.74%，主要是因为以下几个支出项目有所调整：</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Times New Roman" w:hAnsi="Times New Roman" w:eastAsia="仿宋_GB2312"/>
          <w:kern w:val="2"/>
          <w:sz w:val="32"/>
          <w:szCs w:val="32"/>
        </w:rPr>
        <w:t>1、工资福利支出：较2021年增加164.23万元，是因为正常调薪调级增资及新进员工增加所致。</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Times New Roman" w:hAnsi="Times New Roman" w:eastAsia="仿宋_GB2312"/>
          <w:kern w:val="2"/>
          <w:sz w:val="32"/>
          <w:szCs w:val="32"/>
        </w:rPr>
        <w:t>2、商品和服务支出：较2021年减少了30.27万元，为推行厉行节约所致。</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Times New Roman" w:hAnsi="Times New Roman" w:eastAsia="仿宋_GB2312"/>
          <w:kern w:val="2"/>
          <w:sz w:val="32"/>
          <w:szCs w:val="32"/>
        </w:rPr>
        <w:t>3、对个人和家庭的补助：较2021年增加136万元， 主要是由于2022年省财政厅要求机关事业单位离退休干部综治文明奖需列支奖励金所致。</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Times New Roman" w:hAnsi="Times New Roman" w:eastAsia="仿宋_GB2312"/>
          <w:kern w:val="2"/>
          <w:sz w:val="32"/>
          <w:szCs w:val="32"/>
        </w:rPr>
        <w:t>4、项目支出：较2021年增加2080.05万元。主要是综合实训大楼、青年公寓（学生公寓1-6楼）项目结余、高职生均拨款结余所致。</w:t>
      </w:r>
    </w:p>
    <w:p>
      <w:pPr>
        <w:widowControl/>
        <w:spacing w:beforeAutospacing="0" w:afterAutospacing="0" w:line="600" w:lineRule="exact"/>
        <w:ind w:firstLine="627" w:firstLineChars="196"/>
        <w:jc w:val="left"/>
        <w:rPr>
          <w:rFonts w:ascii="Times New Roman" w:hAnsi="Times New Roman" w:eastAsia="黑体"/>
          <w:bCs/>
          <w:kern w:val="0"/>
          <w:sz w:val="32"/>
          <w:szCs w:val="32"/>
        </w:rPr>
      </w:pPr>
      <w:r>
        <w:rPr>
          <w:rFonts w:hint="eastAsia" w:ascii="Times New Roman" w:hAnsi="Times New Roman" w:eastAsia="黑体"/>
          <w:bCs/>
          <w:kern w:val="0"/>
          <w:sz w:val="32"/>
          <w:szCs w:val="32"/>
        </w:rPr>
        <w:t>四、一般公共预算拨款支出</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Times New Roman" w:hAnsi="Times New Roman" w:eastAsia="仿宋_GB2312"/>
          <w:kern w:val="2"/>
          <w:sz w:val="32"/>
          <w:szCs w:val="32"/>
        </w:rPr>
        <w:t>2022年本单位一般公共预算拨款支出预算11708.15万元，较上年增加1269.28万元，增加12.16%。其中，一般公共服务支出0.31万元，占 0.003%；教育支出9786.85万元，占 83.59%；科学技术支出17.77万元，占 0.15%；社会保障和就业支出1453.22万元，占 12.41%；住房保障支出450万元，占 3.847%。具体安排情况如下：</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楷体" w:hAnsi="楷体" w:eastAsia="楷体" w:cs="楷体"/>
          <w:b/>
          <w:bCs/>
          <w:kern w:val="2"/>
          <w:sz w:val="32"/>
          <w:szCs w:val="32"/>
        </w:rPr>
        <w:t>（一）基本支出：</w:t>
      </w:r>
      <w:r>
        <w:rPr>
          <w:rFonts w:hint="eastAsia" w:ascii="Times New Roman" w:hAnsi="Times New Roman" w:eastAsia="仿宋_GB2312"/>
          <w:kern w:val="2"/>
          <w:sz w:val="32"/>
          <w:szCs w:val="32"/>
        </w:rPr>
        <w:t>2022年本单位基本支出预算数7270.27万元，</w:t>
      </w:r>
      <w:r>
        <w:rPr>
          <w:rFonts w:ascii="Times New Roman" w:hAnsi="Times New Roman" w:eastAsia="仿宋_GB2312"/>
          <w:sz w:val="32"/>
          <w:szCs w:val="32"/>
        </w:rPr>
        <w:t>系保障我单位机构正常运转、完成日常工作任务而发生的各项支出，包括用于在职人员的工资性支出、离休人员的离休费、各项社会保障缴费、住房公积金</w:t>
      </w:r>
      <w:r>
        <w:rPr>
          <w:rFonts w:ascii="Times New Roman" w:hAnsi="Times New Roman" w:eastAsia="仿宋_GB2312"/>
          <w:kern w:val="2"/>
          <w:sz w:val="32"/>
          <w:szCs w:val="32"/>
        </w:rPr>
        <w:t>等人员经费，以及办公费、印刷费、水电费、办公设备购置等日常公用经费。其中：工资福利支出6715.54万元，商品和服务支出454.73万元，对个人和家庭的补助支出</w:t>
      </w:r>
      <w:r>
        <w:rPr>
          <w:rFonts w:hint="eastAsia" w:ascii="Times New Roman" w:hAnsi="Times New Roman" w:eastAsia="仿宋_GB2312"/>
          <w:kern w:val="2"/>
          <w:sz w:val="32"/>
          <w:szCs w:val="32"/>
        </w:rPr>
        <w:t>100</w:t>
      </w:r>
      <w:r>
        <w:rPr>
          <w:rFonts w:ascii="Times New Roman" w:hAnsi="Times New Roman" w:eastAsia="仿宋_GB2312"/>
          <w:kern w:val="2"/>
          <w:sz w:val="32"/>
          <w:szCs w:val="32"/>
        </w:rPr>
        <w:t>万元。</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楷体" w:hAnsi="楷体" w:eastAsia="楷体" w:cs="楷体"/>
          <w:b/>
          <w:bCs/>
          <w:kern w:val="2"/>
          <w:sz w:val="32"/>
          <w:szCs w:val="32"/>
        </w:rPr>
        <w:t>（二）项目支出：</w:t>
      </w:r>
      <w:r>
        <w:rPr>
          <w:rFonts w:hint="eastAsia" w:ascii="Times New Roman" w:hAnsi="Times New Roman" w:eastAsia="仿宋_GB2312"/>
          <w:kern w:val="2"/>
          <w:sz w:val="32"/>
          <w:szCs w:val="32"/>
        </w:rPr>
        <w:t>2022年本单位项目支出预算4437.88万元，主要是学院为完成各项教育事业项目而发生的支出，包括有关事业发展专项、专项业务费、基本建设支出等，其中：一般公共服务支出 0.31万元，主要用于其他财政事务支出等方面；教育支出4399.58万元，主要用于双一流建设、高职生均拨款、招生就业经费、教学、科研经费、系统干部培训、公共机构节能补助等方面；科学技术支出17.77万元，主要用于智库建设、创新型省份建设方面；社会保障和就业支出20.22万元，主要用于就业创业服务补贴、人力资源培养开发等方面。</w:t>
      </w:r>
    </w:p>
    <w:p>
      <w:pPr>
        <w:widowControl/>
        <w:spacing w:beforeAutospacing="0" w:afterAutospacing="0" w:line="600" w:lineRule="exact"/>
        <w:ind w:firstLine="627" w:firstLineChars="196"/>
        <w:jc w:val="left"/>
        <w:rPr>
          <w:rFonts w:ascii="Times New Roman" w:hAnsi="Times New Roman" w:eastAsia="黑体"/>
          <w:bCs/>
          <w:kern w:val="0"/>
          <w:sz w:val="32"/>
          <w:szCs w:val="32"/>
        </w:rPr>
      </w:pPr>
      <w:r>
        <w:rPr>
          <w:rFonts w:hint="eastAsia" w:ascii="Times New Roman" w:hAnsi="Times New Roman" w:eastAsia="黑体"/>
          <w:bCs/>
          <w:kern w:val="0"/>
          <w:sz w:val="32"/>
          <w:szCs w:val="32"/>
        </w:rPr>
        <w:t>五、政府性基金预算支出</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Times New Roman" w:hAnsi="Times New Roman" w:eastAsia="仿宋_GB2312"/>
          <w:kern w:val="2"/>
          <w:sz w:val="32"/>
          <w:szCs w:val="32"/>
        </w:rPr>
        <w:t>本部门无政府性基金安排的支出。</w:t>
      </w:r>
    </w:p>
    <w:p>
      <w:pPr>
        <w:widowControl/>
        <w:spacing w:beforeAutospacing="0" w:afterAutospacing="0" w:line="600" w:lineRule="exact"/>
        <w:ind w:firstLine="627" w:firstLineChars="196"/>
        <w:jc w:val="left"/>
        <w:rPr>
          <w:rFonts w:ascii="Times New Roman" w:hAnsi="Times New Roman" w:eastAsia="黑体"/>
          <w:bCs/>
          <w:kern w:val="0"/>
          <w:sz w:val="32"/>
          <w:szCs w:val="32"/>
        </w:rPr>
      </w:pPr>
      <w:r>
        <w:rPr>
          <w:rFonts w:hint="eastAsia" w:ascii="Times New Roman" w:hAnsi="Times New Roman" w:eastAsia="黑体"/>
          <w:bCs/>
          <w:kern w:val="0"/>
          <w:sz w:val="32"/>
          <w:szCs w:val="32"/>
        </w:rPr>
        <w:t>六、其他重要事项的情况说明</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楷体" w:hAnsi="楷体" w:eastAsia="楷体" w:cs="楷体"/>
          <w:b/>
          <w:bCs/>
          <w:kern w:val="2"/>
          <w:sz w:val="32"/>
          <w:szCs w:val="32"/>
        </w:rPr>
        <w:t>（一）机关运行经费：</w:t>
      </w:r>
      <w:r>
        <w:rPr>
          <w:rFonts w:hint="eastAsia" w:ascii="Times New Roman" w:hAnsi="Times New Roman" w:eastAsia="仿宋_GB2312"/>
          <w:kern w:val="2"/>
          <w:sz w:val="32"/>
          <w:szCs w:val="32"/>
        </w:rPr>
        <w:t>2022年本单位机关运行经费454.73万元，比上年预算减少31.63万元、下降6.51%，主要是响应各级政府关于“过紧日子”的号召和要求，厉行节约、管好、用好、盘活好学院财政资金，更好的服务于我院内涵式发展。</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楷体" w:hAnsi="楷体" w:eastAsia="楷体" w:cs="楷体"/>
          <w:b/>
          <w:bCs/>
          <w:kern w:val="2"/>
          <w:sz w:val="32"/>
          <w:szCs w:val="32"/>
        </w:rPr>
        <w:t>（二）“三公”经费预算：</w:t>
      </w:r>
      <w:r>
        <w:rPr>
          <w:rFonts w:hint="eastAsia" w:ascii="Times New Roman" w:hAnsi="Times New Roman" w:eastAsia="仿宋_GB2312"/>
          <w:kern w:val="2"/>
          <w:sz w:val="32"/>
          <w:szCs w:val="32"/>
        </w:rPr>
        <w:t>2022年本单位“三公”经费预算数为 16万元。其中，公务接待费8万元，公务用车购置及运行费8万元（其中，公务用车购置费0万元，公务用车运行费8万元）。2022年“三公”经费预算与上年一致。</w:t>
      </w:r>
    </w:p>
    <w:p>
      <w:pPr>
        <w:pStyle w:val="7"/>
        <w:widowControl/>
        <w:spacing w:beforeAutospacing="0" w:afterAutospacing="0" w:line="13" w:lineRule="atLeast"/>
        <w:ind w:firstLine="420"/>
        <w:rPr>
          <w:rFonts w:ascii="楷体" w:hAnsi="楷体" w:eastAsia="楷体" w:cs="楷体"/>
          <w:b/>
          <w:bCs/>
          <w:kern w:val="2"/>
          <w:sz w:val="32"/>
          <w:szCs w:val="32"/>
        </w:rPr>
      </w:pPr>
      <w:r>
        <w:rPr>
          <w:rFonts w:hint="eastAsia" w:ascii="楷体" w:hAnsi="楷体" w:eastAsia="楷体" w:cs="楷体"/>
          <w:b/>
          <w:bCs/>
          <w:kern w:val="2"/>
          <w:sz w:val="32"/>
          <w:szCs w:val="32"/>
        </w:rPr>
        <w:t>（三）一般性支出情况：</w:t>
      </w:r>
      <w:r>
        <w:rPr>
          <w:rFonts w:ascii="Times New Roman" w:hAnsi="Times New Roman" w:eastAsia="仿宋_GB2312"/>
          <w:color w:val="333333"/>
          <w:sz w:val="32"/>
          <w:szCs w:val="32"/>
        </w:rPr>
        <w:t>2022年单位一般性支出预算安排</w:t>
      </w:r>
      <w:r>
        <w:rPr>
          <w:rFonts w:hint="eastAsia" w:ascii="Times New Roman" w:hAnsi="Times New Roman" w:eastAsia="仿宋_GB2312"/>
          <w:sz w:val="32"/>
          <w:szCs w:val="32"/>
        </w:rPr>
        <w:t>444</w:t>
      </w:r>
      <w:r>
        <w:rPr>
          <w:rFonts w:ascii="Times New Roman" w:hAnsi="Times New Roman" w:eastAsia="仿宋_GB2312"/>
          <w:color w:val="333333"/>
          <w:sz w:val="32"/>
          <w:szCs w:val="32"/>
        </w:rPr>
        <w:t>万元，主要包括：办公费</w:t>
      </w:r>
      <w:r>
        <w:rPr>
          <w:rFonts w:hint="eastAsia" w:ascii="Times New Roman" w:hAnsi="Times New Roman" w:eastAsia="仿宋_GB2312"/>
          <w:sz w:val="32"/>
          <w:szCs w:val="32"/>
        </w:rPr>
        <w:t>33</w:t>
      </w:r>
      <w:r>
        <w:rPr>
          <w:rFonts w:ascii="Times New Roman" w:hAnsi="Times New Roman" w:eastAsia="仿宋_GB2312"/>
          <w:color w:val="333333"/>
          <w:sz w:val="32"/>
          <w:szCs w:val="32"/>
        </w:rPr>
        <w:t>万元、印刷费</w:t>
      </w:r>
      <w:r>
        <w:rPr>
          <w:rFonts w:hint="eastAsia" w:ascii="Times New Roman" w:hAnsi="Times New Roman" w:eastAsia="仿宋_GB2312"/>
          <w:sz w:val="32"/>
          <w:szCs w:val="32"/>
        </w:rPr>
        <w:t>15</w:t>
      </w:r>
      <w:r>
        <w:rPr>
          <w:rFonts w:ascii="Times New Roman" w:hAnsi="Times New Roman" w:eastAsia="仿宋_GB2312"/>
          <w:color w:val="333333"/>
          <w:sz w:val="32"/>
          <w:szCs w:val="32"/>
        </w:rPr>
        <w:t>万元、水费</w:t>
      </w:r>
      <w:r>
        <w:rPr>
          <w:rFonts w:hint="eastAsia" w:ascii="Times New Roman" w:hAnsi="Times New Roman" w:eastAsia="仿宋_GB2312"/>
          <w:sz w:val="32"/>
          <w:szCs w:val="32"/>
        </w:rPr>
        <w:t>20</w:t>
      </w:r>
      <w:r>
        <w:rPr>
          <w:rFonts w:ascii="Times New Roman" w:hAnsi="Times New Roman" w:eastAsia="仿宋_GB2312"/>
          <w:color w:val="333333"/>
          <w:sz w:val="32"/>
          <w:szCs w:val="32"/>
        </w:rPr>
        <w:t>万元、电费</w:t>
      </w:r>
      <w:r>
        <w:rPr>
          <w:rFonts w:hint="eastAsia" w:ascii="Times New Roman" w:hAnsi="Times New Roman" w:eastAsia="仿宋_GB2312"/>
          <w:sz w:val="32"/>
          <w:szCs w:val="32"/>
        </w:rPr>
        <w:t>50</w:t>
      </w:r>
      <w:r>
        <w:rPr>
          <w:rFonts w:ascii="Times New Roman" w:hAnsi="Times New Roman" w:eastAsia="仿宋_GB2312"/>
          <w:color w:val="333333"/>
          <w:sz w:val="32"/>
          <w:szCs w:val="32"/>
        </w:rPr>
        <w:t>万元、邮电费</w:t>
      </w:r>
      <w:r>
        <w:rPr>
          <w:rFonts w:hint="eastAsia" w:ascii="Times New Roman" w:hAnsi="Times New Roman" w:eastAsia="仿宋_GB2312"/>
          <w:sz w:val="32"/>
          <w:szCs w:val="32"/>
        </w:rPr>
        <w:t>7</w:t>
      </w:r>
      <w:r>
        <w:rPr>
          <w:rFonts w:ascii="Times New Roman" w:hAnsi="Times New Roman" w:eastAsia="仿宋_GB2312"/>
          <w:color w:val="333333"/>
          <w:sz w:val="32"/>
          <w:szCs w:val="32"/>
        </w:rPr>
        <w:t>万元、</w:t>
      </w:r>
      <w:r>
        <w:rPr>
          <w:rFonts w:hint="eastAsia" w:ascii="Times New Roman" w:hAnsi="Times New Roman" w:eastAsia="仿宋_GB2312"/>
          <w:sz w:val="32"/>
          <w:szCs w:val="32"/>
        </w:rPr>
        <w:t>物业管理费52万元、</w:t>
      </w:r>
      <w:r>
        <w:rPr>
          <w:rFonts w:ascii="Times New Roman" w:hAnsi="Times New Roman" w:eastAsia="仿宋_GB2312"/>
          <w:color w:val="333333"/>
          <w:sz w:val="32"/>
          <w:szCs w:val="32"/>
        </w:rPr>
        <w:t>公务用车运行维护费</w:t>
      </w:r>
      <w:r>
        <w:rPr>
          <w:rFonts w:hint="eastAsia" w:ascii="Times New Roman" w:hAnsi="Times New Roman" w:eastAsia="仿宋_GB2312"/>
          <w:sz w:val="32"/>
          <w:szCs w:val="32"/>
        </w:rPr>
        <w:t>8</w:t>
      </w:r>
      <w:r>
        <w:rPr>
          <w:rFonts w:ascii="Times New Roman" w:hAnsi="Times New Roman" w:eastAsia="仿宋_GB2312"/>
          <w:color w:val="333333"/>
          <w:sz w:val="32"/>
          <w:szCs w:val="32"/>
        </w:rPr>
        <w:t>万元、差旅费</w:t>
      </w:r>
      <w:r>
        <w:rPr>
          <w:rFonts w:hint="eastAsia" w:ascii="Times New Roman" w:hAnsi="Times New Roman" w:eastAsia="仿宋_GB2312"/>
          <w:sz w:val="32"/>
          <w:szCs w:val="32"/>
        </w:rPr>
        <w:t>20</w:t>
      </w:r>
      <w:r>
        <w:rPr>
          <w:rFonts w:ascii="Times New Roman" w:hAnsi="Times New Roman" w:eastAsia="仿宋_GB2312"/>
          <w:color w:val="333333"/>
          <w:sz w:val="32"/>
          <w:szCs w:val="32"/>
        </w:rPr>
        <w:t>万元、会议费</w:t>
      </w:r>
      <w:r>
        <w:rPr>
          <w:rFonts w:hint="eastAsia" w:ascii="Times New Roman" w:hAnsi="Times New Roman" w:eastAsia="仿宋_GB2312"/>
          <w:sz w:val="32"/>
          <w:szCs w:val="32"/>
        </w:rPr>
        <w:t>8</w:t>
      </w:r>
      <w:r>
        <w:rPr>
          <w:rFonts w:ascii="Times New Roman" w:hAnsi="Times New Roman" w:eastAsia="仿宋_GB2312"/>
          <w:color w:val="333333"/>
          <w:sz w:val="32"/>
          <w:szCs w:val="32"/>
        </w:rPr>
        <w:t xml:space="preserve"> 万元、培训费</w:t>
      </w:r>
      <w:r>
        <w:rPr>
          <w:rFonts w:hint="eastAsia" w:ascii="Times New Roman" w:hAnsi="Times New Roman" w:eastAsia="仿宋_GB2312"/>
          <w:sz w:val="32"/>
          <w:szCs w:val="32"/>
        </w:rPr>
        <w:t>10</w:t>
      </w:r>
      <w:r>
        <w:rPr>
          <w:rFonts w:ascii="Times New Roman" w:hAnsi="Times New Roman" w:eastAsia="仿宋_GB2312"/>
          <w:color w:val="333333"/>
          <w:sz w:val="32"/>
          <w:szCs w:val="32"/>
        </w:rPr>
        <w:t>万元、公务接待费</w:t>
      </w:r>
      <w:r>
        <w:rPr>
          <w:rFonts w:hint="eastAsia" w:ascii="Times New Roman" w:hAnsi="Times New Roman" w:eastAsia="仿宋_GB2312"/>
          <w:sz w:val="32"/>
          <w:szCs w:val="32"/>
        </w:rPr>
        <w:t>8</w:t>
      </w:r>
      <w:r>
        <w:rPr>
          <w:rFonts w:ascii="Times New Roman" w:hAnsi="Times New Roman" w:eastAsia="仿宋_GB2312"/>
          <w:color w:val="333333"/>
          <w:sz w:val="32"/>
          <w:szCs w:val="32"/>
        </w:rPr>
        <w:t>万元、维修（护）费</w:t>
      </w:r>
      <w:r>
        <w:rPr>
          <w:rFonts w:hint="eastAsia" w:ascii="Times New Roman" w:hAnsi="Times New Roman" w:eastAsia="仿宋_GB2312"/>
          <w:sz w:val="32"/>
          <w:szCs w:val="32"/>
        </w:rPr>
        <w:t>0</w:t>
      </w:r>
      <w:r>
        <w:rPr>
          <w:rFonts w:ascii="Times New Roman" w:hAnsi="Times New Roman" w:eastAsia="仿宋_GB2312"/>
          <w:color w:val="333333"/>
          <w:sz w:val="32"/>
          <w:szCs w:val="32"/>
        </w:rPr>
        <w:t>万元、</w:t>
      </w:r>
      <w:r>
        <w:rPr>
          <w:rFonts w:hint="eastAsia" w:ascii="Times New Roman" w:hAnsi="Times New Roman" w:eastAsia="仿宋_GB2312"/>
          <w:sz w:val="32"/>
          <w:szCs w:val="32"/>
        </w:rPr>
        <w:t>租赁费5万元、</w:t>
      </w:r>
      <w:r>
        <w:rPr>
          <w:rFonts w:ascii="Times New Roman" w:hAnsi="Times New Roman" w:eastAsia="仿宋_GB2312"/>
          <w:color w:val="333333"/>
          <w:sz w:val="32"/>
          <w:szCs w:val="32"/>
        </w:rPr>
        <w:t>工会经费</w:t>
      </w:r>
      <w:r>
        <w:rPr>
          <w:rFonts w:hint="eastAsia" w:ascii="Times New Roman" w:hAnsi="Times New Roman" w:eastAsia="仿宋_GB2312"/>
          <w:sz w:val="32"/>
          <w:szCs w:val="32"/>
        </w:rPr>
        <w:t>180</w:t>
      </w:r>
      <w:r>
        <w:rPr>
          <w:rFonts w:ascii="Times New Roman" w:hAnsi="Times New Roman" w:eastAsia="仿宋_GB2312"/>
          <w:color w:val="333333"/>
          <w:sz w:val="32"/>
          <w:szCs w:val="32"/>
        </w:rPr>
        <w:t>万元、福利费</w:t>
      </w:r>
      <w:r>
        <w:rPr>
          <w:rFonts w:hint="eastAsia" w:ascii="Times New Roman" w:hAnsi="Times New Roman" w:eastAsia="仿宋_GB2312"/>
          <w:sz w:val="32"/>
          <w:szCs w:val="32"/>
        </w:rPr>
        <w:t>0</w:t>
      </w:r>
      <w:r>
        <w:rPr>
          <w:rFonts w:ascii="Times New Roman" w:hAnsi="Times New Roman" w:eastAsia="仿宋_GB2312"/>
          <w:color w:val="333333"/>
          <w:sz w:val="32"/>
          <w:szCs w:val="32"/>
        </w:rPr>
        <w:t>万元、其他交通费</w:t>
      </w:r>
      <w:r>
        <w:rPr>
          <w:rFonts w:hint="eastAsia" w:ascii="Times New Roman" w:hAnsi="Times New Roman" w:eastAsia="仿宋_GB2312"/>
          <w:sz w:val="32"/>
          <w:szCs w:val="32"/>
        </w:rPr>
        <w:t>20</w:t>
      </w:r>
      <w:r>
        <w:rPr>
          <w:rFonts w:ascii="Times New Roman" w:hAnsi="Times New Roman" w:eastAsia="仿宋_GB2312"/>
          <w:color w:val="333333"/>
          <w:sz w:val="32"/>
          <w:szCs w:val="32"/>
        </w:rPr>
        <w:t xml:space="preserve"> 万元</w:t>
      </w:r>
      <w:r>
        <w:rPr>
          <w:rFonts w:hint="eastAsia" w:ascii="Times New Roman" w:hAnsi="Times New Roman" w:eastAsia="仿宋_GB2312"/>
          <w:sz w:val="32"/>
          <w:szCs w:val="32"/>
        </w:rPr>
        <w:t>、劳务费8万元</w:t>
      </w:r>
      <w:r>
        <w:rPr>
          <w:rFonts w:ascii="Times New Roman" w:hAnsi="Times New Roman" w:eastAsia="仿宋_GB2312"/>
          <w:color w:val="333333"/>
          <w:sz w:val="32"/>
          <w:szCs w:val="32"/>
        </w:rPr>
        <w:t>。</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Times New Roman" w:hAnsi="Times New Roman" w:eastAsia="仿宋_GB2312"/>
          <w:kern w:val="2"/>
          <w:sz w:val="32"/>
          <w:szCs w:val="32"/>
        </w:rPr>
        <w:t>2022年本单位会议费预算 8万元，拟召开会议人数约300人，内容为2022年新进教师招聘会务费及职称评审会务费等；培训费预算10元，拟开展专职教师技能业务、党员干部理论学习、行政管理人员业务培训及环保系统干部培训班的开展等。</w:t>
      </w:r>
      <w:r>
        <w:rPr>
          <w:rFonts w:hint="eastAsia" w:eastAsia="仿宋_GB2312"/>
          <w:sz w:val="32"/>
          <w:szCs w:val="32"/>
        </w:rPr>
        <w:t>未</w:t>
      </w:r>
      <w:r>
        <w:rPr>
          <w:rFonts w:eastAsia="仿宋_GB2312"/>
          <w:sz w:val="32"/>
          <w:szCs w:val="32"/>
        </w:rPr>
        <w:t>拟举办节庆、晚会、论坛、赛事活动。</w:t>
      </w:r>
    </w:p>
    <w:p>
      <w:pPr>
        <w:pStyle w:val="2"/>
        <w:keepNext w:val="0"/>
        <w:keepLines w:val="0"/>
        <w:pageBreakBefore w:val="0"/>
        <w:widowControl w:val="0"/>
        <w:kinsoku/>
        <w:wordWrap/>
        <w:overflowPunct/>
        <w:topLinePunct w:val="0"/>
        <w:autoSpaceDE w:val="0"/>
        <w:autoSpaceDN w:val="0"/>
        <w:bidi w:val="0"/>
        <w:adjustRightInd w:val="0"/>
        <w:snapToGrid/>
        <w:spacing w:line="360" w:lineRule="auto"/>
        <w:ind w:firstLine="643"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楷体" w:hAnsi="楷体" w:eastAsia="楷体" w:cs="楷体"/>
          <w:b/>
          <w:bCs/>
          <w:kern w:val="2"/>
          <w:sz w:val="32"/>
          <w:szCs w:val="32"/>
        </w:rPr>
        <w:t>（四）政府采购情况：</w:t>
      </w:r>
      <w:r>
        <w:rPr>
          <w:rFonts w:hint="eastAsia" w:ascii="Times New Roman" w:hAnsi="Times New Roman" w:eastAsia="仿宋_GB2312" w:cs="Times New Roman"/>
          <w:color w:val="auto"/>
          <w:kern w:val="2"/>
          <w:sz w:val="32"/>
          <w:szCs w:val="32"/>
          <w:lang w:val="en-US" w:eastAsia="zh-CN" w:bidi="ar-SA"/>
        </w:rPr>
        <w:t>本部门2022年度政府采购预算总额0万元，其中：政府采购货物支出0万元、政府采购工程支出0万元、政府采购服务支出0万元。</w:t>
      </w:r>
      <w:bookmarkStart w:id="0" w:name="_GoBack"/>
      <w:bookmarkEnd w:id="0"/>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楷体" w:hAnsi="楷体" w:eastAsia="楷体" w:cs="楷体"/>
          <w:b/>
          <w:bCs/>
          <w:kern w:val="2"/>
          <w:sz w:val="32"/>
          <w:szCs w:val="32"/>
        </w:rPr>
        <w:t>（五）国有资产占用使用及新增资产配置情况：</w:t>
      </w:r>
      <w:r>
        <w:rPr>
          <w:rFonts w:hint="eastAsia" w:ascii="Times New Roman" w:hAnsi="Times New Roman" w:eastAsia="仿宋_GB2312"/>
          <w:kern w:val="2"/>
          <w:sz w:val="32"/>
          <w:szCs w:val="32"/>
        </w:rPr>
        <w:t>截至2021年12月底，本单位共有公务用车2辆，</w:t>
      </w:r>
      <w:r>
        <w:rPr>
          <w:rFonts w:eastAsia="仿宋_GB2312"/>
          <w:bCs/>
          <w:sz w:val="32"/>
          <w:szCs w:val="32"/>
        </w:rPr>
        <w:t>其中，</w:t>
      </w:r>
      <w:r>
        <w:rPr>
          <w:rFonts w:ascii="Times New Roman" w:hAnsi="Times New Roman" w:eastAsia="仿宋_GB2312"/>
          <w:bCs/>
          <w:sz w:val="32"/>
          <w:szCs w:val="32"/>
        </w:rPr>
        <w:t>领导干部用车0辆、一般公务用车0辆、一般执法执勤用车0辆、</w:t>
      </w:r>
      <w:r>
        <w:rPr>
          <w:rFonts w:eastAsia="仿宋_GB2312"/>
          <w:bCs/>
          <w:sz w:val="32"/>
          <w:szCs w:val="32"/>
        </w:rPr>
        <w:t>特种专业技术用车</w:t>
      </w:r>
      <w:r>
        <w:rPr>
          <w:rFonts w:hint="eastAsia" w:eastAsia="仿宋_GB2312"/>
          <w:bCs/>
          <w:sz w:val="32"/>
          <w:szCs w:val="32"/>
        </w:rPr>
        <w:t>0</w:t>
      </w:r>
      <w:r>
        <w:rPr>
          <w:rFonts w:eastAsia="仿宋_GB2312"/>
          <w:bCs/>
          <w:sz w:val="32"/>
          <w:szCs w:val="32"/>
        </w:rPr>
        <w:t>辆，</w:t>
      </w:r>
      <w:r>
        <w:rPr>
          <w:rFonts w:hint="eastAsia" w:ascii="Times New Roman" w:hAnsi="Times New Roman" w:eastAsia="仿宋_GB2312"/>
          <w:kern w:val="2"/>
          <w:sz w:val="32"/>
          <w:szCs w:val="32"/>
        </w:rPr>
        <w:t>其他按照规定配备的公务用车2辆；单位价值50万元以上通用设备11台，单位价值100万元以上专用设备3台。2022年拟新增配置公务用车0辆，新增配备单位价值50万元以上通用设备0台，单位价值100万元以上专用设备0台。</w:t>
      </w:r>
    </w:p>
    <w:p>
      <w:pPr>
        <w:pStyle w:val="7"/>
        <w:widowControl/>
        <w:spacing w:beforeAutospacing="0" w:afterAutospacing="0" w:line="13" w:lineRule="atLeast"/>
        <w:ind w:firstLine="420"/>
        <w:rPr>
          <w:rFonts w:ascii="Times New Roman" w:hAnsi="Times New Roman" w:eastAsia="仿宋_GB2312"/>
          <w:kern w:val="2"/>
          <w:sz w:val="32"/>
          <w:szCs w:val="32"/>
        </w:rPr>
      </w:pPr>
      <w:r>
        <w:rPr>
          <w:rFonts w:hint="eastAsia" w:ascii="楷体" w:hAnsi="楷体" w:eastAsia="楷体" w:cs="楷体"/>
          <w:b/>
          <w:bCs/>
          <w:kern w:val="2"/>
          <w:sz w:val="32"/>
          <w:szCs w:val="32"/>
        </w:rPr>
        <w:t>（六）预算绩效目标说明：</w:t>
      </w:r>
      <w:r>
        <w:rPr>
          <w:rFonts w:ascii="Times New Roman" w:hAnsi="Times New Roman" w:eastAsia="仿宋_GB2312"/>
          <w:bCs/>
          <w:sz w:val="32"/>
          <w:szCs w:val="32"/>
        </w:rPr>
        <w:t>按照预算绩效管理工作的总体要求，</w:t>
      </w:r>
      <w:r>
        <w:rPr>
          <w:rFonts w:hint="eastAsia" w:ascii="Times New Roman" w:hAnsi="Times New Roman" w:eastAsia="仿宋_GB2312"/>
          <w:kern w:val="2"/>
          <w:sz w:val="32"/>
          <w:szCs w:val="32"/>
        </w:rPr>
        <w:t>本单位所有支出实行绩效目标管理。纳入2022年单位整体支出绩效目标的金额为19018.88万元，其中，基本支出12357.43万元，项目支出6661.45万元，具体绩效目标详见报表。</w:t>
      </w:r>
    </w:p>
    <w:p>
      <w:pPr>
        <w:widowControl/>
        <w:spacing w:line="600" w:lineRule="exact"/>
        <w:ind w:firstLine="660"/>
        <w:rPr>
          <w:rFonts w:eastAsia="黑体"/>
          <w:sz w:val="32"/>
          <w:szCs w:val="32"/>
        </w:rPr>
      </w:pPr>
      <w:r>
        <w:rPr>
          <w:rFonts w:hint="eastAsia" w:eastAsia="黑体"/>
          <w:sz w:val="32"/>
          <w:szCs w:val="32"/>
        </w:rPr>
        <w:t>七</w:t>
      </w:r>
      <w:r>
        <w:rPr>
          <w:rFonts w:eastAsia="黑体"/>
          <w:sz w:val="32"/>
          <w:szCs w:val="32"/>
        </w:rPr>
        <w:t>、名词解释</w:t>
      </w:r>
    </w:p>
    <w:p>
      <w:pPr>
        <w:widowControl/>
        <w:spacing w:line="600" w:lineRule="exact"/>
        <w:ind w:firstLine="660"/>
        <w:rPr>
          <w:rFonts w:eastAsia="仿宋_GB2312"/>
          <w:sz w:val="32"/>
          <w:szCs w:val="32"/>
        </w:rPr>
      </w:pPr>
      <w:r>
        <w:rPr>
          <w:rFonts w:eastAsia="仿宋_GB2312"/>
          <w:sz w:val="32"/>
          <w:szCs w:val="32"/>
        </w:rPr>
        <w:t>1、机关运行经费：是指各</w:t>
      </w:r>
      <w:r>
        <w:rPr>
          <w:rFonts w:hint="eastAsia" w:eastAsia="仿宋_GB2312"/>
          <w:sz w:val="32"/>
          <w:szCs w:val="32"/>
        </w:rPr>
        <w:t>单位</w:t>
      </w:r>
      <w:r>
        <w:rPr>
          <w:rFonts w:eastAsia="仿宋_GB2312"/>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仿宋_GB2312"/>
          <w:sz w:val="32"/>
          <w:szCs w:val="32"/>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pStyle w:val="7"/>
        <w:widowControl/>
        <w:spacing w:beforeAutospacing="0" w:afterAutospacing="0" w:line="13" w:lineRule="atLeast"/>
        <w:ind w:firstLine="420"/>
        <w:rPr>
          <w:rFonts w:ascii="Times New Roman" w:hAnsi="Times New Roman" w:eastAsia="仿宋_GB2312"/>
          <w:kern w:val="2"/>
          <w:sz w:val="32"/>
          <w:szCs w:val="32"/>
        </w:rPr>
      </w:pPr>
    </w:p>
    <w:p>
      <w:pPr>
        <w:widowControl/>
        <w:spacing w:line="600" w:lineRule="exact"/>
        <w:ind w:firstLine="640" w:firstLineChars="200"/>
        <w:jc w:val="center"/>
        <w:rPr>
          <w:rFonts w:eastAsia="方正小标宋_GBK"/>
          <w:bCs/>
          <w:kern w:val="0"/>
          <w:sz w:val="36"/>
          <w:szCs w:val="36"/>
        </w:rPr>
      </w:pPr>
      <w:r>
        <w:rPr>
          <w:rFonts w:hint="eastAsia" w:ascii="Times New Roman" w:hAnsi="Times New Roman" w:eastAsia="仿宋_GB2312" w:cs="Times New Roman"/>
          <w:sz w:val="32"/>
          <w:szCs w:val="32"/>
        </w:rPr>
        <w:t> </w:t>
      </w:r>
      <w:r>
        <w:rPr>
          <w:rFonts w:eastAsia="方正小标宋_GBK"/>
          <w:bCs/>
          <w:kern w:val="0"/>
          <w:sz w:val="36"/>
          <w:szCs w:val="36"/>
        </w:rPr>
        <w:t>第二部分 202</w:t>
      </w:r>
      <w:r>
        <w:rPr>
          <w:rFonts w:hint="eastAsia" w:eastAsia="方正小标宋_GBK"/>
          <w:bCs/>
          <w:kern w:val="0"/>
          <w:sz w:val="36"/>
          <w:szCs w:val="36"/>
        </w:rPr>
        <w:t>2</w:t>
      </w:r>
      <w:r>
        <w:rPr>
          <w:rFonts w:eastAsia="方正小标宋_GBK"/>
          <w:bCs/>
          <w:kern w:val="0"/>
          <w:sz w:val="36"/>
          <w:szCs w:val="36"/>
        </w:rPr>
        <w:t>年单位预算表</w:t>
      </w:r>
    </w:p>
    <w:p>
      <w:pPr>
        <w:pStyle w:val="7"/>
        <w:widowControl/>
        <w:spacing w:beforeAutospacing="0" w:afterAutospacing="0" w:line="368" w:lineRule="atLeast"/>
        <w:rPr>
          <w:rFonts w:ascii="Times New Roman" w:hAnsi="Times New Roman" w:eastAsia="仿宋_GB2312"/>
          <w:kern w:val="2"/>
          <w:sz w:val="32"/>
          <w:szCs w:val="32"/>
        </w:rPr>
      </w:pPr>
    </w:p>
    <w:p>
      <w:pPr>
        <w:pStyle w:val="7"/>
        <w:widowControl/>
        <w:spacing w:beforeAutospacing="0" w:afterAutospacing="0" w:line="368" w:lineRule="atLeast"/>
        <w:rPr>
          <w:rFonts w:ascii="Times New Roman" w:hAnsi="Times New Roman" w:eastAsia="仿宋_GB2312"/>
          <w:kern w:val="2"/>
          <w:sz w:val="32"/>
          <w:szCs w:val="32"/>
        </w:rPr>
      </w:pPr>
    </w:p>
    <w:p>
      <w:pPr>
        <w:pStyle w:val="7"/>
        <w:widowControl/>
        <w:spacing w:beforeAutospacing="0" w:afterAutospacing="0" w:line="368" w:lineRule="atLeast"/>
        <w:rPr>
          <w:rFonts w:ascii="Times New Roman" w:hAnsi="Times New Roman" w:eastAsia="仿宋_GB2312"/>
          <w:kern w:val="2"/>
          <w:sz w:val="32"/>
          <w:szCs w:val="32"/>
        </w:rPr>
      </w:pPr>
      <w:r>
        <w:rPr>
          <w:rFonts w:ascii="Times New Roman" w:hAnsi="Times New Roman" w:eastAsia="仿宋_GB2312"/>
          <w:kern w:val="2"/>
          <w:sz w:val="32"/>
          <w:szCs w:val="32"/>
        </w:rPr>
        <w:fldChar w:fldCharType="begin"/>
      </w:r>
      <w:r>
        <w:rPr>
          <w:rFonts w:ascii="Times New Roman" w:hAnsi="Times New Roman" w:eastAsia="仿宋_GB2312"/>
          <w:kern w:val="2"/>
          <w:sz w:val="32"/>
          <w:szCs w:val="32"/>
        </w:rPr>
        <w:instrText xml:space="preserve"> HYPERLINK "长沙环境保护职业技术学院2022年预算公开表.xls"</w:instrText>
      </w:r>
      <w:r>
        <w:rPr>
          <w:rFonts w:ascii="Times New Roman" w:hAnsi="Times New Roman" w:eastAsia="仿宋_GB2312"/>
          <w:kern w:val="2"/>
          <w:sz w:val="32"/>
          <w:szCs w:val="32"/>
        </w:rPr>
        <w:fldChar w:fldCharType="separate"/>
      </w:r>
      <w:r>
        <w:rPr>
          <w:rStyle w:val="11"/>
          <w:rFonts w:ascii="Times New Roman" w:hAnsi="Times New Roman" w:eastAsia="仿宋_GB2312"/>
          <w:kern w:val="2"/>
          <w:sz w:val="32"/>
          <w:szCs w:val="32"/>
        </w:rPr>
        <w:t>长沙环境保护职业技术学院2022年预算公开表.xls</w:t>
      </w:r>
      <w:r>
        <w:rPr>
          <w:rFonts w:ascii="Times New Roman" w:hAnsi="Times New Roman" w:eastAsia="仿宋_GB2312"/>
          <w:kern w:val="2"/>
          <w:sz w:val="32"/>
          <w:szCs w:val="32"/>
        </w:rPr>
        <w:fldChar w:fldCharType="end"/>
      </w:r>
    </w:p>
    <w:p>
      <w:pPr>
        <w:pStyle w:val="7"/>
        <w:widowControl/>
        <w:spacing w:beforeAutospacing="0" w:afterAutospacing="0" w:line="13" w:lineRule="atLeast"/>
        <w:ind w:firstLine="420"/>
        <w:jc w:val="right"/>
        <w:rPr>
          <w:rFonts w:ascii="Times New Roman" w:hAnsi="Times New Roman" w:eastAsia="仿宋_GB2312"/>
          <w:kern w:val="2"/>
          <w:sz w:val="32"/>
          <w:szCs w:val="32"/>
        </w:rPr>
      </w:pPr>
      <w:r>
        <w:rPr>
          <w:rFonts w:hint="eastAsia" w:ascii="Times New Roman" w:hAnsi="Times New Roman" w:eastAsia="仿宋_GB2312"/>
          <w:kern w:val="2"/>
          <w:sz w:val="32"/>
          <w:szCs w:val="32"/>
        </w:rPr>
        <w:t>       </w:t>
      </w:r>
    </w:p>
    <w:p>
      <w:pPr>
        <w:widowControl/>
        <w:spacing w:line="600" w:lineRule="exact"/>
        <w:jc w:val="right"/>
        <w:rPr>
          <w:rFonts w:eastAsia="微软雅黑"/>
          <w:sz w:val="32"/>
          <w:szCs w:val="32"/>
        </w:rPr>
      </w:pPr>
      <w:r>
        <w:rPr>
          <w:rFonts w:hint="eastAsia" w:ascii="微软雅黑" w:hAnsi="微软雅黑" w:eastAsia="微软雅黑" w:cs="微软雅黑"/>
          <w:color w:val="333333"/>
          <w:sz w:val="28"/>
          <w:szCs w:val="28"/>
        </w:rPr>
        <w:t> </w:t>
      </w:r>
      <w:r>
        <w:rPr>
          <w:rFonts w:hint="eastAsia" w:eastAsia="仿宋_GB2312"/>
          <w:sz w:val="32"/>
          <w:szCs w:val="32"/>
        </w:rPr>
        <w:t>长沙环境保护职业技术学院</w:t>
      </w:r>
    </w:p>
    <w:p>
      <w:pPr>
        <w:pStyle w:val="7"/>
        <w:widowControl/>
        <w:spacing w:beforeAutospacing="0" w:afterAutospacing="0"/>
        <w:jc w:val="right"/>
        <w:rPr>
          <w:sz w:val="28"/>
          <w:szCs w:val="28"/>
        </w:rPr>
      </w:pPr>
      <w:r>
        <w:rPr>
          <w:rFonts w:hint="eastAsia" w:eastAsia="仿宋_GB2312"/>
          <w:sz w:val="32"/>
          <w:szCs w:val="32"/>
        </w:rPr>
        <w:t xml:space="preserve"> 2022年3月</w:t>
      </w:r>
    </w:p>
    <w:p>
      <w:pPr>
        <w:rPr>
          <w:rFonts w:hint="eastAsia"/>
          <w:sz w:val="28"/>
          <w:szCs w:val="28"/>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roma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0C12B0"/>
    <w:multiLevelType w:val="singleLevel"/>
    <w:tmpl w:val="460C12B0"/>
    <w:lvl w:ilvl="0" w:tentative="0">
      <w:start w:val="2"/>
      <w:numFmt w:val="chineseCounting"/>
      <w:suff w:val="nothing"/>
      <w:lvlText w:val="（%1）"/>
      <w:lvlJc w:val="left"/>
      <w:rPr>
        <w:rFonts w:hint="eastAsia"/>
      </w:rPr>
    </w:lvl>
  </w:abstractNum>
  <w:abstractNum w:abstractNumId="1">
    <w:nsid w:val="7B4D74C2"/>
    <w:multiLevelType w:val="singleLevel"/>
    <w:tmpl w:val="7B4D74C2"/>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revisionView w:markup="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2E2858"/>
    <w:rsid w:val="001F4C82"/>
    <w:rsid w:val="002E2858"/>
    <w:rsid w:val="004B640E"/>
    <w:rsid w:val="135823C5"/>
    <w:rsid w:val="1CD9119B"/>
    <w:rsid w:val="5A2C6C56"/>
    <w:rsid w:val="5AA900BA"/>
    <w:rsid w:val="789E0B12"/>
    <w:rsid w:val="79E425EF"/>
    <w:rsid w:val="ECCFF14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4">
    <w:name w:val="Balloon Text"/>
    <w:basedOn w:val="1"/>
    <w:link w:val="12"/>
    <w:qFormat/>
    <w:uiPriority w:val="0"/>
    <w:rPr>
      <w:sz w:val="18"/>
      <w:szCs w:val="18"/>
    </w:r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character" w:styleId="10">
    <w:name w:val="Strong"/>
    <w:basedOn w:val="9"/>
    <w:qFormat/>
    <w:uiPriority w:val="0"/>
    <w:rPr>
      <w:b/>
    </w:rPr>
  </w:style>
  <w:style w:type="character" w:styleId="11">
    <w:name w:val="Hyperlink"/>
    <w:basedOn w:val="9"/>
    <w:qFormat/>
    <w:uiPriority w:val="0"/>
    <w:rPr>
      <w:color w:val="0000FF"/>
      <w:u w:val="single"/>
    </w:rPr>
  </w:style>
  <w:style w:type="character" w:customStyle="1" w:styleId="12">
    <w:name w:val="批注框文本 Char"/>
    <w:basedOn w:val="9"/>
    <w:link w:val="4"/>
    <w:qFormat/>
    <w:uiPriority w:val="0"/>
    <w:rPr>
      <w:rFonts w:asciiTheme="minorHAnsi" w:hAnsiTheme="minorHAnsi" w:eastAsiaTheme="minorEastAsia" w:cstheme="minorBidi"/>
      <w:kern w:val="2"/>
      <w:sz w:val="18"/>
      <w:szCs w:val="18"/>
    </w:rPr>
  </w:style>
  <w:style w:type="character" w:customStyle="1" w:styleId="13">
    <w:name w:val="页眉 Char"/>
    <w:basedOn w:val="9"/>
    <w:link w:val="6"/>
    <w:qFormat/>
    <w:uiPriority w:val="0"/>
    <w:rPr>
      <w:rFonts w:asciiTheme="minorHAnsi" w:hAnsiTheme="minorHAnsi" w:eastAsiaTheme="minorEastAsia" w:cstheme="minorBidi"/>
      <w:kern w:val="2"/>
      <w:sz w:val="18"/>
      <w:szCs w:val="18"/>
    </w:rPr>
  </w:style>
  <w:style w:type="character" w:customStyle="1" w:styleId="14">
    <w:name w:val="页脚 Char"/>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10</Pages>
  <Words>652</Words>
  <Characters>3718</Characters>
  <Lines>30</Lines>
  <Paragraphs>8</Paragraphs>
  <TotalTime>0</TotalTime>
  <ScaleCrop>false</ScaleCrop>
  <LinksUpToDate>false</LinksUpToDate>
  <CharactersWithSpaces>4362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2023-08-30T18:16:00Z</dcterms:created>
  <dc:creator>周华</dc:creator>
  <cp:lastModifiedBy>rani</cp:lastModifiedBy>
  <dcterms:modified xsi:type="dcterms:W3CDTF">2023-09-24T09:53:19Z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29754406E22043D78EBC03E7D91FF76E_12</vt:lpwstr>
  </property>
</Properties>
</file>