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line="600" w:lineRule="exact"/>
        <w:ind w:left="0" w:firstLine="0"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  <w14:ligatures w14:val="none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val="en-US" w:eastAsia="zh-CN"/>
          <w14:ligatures w14:val="none"/>
        </w:rPr>
        <w:t>2022</w:t>
      </w:r>
      <w:r>
        <w:rPr>
          <w:rFonts w:ascii="Times New Roman" w:hAnsi="Times New Roman" w:eastAsia="方正小标宋_GBK" w:cs="Times New Roman"/>
          <w:bCs/>
          <w:kern w:val="0"/>
          <w:sz w:val="44"/>
          <w:szCs w:val="44"/>
          <w14:ligatures w14:val="none"/>
        </w:rPr>
        <w:t xml:space="preserve">年湖南省怀化生态环境监测中心预算 </w:t>
      </w:r>
    </w:p>
    <w:p>
      <w:pPr>
        <w:spacing w:line="259" w:lineRule="auto"/>
        <w:ind w:left="0" w:right="237" w:firstLine="0"/>
        <w:jc w:val="center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一、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部门职能职责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二、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机构设置情况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及部门预算构成情况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三、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部门收支总体情况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四、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一般公共预算拨款支出预算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五、政府性基金预算情况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六、</w:t>
      </w:r>
      <w:r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其他情况说明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Chars="0" w:right="0" w:rightChars="0" w:firstLine="640" w:firstLineChars="200"/>
        <w:jc w:val="left"/>
        <w:textAlignment w:val="auto"/>
        <w:rPr>
          <w:rStyle w:val="7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Style w:val="7"/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val="en-US" w:eastAsia="zh-CN"/>
        </w:rPr>
        <w:t>七、名词解释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24、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 w:bidi="ar-SA"/>
        </w:rPr>
        <w:t>一般公共预算基本支出表</w:t>
      </w:r>
    </w:p>
    <w:p>
      <w:pPr>
        <w:pStyle w:val="2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1" w:firstLine="640" w:firstLineChars="200"/>
        <w:textAlignment w:val="auto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spacing w:after="201" w:line="259" w:lineRule="auto"/>
        <w:ind w:left="634" w:firstLine="0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259" w:lineRule="auto"/>
        <w:ind w:left="0" w:firstLine="0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131" w:line="259" w:lineRule="auto"/>
        <w:ind w:left="0" w:right="315" w:firstLine="0"/>
        <w:jc w:val="center"/>
      </w:pPr>
      <w:r>
        <w:rPr>
          <w:sz w:val="36"/>
        </w:rPr>
        <w:t>第一部分</w:t>
      </w:r>
      <w:r>
        <w:rPr>
          <w:rFonts w:ascii="Times New Roman" w:hAnsi="Times New Roman" w:eastAsia="Times New Roman" w:cs="Times New Roman"/>
          <w:sz w:val="36"/>
        </w:rPr>
        <w:t xml:space="preserve"> 2022 </w:t>
      </w:r>
      <w:r>
        <w:rPr>
          <w:sz w:val="36"/>
        </w:rPr>
        <w:t>年单位预算说明</w:t>
      </w:r>
      <w:r>
        <w:rPr>
          <w:rFonts w:ascii="Times New Roman" w:hAnsi="Times New Roman" w:eastAsia="Times New Roman" w:cs="Times New Roman"/>
          <w:sz w:val="36"/>
        </w:rPr>
        <w:t xml:space="preserve"> </w:t>
      </w:r>
    </w:p>
    <w:p>
      <w:pPr>
        <w:spacing w:line="259" w:lineRule="auto"/>
        <w:ind w:left="0" w:firstLine="0"/>
      </w:pP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numPr>
          <w:ilvl w:val="0"/>
          <w:numId w:val="2"/>
        </w:numPr>
        <w:spacing w:after="0" w:line="390" w:lineRule="auto"/>
        <w:ind w:left="655" w:leftChars="0" w:right="2815" w:rightChars="0"/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  <w14:ligatures w14:val="none"/>
        </w:rPr>
        <w:t>部门职能职责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0" w:line="360" w:lineRule="auto"/>
        <w:ind w:left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湖南省怀化生态环境监测中心于 2019年11月挂牌成立，其前身为怀化市环境保护监测站，成立于 1976 年 6 月。40 多年来，湖南省怀化生态环境监测中心经历了从无到有，从弱到强的不断发展，工作成绩突出，业绩斐然，多次荣获省部级、市级荣誉，为打好污染防治攻坚战提供了精准有力的技术支持。 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湖南省怀化生态环境监测中心属国家环境监测二级站，是湖南省财政全额拨款的事业单位，隶属于湖南省生态环境厅，是怀化市生态环境监测的网络中心、技术中心、质控中心、数据（信息）中心和培训中心。 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湖南省怀化生态环境监测中心拥有完善的质量保证体系。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1991 年通过首届国家“优质实验室”验收。1998 年首次通过计量认证，2005 年通过湖南省技术监督局、湖南省环境保护局的“计量认证复查”。</w:t>
      </w:r>
    </w:p>
    <w:p>
      <w:pPr>
        <w:widowControl/>
        <w:spacing w:line="600" w:lineRule="exact"/>
        <w:ind w:firstLine="627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二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机构设置及预算单位构成</w:t>
      </w:r>
      <w:r>
        <w:rPr>
          <w:rFonts w:eastAsia="黑体"/>
          <w:bCs/>
          <w:kern w:val="0"/>
          <w:sz w:val="32"/>
          <w:szCs w:val="32"/>
        </w:rPr>
        <w:t>情况</w:t>
      </w:r>
    </w:p>
    <w:p>
      <w:pPr>
        <w:widowControl/>
        <w:spacing w:after="0" w:line="600" w:lineRule="exact"/>
        <w:ind w:left="0" w:firstLine="630" w:firstLineChars="196"/>
        <w:jc w:val="left"/>
        <w:rPr>
          <w:rFonts w:ascii="Times New Roman" w:hAnsi="Times New Roman" w:eastAsia="楷体_GB2312" w:cs="Times New Roman"/>
          <w:b/>
          <w:sz w:val="32"/>
          <w:szCs w:val="32"/>
          <w14:ligatures w14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14:ligatures w14:val="none"/>
        </w:rPr>
        <w:t xml:space="preserve"> </w:t>
      </w:r>
      <w:r>
        <w:rPr>
          <w:rFonts w:ascii="Times New Roman" w:hAnsi="Times New Roman" w:eastAsia="楷体_GB2312" w:cs="Times New Roman"/>
          <w:b/>
          <w:sz w:val="32"/>
          <w:szCs w:val="32"/>
          <w14:ligatures w14:val="none"/>
        </w:rPr>
        <w:t>（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  <w14:ligatures w14:val="none"/>
        </w:rPr>
        <w:t>一</w:t>
      </w:r>
      <w:r>
        <w:rPr>
          <w:rFonts w:ascii="Times New Roman" w:hAnsi="Times New Roman" w:eastAsia="楷体_GB2312" w:cs="Times New Roman"/>
          <w:b/>
          <w:sz w:val="32"/>
          <w:szCs w:val="32"/>
          <w14:ligatures w14:val="none"/>
        </w:rPr>
        <w:t xml:space="preserve">）机构设置 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湖南省怀化生态环境监测中心核定编制41人，其中具有中高级以上职称的20人，共设置7个科室，分别为：办公室、党建人事科、质量管理科、综合技术科、现场监测科、分析技术科、自动监测科。</w:t>
      </w:r>
    </w:p>
    <w:p>
      <w:pPr>
        <w:widowControl/>
        <w:numPr>
          <w:ilvl w:val="0"/>
          <w:numId w:val="3"/>
        </w:numPr>
        <w:spacing w:line="600" w:lineRule="exact"/>
        <w:ind w:firstLine="320" w:firstLineChars="100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部门预算单位构成情况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highlight w:val="none"/>
          <w:lang w:eastAsia="zh-CN"/>
          <w14:ligatures w14:val="none"/>
        </w:rPr>
        <w:t>我单位无下级预算单位，因此，纳入本年度部门预算编制范围为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lang w:eastAsia="zh-CN"/>
          <w14:ligatures w14:val="none"/>
        </w:rPr>
        <w:t>湖南省</w:t>
      </w:r>
      <w:r>
        <w:rPr>
          <w:rFonts w:hint="eastAsia" w:ascii="仿宋_GB2312" w:hAnsi="Times New Roman" w:eastAsia="仿宋_GB2312" w:cs="Times New Roman"/>
          <w:bCs w:val="0"/>
          <w:color w:val="000000"/>
          <w:kern w:val="2"/>
          <w:sz w:val="32"/>
          <w:szCs w:val="32"/>
          <w:highlight w:val="none"/>
          <w:lang w:val="en-US" w:eastAsia="zh-CN"/>
          <w14:ligatures w14:val="none"/>
        </w:rPr>
        <w:t>怀化</w:t>
      </w:r>
      <w:r>
        <w:rPr>
          <w:rFonts w:hint="eastAsia" w:ascii="仿宋_GB2312" w:hAnsi="Times New Roman" w:eastAsia="仿宋_GB2312" w:cs="Times New Roman"/>
          <w:bCs w:val="0"/>
          <w:color w:val="000000"/>
          <w:kern w:val="2"/>
          <w:sz w:val="32"/>
          <w:szCs w:val="32"/>
          <w:highlight w:val="none"/>
          <w14:ligatures w14:val="none"/>
        </w:rPr>
        <w:t>生态环境监测中心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eastAsia="zh-CN"/>
          <w14:ligatures w14:val="none"/>
        </w:rPr>
        <w:t>本级。</w:t>
      </w:r>
      <w:r>
        <w:rPr>
          <w:rFonts w:hint="eastAsia" w:ascii="仿宋_GB2312" w:hAnsi="Times New Roman" w:eastAsia="仿宋_GB2312" w:cs="Times New Roman"/>
          <w:b w:val="0"/>
          <w:szCs w:val="32"/>
          <w14:ligatures w14:val="none"/>
        </w:rPr>
        <w:t xml:space="preserve"> </w:t>
      </w:r>
    </w:p>
    <w:p>
      <w:pPr>
        <w:pStyle w:val="3"/>
        <w:ind w:left="655" w:right="2815"/>
      </w:pPr>
      <w:r>
        <w:rPr>
          <w:rFonts w:hint="eastAsia"/>
          <w:lang w:val="en-US" w:eastAsia="zh-CN"/>
        </w:rPr>
        <w:t>三</w:t>
      </w:r>
      <w:r>
        <w:t>、单位收支总体情况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eastAsia="楷体_GB2312"/>
          <w:b/>
          <w:sz w:val="32"/>
          <w:szCs w:val="32"/>
          <w:u w:val="none"/>
        </w:rPr>
        <w:t>（一）收入预算：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包括一般公共预算、政府性基金、国有资本经营预算等财政拨款收入，以及经营收入、事业收入等单位资金。2022 年本单位收入预算847.35万元，其中，一般公共预算拨款8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00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万元，上年结余收入20.35万元。收入较去年减少20.99 万元，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减少2.42%，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主要是上年度结余资金减少。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:lang w:eastAsia="zh-CN"/>
          <w14:ligatures w14:val="standardContextual"/>
        </w:rPr>
        <w:t>（</w:t>
      </w: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:lang w:val="en-US" w:eastAsia="zh-CN"/>
          <w14:ligatures w14:val="standardContextual"/>
        </w:rPr>
        <w:t>二）</w:t>
      </w: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14:ligatures w14:val="standardContextual"/>
        </w:rPr>
        <w:t>支出预算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：2022 年本单位支出预算847.35 万元，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其中，</w:t>
      </w:r>
      <w:r>
        <w:rPr>
          <w:rFonts w:hint="eastAsia" w:eastAsia="仿宋_GB2312"/>
          <w:sz w:val="32"/>
          <w:szCs w:val="32"/>
          <w:u w:val="none"/>
        </w:rPr>
        <w:t>社会保障和就业支出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38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，卫生健康支出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0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</w:rPr>
        <w:t>节能环保支出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73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9.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 xml:space="preserve"> 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</w:rPr>
        <w:t>住房保障支出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41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 xml:space="preserve">0 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。支出较去年减少20.99 万元，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减少2.42%，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主要是专项业务工作经费减少。 </w:t>
      </w:r>
    </w:p>
    <w:p>
      <w:pPr>
        <w:pStyle w:val="3"/>
        <w:widowControl w:val="0"/>
        <w:snapToGrid w:val="0"/>
        <w:spacing w:after="0" w:line="360" w:lineRule="auto"/>
        <w:ind w:left="320" w:leftChars="100" w:right="2815" w:firstLine="307" w:firstLineChars="96"/>
        <w:jc w:val="both"/>
        <w:rPr>
          <w:rFonts w:hint="default" w:ascii="微软雅黑" w:hAnsi="微软雅黑" w:eastAsia="微软雅黑" w:cs="微软雅黑"/>
          <w:sz w:val="32"/>
          <w:szCs w:val="22"/>
          <w14:ligatures w14:val="standardContextual"/>
        </w:rPr>
      </w:pPr>
      <w:r>
        <w:rPr>
          <w:rFonts w:hint="eastAsia" w:cs="微软雅黑"/>
          <w:sz w:val="32"/>
          <w:szCs w:val="22"/>
          <w:lang w:val="en-US" w:eastAsia="zh-CN"/>
          <w14:ligatures w14:val="standardContextual"/>
        </w:rPr>
        <w:t>四</w:t>
      </w:r>
      <w:r>
        <w:rPr>
          <w:rFonts w:hint="default" w:ascii="微软雅黑" w:hAnsi="微软雅黑" w:eastAsia="微软雅黑" w:cs="微软雅黑"/>
          <w:sz w:val="32"/>
          <w:szCs w:val="22"/>
          <w14:ligatures w14:val="standardContextual"/>
        </w:rPr>
        <w:t xml:space="preserve">、一般公共预算拨款支出 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2022 年本单位一般公共预算拨款支出预算 847.35 万元，较去年减少20.99 万元，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减少2.42%。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其中，</w:t>
      </w:r>
      <w:r>
        <w:rPr>
          <w:rFonts w:hint="eastAsia" w:eastAsia="仿宋_GB2312"/>
          <w:sz w:val="32"/>
          <w:szCs w:val="32"/>
          <w:u w:val="none"/>
        </w:rPr>
        <w:t>社会保障和就业支出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38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4.51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%</w:t>
      </w:r>
      <w:r>
        <w:rPr>
          <w:rFonts w:hint="eastAsia" w:eastAsia="仿宋_GB2312"/>
          <w:sz w:val="32"/>
          <w:szCs w:val="32"/>
          <w:u w:val="none"/>
        </w:rPr>
        <w:t>，卫生健康支出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3.29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%</w:t>
      </w:r>
      <w:r>
        <w:rPr>
          <w:rFonts w:eastAsia="仿宋_GB2312"/>
          <w:sz w:val="32"/>
          <w:szCs w:val="32"/>
          <w:u w:val="none"/>
        </w:rPr>
        <w:t>，</w:t>
      </w:r>
      <w:r>
        <w:rPr>
          <w:rFonts w:hint="eastAsia" w:eastAsia="仿宋_GB2312"/>
          <w:sz w:val="32"/>
          <w:szCs w:val="32"/>
          <w:u w:val="none"/>
        </w:rPr>
        <w:t>节能环保支出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73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9.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65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 xml:space="preserve"> 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87.29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%</w:t>
      </w:r>
      <w:r>
        <w:rPr>
          <w:rFonts w:eastAsia="仿宋_GB2312"/>
          <w:sz w:val="32"/>
          <w:szCs w:val="32"/>
          <w:u w:val="none"/>
        </w:rPr>
        <w:t>，</w:t>
      </w:r>
      <w:r>
        <w:rPr>
          <w:rFonts w:hint="eastAsia" w:eastAsia="仿宋_GB2312"/>
          <w:sz w:val="32"/>
          <w:szCs w:val="32"/>
          <w:u w:val="none"/>
        </w:rPr>
        <w:t>住房保障支出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41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14:ligatures w14:val="none"/>
        </w:rPr>
        <w:t xml:space="preserve">0 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占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4.91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%；具体安排情况如下：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：2022 年本单位基本支出预算数 458 万元，系保障我单位机构正常运转、完成日常工作任务而发生的各项支出，包括用于在职人员的工资性支出、各项社会保障缴费、住房公积金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14:ligatures w14:val="none"/>
        </w:rPr>
        <w:t>等人员经费，以及办公费、印刷费、水电费、办公设备购置等日常公用经费。其中：工资福利支出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  <w14:ligatures w14:val="none"/>
        </w:rPr>
        <w:t>387.97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14:ligatures w14:val="none"/>
        </w:rPr>
        <w:t>万元，商品和服务支出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  <w14:ligatures w14:val="none"/>
        </w:rPr>
        <w:t>66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14:ligatures w14:val="none"/>
        </w:rPr>
        <w:t>万元，对个人和家庭的补助支出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  <w14:ligatures w14:val="none"/>
        </w:rPr>
        <w:t>4.03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14:ligatures w14:val="none"/>
        </w:rPr>
        <w:t>万元。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eastAsia="楷体_GB2312"/>
          <w:b/>
          <w:sz w:val="32"/>
          <w:szCs w:val="32"/>
          <w:u w:val="none"/>
        </w:rPr>
        <w:t>（二）项目支出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：2022 年本单位项目支出预算 389.35 万元，主要是部门为完成特定行政工作任务或事业发展目标而发生的支出，包括有关事业发展专项、专项业务费、基本建设支出等，其中：环境监测网监测支出 240 万元，主要用于大气环境质量监测、声环境质量监测、水环境质量监测、土壤环境质量监测、生态与生物监测、污染源与应急监测、质量管理、专项监测和综合技术等方面的业务工作经费；党建经费支出10万元，主要用于所在地党群工作经费；水环境监测支出89万元，主要用于地下水环境监管能力建设工作经费，地下水环境监管能力建设项目配置专用仪器装备方面；上年结余专项工作经费 20.35 万元。 </w:t>
      </w:r>
    </w:p>
    <w:p>
      <w:pPr>
        <w:pStyle w:val="3"/>
        <w:widowControl w:val="0"/>
        <w:snapToGrid w:val="0"/>
        <w:spacing w:after="0" w:line="360" w:lineRule="auto"/>
        <w:ind w:left="320" w:leftChars="100" w:right="2815" w:firstLine="307" w:firstLineChars="96"/>
        <w:jc w:val="both"/>
        <w:rPr>
          <w:rFonts w:hint="eastAsia" w:ascii="微软雅黑" w:hAnsi="微软雅黑" w:eastAsia="微软雅黑" w:cs="微软雅黑"/>
          <w:sz w:val="32"/>
          <w:szCs w:val="22"/>
          <w14:ligatures w14:val="standardContextual"/>
        </w:rPr>
      </w:pPr>
      <w:r>
        <w:rPr>
          <w:rFonts w:hint="eastAsia" w:ascii="微软雅黑" w:hAnsi="微软雅黑" w:eastAsia="微软雅黑" w:cs="微软雅黑"/>
          <w:sz w:val="32"/>
          <w:szCs w:val="22"/>
          <w:lang w:val="en-US" w:eastAsia="zh-CN"/>
          <w14:ligatures w14:val="standardContextual"/>
        </w:rPr>
        <w:t>五</w:t>
      </w:r>
      <w:r>
        <w:rPr>
          <w:rFonts w:hint="eastAsia" w:ascii="微软雅黑" w:hAnsi="微软雅黑" w:eastAsia="微软雅黑" w:cs="微软雅黑"/>
          <w:sz w:val="32"/>
          <w:szCs w:val="22"/>
          <w14:ligatures w14:val="standardContextual"/>
        </w:rPr>
        <w:t xml:space="preserve">、政府性基金预算支出 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:lang w:eastAsia="zh-CN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本部门无政府性基金安排的支出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  <w14:ligatures w14:val="none"/>
        </w:rPr>
        <w:t>。</w:t>
      </w:r>
    </w:p>
    <w:p>
      <w:pPr>
        <w:pStyle w:val="3"/>
        <w:widowControl w:val="0"/>
        <w:snapToGrid w:val="0"/>
        <w:spacing w:after="0" w:line="360" w:lineRule="auto"/>
        <w:ind w:left="320" w:leftChars="100" w:right="2815" w:firstLine="307" w:firstLineChars="96"/>
        <w:jc w:val="both"/>
        <w:rPr>
          <w:rFonts w:hint="eastAsia" w:ascii="微软雅黑" w:hAnsi="微软雅黑" w:eastAsia="微软雅黑" w:cs="微软雅黑"/>
          <w:sz w:val="32"/>
          <w:szCs w:val="22"/>
          <w14:ligatures w14:val="standardContextual"/>
        </w:rPr>
      </w:pPr>
      <w:r>
        <w:rPr>
          <w:rFonts w:hint="eastAsia" w:ascii="微软雅黑" w:hAnsi="微软雅黑" w:eastAsia="微软雅黑" w:cs="微软雅黑"/>
          <w:sz w:val="32"/>
          <w:szCs w:val="22"/>
          <w:lang w:val="en-US" w:eastAsia="zh-CN"/>
          <w14:ligatures w14:val="standardContextual"/>
        </w:rPr>
        <w:t>六</w:t>
      </w:r>
      <w:r>
        <w:rPr>
          <w:rFonts w:hint="eastAsia" w:ascii="微软雅黑" w:hAnsi="微软雅黑" w:eastAsia="微软雅黑" w:cs="微软雅黑"/>
          <w:sz w:val="32"/>
          <w:szCs w:val="22"/>
          <w14:ligatures w14:val="standardContextual"/>
        </w:rPr>
        <w:t xml:space="preserve">、其他重要事项的情况说明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eastAsia="楷体_GB2312"/>
          <w:b/>
          <w:sz w:val="32"/>
          <w:szCs w:val="32"/>
          <w:u w:val="none"/>
        </w:rPr>
        <w:t>（一）机关运行经费：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2022 年本单位机关运行经费 66 万元，跟上年预算持平。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eastAsia="楷体_GB2312"/>
          <w:b/>
          <w:sz w:val="32"/>
          <w:szCs w:val="32"/>
          <w:u w:val="none"/>
        </w:rPr>
        <w:t>（二）“三公”经费预算：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2022 年本单位“三公”经费预算数为22万元，其中，公务接待费4万元，公务用车购置及运行费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18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万元（其中，公务用车购置费 0 万元，公务用车运行费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18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万元）。2022 年“三公”经费预算较上年增加 11万元，主要是单位新增业务用车，增加公务用车运行维护费。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b w:val="0"/>
          <w:sz w:val="32"/>
          <w:szCs w:val="32"/>
          <w:u w:val="none"/>
          <w14:ligatures w14:val="none"/>
        </w:rPr>
      </w:pP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:lang w:eastAsia="zh-CN"/>
          <w14:ligatures w14:val="standardContextual"/>
        </w:rPr>
        <w:t>（</w:t>
      </w: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:lang w:val="en-US" w:eastAsia="zh-CN"/>
          <w14:ligatures w14:val="standardContextual"/>
        </w:rPr>
        <w:t>三）</w:t>
      </w: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14:ligatures w14:val="standardContextual"/>
        </w:rPr>
        <w:t>一般性支出情况：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2022年单位一般性支出预算安排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48.8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万元，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主要包括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：办公费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1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印刷费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水费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0.3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、电费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1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、邮电费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公务用车运行维护费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18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差旅费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1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、会议费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培训费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、公务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接待费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4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维修（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护）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、工会经费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23.5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万元、福利费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 xml:space="preserve"> 万元、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  <w14:ligatures w14:val="none"/>
        </w:rPr>
        <w:t>其他交通费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14:ligatures w14:val="none"/>
        </w:rPr>
        <w:t>。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14:ligatures w14:val="none"/>
        </w:rPr>
        <w:t>2022年本单位会议费预算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14:ligatures w14:val="none"/>
        </w:rPr>
        <w:t>万元，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:lang w:val="en-US" w:eastAsia="zh-CN"/>
          <w14:ligatures w14:val="none"/>
        </w:rPr>
        <w:t>未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14:ligatures w14:val="none"/>
        </w:rPr>
        <w:t>拟召开会议；培训费预算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14:ligatures w14:val="none"/>
        </w:rPr>
        <w:t>万元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:lang w:val="en-US" w:eastAsia="zh-CN"/>
          <w14:ligatures w14:val="none"/>
        </w:rPr>
        <w:t>,未拟开展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  <w14:ligatures w14:val="none"/>
        </w:rPr>
        <w:t>培训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；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拟举办节庆、晚会、论坛、赛事活动。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:lang w:eastAsia="zh-CN"/>
          <w14:ligatures w14:val="standardContextual"/>
        </w:rPr>
        <w:t>（</w:t>
      </w: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:lang w:val="en-US" w:eastAsia="zh-CN"/>
          <w14:ligatures w14:val="standardContextual"/>
        </w:rPr>
        <w:t>四）</w:t>
      </w: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14:ligatures w14:val="standardContextual"/>
        </w:rPr>
        <w:t>政府采购情况：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u w:val="none"/>
          <w:lang w:val="en-US" w:eastAsia="zh-CN" w:bidi="ar-SA"/>
          <w14:ligatures w14:val="none"/>
        </w:rPr>
        <w:t>本部门2022年度政府采购预算总额0万元，其中：政府采购货物支出0万元、政府采购工程支出0万元、政府采购服务支出0万元。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14:ligatures w14:val="standardContextual"/>
        </w:rPr>
        <w:t>（五）国有资产占用使用及新增资产配置情况：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截至2021年12月底，本单位共有公务用车7辆，其中，执法执勤用车2辆，特种专业技术用车2辆，其他按照规定配备的公务用车3辆；单位价值 50 万元以上通用设备3台，单位价值 100 万元以上专用设备 2 台。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2022年拟新增配置公务用车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辆，其中，机要通信用车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辆，应急保障用车0 辆，执法执勤用车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辆，特种专业技术用车0辆，其他按照规定配备的公务用车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辆；拟新增配备单位价值50万元以上通用设备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台，单位价值100万元以上专用设备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:lang w:val="en-US" w:eastAsia="zh-CN"/>
          <w14:ligatures w14:val="none"/>
        </w:rPr>
        <w:t>0</w:t>
      </w:r>
      <w:r>
        <w:rPr>
          <w:rFonts w:hint="eastAsia" w:ascii="仿宋_GB2312" w:hAnsi="Times New Roman" w:eastAsia="仿宋_GB2312" w:cs="Times New Roman"/>
          <w:bCs w:val="0"/>
          <w:kern w:val="2"/>
          <w:sz w:val="32"/>
          <w:szCs w:val="32"/>
          <w:u w:val="none"/>
          <w14:ligatures w14:val="none"/>
        </w:rPr>
        <w:t>台。</w:t>
      </w:r>
    </w:p>
    <w:p>
      <w:pPr>
        <w:widowControl w:val="0"/>
        <w:snapToGrid w:val="0"/>
        <w:spacing w:after="0" w:line="360" w:lineRule="auto"/>
        <w:ind w:left="0" w:firstLine="643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default" w:ascii="微软雅黑" w:hAnsi="微软雅黑" w:eastAsia="楷体_GB2312" w:cs="微软雅黑"/>
          <w:b/>
          <w:sz w:val="32"/>
          <w:szCs w:val="32"/>
          <w:u w:val="none"/>
          <w14:ligatures w14:val="standardContextual"/>
        </w:rPr>
        <w:t>（六）预算绩效目标说明：</w:t>
      </w: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lang w:val="en-US" w:eastAsia="zh-CN"/>
          <w14:ligatures w14:val="none"/>
        </w:rPr>
        <w:t>按照预算绩效管理工作的总体要求，</w:t>
      </w: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本单位所有支出实行绩效目标管理。纳入 2022 年单位整体支出绩效目标的金额为847.35万元，其中，基本支出458万元，项目支出359.35万元，具体绩效目标详见报表。 </w:t>
      </w:r>
    </w:p>
    <w:p>
      <w:pPr>
        <w:pStyle w:val="3"/>
        <w:widowControl w:val="0"/>
        <w:snapToGrid w:val="0"/>
        <w:spacing w:after="0" w:line="360" w:lineRule="auto"/>
        <w:ind w:left="320" w:leftChars="100" w:right="2815" w:firstLine="307" w:firstLineChars="96"/>
        <w:jc w:val="both"/>
        <w:rPr>
          <w:rFonts w:hint="eastAsia" w:ascii="微软雅黑" w:hAnsi="微软雅黑" w:eastAsia="微软雅黑" w:cs="微软雅黑"/>
          <w:sz w:val="32"/>
          <w:szCs w:val="22"/>
          <w14:ligatures w14:val="standardContextual"/>
        </w:rPr>
      </w:pPr>
      <w:r>
        <w:rPr>
          <w:rFonts w:hint="eastAsia" w:ascii="微软雅黑" w:hAnsi="微软雅黑" w:eastAsia="微软雅黑" w:cs="微软雅黑"/>
          <w:sz w:val="32"/>
          <w:szCs w:val="22"/>
          <w:lang w:val="en-US" w:eastAsia="zh-CN"/>
          <w14:ligatures w14:val="standardContextual"/>
        </w:rPr>
        <w:t>七</w:t>
      </w:r>
      <w:r>
        <w:rPr>
          <w:rFonts w:hint="eastAsia" w:ascii="微软雅黑" w:hAnsi="微软雅黑" w:eastAsia="微软雅黑" w:cs="微软雅黑"/>
          <w:sz w:val="32"/>
          <w:szCs w:val="22"/>
          <w14:ligatures w14:val="standardContextual"/>
        </w:rPr>
        <w:t xml:space="preserve">、名词解释 </w:t>
      </w:r>
    </w:p>
    <w:p>
      <w:pPr>
        <w:widowControl w:val="0"/>
        <w:snapToGrid w:val="0"/>
        <w:spacing w:after="0" w:line="360" w:lineRule="auto"/>
        <w:ind w:left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 xml:space="preserve">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 </w:t>
      </w:r>
    </w:p>
    <w:p>
      <w:pP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  <w:t>“三公”经费：纳入省（市/县）财政预算管理的“三公 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rPr>
          <w:rFonts w:hint="eastAsia" w:ascii="仿宋_GB2312" w:hAnsi="Times New Roman" w:eastAsia="仿宋_GB2312" w:cs="Times New Roman"/>
          <w:sz w:val="32"/>
          <w:szCs w:val="32"/>
          <w14:ligatures w14:val="none"/>
        </w:rPr>
      </w:pPr>
    </w:p>
    <w:p>
      <w:pPr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bidi w:val="0"/>
        <w:rPr>
          <w:rFonts w:hint="eastAsia" w:ascii="微软雅黑" w:hAnsi="微软雅黑" w:eastAsia="微软雅黑" w:cs="微软雅黑"/>
          <w:color w:val="000000"/>
          <w:kern w:val="2"/>
          <w:sz w:val="32"/>
          <w:szCs w:val="22"/>
          <w:lang w:val="en-US" w:eastAsia="zh-CN" w:bidi="ar-SA"/>
          <w14:ligatures w14:val="standardContextual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widowControl/>
        <w:spacing w:line="600" w:lineRule="exact"/>
        <w:jc w:val="right"/>
        <w:rPr>
          <w:rFonts w:hint="eastAsia" w:eastAsia="仿宋_GB2312"/>
          <w:sz w:val="32"/>
          <w:szCs w:val="32"/>
        </w:rPr>
      </w:pPr>
      <w:r>
        <w:rPr>
          <w:rFonts w:hint="eastAsia"/>
          <w:lang w:val="en-US" w:eastAsia="zh-CN"/>
        </w:rPr>
        <w:tab/>
      </w:r>
      <w:r>
        <w:rPr>
          <w:rFonts w:hint="eastAsia" w:eastAsia="仿宋_GB2312"/>
          <w:sz w:val="32"/>
          <w:szCs w:val="32"/>
        </w:rPr>
        <w:t>湖南省</w:t>
      </w:r>
      <w:r>
        <w:rPr>
          <w:rFonts w:hint="eastAsia" w:eastAsia="仿宋_GB2312"/>
          <w:sz w:val="32"/>
          <w:szCs w:val="32"/>
          <w:lang w:val="en-US" w:eastAsia="zh-CN"/>
        </w:rPr>
        <w:t>怀化</w:t>
      </w:r>
      <w:r>
        <w:rPr>
          <w:rFonts w:hint="eastAsia" w:eastAsia="仿宋_GB2312"/>
          <w:sz w:val="32"/>
          <w:szCs w:val="32"/>
        </w:rPr>
        <w:t>生态环境监测中心</w:t>
      </w:r>
    </w:p>
    <w:p>
      <w:pPr>
        <w:tabs>
          <w:tab w:val="left" w:pos="1777"/>
        </w:tabs>
        <w:bidi w:val="0"/>
        <w:jc w:val="right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</w:rPr>
        <w:t xml:space="preserve"> 2022年2月17日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83" w:lineRule="auto"/>
      </w:pPr>
      <w:r>
        <w:separator/>
      </w:r>
    </w:p>
  </w:footnote>
  <w:footnote w:type="continuationSeparator" w:id="1">
    <w:p>
      <w:pPr>
        <w:spacing w:before="0" w:after="0" w:line="38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7EC249"/>
    <w:multiLevelType w:val="singleLevel"/>
    <w:tmpl w:val="B77EC24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AFDF4E8"/>
    <w:multiLevelType w:val="singleLevel"/>
    <w:tmpl w:val="1AFDF4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60C12B0"/>
    <w:multiLevelType w:val="singleLevel"/>
    <w:tmpl w:val="460C12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9F10D93"/>
    <w:rsid w:val="317D2F49"/>
    <w:rsid w:val="429E6185"/>
    <w:rsid w:val="56D54541"/>
    <w:rsid w:val="6E6B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10" w:line="383" w:lineRule="auto"/>
      <w:ind w:left="10" w:hanging="10"/>
    </w:pPr>
    <w:rPr>
      <w:rFonts w:ascii="微软雅黑" w:hAnsi="微软雅黑" w:eastAsia="微软雅黑" w:cs="微软雅黑"/>
      <w:color w:val="000000"/>
      <w:kern w:val="2"/>
      <w:sz w:val="32"/>
      <w:szCs w:val="22"/>
      <w:lang w:val="en-US" w:eastAsia="zh-CN" w:bidi="ar-SA"/>
      <w14:ligatures w14:val="standardContextual"/>
    </w:rPr>
  </w:style>
  <w:style w:type="paragraph" w:styleId="3">
    <w:name w:val="heading 2"/>
    <w:next w:val="1"/>
    <w:unhideWhenUsed/>
    <w:qFormat/>
    <w:uiPriority w:val="9"/>
    <w:pPr>
      <w:keepNext/>
      <w:keepLines/>
      <w:spacing w:after="208" w:line="259" w:lineRule="auto"/>
      <w:ind w:left="10" w:right="314" w:hanging="10"/>
      <w:outlineLvl w:val="1"/>
    </w:pPr>
    <w:rPr>
      <w:rFonts w:ascii="微软雅黑" w:hAnsi="微软雅黑" w:eastAsia="微软雅黑" w:cs="微软雅黑"/>
      <w:color w:val="000000"/>
      <w:kern w:val="2"/>
      <w:sz w:val="32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2023-08-30T07:28:00Z</dcterms:created>
  <dc:creator>周华</dc:creator>
  <cp:lastModifiedBy>rani</cp:lastModifiedBy>
  <dcterms:modified xsi:type="dcterms:W3CDTF">2023-09-24T09:56:59Z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9DE9FE51E9EA4F95A37EA479C1355ECA_12</vt:lpwstr>
  </property>
</Properties>
</file>