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</w:rPr>
        <w:t>湖南省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>永州</w:t>
      </w:r>
      <w:r>
        <w:rPr>
          <w:rFonts w:hint="eastAsia" w:eastAsia="方正小标宋_GBK"/>
          <w:bCs/>
          <w:kern w:val="0"/>
          <w:sz w:val="44"/>
          <w:szCs w:val="44"/>
        </w:rPr>
        <w:t>生态环境监测中心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一、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部门职能职责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二、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机构设置情况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及部门预算构成情况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三、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部门收支总体情况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四、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一般公共预算拨款支出预算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五、政府性基金预算情况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六、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其他情况说明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Fonts w:eastAsia="仿宋_GB2312"/>
          <w:b/>
          <w:bCs/>
          <w:kern w:val="0"/>
          <w:sz w:val="32"/>
          <w:szCs w:val="32"/>
        </w:rPr>
      </w:pPr>
      <w:r>
        <w:rPr>
          <w:rStyle w:val="7"/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val="en-US" w:eastAsia="zh-CN"/>
        </w:rPr>
        <w:t>七、名词解释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24、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kern w:val="2"/>
          <w:sz w:val="32"/>
          <w:szCs w:val="32"/>
          <w:shd w:val="clear"/>
          <w:lang w:val="en-US" w:eastAsia="zh-CN" w:bidi="ar-SA"/>
        </w:rPr>
        <w:t>一般公共预算基本支出表</w:t>
      </w:r>
    </w:p>
    <w:p>
      <w:pPr>
        <w:pStyle w:val="2"/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</w:t>
      </w:r>
      <w:r>
        <w:rPr>
          <w:rFonts w:hint="eastAsia" w:eastAsia="黑体"/>
          <w:bCs/>
          <w:kern w:val="0"/>
          <w:sz w:val="32"/>
          <w:szCs w:val="32"/>
        </w:rPr>
        <w:t>、</w:t>
      </w:r>
      <w:r>
        <w:rPr>
          <w:rStyle w:val="6"/>
          <w:rFonts w:hint="eastAsia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shd w:val="clear" w:color="auto" w:fill="auto"/>
        </w:rPr>
        <w:t>部门职能职责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永州市生态环境质量监测、分析评价工作；负责永州市环境质量网络和信息系统的维护管理；指导和协助永州市生态环境局开展生态环境应急监测、执法监测、污染源监测等工作；负责对县级环境监测机构开展技术和业务指导；负责承办上级部门交办的其他环境监测工作。</w:t>
      </w:r>
    </w:p>
    <w:p>
      <w:pPr>
        <w:widowControl/>
        <w:spacing w:line="600" w:lineRule="exact"/>
        <w:ind w:firstLine="627" w:firstLineChars="196"/>
        <w:rPr>
          <w:rFonts w:hint="eastAsia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二</w:t>
      </w:r>
      <w:r>
        <w:rPr>
          <w:rFonts w:eastAsia="黑体"/>
          <w:bCs/>
          <w:kern w:val="0"/>
          <w:sz w:val="32"/>
          <w:szCs w:val="32"/>
        </w:rPr>
        <w:t>、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机构设置及预算单位构成</w:t>
      </w:r>
      <w:r>
        <w:rPr>
          <w:rFonts w:eastAsia="黑体"/>
          <w:bCs/>
          <w:kern w:val="0"/>
          <w:sz w:val="32"/>
          <w:szCs w:val="32"/>
        </w:rPr>
        <w:t>情况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12" w:afterAutospacing="0" w:line="381" w:lineRule="auto"/>
        <w:ind w:left="304" w:right="0" w:firstLine="624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楷体_GB2312"/>
          <w:b/>
          <w:sz w:val="32"/>
          <w:szCs w:val="32"/>
          <w:lang w:val="en-US" w:eastAsia="zh-CN"/>
        </w:rPr>
        <w:t>机构设置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2" w:afterAutospacing="0" w:line="381" w:lineRule="auto"/>
        <w:ind w:right="0" w:rightChars="0"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湖南省永州生态环境监测中心是副处级公益性一类事业单位，内设科室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7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个，分别是办公财务科、综合研究科、分析技术科、现场监测科、自动监测科、质量与资产管理科、党建人事科。核定编制数为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35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人，现有在编在岗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36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人，退休人员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13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人，临聘人员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15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widowControl/>
        <w:numPr>
          <w:ilvl w:val="0"/>
          <w:numId w:val="3"/>
        </w:numPr>
        <w:spacing w:line="600" w:lineRule="exact"/>
        <w:ind w:firstLine="321" w:firstLineChars="100"/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预算单位构成情况</w:t>
      </w:r>
    </w:p>
    <w:p>
      <w:pPr>
        <w:pStyle w:val="2"/>
        <w:widowControl/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eastAsia="zh-CN"/>
        </w:rPr>
        <w:t>我单位无下级预算单位，因此，纳入本年度部门预算编制范围为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湖南省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永州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生态环境监测中心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eastAsia="zh-CN"/>
        </w:rPr>
        <w:t>本级。</w:t>
      </w:r>
    </w:p>
    <w:p>
      <w:pPr>
        <w:pStyle w:val="3"/>
        <w:widowControl/>
        <w:spacing w:before="0" w:beforeAutospacing="0" w:after="207" w:afterAutospacing="0"/>
        <w:ind w:left="655" w:right="0"/>
        <w:rPr>
          <w:lang w:val="en-US"/>
        </w:rPr>
      </w:pPr>
      <w:r>
        <w:rPr>
          <w:rFonts w:hint="eastAsia"/>
          <w:lang w:val="en-US" w:eastAsia="zh-CN"/>
        </w:rPr>
        <w:t>三</w:t>
      </w:r>
      <w:r>
        <w:rPr>
          <w:lang w:eastAsia="zh-CN"/>
        </w:rPr>
        <w:t>、单位收支总体情况</w:t>
      </w:r>
      <w:r>
        <w:rPr>
          <w:rFonts w:hint="default" w:ascii="Times New Roman" w:hAnsi="Times New Roman" w:eastAsia="Times New Roman" w:cs="Times New Roman"/>
          <w:lang w:eastAsia="zh-CN"/>
        </w:rPr>
        <w:t xml:space="preserve"> </w:t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spacing w:before="0" w:beforeAutospacing="0" w:after="4" w:afterAutospacing="0" w:line="388" w:lineRule="auto"/>
        <w:ind w:left="0" w:right="21" w:firstLine="643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楷体_GB2312" w:cs="Times New Roman"/>
          <w:b/>
          <w:kern w:val="2"/>
          <w:sz w:val="32"/>
          <w:szCs w:val="32"/>
          <w:u w:val="none"/>
          <w:lang w:val="en-US" w:eastAsia="zh-CN" w:bidi="ar-SA"/>
        </w:rPr>
        <w:t>（一）</w:t>
      </w:r>
      <w:r>
        <w:rPr>
          <w:rFonts w:hint="default" w:ascii="Times New Roman" w:hAnsi="Times New Roman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收入预算：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包括一般公共预算、政府性基金、国有资本经营预算等财政拨款收入，以及经营收入、事业收入等单位资金。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年本单位本年收入预算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904.36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万元，其中，一般公共预算拨款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833.23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万元，上级补助收入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30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万元，上年结转结余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41.13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万元。收入较去年增加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83.2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增加10.13%，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主要是一般公共预算拨款收入增加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128.97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，上级补助收入增加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30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万元，上年结余减少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75.77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spacing w:before="0" w:beforeAutospacing="0" w:after="217" w:afterAutospacing="0" w:line="256" w:lineRule="auto"/>
        <w:ind w:left="0" w:right="21" w:firstLine="643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楷体_GB2312" w:cs="Times New Roman"/>
          <w:b/>
          <w:kern w:val="2"/>
          <w:sz w:val="32"/>
          <w:szCs w:val="32"/>
          <w:u w:val="none"/>
          <w:lang w:val="en-US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支出预算：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年本单位支出预算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904.36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</w:t>
      </w:r>
    </w:p>
    <w:p>
      <w:pPr>
        <w:keepNext w:val="0"/>
        <w:keepLines w:val="0"/>
        <w:widowControl/>
        <w:suppressLineNumbers w:val="0"/>
        <w:spacing w:before="0" w:beforeAutospacing="0" w:after="4" w:afterAutospacing="0" w:line="388" w:lineRule="auto"/>
        <w:ind w:left="-5" w:right="-14" w:hanging="10"/>
        <w:jc w:val="both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其中，社会保障和就业支出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43.89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万元，卫生健康支出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22.24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万元，节能环保支出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783.87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万元，住房保障支出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54.36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万元。支出较去年增加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83.2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增加10.13%，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主要是一般公共预算拨款收入增加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128.97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，上级补助收入增加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30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万元，上年结余减少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75.77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pStyle w:val="3"/>
        <w:widowControl/>
        <w:spacing w:before="0" w:beforeAutospacing="0" w:after="207" w:afterAutospacing="0"/>
        <w:ind w:left="655" w:right="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微软雅黑"/>
          <w:color w:val="000000"/>
          <w:kern w:val="2"/>
          <w:sz w:val="32"/>
          <w:szCs w:val="22"/>
          <w:lang w:val="en-US" w:eastAsia="zh-CN" w:bidi="ar-SA"/>
        </w:rPr>
        <w:t>四</w:t>
      </w:r>
      <w:r>
        <w:rPr>
          <w:rFonts w:hint="eastAsia" w:ascii="微软雅黑" w:hAnsi="微软雅黑" w:eastAsia="微软雅黑" w:cs="微软雅黑"/>
          <w:color w:val="000000"/>
          <w:kern w:val="2"/>
          <w:sz w:val="32"/>
          <w:szCs w:val="22"/>
          <w:highlight w:val="none"/>
          <w:lang w:val="en-US" w:eastAsia="zh-CN" w:bidi="ar-SA"/>
        </w:rPr>
        <w:t>、一般公共预算拨款支出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2" w:afterAutospacing="0" w:line="381" w:lineRule="auto"/>
        <w:ind w:left="-15" w:right="0" w:firstLine="660"/>
        <w:jc w:val="lef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年本单位一般公共预算拨款支出预算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904.36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,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较去年增加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83.2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增加10.13%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。其中，社会保障和就业支出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43.89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万元，占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4.85%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；卫生健康支出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22.24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万元，占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2.46%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；节能环保支出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783.87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万元，占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86.68%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；住房保障支出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54.36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万元，占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6.01%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。具体安排情况如下：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spacing w:before="0" w:beforeAutospacing="0" w:after="12" w:afterAutospacing="0" w:line="381" w:lineRule="auto"/>
        <w:ind w:left="0" w:right="0" w:firstLine="643" w:firstLineChars="200"/>
        <w:jc w:val="lef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（一）</w:t>
      </w:r>
      <w:r>
        <w:rPr>
          <w:rFonts w:hint="eastAsia" w:ascii="Times New Roman" w:hAnsi="Times New Roman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基本支出：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年本单位基本支出预算数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514.21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万元。</w:t>
      </w:r>
      <w:r>
        <w:rPr>
          <w:rFonts w:hint="default" w:ascii="Times New Roman" w:hAnsi="Times New Roman" w:eastAsia="仿宋_GB2312"/>
          <w:sz w:val="32"/>
          <w:szCs w:val="32"/>
          <w:u w:val="none"/>
        </w:rPr>
        <w:t>系保障我单位机构正常运转、完成日常工作任务而发生的各项支出，包括用于在职人员的工资性支出、各项社会保障缴费、住房公积金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t>等人员经费，以及办公费、印刷费、水电费、办公设备购置等日常公用经费。其中：工资福利支出</w:t>
      </w:r>
      <w:r>
        <w:rPr>
          <w:rFonts w:hint="eastAsia" w:eastAsia="仿宋_GB2312" w:cs="Times New Roman"/>
          <w:kern w:val="2"/>
          <w:sz w:val="32"/>
          <w:szCs w:val="32"/>
          <w:u w:val="none"/>
          <w:lang w:val="en-US" w:eastAsia="zh-CN"/>
        </w:rPr>
        <w:t>448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u w:val="none"/>
          <w:lang w:val="en-US" w:eastAsia="zh-CN"/>
        </w:rPr>
        <w:t>.</w:t>
      </w:r>
      <w:r>
        <w:rPr>
          <w:rFonts w:hint="eastAsia" w:eastAsia="仿宋_GB2312" w:cs="Times New Roman"/>
          <w:kern w:val="2"/>
          <w:sz w:val="32"/>
          <w:szCs w:val="32"/>
          <w:u w:val="none"/>
          <w:lang w:val="en-US" w:eastAsia="zh-CN"/>
        </w:rPr>
        <w:t>33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t>万元，商品和服务支出</w:t>
      </w:r>
      <w:r>
        <w:rPr>
          <w:rFonts w:hint="eastAsia" w:eastAsia="仿宋_GB2312" w:cs="Times New Roman"/>
          <w:kern w:val="2"/>
          <w:sz w:val="32"/>
          <w:szCs w:val="32"/>
          <w:u w:val="none"/>
          <w:lang w:val="en-US" w:eastAsia="zh-CN"/>
        </w:rPr>
        <w:t>65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u w:val="none"/>
          <w:lang w:val="en-US" w:eastAsia="zh-CN"/>
        </w:rPr>
        <w:t>.</w:t>
      </w:r>
      <w:r>
        <w:rPr>
          <w:rFonts w:hint="eastAsia" w:eastAsia="仿宋_GB2312" w:cs="Times New Roman"/>
          <w:kern w:val="2"/>
          <w:sz w:val="32"/>
          <w:szCs w:val="32"/>
          <w:u w:val="none"/>
          <w:lang w:val="en-US" w:eastAsia="zh-CN"/>
        </w:rPr>
        <w:t>88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t>万元，对个人和家庭的补助支出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t>万元。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spacing w:before="0" w:beforeAutospacing="0" w:after="216" w:afterAutospacing="0" w:line="256" w:lineRule="auto"/>
        <w:ind w:left="0" w:right="0" w:firstLine="643" w:firstLineChars="200"/>
        <w:jc w:val="left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项目支出：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年本单位项目支出预算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390.15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万元。其中：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、环境质量监测经费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224.02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万元，主要用于：水气环境质量监测、声环境质量监测、降水监测及生物监测等。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、党建经费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15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万元，主要用于：党建、人事、乡村振兴方面。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、水环境监测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80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万元：主要用于水环境质量监测（原县区生态环境局承担的省控地表水断面的监测）。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、湖南省地下水环境监管能力建设项目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万元，主要用于：地下水环境监测管理能力建设；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、上年结余项目经费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41.13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万元，主要用于土壤能力建设方面。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7" w:afterAutospacing="0" w:line="381" w:lineRule="auto"/>
        <w:ind w:left="655" w:right="0" w:hanging="10"/>
        <w:jc w:val="left"/>
        <w:rPr>
          <w:rFonts w:hint="default" w:ascii="微软雅黑" w:hAnsi="微软雅黑" w:eastAsia="微软雅黑" w:cs="微软雅黑"/>
          <w:color w:val="000000"/>
          <w:kern w:val="2"/>
          <w:sz w:val="32"/>
          <w:szCs w:val="22"/>
          <w:highlight w:val="none"/>
          <w:lang w:val="en-US" w:eastAsia="zh-CN" w:bidi="ar-SA"/>
        </w:rPr>
      </w:pPr>
      <w:r>
        <w:rPr>
          <w:rFonts w:hint="default" w:eastAsia="微软雅黑" w:cs="微软雅黑"/>
          <w:color w:val="000000"/>
          <w:kern w:val="2"/>
          <w:sz w:val="32"/>
          <w:szCs w:val="22"/>
          <w:highlight w:val="none"/>
          <w:lang w:val="en-US" w:eastAsia="zh-CN" w:bidi="ar-SA"/>
        </w:rPr>
        <w:t>五</w:t>
      </w:r>
      <w:r>
        <w:rPr>
          <w:rFonts w:hint="default" w:ascii="微软雅黑" w:hAnsi="微软雅黑" w:eastAsia="微软雅黑" w:cs="微软雅黑"/>
          <w:color w:val="000000"/>
          <w:kern w:val="2"/>
          <w:sz w:val="32"/>
          <w:szCs w:val="22"/>
          <w:highlight w:val="none"/>
          <w:lang w:val="en-US" w:eastAsia="zh-CN" w:bidi="ar-SA"/>
        </w:rPr>
        <w:t xml:space="preserve">、政府性基金预算支出 </w:t>
      </w:r>
    </w:p>
    <w:p>
      <w:pPr>
        <w:keepNext w:val="0"/>
        <w:keepLines w:val="0"/>
        <w:widowControl/>
        <w:suppressLineNumbers w:val="0"/>
        <w:spacing w:before="0" w:beforeAutospacing="0" w:after="222" w:afterAutospacing="0" w:line="256" w:lineRule="auto"/>
        <w:ind w:left="670" w:right="0" w:hanging="10"/>
        <w:jc w:val="lef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年本单位无政府性基金预算安排的支出。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pStyle w:val="3"/>
        <w:widowControl/>
        <w:spacing w:before="0" w:beforeAutospacing="0" w:after="207" w:afterAutospacing="0"/>
        <w:ind w:left="655" w:right="0"/>
        <w:rPr>
          <w:rFonts w:hint="default" w:ascii="微软雅黑" w:hAnsi="微软雅黑" w:eastAsia="微软雅黑" w:cs="微软雅黑"/>
          <w:color w:val="000000"/>
          <w:kern w:val="2"/>
          <w:sz w:val="32"/>
          <w:szCs w:val="22"/>
          <w:highlight w:val="none"/>
          <w:lang w:val="en-US" w:eastAsia="zh-CN" w:bidi="ar-SA"/>
        </w:rPr>
      </w:pPr>
      <w:r>
        <w:rPr>
          <w:rFonts w:hint="default" w:ascii="微软雅黑" w:hAnsi="微软雅黑" w:eastAsia="微软雅黑" w:cs="微软雅黑"/>
          <w:color w:val="000000"/>
          <w:kern w:val="2"/>
          <w:sz w:val="32"/>
          <w:szCs w:val="22"/>
          <w:highlight w:val="none"/>
          <w:lang w:val="en-US" w:eastAsia="zh-CN" w:bidi="ar-SA"/>
        </w:rPr>
        <w:t xml:space="preserve">六、其他重要事项的情况说明 </w:t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spacing w:before="0" w:beforeAutospacing="0" w:after="12" w:afterAutospacing="0" w:line="381" w:lineRule="auto"/>
        <w:ind w:left="0" w:right="79" w:firstLine="643" w:firstLineChars="200"/>
        <w:jc w:val="lef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楷体_GB2312" w:cs="Times New Roman"/>
          <w:b/>
          <w:kern w:val="2"/>
          <w:sz w:val="32"/>
          <w:szCs w:val="32"/>
          <w:u w:val="none"/>
          <w:lang w:val="en-US" w:eastAsia="zh-CN" w:bidi="ar-SA"/>
        </w:rPr>
        <w:t>（一）</w:t>
      </w:r>
      <w:r>
        <w:rPr>
          <w:rFonts w:hint="eastAsia" w:ascii="Times New Roman" w:hAnsi="Times New Roman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机关运行经费：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年本单位机关运行经费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65.88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万元，比上年预算减少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4.12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万元，下降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5.89%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，主要是按照中央《关于改进工作作风、密切联系群众的八项规定》、《党政机关厉行节约反对浪费条例》，加强预算执行管理，严格控制机关运行经费支出。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spacing w:before="0" w:beforeAutospacing="0" w:after="4" w:afterAutospacing="0" w:line="388" w:lineRule="auto"/>
        <w:ind w:left="0" w:right="79" w:firstLine="643" w:firstLineChars="200"/>
        <w:jc w:val="lef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楷体_GB2312" w:cs="Times New Roman"/>
          <w:b/>
          <w:kern w:val="2"/>
          <w:sz w:val="32"/>
          <w:szCs w:val="32"/>
          <w:u w:val="none"/>
          <w:lang w:val="en-US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“三公”经费预算：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年本单位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“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三公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”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经费预算数为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17.96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万元，其中，公务接待费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4.46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万元，公务用车购置及运行费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13.5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万元（其中，公务用车购置费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万元，公务用车运行费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13.5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万元），因公出国（境）费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2021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年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“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三公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”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经费预算较上年增加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8.66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万元，主要是因为实际纳入公车运行保障数量增加，公务接待费有所降低。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spacing w:before="0" w:beforeAutospacing="0" w:after="12" w:afterAutospacing="0" w:line="381" w:lineRule="auto"/>
        <w:ind w:left="0" w:right="79" w:firstLine="643" w:firstLineChars="200"/>
        <w:jc w:val="left"/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（三）</w:t>
      </w:r>
      <w:r>
        <w:rPr>
          <w:rFonts w:hint="eastAsia" w:ascii="Times New Roman" w:hAnsi="Times New Roman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一般性支出情况：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2022年单位一般性支出预算安排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65.88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主要包括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：办公费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、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印刷费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万元、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水费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、电费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、邮电费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万元、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公务用车运行维护费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13.5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、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差旅费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、会议费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、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培训费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、公务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接待费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4.46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、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维修（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护）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、工会经费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10.62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 xml:space="preserve">万元、福利费 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11.64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万元、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其他交通费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/>
          <w:lang w:val="en-US" w:eastAsia="zh-CN"/>
        </w:rPr>
        <w:t>25.66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。</w:t>
      </w:r>
      <w:bookmarkStart w:id="0" w:name="_GoBack"/>
      <w:bookmarkEnd w:id="0"/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spacing w:before="0" w:beforeAutospacing="0" w:after="0" w:afterAutospacing="0" w:line="600" w:lineRule="exact"/>
        <w:ind w:left="0" w:right="0" w:firstLine="660"/>
        <w:jc w:val="lef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年本单位会议费预算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万元；培训费预算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万元。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未</w:t>
      </w:r>
      <w:r>
        <w:rPr>
          <w:rFonts w:eastAsia="仿宋_GB2312"/>
          <w:kern w:val="0"/>
          <w:sz w:val="32"/>
          <w:szCs w:val="32"/>
          <w:u w:val="none"/>
        </w:rPr>
        <w:t>拟举办节庆、晚会、论坛、赛事活动。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pStyle w:val="2"/>
        <w:widowControl w:val="0"/>
        <w:autoSpaceDE w:val="0"/>
        <w:autoSpaceDN w:val="0"/>
        <w:adjustRightInd w:val="0"/>
        <w:spacing w:line="360" w:lineRule="auto"/>
        <w:ind w:firstLine="48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（四）</w:t>
      </w:r>
      <w:r>
        <w:rPr>
          <w:rFonts w:hint="eastAsia" w:ascii="Times New Roman" w:hAnsi="Times New Roman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政府采购情况：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本部门202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年度政府采购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总额0万元，其中：政府采购货物支出0万元、政府采购工程支出0万元、政府采购服务支出0万元。</w:t>
      </w:r>
    </w:p>
    <w:p>
      <w:pPr>
        <w:keepNext w:val="0"/>
        <w:keepLines w:val="0"/>
        <w:widowControl/>
        <w:suppressLineNumbers w:val="0"/>
        <w:spacing w:before="0" w:beforeAutospacing="0" w:after="188" w:afterAutospacing="0" w:line="256" w:lineRule="auto"/>
        <w:ind w:left="179" w:right="0" w:hanging="10"/>
        <w:jc w:val="center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（五）国有资产占用使用及新增资产配置情况：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截至</w:t>
      </w:r>
    </w:p>
    <w:p>
      <w:pPr>
        <w:keepNext w:val="0"/>
        <w:keepLines w:val="0"/>
        <w:widowControl/>
        <w:suppressLineNumbers w:val="0"/>
        <w:spacing w:before="0" w:beforeAutospacing="0" w:after="12" w:afterAutospacing="0" w:line="381" w:lineRule="auto"/>
        <w:ind w:left="-5" w:right="0" w:hanging="10"/>
        <w:jc w:val="lef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2021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年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12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月底，本单位共有公务用车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3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辆，其中，机要通信用车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辆，应急保障用车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1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辆，执法执勤用车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辆，特种专业技术用车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辆，其他按照规定配备的公务用车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辆；单位价值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50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万元以上通用设备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台，单位价值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100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万元以上专用设备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台。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2022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年拟新增配置公务用车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辆，新增配备单位价值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50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万元以上通用设备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台，单位价值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100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万元以上专用设备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0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台。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2" w:afterAutospacing="0" w:line="381" w:lineRule="auto"/>
        <w:ind w:left="0" w:right="0" w:firstLine="643" w:firstLineChars="200"/>
        <w:jc w:val="lef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（六）预算绩效目标说明：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本单位所有支出实行绩效目标管理。纳入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年单位整体支出绩效目标的金额为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904.36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万元，其中：基本支出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514.21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万元，项目支出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390.15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万元，具体绩效目标详见报表。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pStyle w:val="3"/>
        <w:widowControl/>
        <w:spacing w:before="0" w:beforeAutospacing="0" w:after="207" w:afterAutospacing="0"/>
        <w:ind w:left="655" w:right="0"/>
        <w:rPr>
          <w:rFonts w:hint="default" w:ascii="微软雅黑" w:hAnsi="微软雅黑" w:eastAsia="微软雅黑" w:cs="微软雅黑"/>
          <w:color w:val="000000"/>
          <w:kern w:val="2"/>
          <w:sz w:val="32"/>
          <w:szCs w:val="22"/>
          <w:highlight w:val="none"/>
          <w:lang w:val="en-US" w:eastAsia="zh-CN" w:bidi="ar-SA"/>
        </w:rPr>
      </w:pPr>
      <w:r>
        <w:rPr>
          <w:rFonts w:hint="default" w:ascii="微软雅黑" w:hAnsi="微软雅黑" w:eastAsia="微软雅黑" w:cs="微软雅黑"/>
          <w:color w:val="000000"/>
          <w:kern w:val="2"/>
          <w:sz w:val="32"/>
          <w:szCs w:val="22"/>
          <w:highlight w:val="none"/>
          <w:lang w:val="en-US" w:eastAsia="zh-CN" w:bidi="ar-SA"/>
        </w:rPr>
        <w:t xml:space="preserve">七、名词解释 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12" w:afterAutospacing="0" w:line="381" w:lineRule="auto"/>
        <w:ind w:left="0" w:right="0" w:firstLine="660"/>
        <w:jc w:val="lef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12" w:afterAutospacing="0" w:line="381" w:lineRule="auto"/>
        <w:ind w:left="0" w:right="0" w:firstLine="66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“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三公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”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经费：纳入省（市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/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县）财政预算管理的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“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三公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“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  <w:r>
        <w:rPr>
          <w:rFonts w:hint="default" w:ascii="Times New Roman" w:hAnsi="Times New Roman" w:eastAsia="Times New Roman" w:cs="Times New Roman"/>
          <w:color w:val="000000"/>
          <w:kern w:val="2"/>
          <w:sz w:val="32"/>
          <w:szCs w:val="22"/>
          <w:lang w:val="en-US" w:eastAsia="zh-CN" w:bidi="ar"/>
        </w:rPr>
        <w:t xml:space="preserve"> </w:t>
      </w:r>
    </w:p>
    <w:p>
      <w:pPr>
        <w:pStyle w:val="2"/>
        <w:widowControl/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/>
        <w:spacing w:line="600" w:lineRule="exact"/>
        <w:jc w:val="righ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湖南省</w:t>
      </w:r>
      <w:r>
        <w:rPr>
          <w:rFonts w:hint="eastAsia" w:eastAsia="仿宋_GB2312"/>
          <w:sz w:val="32"/>
          <w:szCs w:val="32"/>
          <w:lang w:val="en-US" w:eastAsia="zh-CN"/>
        </w:rPr>
        <w:t>永州</w:t>
      </w:r>
      <w:r>
        <w:rPr>
          <w:rFonts w:hint="eastAsia" w:eastAsia="仿宋_GB2312"/>
          <w:sz w:val="32"/>
          <w:szCs w:val="32"/>
        </w:rPr>
        <w:t>生态环境监测中心</w:t>
      </w:r>
    </w:p>
    <w:p>
      <w:pPr>
        <w:pStyle w:val="2"/>
        <w:jc w:val="right"/>
        <w:rPr>
          <w:rFonts w:hint="eastAsia"/>
        </w:rPr>
      </w:pPr>
      <w:r>
        <w:rPr>
          <w:rFonts w:hint="eastAsia" w:eastAsia="仿宋_GB2312"/>
          <w:sz w:val="32"/>
          <w:szCs w:val="32"/>
        </w:rPr>
        <w:t xml:space="preserve"> 2022年2月17日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48F39C"/>
    <w:multiLevelType w:val="multilevel"/>
    <w:tmpl w:val="A748F39C"/>
    <w:lvl w:ilvl="0" w:tentative="0">
      <w:start w:val="1"/>
      <w:numFmt w:val="ideographDigital"/>
      <w:lvlText w:val="（%1）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304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1" w:tentative="0">
      <w:start w:val="1"/>
      <w:numFmt w:val="lowerLetter"/>
      <w:lvlText w:val="%2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1704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2" w:tentative="0">
      <w:start w:val="1"/>
      <w:numFmt w:val="lowerRoman"/>
      <w:lvlText w:val="%3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2424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3" w:tentative="0">
      <w:start w:val="1"/>
      <w:numFmt w:val="decimal"/>
      <w:lvlText w:val="%4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3144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4" w:tentative="0">
      <w:start w:val="1"/>
      <w:numFmt w:val="lowerLetter"/>
      <w:lvlText w:val="%5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3864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5" w:tentative="0">
      <w:start w:val="1"/>
      <w:numFmt w:val="lowerRoman"/>
      <w:lvlText w:val="%6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584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6" w:tentative="0">
      <w:start w:val="1"/>
      <w:numFmt w:val="decimal"/>
      <w:lvlText w:val="%7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5304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7" w:tentative="0">
      <w:start w:val="1"/>
      <w:numFmt w:val="lowerLetter"/>
      <w:lvlText w:val="%8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6024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8" w:tentative="0">
      <w:start w:val="1"/>
      <w:numFmt w:val="lowerRoman"/>
      <w:lvlText w:val="%9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6744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</w:abstractNum>
  <w:abstractNum w:abstractNumId="1">
    <w:nsid w:val="D142D466"/>
    <w:multiLevelType w:val="multilevel"/>
    <w:tmpl w:val="D142D466"/>
    <w:lvl w:ilvl="0" w:tentative="0">
      <w:start w:val="1"/>
      <w:numFmt w:val="decimal"/>
      <w:lvlText w:val="%1、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1" w:tentative="0">
      <w:start w:val="1"/>
      <w:numFmt w:val="lowerLetter"/>
      <w:lvlText w:val="%2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1740" w:firstLine="0"/>
        <w:textAlignment w:val="baseline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2" w:tentative="0">
      <w:start w:val="1"/>
      <w:numFmt w:val="lowerRoman"/>
      <w:lvlText w:val="%3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2460" w:firstLine="0"/>
        <w:textAlignment w:val="baseline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3" w:tentative="0">
      <w:start w:val="1"/>
      <w:numFmt w:val="decimal"/>
      <w:lvlText w:val="%4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3180" w:firstLine="0"/>
        <w:textAlignment w:val="baseline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4" w:tentative="0">
      <w:start w:val="1"/>
      <w:numFmt w:val="lowerLetter"/>
      <w:lvlText w:val="%5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3900" w:firstLine="0"/>
        <w:textAlignment w:val="baseline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5" w:tentative="0">
      <w:start w:val="1"/>
      <w:numFmt w:val="lowerRoman"/>
      <w:lvlText w:val="%6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620" w:firstLine="0"/>
        <w:textAlignment w:val="baseline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6" w:tentative="0">
      <w:start w:val="1"/>
      <w:numFmt w:val="decimal"/>
      <w:lvlText w:val="%7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5340" w:firstLine="0"/>
        <w:textAlignment w:val="baseline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7" w:tentative="0">
      <w:start w:val="1"/>
      <w:numFmt w:val="lowerLetter"/>
      <w:lvlText w:val="%8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6060" w:firstLine="0"/>
        <w:textAlignment w:val="baseline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8" w:tentative="0">
      <w:start w:val="1"/>
      <w:numFmt w:val="lowerRoman"/>
      <w:lvlText w:val="%9"/>
      <w:lvlJc w:val="left"/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6780" w:firstLine="0"/>
        <w:textAlignment w:val="baseline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</w:abstractNum>
  <w:abstractNum w:abstractNumId="2">
    <w:nsid w:val="460C12B0"/>
    <w:multiLevelType w:val="singleLevel"/>
    <w:tmpl w:val="460C12B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1ED74D3"/>
    <w:multiLevelType w:val="singleLevel"/>
    <w:tmpl w:val="61ED74D3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76F27A0"/>
    <w:rsid w:val="0E4B24CE"/>
    <w:rsid w:val="16BA4105"/>
    <w:rsid w:val="274E2D58"/>
    <w:rsid w:val="3F573E77"/>
    <w:rsid w:val="496901FD"/>
    <w:rsid w:val="4CC02E09"/>
    <w:rsid w:val="529F080A"/>
    <w:rsid w:val="561050AB"/>
    <w:rsid w:val="59CC3500"/>
    <w:rsid w:val="5D825248"/>
    <w:rsid w:val="680A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widowControl/>
      <w:suppressLineNumbers w:val="0"/>
      <w:spacing w:before="0" w:beforeAutospacing="0" w:after="207" w:afterAutospacing="0" w:line="256" w:lineRule="auto"/>
      <w:ind w:left="10" w:right="160" w:hanging="10"/>
      <w:jc w:val="left"/>
      <w:outlineLvl w:val="1"/>
    </w:pPr>
    <w:rPr>
      <w:rFonts w:hint="eastAsia" w:ascii="微软雅黑" w:hAnsi="微软雅黑" w:eastAsia="微软雅黑" w:cs="微软雅黑"/>
      <w:color w:val="000000"/>
      <w:kern w:val="2"/>
      <w:sz w:val="32"/>
      <w:szCs w:val="22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2 字符"/>
    <w:basedOn w:val="6"/>
    <w:link w:val="3"/>
    <w:qFormat/>
    <w:uiPriority w:val="0"/>
    <w:rPr>
      <w:rFonts w:hint="eastAsia" w:ascii="微软雅黑" w:hAnsi="微软雅黑" w:eastAsia="微软雅黑" w:cs="微软雅黑"/>
      <w:color w:val="000000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2978</Words>
  <Characters>3282</Characters>
  <Lines>0</Lines>
  <Paragraphs>0</Paragraphs>
  <TotalTime>0</TotalTime>
  <ScaleCrop>false</ScaleCrop>
  <LinksUpToDate>false</LinksUpToDate>
  <CharactersWithSpaces>3464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2023-08-30T03:28:00Z</dcterms:created>
  <dc:creator>周华</dc:creator>
  <cp:lastModifiedBy>rani</cp:lastModifiedBy>
  <dcterms:modified xsi:type="dcterms:W3CDTF">2023-09-24T10:03:47Z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9E1ACB3E20024E899C8DDD63E0AF569F_13</vt:lpwstr>
  </property>
</Properties>
</file>