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bookmarkStart w:id="0" w:name="_GoBack"/>
      <w:bookmarkEnd w:id="0"/>
    </w:p>
    <w:p>
      <w:pPr>
        <w:widowControl/>
        <w:spacing w:line="600" w:lineRule="exact"/>
        <w:jc w:val="center"/>
        <w:rPr>
          <w:rFonts w:ascii="仿宋" w:hAnsi="仿宋" w:eastAsia="仿宋"/>
          <w:b/>
          <w:bCs/>
          <w:kern w:val="0"/>
          <w:sz w:val="36"/>
          <w:szCs w:val="36"/>
        </w:rPr>
      </w:pPr>
      <w:r>
        <w:rPr>
          <w:rFonts w:ascii="仿宋" w:hAnsi="仿宋" w:eastAsia="仿宋"/>
          <w:b/>
          <w:sz w:val="36"/>
          <w:szCs w:val="36"/>
        </w:rPr>
        <w:t xml:space="preserve"> </w:t>
      </w:r>
      <w:r>
        <w:rPr>
          <w:rFonts w:ascii="仿宋" w:hAnsi="仿宋" w:eastAsia="仿宋"/>
          <w:b/>
          <w:bCs/>
          <w:kern w:val="0"/>
          <w:sz w:val="36"/>
          <w:szCs w:val="36"/>
        </w:rPr>
        <w:t>2021年</w:t>
      </w:r>
      <w:r>
        <w:rPr>
          <w:rFonts w:hint="eastAsia" w:ascii="仿宋" w:hAnsi="仿宋" w:eastAsia="仿宋"/>
          <w:b/>
          <w:bCs/>
          <w:kern w:val="0"/>
          <w:sz w:val="36"/>
          <w:szCs w:val="36"/>
        </w:rPr>
        <w:t>湖南省岳阳生态环境监测中心单位</w:t>
      </w:r>
      <w:r>
        <w:rPr>
          <w:rFonts w:ascii="仿宋" w:hAnsi="仿宋" w:eastAsia="仿宋"/>
          <w:b/>
          <w:bCs/>
          <w:kern w:val="0"/>
          <w:sz w:val="36"/>
          <w:szCs w:val="36"/>
        </w:rPr>
        <w:t>预算</w:t>
      </w:r>
    </w:p>
    <w:p>
      <w:pPr>
        <w:widowControl/>
        <w:spacing w:line="600" w:lineRule="exact"/>
        <w:jc w:val="center"/>
        <w:rPr>
          <w:rFonts w:eastAsia="楷体_GB2312"/>
          <w:bCs/>
          <w:kern w:val="0"/>
          <w:sz w:val="32"/>
          <w:szCs w:val="32"/>
        </w:rPr>
      </w:pPr>
    </w:p>
    <w:p>
      <w:pPr>
        <w:widowControl/>
        <w:spacing w:line="600" w:lineRule="exact"/>
        <w:jc w:val="center"/>
        <w:rPr>
          <w:rFonts w:ascii="仿宋" w:hAnsi="仿宋" w:eastAsia="仿宋"/>
          <w:b/>
          <w:bCs/>
          <w:kern w:val="0"/>
          <w:sz w:val="32"/>
          <w:szCs w:val="32"/>
        </w:rPr>
      </w:pPr>
      <w:r>
        <w:rPr>
          <w:rFonts w:ascii="仿宋" w:hAnsi="仿宋" w:eastAsia="仿宋"/>
          <w:b/>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2" w:firstLineChars="200"/>
        <w:rPr>
          <w:rFonts w:ascii="仿宋" w:hAnsi="仿宋" w:eastAsia="仿宋"/>
          <w:bCs/>
          <w:kern w:val="0"/>
          <w:sz w:val="32"/>
          <w:szCs w:val="32"/>
        </w:rPr>
      </w:pPr>
      <w:r>
        <w:rPr>
          <w:rFonts w:ascii="仿宋" w:hAnsi="仿宋" w:eastAsia="仿宋"/>
          <w:b/>
          <w:bCs/>
          <w:kern w:val="0"/>
          <w:sz w:val="32"/>
          <w:szCs w:val="32"/>
        </w:rPr>
        <w:t>第一部分 2021年</w:t>
      </w:r>
      <w:r>
        <w:rPr>
          <w:rFonts w:hint="eastAsia" w:ascii="仿宋" w:hAnsi="仿宋" w:eastAsia="仿宋"/>
          <w:b/>
          <w:bCs/>
          <w:kern w:val="0"/>
          <w:sz w:val="32"/>
          <w:szCs w:val="32"/>
        </w:rPr>
        <w:t>单位</w:t>
      </w:r>
      <w:r>
        <w:rPr>
          <w:rFonts w:ascii="仿宋" w:hAnsi="仿宋" w:eastAsia="仿宋"/>
          <w:b/>
          <w:bCs/>
          <w:kern w:val="0"/>
          <w:sz w:val="32"/>
          <w:szCs w:val="32"/>
        </w:rPr>
        <w:t>预算说明</w:t>
      </w:r>
    </w:p>
    <w:p>
      <w:pPr>
        <w:widowControl/>
        <w:spacing w:line="600" w:lineRule="exact"/>
        <w:ind w:firstLine="642" w:firstLineChars="200"/>
        <w:jc w:val="left"/>
        <w:rPr>
          <w:rFonts w:ascii="仿宋" w:hAnsi="仿宋" w:eastAsia="仿宋"/>
          <w:b/>
          <w:bCs/>
          <w:kern w:val="0"/>
          <w:sz w:val="32"/>
          <w:szCs w:val="32"/>
        </w:rPr>
      </w:pPr>
      <w:r>
        <w:rPr>
          <w:rFonts w:ascii="仿宋" w:hAnsi="仿宋" w:eastAsia="仿宋"/>
          <w:b/>
          <w:bCs/>
          <w:kern w:val="0"/>
          <w:sz w:val="32"/>
          <w:szCs w:val="32"/>
        </w:rPr>
        <w:t>第二部分 2021年</w:t>
      </w:r>
      <w:r>
        <w:rPr>
          <w:rFonts w:hint="eastAsia" w:ascii="仿宋" w:hAnsi="仿宋" w:eastAsia="仿宋"/>
          <w:b/>
          <w:bCs/>
          <w:kern w:val="0"/>
          <w:sz w:val="32"/>
          <w:szCs w:val="32"/>
        </w:rPr>
        <w:t>单位</w:t>
      </w:r>
      <w:r>
        <w:rPr>
          <w:rFonts w:ascii="仿宋" w:hAnsi="仿宋" w:eastAsia="仿宋"/>
          <w:b/>
          <w:bCs/>
          <w:kern w:val="0"/>
          <w:sz w:val="32"/>
          <w:szCs w:val="32"/>
        </w:rPr>
        <w:t>预算表</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1、收支总表</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2、收入总表</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3、支出总表</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4、支出预算分类汇总表（按政府预算经济分类）</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5、支出预算分类汇总表（按部门预算经济分类）</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6、财政拨款收支总表</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7、一般公共预算支出表</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8、一般公共预算基本支出表-人员经费（工资福利支出）（按政府预算经济分类）</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9、一般公共预算基本支出表-人员经费（工资福利支出）（按部门预算经济分类）</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10、一般公共预算基本支出表-人员经费（对个人和家庭的补助）（按政府预算经济分类）</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11、一般公共预算基本支出表-人员经费（对个人和家庭的补助）（按部门预算经济分类）</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12、一般公共预算基本支出表-</w:t>
      </w:r>
      <w:r>
        <w:rPr>
          <w:rFonts w:hint="eastAsia" w:ascii="仿宋" w:hAnsi="仿宋" w:eastAsia="仿宋"/>
          <w:b/>
          <w:sz w:val="32"/>
          <w:szCs w:val="32"/>
        </w:rPr>
        <w:t>公用</w:t>
      </w:r>
      <w:r>
        <w:rPr>
          <w:rFonts w:ascii="仿宋" w:hAnsi="仿宋" w:eastAsia="仿宋"/>
          <w:b/>
          <w:sz w:val="32"/>
          <w:szCs w:val="32"/>
        </w:rPr>
        <w:t>经费（商品和服务支出）（按政府预算经济分类）</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13、一般公共预算基本支出表-</w:t>
      </w:r>
      <w:r>
        <w:rPr>
          <w:rFonts w:hint="eastAsia" w:ascii="仿宋" w:hAnsi="仿宋" w:eastAsia="仿宋"/>
          <w:b/>
          <w:sz w:val="32"/>
          <w:szCs w:val="32"/>
        </w:rPr>
        <w:t>公用</w:t>
      </w:r>
      <w:r>
        <w:rPr>
          <w:rFonts w:ascii="仿宋" w:hAnsi="仿宋" w:eastAsia="仿宋"/>
          <w:b/>
          <w:sz w:val="32"/>
          <w:szCs w:val="32"/>
        </w:rPr>
        <w:t>经费（商品和服务支出）（按部门预算经济分类）</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14、一般公共预算“三公”经费支出表</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15、政府性基金预算支出表</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16、政府性基金预算支出分类汇总表（按政府预算经济分类）</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17、政府性基金预算支出分类汇总表（按部门预算经济分类）</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18、国有资本经营预算支出表</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19、财政专户管理资金预算支出表</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20、省级专项资金预算汇总表</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21、省级专项资金绩效目标表</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22、其他项目支出绩效目标表</w:t>
      </w:r>
    </w:p>
    <w:p>
      <w:pPr>
        <w:widowControl/>
        <w:spacing w:line="600" w:lineRule="exact"/>
        <w:ind w:firstLine="642" w:firstLineChars="200"/>
        <w:jc w:val="left"/>
        <w:rPr>
          <w:rFonts w:ascii="仿宋" w:hAnsi="仿宋" w:eastAsia="仿宋"/>
          <w:b/>
          <w:sz w:val="32"/>
          <w:szCs w:val="32"/>
        </w:rPr>
      </w:pPr>
      <w:r>
        <w:rPr>
          <w:rFonts w:ascii="仿宋" w:hAnsi="仿宋" w:eastAsia="仿宋"/>
          <w:b/>
          <w:sz w:val="32"/>
          <w:szCs w:val="32"/>
        </w:rPr>
        <w:t>23、部门整体支出绩效目标表</w:t>
      </w:r>
    </w:p>
    <w:p>
      <w:pPr>
        <w:widowControl/>
        <w:spacing w:line="600" w:lineRule="exact"/>
        <w:ind w:firstLine="642" w:firstLineChars="200"/>
        <w:rPr>
          <w:rFonts w:ascii="仿宋" w:hAnsi="仿宋" w:eastAsia="仿宋"/>
          <w:b/>
          <w:bCs/>
          <w:kern w:val="0"/>
          <w:sz w:val="32"/>
          <w:szCs w:val="32"/>
        </w:rPr>
      </w:pPr>
      <w:r>
        <w:rPr>
          <w:rFonts w:ascii="仿宋" w:hAnsi="仿宋" w:eastAsia="仿宋"/>
          <w:b/>
          <w:bCs/>
          <w:kern w:val="0"/>
          <w:sz w:val="32"/>
          <w:szCs w:val="32"/>
        </w:rPr>
        <w:t>注：以上部门预算报表中，空表表示本部门无相关收支情况。</w:t>
      </w:r>
    </w:p>
    <w:p>
      <w:pPr>
        <w:widowControl/>
        <w:spacing w:line="600" w:lineRule="exact"/>
        <w:ind w:firstLine="642" w:firstLineChars="200"/>
        <w:rPr>
          <w:rFonts w:ascii="仿宋" w:hAnsi="仿宋" w:eastAsia="仿宋"/>
          <w:b/>
          <w:bCs/>
          <w:kern w:val="0"/>
          <w:sz w:val="32"/>
          <w:szCs w:val="32"/>
        </w:rPr>
      </w:pPr>
    </w:p>
    <w:p>
      <w:pPr>
        <w:widowControl/>
        <w:spacing w:line="600" w:lineRule="exact"/>
        <w:rPr>
          <w:rFonts w:ascii="仿宋" w:hAnsi="仿宋" w:eastAsia="仿宋"/>
          <w:b/>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ascii="仿宋" w:hAnsi="仿宋" w:eastAsia="仿宋"/>
          <w:b/>
          <w:bCs/>
          <w:kern w:val="0"/>
          <w:sz w:val="36"/>
          <w:szCs w:val="36"/>
        </w:rPr>
      </w:pPr>
    </w:p>
    <w:p>
      <w:pPr>
        <w:widowControl/>
        <w:spacing w:line="600" w:lineRule="exact"/>
        <w:jc w:val="center"/>
        <w:rPr>
          <w:rFonts w:ascii="仿宋" w:hAnsi="仿宋" w:eastAsia="仿宋"/>
          <w:b/>
          <w:bCs/>
          <w:kern w:val="0"/>
          <w:sz w:val="36"/>
          <w:szCs w:val="36"/>
        </w:rPr>
      </w:pPr>
    </w:p>
    <w:p>
      <w:pPr>
        <w:widowControl/>
        <w:spacing w:line="600" w:lineRule="exact"/>
        <w:jc w:val="center"/>
        <w:rPr>
          <w:rFonts w:ascii="仿宋" w:hAnsi="仿宋" w:eastAsia="仿宋"/>
          <w:b/>
          <w:bCs/>
          <w:kern w:val="0"/>
          <w:sz w:val="36"/>
          <w:szCs w:val="36"/>
        </w:rPr>
      </w:pPr>
      <w:r>
        <w:rPr>
          <w:rFonts w:ascii="仿宋" w:hAnsi="仿宋" w:eastAsia="仿宋"/>
          <w:b/>
          <w:bCs/>
          <w:kern w:val="0"/>
          <w:sz w:val="36"/>
          <w:szCs w:val="36"/>
        </w:rPr>
        <w:t>第一部分 2021年部门预算说明</w:t>
      </w:r>
    </w:p>
    <w:p>
      <w:pPr>
        <w:widowControl/>
        <w:spacing w:line="600" w:lineRule="exact"/>
        <w:ind w:firstLine="629" w:firstLineChars="196"/>
        <w:jc w:val="left"/>
        <w:rPr>
          <w:rFonts w:ascii="仿宋" w:hAnsi="仿宋" w:eastAsia="仿宋"/>
          <w:b/>
          <w:bCs/>
          <w:kern w:val="0"/>
          <w:sz w:val="32"/>
          <w:szCs w:val="32"/>
        </w:rPr>
      </w:pPr>
      <w:r>
        <w:rPr>
          <w:rFonts w:ascii="仿宋" w:hAnsi="仿宋" w:eastAsia="仿宋"/>
          <w:b/>
          <w:bCs/>
          <w:kern w:val="0"/>
          <w:sz w:val="32"/>
          <w:szCs w:val="32"/>
        </w:rPr>
        <w:t>一、部门基本概况</w:t>
      </w:r>
    </w:p>
    <w:p>
      <w:pPr>
        <w:widowControl/>
        <w:spacing w:line="600" w:lineRule="exact"/>
        <w:ind w:firstLine="550" w:firstLineChars="196"/>
        <w:jc w:val="left"/>
        <w:rPr>
          <w:rFonts w:ascii="仿宋" w:hAnsi="仿宋" w:eastAsia="仿宋"/>
          <w:b/>
          <w:szCs w:val="28"/>
        </w:rPr>
      </w:pPr>
      <w:r>
        <w:rPr>
          <w:rFonts w:ascii="仿宋" w:hAnsi="仿宋" w:eastAsia="仿宋"/>
          <w:b/>
          <w:szCs w:val="28"/>
        </w:rPr>
        <w:t>（一）职能职责。</w:t>
      </w:r>
    </w:p>
    <w:p>
      <w:pPr>
        <w:widowControl/>
        <w:spacing w:line="600" w:lineRule="exact"/>
        <w:ind w:firstLine="548" w:firstLineChars="196"/>
        <w:jc w:val="left"/>
        <w:rPr>
          <w:rFonts w:ascii="仿宋" w:hAnsi="仿宋" w:eastAsia="仿宋"/>
          <w:szCs w:val="28"/>
        </w:rPr>
      </w:pPr>
      <w:r>
        <w:rPr>
          <w:rFonts w:hint="eastAsia" w:ascii="仿宋" w:hAnsi="仿宋" w:eastAsia="仿宋"/>
          <w:szCs w:val="28"/>
        </w:rPr>
        <w:t>按照国家统一规范，负责对岳阳市的环境空气、地表水、地下水、土壤、固体废弃物、降水、噪声等多种环境要素进行定期监测，定期向省环境生态监测中心和市生态局呈报环境质量状况及变化趋势的技术报告。负责本市工业污染源的监督性监测，特别是对重点污染源进行定期监督监测，建立健全污染源档案数据库，为加强污染源管理和排污收费提供科学依据。</w:t>
      </w:r>
      <w:r>
        <w:rPr>
          <w:rFonts w:ascii="Calibri" w:hAnsi="Calibri" w:eastAsia="仿宋"/>
          <w:szCs w:val="28"/>
        </w:rPr>
        <w:t> </w:t>
      </w:r>
      <w:r>
        <w:rPr>
          <w:rFonts w:hint="eastAsia" w:ascii="仿宋" w:hAnsi="仿宋" w:eastAsia="仿宋"/>
          <w:szCs w:val="28"/>
        </w:rPr>
        <w:t>负责本市的环境质量评价，编写本市年度环境质量报告书和重点污染源状况报告，为环境规划及管理提供科学依据。</w:t>
      </w:r>
      <w:r>
        <w:rPr>
          <w:rFonts w:ascii="Calibri" w:hAnsi="Calibri" w:eastAsia="仿宋"/>
          <w:szCs w:val="28"/>
        </w:rPr>
        <w:t> </w:t>
      </w:r>
      <w:r>
        <w:rPr>
          <w:rFonts w:hint="eastAsia" w:ascii="仿宋" w:hAnsi="仿宋" w:eastAsia="仿宋"/>
          <w:szCs w:val="28"/>
        </w:rPr>
        <w:t>接受市级政府部门的指令，及时、准确地进行环境污染事故应急监测、环境污染纠纷仲裁监测，以及群众来信来访的污染纠纷监测。积极开展环境监测科研工作，了解污染因子在环境中的运动规律，开展环境质量的预测、预报工作，加强对环境监测基础技术的研究，开展对环境有价值的调查工作，对市辖区县环境监测站进行技术指导。</w:t>
      </w:r>
    </w:p>
    <w:p>
      <w:pPr>
        <w:widowControl/>
        <w:spacing w:line="600" w:lineRule="exact"/>
        <w:ind w:firstLine="550" w:firstLineChars="196"/>
        <w:jc w:val="left"/>
        <w:rPr>
          <w:rFonts w:ascii="仿宋" w:hAnsi="仿宋" w:eastAsia="仿宋"/>
          <w:szCs w:val="28"/>
        </w:rPr>
      </w:pPr>
      <w:r>
        <w:rPr>
          <w:rFonts w:ascii="仿宋" w:hAnsi="仿宋" w:eastAsia="仿宋"/>
          <w:b/>
          <w:szCs w:val="28"/>
        </w:rPr>
        <w:t>（一）</w:t>
      </w:r>
      <w:r>
        <w:rPr>
          <w:rFonts w:hint="eastAsia" w:ascii="仿宋" w:hAnsi="仿宋" w:eastAsia="仿宋"/>
          <w:b/>
          <w:szCs w:val="28"/>
        </w:rPr>
        <w:t>机构设置。</w:t>
      </w:r>
    </w:p>
    <w:p>
      <w:pPr>
        <w:spacing w:line="600" w:lineRule="exact"/>
        <w:rPr>
          <w:rFonts w:ascii="仿宋" w:hAnsi="仿宋" w:eastAsia="仿宋"/>
          <w:szCs w:val="28"/>
        </w:rPr>
      </w:pPr>
      <w:r>
        <w:rPr>
          <w:rFonts w:hint="eastAsia"/>
        </w:rPr>
        <w:t xml:space="preserve">     </w:t>
      </w:r>
      <w:r>
        <w:rPr>
          <w:rFonts w:hint="eastAsia" w:ascii="仿宋" w:hAnsi="仿宋" w:eastAsia="仿宋"/>
          <w:szCs w:val="28"/>
        </w:rPr>
        <w:t>本中心内设机构为9个科室：分别为办公室、人事财务科、自动监测科、现场监测科、中心分析室、质量控制科、应急监测科、生态监测科、综合技术科。</w:t>
      </w:r>
    </w:p>
    <w:p>
      <w:pPr>
        <w:widowControl/>
        <w:spacing w:line="600" w:lineRule="exact"/>
        <w:ind w:firstLine="629" w:firstLineChars="196"/>
        <w:jc w:val="left"/>
        <w:rPr>
          <w:rFonts w:ascii="仿宋" w:hAnsi="仿宋" w:eastAsia="仿宋"/>
          <w:b/>
          <w:bCs/>
          <w:kern w:val="0"/>
          <w:sz w:val="32"/>
          <w:szCs w:val="32"/>
        </w:rPr>
      </w:pPr>
      <w:r>
        <w:rPr>
          <w:rFonts w:hint="eastAsia" w:ascii="仿宋" w:hAnsi="仿宋" w:eastAsia="仿宋"/>
          <w:b/>
          <w:bCs/>
          <w:kern w:val="0"/>
          <w:sz w:val="32"/>
          <w:szCs w:val="32"/>
        </w:rPr>
        <w:t>二</w:t>
      </w:r>
      <w:r>
        <w:rPr>
          <w:rFonts w:ascii="仿宋" w:hAnsi="仿宋" w:eastAsia="仿宋"/>
          <w:b/>
          <w:bCs/>
          <w:kern w:val="0"/>
          <w:sz w:val="32"/>
          <w:szCs w:val="32"/>
        </w:rPr>
        <w:t>、部门收支总体情况</w:t>
      </w:r>
    </w:p>
    <w:p>
      <w:pPr>
        <w:widowControl/>
        <w:spacing w:line="600" w:lineRule="exact"/>
        <w:ind w:firstLine="550" w:firstLineChars="196"/>
        <w:rPr>
          <w:rFonts w:ascii="仿宋" w:hAnsi="仿宋" w:eastAsia="仿宋"/>
          <w:b/>
          <w:sz w:val="32"/>
          <w:szCs w:val="32"/>
        </w:rPr>
      </w:pPr>
      <w:r>
        <w:rPr>
          <w:rFonts w:ascii="仿宋" w:hAnsi="仿宋" w:eastAsia="仿宋"/>
          <w:b/>
          <w:szCs w:val="28"/>
        </w:rPr>
        <w:t>（一）收入预算</w:t>
      </w:r>
      <w:r>
        <w:rPr>
          <w:rFonts w:eastAsia="楷体_GB2312"/>
          <w:b/>
          <w:sz w:val="32"/>
          <w:szCs w:val="32"/>
        </w:rPr>
        <w:t>：</w:t>
      </w:r>
      <w:r>
        <w:rPr>
          <w:rFonts w:ascii="仿宋" w:hAnsi="仿宋" w:eastAsia="仿宋"/>
          <w:szCs w:val="28"/>
        </w:rPr>
        <w:t>包括一般公共预算、政府性基金、国有资本经营预算等财政拨款收入，以及经营收入、事业收入等单位资金。2021年本</w:t>
      </w:r>
      <w:r>
        <w:rPr>
          <w:rFonts w:hint="eastAsia" w:ascii="仿宋" w:hAnsi="仿宋" w:eastAsia="仿宋"/>
          <w:szCs w:val="28"/>
        </w:rPr>
        <w:t>单位</w:t>
      </w:r>
      <w:r>
        <w:rPr>
          <w:rFonts w:ascii="仿宋" w:hAnsi="仿宋" w:eastAsia="仿宋"/>
          <w:szCs w:val="28"/>
        </w:rPr>
        <w:t>收入预算</w:t>
      </w:r>
      <w:r>
        <w:rPr>
          <w:rFonts w:hint="eastAsia" w:ascii="仿宋" w:hAnsi="仿宋" w:eastAsia="仿宋"/>
          <w:szCs w:val="28"/>
        </w:rPr>
        <w:t>1601.52</w:t>
      </w:r>
      <w:r>
        <w:rPr>
          <w:rFonts w:ascii="仿宋" w:hAnsi="仿宋" w:eastAsia="仿宋"/>
          <w:szCs w:val="28"/>
        </w:rPr>
        <w:t>万元，其中，一般公共预算拨款</w:t>
      </w:r>
      <w:r>
        <w:rPr>
          <w:rFonts w:hint="eastAsia" w:ascii="仿宋" w:hAnsi="仿宋" w:eastAsia="仿宋"/>
          <w:szCs w:val="28"/>
        </w:rPr>
        <w:t>1601.52</w:t>
      </w:r>
      <w:r>
        <w:rPr>
          <w:rFonts w:ascii="仿宋" w:hAnsi="仿宋" w:eastAsia="仿宋"/>
          <w:szCs w:val="28"/>
        </w:rPr>
        <w:t>万元。</w:t>
      </w:r>
      <w:r>
        <w:rPr>
          <w:rFonts w:hint="eastAsia" w:ascii="仿宋" w:hAnsi="仿宋" w:eastAsia="仿宋"/>
          <w:szCs w:val="28"/>
        </w:rPr>
        <w:t>本单位今年为省级新增单位。</w:t>
      </w:r>
    </w:p>
    <w:p>
      <w:pPr>
        <w:widowControl/>
        <w:spacing w:line="600" w:lineRule="exact"/>
        <w:ind w:firstLine="550" w:firstLineChars="196"/>
        <w:jc w:val="left"/>
        <w:rPr>
          <w:rFonts w:ascii="仿宋" w:hAnsi="仿宋" w:eastAsia="仿宋"/>
          <w:szCs w:val="28"/>
        </w:rPr>
      </w:pPr>
      <w:r>
        <w:rPr>
          <w:rFonts w:ascii="仿宋" w:hAnsi="仿宋" w:eastAsia="仿宋"/>
          <w:b/>
          <w:szCs w:val="28"/>
        </w:rPr>
        <w:t>（二）支出预算：</w:t>
      </w:r>
      <w:r>
        <w:rPr>
          <w:rFonts w:ascii="仿宋" w:hAnsi="仿宋" w:eastAsia="仿宋"/>
          <w:szCs w:val="28"/>
        </w:rPr>
        <w:t>2021年本</w:t>
      </w:r>
      <w:r>
        <w:rPr>
          <w:rFonts w:hint="eastAsia" w:ascii="仿宋" w:hAnsi="仿宋" w:eastAsia="仿宋"/>
          <w:szCs w:val="28"/>
        </w:rPr>
        <w:t>单位</w:t>
      </w:r>
      <w:r>
        <w:rPr>
          <w:rFonts w:ascii="仿宋" w:hAnsi="仿宋" w:eastAsia="仿宋"/>
          <w:szCs w:val="28"/>
        </w:rPr>
        <w:t>支出预算</w:t>
      </w:r>
      <w:r>
        <w:rPr>
          <w:rFonts w:hint="eastAsia" w:ascii="仿宋" w:hAnsi="仿宋" w:eastAsia="仿宋"/>
          <w:szCs w:val="28"/>
        </w:rPr>
        <w:t>1601.52万元</w:t>
      </w:r>
      <w:r>
        <w:rPr>
          <w:rFonts w:ascii="仿宋" w:hAnsi="仿宋" w:eastAsia="仿宋"/>
          <w:szCs w:val="28"/>
        </w:rPr>
        <w:t>，其中，</w:t>
      </w:r>
      <w:r>
        <w:rPr>
          <w:rFonts w:hint="eastAsia" w:ascii="仿宋" w:hAnsi="仿宋" w:eastAsia="仿宋"/>
          <w:szCs w:val="28"/>
        </w:rPr>
        <w:t>社会保障和就业支出102.97万元，卫生健康支出36.92万元，节能环保支出1368.88万元，住房保障支出92.75万元</w:t>
      </w:r>
      <w:r>
        <w:rPr>
          <w:rFonts w:ascii="仿宋" w:hAnsi="仿宋" w:eastAsia="仿宋"/>
          <w:szCs w:val="28"/>
        </w:rPr>
        <w:t>。支出较去年增加</w:t>
      </w:r>
      <w:r>
        <w:rPr>
          <w:rFonts w:hint="eastAsia" w:ascii="仿宋" w:hAnsi="仿宋" w:eastAsia="仿宋"/>
          <w:szCs w:val="28"/>
        </w:rPr>
        <w:t>39.37</w:t>
      </w:r>
      <w:r>
        <w:rPr>
          <w:rFonts w:ascii="仿宋" w:hAnsi="仿宋" w:eastAsia="仿宋"/>
          <w:szCs w:val="28"/>
        </w:rPr>
        <w:t>万元，主要是</w:t>
      </w:r>
      <w:r>
        <w:rPr>
          <w:rFonts w:hint="eastAsia" w:ascii="仿宋" w:hAnsi="仿宋" w:eastAsia="仿宋"/>
          <w:szCs w:val="28"/>
        </w:rPr>
        <w:t>节能环保支出有所增加</w:t>
      </w:r>
      <w:r>
        <w:rPr>
          <w:rFonts w:ascii="仿宋" w:hAnsi="仿宋" w:eastAsia="仿宋"/>
          <w:szCs w:val="28"/>
        </w:rPr>
        <w:t>。</w:t>
      </w:r>
    </w:p>
    <w:p>
      <w:pPr>
        <w:widowControl/>
        <w:spacing w:line="600" w:lineRule="exact"/>
        <w:ind w:firstLine="660"/>
        <w:jc w:val="left"/>
        <w:rPr>
          <w:rFonts w:ascii="仿宋" w:hAnsi="仿宋" w:eastAsia="仿宋"/>
          <w:b/>
          <w:sz w:val="32"/>
          <w:szCs w:val="32"/>
        </w:rPr>
      </w:pPr>
      <w:r>
        <w:rPr>
          <w:rFonts w:hint="eastAsia" w:ascii="仿宋" w:hAnsi="仿宋" w:eastAsia="仿宋"/>
          <w:b/>
          <w:sz w:val="32"/>
          <w:szCs w:val="32"/>
        </w:rPr>
        <w:t>三</w:t>
      </w:r>
      <w:r>
        <w:rPr>
          <w:rFonts w:ascii="仿宋" w:hAnsi="仿宋" w:eastAsia="仿宋"/>
          <w:b/>
          <w:sz w:val="32"/>
          <w:szCs w:val="32"/>
        </w:rPr>
        <w:t>、一般公共预算拨款支出</w:t>
      </w:r>
    </w:p>
    <w:p>
      <w:pPr>
        <w:widowControl/>
        <w:spacing w:line="600" w:lineRule="exact"/>
        <w:ind w:firstLine="660"/>
        <w:jc w:val="left"/>
        <w:rPr>
          <w:rFonts w:ascii="仿宋" w:hAnsi="仿宋" w:eastAsia="仿宋"/>
          <w:color w:val="auto"/>
          <w:szCs w:val="28"/>
        </w:rPr>
      </w:pPr>
      <w:r>
        <w:rPr>
          <w:rFonts w:ascii="仿宋" w:hAnsi="仿宋" w:eastAsia="仿宋"/>
          <w:szCs w:val="28"/>
        </w:rPr>
        <w:t>2021年本</w:t>
      </w:r>
      <w:r>
        <w:rPr>
          <w:rFonts w:hint="eastAsia" w:ascii="仿宋" w:hAnsi="仿宋" w:eastAsia="仿宋"/>
          <w:szCs w:val="28"/>
        </w:rPr>
        <w:t>单位</w:t>
      </w:r>
      <w:r>
        <w:rPr>
          <w:rFonts w:ascii="仿宋" w:hAnsi="仿宋" w:eastAsia="仿宋"/>
          <w:szCs w:val="28"/>
        </w:rPr>
        <w:t>一般公共预算拨款支出预算</w:t>
      </w:r>
      <w:r>
        <w:rPr>
          <w:rFonts w:hint="eastAsia" w:ascii="仿宋" w:hAnsi="仿宋" w:eastAsia="仿宋"/>
          <w:szCs w:val="28"/>
        </w:rPr>
        <w:t>1601.52</w:t>
      </w:r>
      <w:r>
        <w:rPr>
          <w:rFonts w:ascii="仿宋" w:hAnsi="仿宋" w:eastAsia="仿宋"/>
          <w:szCs w:val="28"/>
        </w:rPr>
        <w:t>万元，其中，</w:t>
      </w:r>
      <w:r>
        <w:rPr>
          <w:rFonts w:hint="eastAsia" w:ascii="仿宋" w:hAnsi="仿宋" w:eastAsia="仿宋"/>
          <w:szCs w:val="28"/>
        </w:rPr>
        <w:t>社会保障和就业支出102.97万元</w:t>
      </w:r>
      <w:r>
        <w:rPr>
          <w:rFonts w:ascii="仿宋" w:hAnsi="仿宋" w:eastAsia="仿宋"/>
          <w:szCs w:val="28"/>
        </w:rPr>
        <w:t>，占</w:t>
      </w:r>
      <w:r>
        <w:rPr>
          <w:rFonts w:hint="eastAsia" w:ascii="仿宋" w:hAnsi="仿宋" w:eastAsia="仿宋"/>
          <w:szCs w:val="28"/>
        </w:rPr>
        <w:t>6.4</w:t>
      </w:r>
      <w:r>
        <w:rPr>
          <w:rFonts w:ascii="仿宋" w:hAnsi="仿宋" w:eastAsia="仿宋"/>
          <w:szCs w:val="28"/>
        </w:rPr>
        <w:t>%；</w:t>
      </w:r>
      <w:r>
        <w:rPr>
          <w:rFonts w:hint="eastAsia" w:ascii="仿宋" w:hAnsi="仿宋" w:eastAsia="仿宋"/>
          <w:szCs w:val="28"/>
        </w:rPr>
        <w:t>卫生健康支出36.92万元</w:t>
      </w:r>
      <w:r>
        <w:rPr>
          <w:rFonts w:ascii="仿宋" w:hAnsi="仿宋" w:eastAsia="仿宋"/>
          <w:szCs w:val="28"/>
        </w:rPr>
        <w:t>，占</w:t>
      </w:r>
      <w:r>
        <w:rPr>
          <w:rFonts w:hint="eastAsia" w:ascii="仿宋" w:hAnsi="仿宋" w:eastAsia="仿宋"/>
          <w:szCs w:val="28"/>
        </w:rPr>
        <w:t>2.3</w:t>
      </w:r>
      <w:r>
        <w:rPr>
          <w:rFonts w:ascii="仿宋" w:hAnsi="仿宋" w:eastAsia="仿宋"/>
          <w:szCs w:val="28"/>
        </w:rPr>
        <w:t xml:space="preserve"> %；</w:t>
      </w:r>
      <w:r>
        <w:rPr>
          <w:rFonts w:hint="eastAsia" w:ascii="仿宋" w:hAnsi="仿宋" w:eastAsia="仿宋"/>
          <w:szCs w:val="28"/>
        </w:rPr>
        <w:t>节能环保支出136</w:t>
      </w:r>
      <w:r>
        <w:rPr>
          <w:rFonts w:hint="eastAsia" w:ascii="仿宋" w:hAnsi="仿宋" w:eastAsia="仿宋"/>
          <w:color w:val="auto"/>
          <w:szCs w:val="28"/>
        </w:rPr>
        <w:t>8.88万元，</w:t>
      </w:r>
      <w:r>
        <w:rPr>
          <w:rFonts w:ascii="仿宋" w:hAnsi="仿宋" w:eastAsia="仿宋"/>
          <w:color w:val="auto"/>
          <w:szCs w:val="28"/>
        </w:rPr>
        <w:t>占</w:t>
      </w:r>
      <w:r>
        <w:rPr>
          <w:rFonts w:hint="eastAsia" w:ascii="仿宋" w:hAnsi="仿宋" w:eastAsia="仿宋"/>
          <w:color w:val="auto"/>
          <w:szCs w:val="28"/>
        </w:rPr>
        <w:t>85.5</w:t>
      </w:r>
      <w:r>
        <w:rPr>
          <w:rFonts w:ascii="仿宋" w:hAnsi="仿宋" w:eastAsia="仿宋"/>
          <w:color w:val="auto"/>
          <w:szCs w:val="28"/>
        </w:rPr>
        <w:t>%</w:t>
      </w:r>
      <w:r>
        <w:rPr>
          <w:rFonts w:hint="eastAsia" w:ascii="仿宋" w:hAnsi="仿宋" w:eastAsia="仿宋"/>
          <w:color w:val="auto"/>
          <w:szCs w:val="28"/>
        </w:rPr>
        <w:t>，住房保障支出92.75万元，</w:t>
      </w:r>
      <w:r>
        <w:rPr>
          <w:rFonts w:ascii="仿宋" w:hAnsi="仿宋" w:eastAsia="仿宋"/>
          <w:color w:val="auto"/>
          <w:szCs w:val="28"/>
        </w:rPr>
        <w:t>占</w:t>
      </w:r>
      <w:r>
        <w:rPr>
          <w:rFonts w:hint="eastAsia" w:ascii="仿宋" w:hAnsi="仿宋" w:eastAsia="仿宋"/>
          <w:color w:val="auto"/>
          <w:szCs w:val="28"/>
        </w:rPr>
        <w:t>5.8</w:t>
      </w:r>
      <w:r>
        <w:rPr>
          <w:rFonts w:ascii="仿宋" w:hAnsi="仿宋" w:eastAsia="仿宋"/>
          <w:color w:val="auto"/>
          <w:szCs w:val="28"/>
        </w:rPr>
        <w:t>%。具体安排情况如下：</w:t>
      </w:r>
    </w:p>
    <w:p>
      <w:pPr>
        <w:widowControl/>
        <w:spacing w:line="600" w:lineRule="exact"/>
        <w:ind w:firstLine="660"/>
        <w:jc w:val="left"/>
        <w:rPr>
          <w:rFonts w:eastAsia="黑体"/>
          <w:color w:val="auto"/>
          <w:sz w:val="32"/>
          <w:szCs w:val="32"/>
        </w:rPr>
      </w:pPr>
      <w:r>
        <w:rPr>
          <w:rFonts w:ascii="仿宋" w:hAnsi="仿宋" w:eastAsia="仿宋"/>
          <w:b/>
          <w:color w:val="auto"/>
          <w:szCs w:val="28"/>
        </w:rPr>
        <w:t>（一）基本支出：</w:t>
      </w:r>
      <w:r>
        <w:rPr>
          <w:rFonts w:ascii="仿宋" w:hAnsi="仿宋" w:eastAsia="仿宋"/>
          <w:color w:val="auto"/>
          <w:szCs w:val="28"/>
        </w:rPr>
        <w:t>2021年本</w:t>
      </w:r>
      <w:r>
        <w:rPr>
          <w:rFonts w:hint="eastAsia" w:ascii="仿宋" w:hAnsi="仿宋" w:eastAsia="仿宋"/>
          <w:color w:val="auto"/>
          <w:szCs w:val="28"/>
        </w:rPr>
        <w:t>单位</w:t>
      </w:r>
      <w:r>
        <w:rPr>
          <w:rFonts w:ascii="仿宋" w:hAnsi="仿宋" w:eastAsia="仿宋"/>
          <w:color w:val="auto"/>
          <w:szCs w:val="28"/>
        </w:rPr>
        <w:t>基本支出预算数</w:t>
      </w:r>
      <w:r>
        <w:rPr>
          <w:rFonts w:hint="eastAsia" w:ascii="仿宋" w:hAnsi="仿宋" w:eastAsia="仿宋"/>
          <w:color w:val="auto"/>
          <w:szCs w:val="28"/>
        </w:rPr>
        <w:t>1027.89</w:t>
      </w:r>
      <w:r>
        <w:rPr>
          <w:rFonts w:ascii="仿宋" w:hAnsi="仿宋" w:eastAsia="仿宋"/>
          <w:color w:val="auto"/>
          <w:szCs w:val="28"/>
        </w:rPr>
        <w:t>万元，主要是为保障部门正常运转、完成日常工作任务而发生的各项支出，包括用于基本工资、津贴补贴等人员经费以及办公费、印刷费、水电费等公用经费。</w:t>
      </w:r>
    </w:p>
    <w:p>
      <w:pPr>
        <w:widowControl/>
        <w:spacing w:line="600" w:lineRule="exact"/>
        <w:ind w:firstLine="660"/>
        <w:jc w:val="left"/>
        <w:rPr>
          <w:rFonts w:eastAsia="仿宋_GB2312"/>
          <w:sz w:val="32"/>
          <w:szCs w:val="32"/>
        </w:rPr>
      </w:pPr>
      <w:r>
        <w:rPr>
          <w:rFonts w:ascii="仿宋" w:hAnsi="仿宋" w:eastAsia="仿宋"/>
          <w:b/>
          <w:szCs w:val="28"/>
        </w:rPr>
        <w:t>（二）项目支出：</w:t>
      </w:r>
      <w:r>
        <w:rPr>
          <w:rFonts w:ascii="仿宋" w:hAnsi="仿宋" w:eastAsia="仿宋"/>
          <w:szCs w:val="28"/>
        </w:rPr>
        <w:t>2021年本</w:t>
      </w:r>
      <w:r>
        <w:rPr>
          <w:rFonts w:hint="eastAsia" w:ascii="仿宋" w:hAnsi="仿宋" w:eastAsia="仿宋"/>
          <w:szCs w:val="28"/>
        </w:rPr>
        <w:t>单位</w:t>
      </w:r>
      <w:r>
        <w:rPr>
          <w:rFonts w:ascii="仿宋" w:hAnsi="仿宋" w:eastAsia="仿宋"/>
          <w:szCs w:val="28"/>
        </w:rPr>
        <w:t>项目支出预算</w:t>
      </w:r>
      <w:r>
        <w:rPr>
          <w:rFonts w:hint="eastAsia" w:ascii="仿宋" w:hAnsi="仿宋" w:eastAsia="仿宋"/>
          <w:szCs w:val="28"/>
        </w:rPr>
        <w:t>573.63</w:t>
      </w:r>
      <w:r>
        <w:rPr>
          <w:rFonts w:ascii="仿宋" w:hAnsi="仿宋" w:eastAsia="仿宋"/>
          <w:szCs w:val="28"/>
        </w:rPr>
        <w:t>万元，主要是部门为完成特定行政工作任务或事业发展目标而发生的支出，包括有关事业发展专项、专项业务费、基本建设支出等，其中：</w:t>
      </w:r>
      <w:r>
        <w:rPr>
          <w:rFonts w:hint="eastAsia" w:ascii="仿宋" w:hAnsi="仿宋" w:eastAsia="仿宋"/>
          <w:szCs w:val="28"/>
        </w:rPr>
        <w:t>环境质量监测及事权上收监测经费</w:t>
      </w:r>
      <w:r>
        <w:rPr>
          <w:rFonts w:ascii="仿宋" w:hAnsi="仿宋" w:eastAsia="仿宋"/>
          <w:szCs w:val="28"/>
        </w:rPr>
        <w:t>支出</w:t>
      </w:r>
      <w:r>
        <w:rPr>
          <w:rFonts w:hint="eastAsia" w:ascii="仿宋" w:hAnsi="仿宋" w:eastAsia="仿宋"/>
          <w:szCs w:val="28"/>
        </w:rPr>
        <w:t>371.69</w:t>
      </w:r>
      <w:r>
        <w:rPr>
          <w:rFonts w:ascii="仿宋" w:hAnsi="仿宋" w:eastAsia="仿宋"/>
          <w:szCs w:val="28"/>
        </w:rPr>
        <w:t>万元，主要用于</w:t>
      </w:r>
      <w:r>
        <w:rPr>
          <w:rFonts w:hint="eastAsia" w:ascii="仿宋" w:hAnsi="仿宋" w:eastAsia="仿宋"/>
          <w:szCs w:val="28"/>
        </w:rPr>
        <w:t>环境质量监测</w:t>
      </w:r>
      <w:r>
        <w:rPr>
          <w:rFonts w:ascii="仿宋" w:hAnsi="仿宋" w:eastAsia="仿宋"/>
          <w:szCs w:val="28"/>
        </w:rPr>
        <w:t>等方面；</w:t>
      </w:r>
      <w:r>
        <w:rPr>
          <w:rFonts w:hint="eastAsia" w:ascii="仿宋" w:hAnsi="仿宋" w:eastAsia="仿宋"/>
          <w:szCs w:val="28"/>
        </w:rPr>
        <w:t>空气自动监测站质控与考核费用</w:t>
      </w:r>
      <w:r>
        <w:rPr>
          <w:rFonts w:ascii="仿宋" w:hAnsi="仿宋" w:eastAsia="仿宋"/>
          <w:szCs w:val="28"/>
        </w:rPr>
        <w:t>支出</w:t>
      </w:r>
      <w:r>
        <w:rPr>
          <w:rFonts w:hint="eastAsia" w:ascii="仿宋" w:hAnsi="仿宋" w:eastAsia="仿宋"/>
          <w:szCs w:val="28"/>
        </w:rPr>
        <w:t>21.7</w:t>
      </w:r>
      <w:r>
        <w:rPr>
          <w:rFonts w:ascii="仿宋" w:hAnsi="仿宋" w:eastAsia="仿宋"/>
          <w:szCs w:val="28"/>
        </w:rPr>
        <w:t>万元，主要用于</w:t>
      </w:r>
      <w:r>
        <w:rPr>
          <w:rFonts w:hint="eastAsia" w:ascii="仿宋" w:hAnsi="仿宋" w:eastAsia="仿宋"/>
          <w:szCs w:val="28"/>
        </w:rPr>
        <w:t>空气自动监测站质控与考核</w:t>
      </w:r>
      <w:r>
        <w:rPr>
          <w:rFonts w:ascii="仿宋" w:hAnsi="仿宋" w:eastAsia="仿宋"/>
          <w:szCs w:val="28"/>
        </w:rPr>
        <w:t>等方面；</w:t>
      </w:r>
      <w:r>
        <w:rPr>
          <w:rFonts w:hint="eastAsia" w:ascii="仿宋" w:hAnsi="仿宋" w:eastAsia="仿宋"/>
          <w:szCs w:val="28"/>
        </w:rPr>
        <w:t>重点污染源监督性监测经费配套4.6万元，主要用于重点污染源监督性监测等方面；能力建设及资本性支出143.34万元，用于仪器设备与办公设备购置；三供一业20.3万元，用于小区物业、水、电改造</w:t>
      </w:r>
      <w:r>
        <w:rPr>
          <w:rFonts w:ascii="仿宋" w:hAnsi="仿宋" w:eastAsia="仿宋"/>
          <w:szCs w:val="28"/>
        </w:rPr>
        <w:t>。</w:t>
      </w:r>
      <w:r>
        <w:rPr>
          <w:rFonts w:hint="eastAsia" w:ascii="仿宋" w:hAnsi="仿宋" w:eastAsia="仿宋"/>
          <w:szCs w:val="28"/>
        </w:rPr>
        <w:t>党建文化12万元，用于党建文化创建等方面。</w:t>
      </w:r>
    </w:p>
    <w:p>
      <w:pPr>
        <w:widowControl/>
        <w:spacing w:line="600" w:lineRule="exact"/>
        <w:ind w:firstLine="660"/>
        <w:jc w:val="left"/>
        <w:rPr>
          <w:rFonts w:ascii="仿宋" w:hAnsi="仿宋" w:eastAsia="仿宋"/>
          <w:b/>
          <w:sz w:val="32"/>
          <w:szCs w:val="32"/>
        </w:rPr>
      </w:pPr>
      <w:r>
        <w:rPr>
          <w:rFonts w:hint="eastAsia" w:ascii="仿宋" w:hAnsi="仿宋" w:eastAsia="仿宋"/>
          <w:b/>
          <w:sz w:val="32"/>
          <w:szCs w:val="32"/>
        </w:rPr>
        <w:t>四</w:t>
      </w:r>
      <w:r>
        <w:rPr>
          <w:rFonts w:ascii="仿宋" w:hAnsi="仿宋" w:eastAsia="仿宋"/>
          <w:b/>
          <w:sz w:val="32"/>
          <w:szCs w:val="32"/>
        </w:rPr>
        <w:t>、政府性基金预算支出</w:t>
      </w:r>
    </w:p>
    <w:p>
      <w:pPr>
        <w:widowControl/>
        <w:spacing w:line="600" w:lineRule="exact"/>
        <w:ind w:firstLine="660"/>
        <w:jc w:val="left"/>
        <w:rPr>
          <w:rFonts w:ascii="仿宋" w:hAnsi="仿宋" w:eastAsia="仿宋"/>
          <w:szCs w:val="28"/>
        </w:rPr>
      </w:pPr>
      <w:r>
        <w:rPr>
          <w:rFonts w:ascii="仿宋" w:hAnsi="仿宋" w:eastAsia="仿宋"/>
          <w:szCs w:val="28"/>
        </w:rPr>
        <w:t>2021年</w:t>
      </w:r>
      <w:r>
        <w:rPr>
          <w:rFonts w:ascii="仿宋" w:hAnsi="仿宋" w:eastAsia="仿宋"/>
          <w:b/>
          <w:szCs w:val="28"/>
        </w:rPr>
        <w:t>本部门无政府性基金安排的支出</w:t>
      </w:r>
      <w:r>
        <w:rPr>
          <w:rFonts w:hint="eastAsia" w:ascii="仿宋" w:hAnsi="仿宋" w:eastAsia="仿宋"/>
          <w:b/>
          <w:szCs w:val="28"/>
        </w:rPr>
        <w:t>.</w:t>
      </w:r>
    </w:p>
    <w:p>
      <w:pPr>
        <w:widowControl/>
        <w:spacing w:line="600" w:lineRule="exact"/>
        <w:ind w:firstLine="660"/>
        <w:jc w:val="left"/>
        <w:rPr>
          <w:rFonts w:ascii="仿宋" w:hAnsi="仿宋" w:eastAsia="仿宋"/>
          <w:b/>
          <w:sz w:val="32"/>
          <w:szCs w:val="32"/>
        </w:rPr>
      </w:pPr>
      <w:r>
        <w:rPr>
          <w:rFonts w:hint="eastAsia" w:ascii="仿宋" w:hAnsi="仿宋" w:eastAsia="仿宋"/>
          <w:b/>
          <w:sz w:val="32"/>
          <w:szCs w:val="32"/>
        </w:rPr>
        <w:t>五</w:t>
      </w:r>
      <w:r>
        <w:rPr>
          <w:rFonts w:ascii="仿宋" w:hAnsi="仿宋" w:eastAsia="仿宋"/>
          <w:b/>
          <w:sz w:val="32"/>
          <w:szCs w:val="32"/>
        </w:rPr>
        <w:t>、其他重要事项的情况说明</w:t>
      </w:r>
    </w:p>
    <w:p>
      <w:pPr>
        <w:widowControl/>
        <w:spacing w:line="600" w:lineRule="exact"/>
        <w:ind w:firstLine="660"/>
        <w:jc w:val="left"/>
        <w:rPr>
          <w:rFonts w:eastAsia="仿宋_GB2312"/>
          <w:sz w:val="32"/>
          <w:szCs w:val="32"/>
        </w:rPr>
      </w:pPr>
      <w:r>
        <w:rPr>
          <w:rFonts w:ascii="仿宋" w:hAnsi="仿宋" w:eastAsia="仿宋"/>
          <w:b/>
          <w:szCs w:val="28"/>
        </w:rPr>
        <w:t>（一）机关运行经费：</w:t>
      </w:r>
      <w:r>
        <w:rPr>
          <w:rFonts w:ascii="仿宋" w:hAnsi="仿宋" w:eastAsia="仿宋"/>
          <w:szCs w:val="28"/>
        </w:rPr>
        <w:t>2021年本单位的机关运行经费</w:t>
      </w:r>
      <w:r>
        <w:rPr>
          <w:rFonts w:hint="eastAsia" w:ascii="仿宋" w:hAnsi="仿宋" w:eastAsia="仿宋"/>
          <w:szCs w:val="28"/>
        </w:rPr>
        <w:t>151</w:t>
      </w:r>
      <w:r>
        <w:rPr>
          <w:rFonts w:ascii="仿宋" w:hAnsi="仿宋" w:eastAsia="仿宋"/>
          <w:szCs w:val="28"/>
        </w:rPr>
        <w:t>万元，</w:t>
      </w:r>
      <w:r>
        <w:rPr>
          <w:rFonts w:hint="eastAsia" w:ascii="仿宋" w:hAnsi="仿宋" w:eastAsia="仿宋"/>
          <w:szCs w:val="28"/>
        </w:rPr>
        <w:t>跟</w:t>
      </w:r>
      <w:r>
        <w:rPr>
          <w:rFonts w:ascii="仿宋" w:hAnsi="仿宋" w:eastAsia="仿宋"/>
          <w:szCs w:val="28"/>
        </w:rPr>
        <w:t>上年预算持平</w:t>
      </w:r>
      <w:r>
        <w:rPr>
          <w:rFonts w:hint="eastAsia" w:ascii="仿宋" w:hAnsi="仿宋" w:eastAsia="仿宋"/>
          <w:szCs w:val="28"/>
        </w:rPr>
        <w:t>。</w:t>
      </w:r>
    </w:p>
    <w:p>
      <w:pPr>
        <w:widowControl/>
        <w:spacing w:line="600" w:lineRule="exact"/>
        <w:ind w:firstLine="660"/>
        <w:rPr>
          <w:rFonts w:ascii="仿宋" w:hAnsi="仿宋" w:eastAsia="仿宋"/>
          <w:szCs w:val="28"/>
        </w:rPr>
      </w:pPr>
      <w:r>
        <w:rPr>
          <w:rFonts w:ascii="仿宋" w:hAnsi="仿宋" w:eastAsia="仿宋"/>
          <w:b/>
          <w:szCs w:val="28"/>
        </w:rPr>
        <w:t>（二）“三公”经费预算：</w:t>
      </w:r>
      <w:r>
        <w:rPr>
          <w:rFonts w:ascii="仿宋" w:hAnsi="仿宋" w:eastAsia="仿宋"/>
          <w:szCs w:val="28"/>
        </w:rPr>
        <w:t>2021年本单位“三公”经费预算数为</w:t>
      </w:r>
      <w:r>
        <w:rPr>
          <w:rFonts w:hint="eastAsia" w:ascii="仿宋" w:hAnsi="仿宋" w:eastAsia="仿宋"/>
          <w:szCs w:val="28"/>
        </w:rPr>
        <w:t>26</w:t>
      </w:r>
      <w:r>
        <w:rPr>
          <w:rFonts w:ascii="仿宋" w:hAnsi="仿宋" w:eastAsia="仿宋"/>
          <w:szCs w:val="28"/>
        </w:rPr>
        <w:t>万元，其中，公务接待费</w:t>
      </w:r>
      <w:r>
        <w:rPr>
          <w:rFonts w:hint="eastAsia" w:ascii="仿宋" w:hAnsi="仿宋" w:eastAsia="仿宋"/>
          <w:szCs w:val="28"/>
        </w:rPr>
        <w:t>6</w:t>
      </w:r>
      <w:r>
        <w:rPr>
          <w:rFonts w:ascii="仿宋" w:hAnsi="仿宋" w:eastAsia="仿宋"/>
          <w:szCs w:val="28"/>
        </w:rPr>
        <w:t>万元，公务用车</w:t>
      </w:r>
      <w:r>
        <w:rPr>
          <w:rFonts w:hint="eastAsia" w:ascii="仿宋" w:hAnsi="仿宋" w:eastAsia="仿宋"/>
          <w:szCs w:val="28"/>
        </w:rPr>
        <w:t>运行维护</w:t>
      </w:r>
      <w:r>
        <w:rPr>
          <w:rFonts w:ascii="仿宋" w:hAnsi="仿宋" w:eastAsia="仿宋"/>
          <w:szCs w:val="28"/>
        </w:rPr>
        <w:t>费20万元，因公出国（境）费</w:t>
      </w:r>
      <w:r>
        <w:rPr>
          <w:rFonts w:hint="eastAsia" w:ascii="仿宋" w:hAnsi="仿宋" w:eastAsia="仿宋"/>
          <w:szCs w:val="28"/>
        </w:rPr>
        <w:t>0</w:t>
      </w:r>
      <w:r>
        <w:rPr>
          <w:rFonts w:ascii="仿宋" w:hAnsi="仿宋" w:eastAsia="仿宋"/>
          <w:szCs w:val="28"/>
        </w:rPr>
        <w:t>万元。2021年“三公”经费预算较2020年持平。</w:t>
      </w:r>
    </w:p>
    <w:p>
      <w:pPr>
        <w:widowControl/>
        <w:spacing w:line="600" w:lineRule="exact"/>
        <w:ind w:firstLine="660"/>
        <w:rPr>
          <w:rFonts w:ascii="仿宋" w:hAnsi="仿宋" w:eastAsia="仿宋"/>
          <w:kern w:val="0"/>
          <w:szCs w:val="28"/>
        </w:rPr>
      </w:pPr>
      <w:r>
        <w:rPr>
          <w:rFonts w:ascii="仿宋" w:hAnsi="仿宋" w:eastAsia="仿宋"/>
          <w:b/>
          <w:szCs w:val="28"/>
        </w:rPr>
        <w:t>（三）一般性支出情况：</w:t>
      </w:r>
      <w:r>
        <w:rPr>
          <w:rFonts w:ascii="仿宋" w:hAnsi="仿宋" w:eastAsia="仿宋"/>
          <w:kern w:val="0"/>
          <w:szCs w:val="28"/>
        </w:rPr>
        <w:t>2021年本</w:t>
      </w:r>
      <w:r>
        <w:rPr>
          <w:rFonts w:hint="eastAsia" w:ascii="仿宋" w:hAnsi="仿宋" w:eastAsia="仿宋"/>
          <w:kern w:val="0"/>
          <w:szCs w:val="28"/>
        </w:rPr>
        <w:t>单位</w:t>
      </w:r>
      <w:r>
        <w:rPr>
          <w:rFonts w:ascii="仿宋" w:hAnsi="仿宋" w:eastAsia="仿宋"/>
          <w:kern w:val="0"/>
          <w:szCs w:val="28"/>
        </w:rPr>
        <w:t>培训费预算</w:t>
      </w:r>
      <w:r>
        <w:rPr>
          <w:rFonts w:hint="eastAsia" w:ascii="仿宋" w:hAnsi="仿宋" w:eastAsia="仿宋"/>
          <w:szCs w:val="28"/>
        </w:rPr>
        <w:t>0.5</w:t>
      </w:r>
      <w:r>
        <w:rPr>
          <w:rFonts w:ascii="仿宋" w:hAnsi="仿宋" w:eastAsia="仿宋"/>
          <w:kern w:val="0"/>
          <w:szCs w:val="28"/>
        </w:rPr>
        <w:t>万元，拟开展</w:t>
      </w:r>
      <w:r>
        <w:rPr>
          <w:rFonts w:hint="eastAsia" w:ascii="仿宋" w:hAnsi="仿宋" w:eastAsia="仿宋"/>
          <w:kern w:val="0"/>
          <w:szCs w:val="28"/>
        </w:rPr>
        <w:t>事业单位管理人员外地</w:t>
      </w:r>
      <w:r>
        <w:rPr>
          <w:rFonts w:ascii="仿宋" w:hAnsi="仿宋" w:eastAsia="仿宋"/>
          <w:kern w:val="0"/>
          <w:szCs w:val="28"/>
        </w:rPr>
        <w:t>培训，人数</w:t>
      </w:r>
      <w:r>
        <w:rPr>
          <w:rFonts w:hint="eastAsia" w:ascii="仿宋" w:hAnsi="仿宋" w:eastAsia="仿宋"/>
          <w:kern w:val="0"/>
          <w:szCs w:val="28"/>
        </w:rPr>
        <w:t>5</w:t>
      </w:r>
      <w:r>
        <w:rPr>
          <w:rFonts w:ascii="仿宋" w:hAnsi="仿宋" w:eastAsia="仿宋"/>
          <w:kern w:val="0"/>
          <w:szCs w:val="28"/>
        </w:rPr>
        <w:t>人，内容为</w:t>
      </w:r>
      <w:r>
        <w:rPr>
          <w:rFonts w:hint="eastAsia" w:ascii="仿宋" w:hAnsi="仿宋" w:eastAsia="仿宋"/>
          <w:kern w:val="0"/>
          <w:szCs w:val="28"/>
        </w:rPr>
        <w:t>相关技术规范等培训</w:t>
      </w:r>
      <w:r>
        <w:rPr>
          <w:rFonts w:ascii="仿宋" w:hAnsi="仿宋" w:eastAsia="仿宋"/>
          <w:kern w:val="0"/>
          <w:szCs w:val="28"/>
        </w:rPr>
        <w:t>。</w:t>
      </w:r>
    </w:p>
    <w:p>
      <w:pPr>
        <w:widowControl/>
        <w:spacing w:line="600" w:lineRule="exact"/>
        <w:ind w:firstLine="660"/>
        <w:rPr>
          <w:rFonts w:ascii="仿宋" w:hAnsi="仿宋" w:eastAsia="仿宋"/>
          <w:szCs w:val="28"/>
        </w:rPr>
      </w:pPr>
      <w:r>
        <w:rPr>
          <w:rFonts w:ascii="仿宋" w:hAnsi="仿宋" w:eastAsia="仿宋"/>
          <w:b/>
          <w:szCs w:val="28"/>
        </w:rPr>
        <w:t>（四）政府采购情况：</w:t>
      </w:r>
      <w:r>
        <w:rPr>
          <w:rFonts w:ascii="仿宋" w:hAnsi="仿宋" w:eastAsia="仿宋"/>
          <w:szCs w:val="28"/>
        </w:rPr>
        <w:t>2021年本</w:t>
      </w:r>
      <w:r>
        <w:rPr>
          <w:rFonts w:hint="eastAsia" w:ascii="仿宋" w:hAnsi="仿宋" w:eastAsia="仿宋"/>
          <w:szCs w:val="28"/>
        </w:rPr>
        <w:t>单位</w:t>
      </w:r>
      <w:r>
        <w:rPr>
          <w:rFonts w:ascii="仿宋" w:hAnsi="仿宋" w:eastAsia="仿宋"/>
          <w:szCs w:val="28"/>
        </w:rPr>
        <w:t>政府采购预算总额</w:t>
      </w:r>
      <w:r>
        <w:rPr>
          <w:rFonts w:hint="eastAsia" w:ascii="仿宋" w:hAnsi="仿宋" w:eastAsia="仿宋"/>
          <w:szCs w:val="28"/>
        </w:rPr>
        <w:t>0</w:t>
      </w:r>
      <w:r>
        <w:rPr>
          <w:rFonts w:ascii="仿宋" w:hAnsi="仿宋" w:eastAsia="仿宋"/>
          <w:szCs w:val="28"/>
        </w:rPr>
        <w:t>万元。</w:t>
      </w:r>
    </w:p>
    <w:p>
      <w:pPr>
        <w:widowControl/>
        <w:spacing w:line="600" w:lineRule="exact"/>
        <w:ind w:firstLine="660"/>
        <w:jc w:val="left"/>
        <w:rPr>
          <w:rFonts w:ascii="仿宋" w:hAnsi="仿宋" w:eastAsia="仿宋"/>
          <w:bCs/>
          <w:kern w:val="0"/>
          <w:szCs w:val="28"/>
        </w:rPr>
      </w:pPr>
      <w:r>
        <w:rPr>
          <w:rFonts w:ascii="仿宋" w:hAnsi="仿宋" w:eastAsia="仿宋"/>
          <w:b/>
          <w:szCs w:val="28"/>
        </w:rPr>
        <w:t>（五）国有资产占用使用及新增资产配置情况：</w:t>
      </w:r>
      <w:r>
        <w:rPr>
          <w:rFonts w:ascii="仿宋" w:hAnsi="仿宋" w:eastAsia="仿宋"/>
          <w:szCs w:val="28"/>
        </w:rPr>
        <w:t>截至2020年12月底，本</w:t>
      </w:r>
      <w:r>
        <w:rPr>
          <w:rFonts w:hint="eastAsia" w:ascii="仿宋" w:hAnsi="仿宋" w:eastAsia="仿宋"/>
          <w:szCs w:val="28"/>
        </w:rPr>
        <w:t>单位</w:t>
      </w:r>
      <w:r>
        <w:rPr>
          <w:rFonts w:ascii="仿宋" w:hAnsi="仿宋" w:eastAsia="仿宋"/>
          <w:bCs/>
          <w:kern w:val="0"/>
          <w:szCs w:val="28"/>
        </w:rPr>
        <w:t>共有公务用车</w:t>
      </w:r>
      <w:r>
        <w:rPr>
          <w:rFonts w:hint="eastAsia" w:ascii="仿宋" w:hAnsi="仿宋" w:eastAsia="仿宋"/>
          <w:bCs/>
          <w:kern w:val="0"/>
          <w:szCs w:val="28"/>
        </w:rPr>
        <w:t>5</w:t>
      </w:r>
      <w:r>
        <w:rPr>
          <w:rFonts w:ascii="仿宋" w:hAnsi="仿宋" w:eastAsia="仿宋"/>
          <w:bCs/>
          <w:kern w:val="0"/>
          <w:szCs w:val="28"/>
        </w:rPr>
        <w:t>辆，按照规定配备的公务用车</w:t>
      </w:r>
      <w:r>
        <w:rPr>
          <w:rFonts w:hint="eastAsia" w:ascii="仿宋" w:hAnsi="仿宋" w:eastAsia="仿宋"/>
          <w:bCs/>
          <w:kern w:val="0"/>
          <w:szCs w:val="28"/>
          <w:u w:val="single"/>
        </w:rPr>
        <w:t>5</w:t>
      </w:r>
      <w:r>
        <w:rPr>
          <w:rFonts w:ascii="仿宋" w:hAnsi="仿宋" w:eastAsia="仿宋"/>
          <w:bCs/>
          <w:kern w:val="0"/>
          <w:szCs w:val="28"/>
        </w:rPr>
        <w:t>辆；单位价值50万元以上通用设备</w:t>
      </w:r>
      <w:r>
        <w:rPr>
          <w:rFonts w:hint="eastAsia" w:ascii="仿宋" w:hAnsi="仿宋" w:eastAsia="仿宋"/>
          <w:bCs/>
          <w:kern w:val="0"/>
          <w:szCs w:val="28"/>
        </w:rPr>
        <w:t>0</w:t>
      </w:r>
      <w:r>
        <w:rPr>
          <w:rFonts w:ascii="仿宋" w:hAnsi="仿宋" w:eastAsia="仿宋"/>
          <w:bCs/>
          <w:kern w:val="0"/>
          <w:szCs w:val="28"/>
        </w:rPr>
        <w:t>台，单位价值100万元以上专用设备</w:t>
      </w:r>
      <w:r>
        <w:rPr>
          <w:rFonts w:hint="eastAsia" w:ascii="仿宋" w:hAnsi="仿宋" w:eastAsia="仿宋"/>
          <w:bCs/>
          <w:kern w:val="0"/>
          <w:szCs w:val="28"/>
        </w:rPr>
        <w:t>2</w:t>
      </w:r>
      <w:r>
        <w:rPr>
          <w:rFonts w:ascii="仿宋" w:hAnsi="仿宋" w:eastAsia="仿宋"/>
          <w:bCs/>
          <w:kern w:val="0"/>
          <w:szCs w:val="28"/>
        </w:rPr>
        <w:t>台。2021年拟新增配置公务用车</w:t>
      </w:r>
      <w:r>
        <w:rPr>
          <w:rFonts w:hint="eastAsia" w:ascii="仿宋" w:hAnsi="仿宋" w:eastAsia="仿宋"/>
          <w:bCs/>
          <w:kern w:val="0"/>
          <w:szCs w:val="28"/>
        </w:rPr>
        <w:t>0</w:t>
      </w:r>
      <w:r>
        <w:rPr>
          <w:rFonts w:ascii="仿宋" w:hAnsi="仿宋" w:eastAsia="仿宋"/>
          <w:bCs/>
          <w:kern w:val="0"/>
          <w:szCs w:val="28"/>
        </w:rPr>
        <w:t>辆，新增配备单位价值50万元以上通用设备</w:t>
      </w:r>
      <w:r>
        <w:rPr>
          <w:rFonts w:hint="eastAsia" w:ascii="仿宋" w:hAnsi="仿宋" w:eastAsia="仿宋"/>
          <w:bCs/>
          <w:kern w:val="0"/>
          <w:szCs w:val="28"/>
        </w:rPr>
        <w:t>0</w:t>
      </w:r>
      <w:r>
        <w:rPr>
          <w:rFonts w:ascii="仿宋" w:hAnsi="仿宋" w:eastAsia="仿宋"/>
          <w:bCs/>
          <w:kern w:val="0"/>
          <w:szCs w:val="28"/>
        </w:rPr>
        <w:t>台，单位价值100万元以上专用设备</w:t>
      </w:r>
      <w:r>
        <w:rPr>
          <w:rFonts w:hint="eastAsia" w:ascii="仿宋" w:hAnsi="仿宋" w:eastAsia="仿宋"/>
          <w:bCs/>
          <w:kern w:val="0"/>
          <w:szCs w:val="28"/>
        </w:rPr>
        <w:t>0</w:t>
      </w:r>
      <w:r>
        <w:rPr>
          <w:rFonts w:ascii="仿宋" w:hAnsi="仿宋" w:eastAsia="仿宋"/>
          <w:bCs/>
          <w:kern w:val="0"/>
          <w:szCs w:val="28"/>
        </w:rPr>
        <w:t>台。</w:t>
      </w:r>
    </w:p>
    <w:p>
      <w:pPr>
        <w:widowControl/>
        <w:spacing w:line="600" w:lineRule="exact"/>
        <w:ind w:firstLine="660"/>
        <w:jc w:val="left"/>
        <w:rPr>
          <w:rFonts w:ascii="仿宋" w:hAnsi="仿宋" w:eastAsia="仿宋"/>
          <w:bCs/>
          <w:kern w:val="0"/>
          <w:szCs w:val="28"/>
        </w:rPr>
      </w:pPr>
      <w:r>
        <w:rPr>
          <w:rFonts w:ascii="仿宋" w:hAnsi="仿宋" w:eastAsia="仿宋"/>
          <w:b/>
          <w:bCs/>
          <w:kern w:val="0"/>
          <w:szCs w:val="28"/>
        </w:rPr>
        <w:t>（六）预算绩效目标说明：</w:t>
      </w:r>
      <w:r>
        <w:rPr>
          <w:rFonts w:ascii="仿宋" w:hAnsi="仿宋" w:eastAsia="仿宋"/>
          <w:bCs/>
          <w:kern w:val="0"/>
          <w:szCs w:val="28"/>
        </w:rPr>
        <w:t>本</w:t>
      </w:r>
      <w:r>
        <w:rPr>
          <w:rFonts w:hint="eastAsia" w:ascii="仿宋" w:hAnsi="仿宋" w:eastAsia="仿宋"/>
          <w:bCs/>
          <w:kern w:val="0"/>
          <w:szCs w:val="28"/>
        </w:rPr>
        <w:t>单位</w:t>
      </w:r>
      <w:r>
        <w:rPr>
          <w:rFonts w:ascii="仿宋" w:hAnsi="仿宋" w:eastAsia="仿宋"/>
          <w:bCs/>
          <w:kern w:val="0"/>
          <w:szCs w:val="28"/>
        </w:rPr>
        <w:t>所有支出实行绩效目标管理。纳入2021年部门整体支出绩效目标的金额为</w:t>
      </w:r>
      <w:r>
        <w:rPr>
          <w:rFonts w:hint="eastAsia" w:ascii="仿宋" w:hAnsi="仿宋" w:eastAsia="仿宋"/>
          <w:szCs w:val="28"/>
        </w:rPr>
        <w:t>1601.52</w:t>
      </w:r>
      <w:r>
        <w:rPr>
          <w:rFonts w:ascii="仿宋" w:hAnsi="仿宋" w:eastAsia="仿宋"/>
          <w:bCs/>
          <w:kern w:val="0"/>
          <w:szCs w:val="28"/>
        </w:rPr>
        <w:t>万元，其中，基本支出</w:t>
      </w:r>
      <w:r>
        <w:rPr>
          <w:rFonts w:hint="eastAsia" w:ascii="仿宋" w:hAnsi="仿宋" w:eastAsia="仿宋"/>
          <w:szCs w:val="28"/>
        </w:rPr>
        <w:t>1027.89</w:t>
      </w:r>
      <w:r>
        <w:rPr>
          <w:rFonts w:ascii="仿宋" w:hAnsi="仿宋" w:eastAsia="仿宋"/>
          <w:bCs/>
          <w:kern w:val="0"/>
          <w:szCs w:val="28"/>
        </w:rPr>
        <w:t>万元，项目支出</w:t>
      </w:r>
      <w:r>
        <w:rPr>
          <w:rFonts w:hint="eastAsia" w:ascii="仿宋" w:hAnsi="仿宋" w:eastAsia="仿宋"/>
          <w:szCs w:val="28"/>
        </w:rPr>
        <w:t>573.63</w:t>
      </w:r>
      <w:r>
        <w:rPr>
          <w:rFonts w:ascii="仿宋" w:hAnsi="仿宋" w:eastAsia="仿宋"/>
          <w:bCs/>
          <w:kern w:val="0"/>
          <w:szCs w:val="28"/>
        </w:rPr>
        <w:t>万元，具体绩效目标详见报表。</w:t>
      </w:r>
    </w:p>
    <w:p>
      <w:pPr>
        <w:widowControl/>
        <w:spacing w:line="600" w:lineRule="exact"/>
        <w:ind w:firstLine="660"/>
        <w:rPr>
          <w:rFonts w:ascii="仿宋" w:hAnsi="仿宋" w:eastAsia="仿宋"/>
          <w:b/>
          <w:sz w:val="32"/>
          <w:szCs w:val="32"/>
        </w:rPr>
      </w:pPr>
      <w:r>
        <w:rPr>
          <w:rFonts w:hint="eastAsia" w:ascii="仿宋" w:hAnsi="仿宋" w:eastAsia="仿宋"/>
          <w:b/>
          <w:sz w:val="32"/>
          <w:szCs w:val="32"/>
        </w:rPr>
        <w:t>六</w:t>
      </w:r>
      <w:r>
        <w:rPr>
          <w:rFonts w:ascii="仿宋" w:hAnsi="仿宋" w:eastAsia="仿宋"/>
          <w:b/>
          <w:sz w:val="32"/>
          <w:szCs w:val="32"/>
        </w:rPr>
        <w:t>、名词解释</w:t>
      </w:r>
    </w:p>
    <w:p>
      <w:pPr>
        <w:widowControl/>
        <w:spacing w:line="600" w:lineRule="exact"/>
        <w:ind w:firstLine="660"/>
        <w:rPr>
          <w:rFonts w:ascii="仿宋" w:hAnsi="仿宋" w:eastAsia="仿宋"/>
          <w:szCs w:val="28"/>
        </w:rPr>
      </w:pPr>
      <w:r>
        <w:rPr>
          <w:rFonts w:ascii="仿宋" w:hAnsi="仿宋" w:eastAsia="仿宋"/>
          <w:b/>
          <w:szCs w:val="28"/>
        </w:rPr>
        <w:t>1、机关运行经费：</w:t>
      </w:r>
      <w:r>
        <w:rPr>
          <w:rFonts w:ascii="仿宋" w:hAnsi="仿宋" w:eastAsia="仿宋"/>
          <w:szCs w:val="28"/>
        </w:rPr>
        <w:t>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仿宋_GB2312"/>
          <w:sz w:val="32"/>
          <w:szCs w:val="32"/>
        </w:rPr>
      </w:pPr>
      <w:r>
        <w:rPr>
          <w:rFonts w:ascii="仿宋" w:hAnsi="仿宋" w:eastAsia="仿宋"/>
          <w:b/>
          <w:szCs w:val="28"/>
        </w:rPr>
        <w:t>2、“三公”经费：</w:t>
      </w:r>
      <w:r>
        <w:rPr>
          <w:rFonts w:ascii="仿宋" w:hAnsi="仿宋" w:eastAsia="仿宋"/>
          <w:szCs w:val="28"/>
        </w:rPr>
        <w:t>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ind w:firstLine="642" w:firstLineChars="200"/>
        <w:jc w:val="left"/>
        <w:rPr>
          <w:rFonts w:eastAsia="仿宋_GB2312"/>
          <w:b/>
          <w:bCs/>
          <w:kern w:val="0"/>
          <w:sz w:val="32"/>
          <w:szCs w:val="32"/>
        </w:rPr>
      </w:pPr>
    </w:p>
    <w:p>
      <w:pPr>
        <w:widowControl/>
        <w:spacing w:line="600" w:lineRule="exact"/>
        <w:ind w:firstLine="642" w:firstLineChars="200"/>
        <w:jc w:val="left"/>
        <w:rPr>
          <w:rFonts w:eastAsia="仿宋_GB2312"/>
          <w:b/>
          <w:bCs/>
          <w:kern w:val="0"/>
          <w:sz w:val="32"/>
          <w:szCs w:val="32"/>
        </w:rPr>
      </w:pPr>
    </w:p>
    <w:p>
      <w:pPr>
        <w:widowControl/>
        <w:spacing w:line="600" w:lineRule="exact"/>
        <w:ind w:firstLine="642" w:firstLineChars="200"/>
        <w:jc w:val="left"/>
        <w:rPr>
          <w:rFonts w:eastAsia="仿宋_GB2312"/>
          <w:b/>
          <w:bCs/>
          <w:kern w:val="0"/>
          <w:sz w:val="32"/>
          <w:szCs w:val="32"/>
        </w:rPr>
      </w:pPr>
    </w:p>
    <w:p>
      <w:pPr>
        <w:widowControl/>
        <w:spacing w:line="600" w:lineRule="exact"/>
        <w:ind w:firstLine="642" w:firstLineChars="200"/>
        <w:jc w:val="left"/>
        <w:rPr>
          <w:rFonts w:eastAsia="仿宋_GB2312"/>
          <w:b/>
          <w:bCs/>
          <w:kern w:val="0"/>
          <w:sz w:val="32"/>
          <w:szCs w:val="32"/>
        </w:rPr>
      </w:pPr>
    </w:p>
    <w:p>
      <w:pPr>
        <w:widowControl/>
        <w:spacing w:line="600" w:lineRule="exact"/>
        <w:ind w:firstLine="642" w:firstLineChars="200"/>
        <w:jc w:val="left"/>
        <w:rPr>
          <w:rFonts w:eastAsia="仿宋_GB2312"/>
          <w:b/>
          <w:bCs/>
          <w:kern w:val="0"/>
          <w:sz w:val="32"/>
          <w:szCs w:val="32"/>
        </w:rPr>
      </w:pPr>
    </w:p>
    <w:p>
      <w:pPr>
        <w:widowControl/>
        <w:spacing w:line="600" w:lineRule="exact"/>
        <w:ind w:firstLine="642" w:firstLineChars="200"/>
        <w:jc w:val="left"/>
        <w:rPr>
          <w:rFonts w:eastAsia="仿宋_GB2312"/>
          <w:b/>
          <w:bCs/>
          <w:kern w:val="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B16A6"/>
    <w:rsid w:val="00003AB2"/>
    <w:rsid w:val="000A7FA9"/>
    <w:rsid w:val="000D1178"/>
    <w:rsid w:val="00377121"/>
    <w:rsid w:val="003E2833"/>
    <w:rsid w:val="004C055C"/>
    <w:rsid w:val="0058766E"/>
    <w:rsid w:val="00616058"/>
    <w:rsid w:val="006B5AE1"/>
    <w:rsid w:val="006F73DD"/>
    <w:rsid w:val="007262A5"/>
    <w:rsid w:val="00736BB9"/>
    <w:rsid w:val="007842CA"/>
    <w:rsid w:val="0085738C"/>
    <w:rsid w:val="00A841B5"/>
    <w:rsid w:val="00C75D32"/>
    <w:rsid w:val="00D34A14"/>
    <w:rsid w:val="00D40E57"/>
    <w:rsid w:val="00DA782D"/>
    <w:rsid w:val="00E23A76"/>
    <w:rsid w:val="00E8757B"/>
    <w:rsid w:val="00EF2A8D"/>
    <w:rsid w:val="00F600F4"/>
    <w:rsid w:val="00FB16A6"/>
    <w:rsid w:val="00FF7301"/>
    <w:rsid w:val="3B852E48"/>
    <w:rsid w:val="EFBCA0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No Spacing"/>
    <w:qFormat/>
    <w:uiPriority w:val="1"/>
    <w:pPr>
      <w:widowControl w:val="0"/>
      <w:jc w:val="both"/>
    </w:pPr>
    <w:rPr>
      <w:rFonts w:ascii="Times New Roman" w:hAnsi="Times New Roman" w:eastAsia="宋体" w:cs="Times New Roman"/>
      <w:kern w:val="2"/>
      <w:sz w:val="28"/>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408</Words>
  <Characters>2327</Characters>
  <Lines>19</Lines>
  <Paragraphs>5</Paragraphs>
  <TotalTime>226</TotalTime>
  <ScaleCrop>false</ScaleCrop>
  <LinksUpToDate>false</LinksUpToDate>
  <CharactersWithSpaces>2730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2021-03-23T18:28:00Z</dcterms:created>
  <dc:creator>PC</dc:creator>
  <cp:lastModifiedBy>kylin</cp:lastModifiedBy>
  <dcterms:modified xsi:type="dcterms:W3CDTF">2022-09-09T16:37:55Z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7044E1D7694445E28905B4AFC3B65D94</vt:lpwstr>
  </property>
</Properties>
</file>