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年度部门整体支出绩效评价基础数据表</w:t>
      </w:r>
    </w:p>
    <w:tbl>
      <w:tblPr>
        <w:tblStyle w:val="3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79.31%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1、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林业改革发展资金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2、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2022年第二批中央森林防火补助资金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3、省级专项资金（一个专项一行）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楼堂馆所控制情况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（202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</w:p>
    <w:p>
      <w:pPr>
        <w:widowControl/>
        <w:spacing w:after="0" w:afterLines="0" w:line="4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张琪悦</w:t>
      </w:r>
      <w:r>
        <w:rPr>
          <w:rFonts w:hint="default"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2023.5.7</w:t>
      </w:r>
      <w:r>
        <w:rPr>
          <w:rFonts w:hint="default" w:ascii="Times New Roman" w:hAnsi="Times New Roman" w:eastAsia="仿宋_GB2312" w:cs="Times New Roman"/>
          <w:sz w:val="22"/>
        </w:rPr>
        <w:t xml:space="preserve">  联系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</w:rPr>
        <w:t>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55651006</w:t>
      </w:r>
      <w:r>
        <w:rPr>
          <w:rFonts w:hint="default" w:ascii="Times New Roman" w:hAnsi="Times New Roman" w:eastAsia="仿宋_GB2312" w:cs="Times New Roman"/>
          <w:sz w:val="22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毛世鸿</w:t>
      </w:r>
      <w:r>
        <w:rPr>
          <w:rFonts w:hint="default" w:ascii="Times New Roman" w:hAnsi="Times New Roman" w:eastAsia="仿宋_GB2312" w:cs="Times New Roman"/>
          <w:sz w:val="22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shd w:val="clear" w:color="auto" w:fill="auto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shd w:val="clear" w:color="auto" w:fill="auto"/>
          <w:lang w:val="en-US" w:eastAsia="zh-CN"/>
        </w:rPr>
        <w:t>3</w:t>
      </w:r>
    </w:p>
    <w:p>
      <w:pPr>
        <w:widowControl/>
        <w:spacing w:after="120" w:afterLines="50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shd w:val="clear" w:color="auto" w:fill="auto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shd w:val="clear" w:color="auto" w:fill="auto"/>
        </w:rPr>
        <w:t>年度部门整体支出绩效自评表</w:t>
      </w:r>
    </w:p>
    <w:tbl>
      <w:tblPr>
        <w:tblStyle w:val="3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D0D3D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省级预算部门名称</w:t>
            </w:r>
          </w:p>
        </w:tc>
        <w:tc>
          <w:tcPr>
            <w:tcW w:w="8999" w:type="dxa"/>
            <w:gridSpan w:val="8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D0D3D8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湖南省韶山管理局园林环卫管理处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9CA1AC" w:sz="0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算申请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270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年初预算数</w:t>
            </w:r>
          </w:p>
        </w:tc>
        <w:tc>
          <w:tcPr>
            <w:tcW w:w="1311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全年预算数</w:t>
            </w:r>
          </w:p>
        </w:tc>
        <w:tc>
          <w:tcPr>
            <w:tcW w:w="1269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全年执行数</w:t>
            </w:r>
          </w:p>
        </w:tc>
        <w:tc>
          <w:tcPr>
            <w:tcW w:w="71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分值</w:t>
            </w:r>
          </w:p>
        </w:tc>
        <w:tc>
          <w:tcPr>
            <w:tcW w:w="873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执行率</w:t>
            </w:r>
          </w:p>
        </w:tc>
        <w:tc>
          <w:tcPr>
            <w:tcW w:w="144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9CA1AC" w:sz="0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2114" w:type="dxa"/>
            <w:gridSpan w:val="2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年度资金总额</w:t>
            </w:r>
          </w:p>
        </w:tc>
        <w:tc>
          <w:tcPr>
            <w:tcW w:w="1270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542.92</w:t>
            </w:r>
          </w:p>
        </w:tc>
        <w:tc>
          <w:tcPr>
            <w:tcW w:w="1311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582.92</w:t>
            </w:r>
          </w:p>
        </w:tc>
        <w:tc>
          <w:tcPr>
            <w:tcW w:w="1269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582.92</w:t>
            </w:r>
          </w:p>
        </w:tc>
        <w:tc>
          <w:tcPr>
            <w:tcW w:w="71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4695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按收入性质分：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582.92</w:t>
            </w:r>
          </w:p>
        </w:tc>
        <w:tc>
          <w:tcPr>
            <w:tcW w:w="4304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按支出性质分：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582.92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4695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 xml:space="preserve">  其中：  一般公共预算：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354.92</w:t>
            </w:r>
          </w:p>
        </w:tc>
        <w:tc>
          <w:tcPr>
            <w:tcW w:w="4304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其中：基本支出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522.92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4695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项目支出：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4695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纳入专户管理的非税收入拨款：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228</w:t>
            </w:r>
          </w:p>
        </w:tc>
        <w:tc>
          <w:tcPr>
            <w:tcW w:w="4304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4695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其他资金：</w:t>
            </w:r>
          </w:p>
        </w:tc>
        <w:tc>
          <w:tcPr>
            <w:tcW w:w="4304" w:type="dxa"/>
            <w:gridSpan w:val="4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9CA1AC" w:sz="0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1080" w:type="dxa"/>
            <w:vMerge w:val="continue"/>
            <w:tcBorders>
              <w:top w:val="single" w:color="9CA1AC" w:sz="0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4695" w:type="dxa"/>
            <w:gridSpan w:val="4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　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确保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核心景区国有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森林防火安全，努力增收节支，开源节流，保证单位正常运作。</w:t>
            </w:r>
          </w:p>
          <w:p>
            <w:pPr>
              <w:widowControl/>
              <w:spacing w:line="240" w:lineRule="exact"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按照局党委疫情防控常态化工作要求，进一步细化核心景区环卫保洁工作标准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。</w:t>
            </w:r>
          </w:p>
        </w:tc>
        <w:tc>
          <w:tcPr>
            <w:tcW w:w="4304" w:type="dxa"/>
            <w:gridSpan w:val="4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在持续高温大旱的条件下，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确保了核心景区国有森林防火安全，完成3000亩国有森林巡更系统建设和专业护林队伍组建工作。努力增收节支，开源节流，保证单位正常运作。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对国有森林松材线虫病进行一次全面的防治，完成国有森林林相整理工作。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完善垃圾分类工作，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增添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垃圾分类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宣传设施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，推动全局垃圾分类工作向纵深发展。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9CA1AC" w:sz="0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一级指标</w:t>
            </w:r>
          </w:p>
        </w:tc>
        <w:tc>
          <w:tcPr>
            <w:tcW w:w="1034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二级指标</w:t>
            </w:r>
          </w:p>
        </w:tc>
        <w:tc>
          <w:tcPr>
            <w:tcW w:w="1270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三级指标</w:t>
            </w:r>
          </w:p>
        </w:tc>
        <w:tc>
          <w:tcPr>
            <w:tcW w:w="1311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年度指标值</w:t>
            </w:r>
          </w:p>
        </w:tc>
        <w:tc>
          <w:tcPr>
            <w:tcW w:w="1269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实际完成值</w:t>
            </w:r>
          </w:p>
        </w:tc>
        <w:tc>
          <w:tcPr>
            <w:tcW w:w="71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分值</w:t>
            </w:r>
          </w:p>
        </w:tc>
        <w:tc>
          <w:tcPr>
            <w:tcW w:w="873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得分</w:t>
            </w:r>
          </w:p>
        </w:tc>
        <w:tc>
          <w:tcPr>
            <w:tcW w:w="144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restart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数量指标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垃圾清运车数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垃圾清运车数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2000车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2768车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tabs>
                <w:tab w:val="left" w:pos="421"/>
              </w:tabs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34" w:type="dxa"/>
            <w:vMerge w:val="continue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270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  <w:t>建立消防蓄水池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4个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  <w:t>4个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  <w:t>10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34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质量指标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病虫害防治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有无大面积病虫害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全年无大面积病虫害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000000"/>
                <w:spacing w:val="-3"/>
                <w:sz w:val="19"/>
                <w:szCs w:val="19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000000"/>
                <w:spacing w:val="-3"/>
                <w:sz w:val="19"/>
                <w:szCs w:val="19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34" w:type="dxa"/>
            <w:vMerge w:val="restart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时效指标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确保全年无森防火灾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有无森防火灾发生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全年无森防安全事件发生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716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3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top"/>
          </w:tcPr>
          <w:p>
            <w:pPr>
              <w:spacing w:before="159" w:line="246" w:lineRule="auto"/>
              <w:ind w:right="153" w:rightChars="0"/>
              <w:jc w:val="both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成本指标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全年成本支出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全年成本支出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1000万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1080万元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  <w:tc>
          <w:tcPr>
            <w:tcW w:w="103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益指标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保洁收入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总收入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228万元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227.48万元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top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3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益指标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确保景区持续整洁、维护良好形象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收益群众年投诉次数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5次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34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益指标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有无林业传染病发生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全年无林业传染病发生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全年未发生林业传染病情况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 10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446" w:type="dxa"/>
            <w:tcBorders>
              <w:top w:val="single" w:color="9CA1AC" w:sz="4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top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3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可持续影响指标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预防水土流失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有无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08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</w:p>
        </w:tc>
        <w:tc>
          <w:tcPr>
            <w:tcW w:w="108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（10分）</w:t>
            </w:r>
          </w:p>
        </w:tc>
        <w:tc>
          <w:tcPr>
            <w:tcW w:w="103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客户年投诉次数少于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5次</w:t>
            </w:r>
          </w:p>
        </w:tc>
        <w:tc>
          <w:tcPr>
            <w:tcW w:w="131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5次</w:t>
            </w:r>
          </w:p>
        </w:tc>
        <w:tc>
          <w:tcPr>
            <w:tcW w:w="12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总分</w:t>
            </w:r>
          </w:p>
        </w:tc>
        <w:tc>
          <w:tcPr>
            <w:tcW w:w="71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100</w:t>
            </w:r>
          </w:p>
        </w:tc>
        <w:tc>
          <w:tcPr>
            <w:tcW w:w="873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93</w:t>
            </w:r>
          </w:p>
        </w:tc>
        <w:tc>
          <w:tcPr>
            <w:tcW w:w="1446" w:type="dxa"/>
            <w:tcBorders>
              <w:top w:val="single" w:color="9CA1AC" w:sz="0" w:space="0"/>
              <w:left w:val="single" w:color="9CA1AC" w:sz="0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shd w:val="clear" w:color="auto" w:fill="auto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  <w:shd w:val="clear" w:color="auto" w:fill="auto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shd w:val="clear" w:color="auto" w:fill="auto"/>
          <w:lang w:eastAsia="zh-CN"/>
        </w:rPr>
        <w:t>张琪悦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  <w:shd w:val="clear" w:color="auto" w:fill="auto"/>
        </w:rPr>
        <w:t xml:space="preserve">  填报日期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shd w:val="clear" w:color="auto" w:fill="auto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shd w:val="clear" w:color="auto" w:fill="auto"/>
          <w:lang w:val="en-US" w:eastAsia="zh-CN"/>
        </w:rPr>
        <w:t>2023.5.7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  <w:shd w:val="clear" w:color="auto" w:fill="auto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shd w:val="clear" w:color="auto" w:fill="auto"/>
          <w:lang w:val="en-US" w:eastAsia="zh-CN"/>
        </w:rPr>
        <w:t>55651006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  <w:shd w:val="clear" w:color="auto" w:fill="auto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shd w:val="clear" w:color="auto" w:fill="auto"/>
          <w:lang w:eastAsia="zh-CN"/>
        </w:rPr>
        <w:t>毛世鸿</w:t>
      </w: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</w:rPr>
        <w:t>年度项目支出绩效自评表</w:t>
      </w:r>
    </w:p>
    <w:tbl>
      <w:tblPr>
        <w:tblStyle w:val="3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其他事业发展类资金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湖南省韶山管理局园林环卫管理处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维护景区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3000余亩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国有森林资源管理余保护，确保全年无大面积病虫害及安全事故发生。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在持续高温大旱的条件下，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确保了核心景区国有森林防火安全，完成3000亩国有森林巡更系统建设和专业护林队伍组建工作。努力增收节支，开源节流，保证单位正常运作。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建立消防蓄水池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4个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建立森防巡逻队伍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1支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全年无大面积病虫害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-3"/>
                <w:sz w:val="19"/>
                <w:szCs w:val="19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-3"/>
                <w:sz w:val="19"/>
                <w:szCs w:val="19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确保全年无森防火灾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有无森防火灾发生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全年无森防安全事件发生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更新建立森防巡更系统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建立森防巡更系统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建立健全了森防巡更系统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防火道清理劳务费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  <w:t>≤6万元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6万元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项目资金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60万元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60万元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保洁收入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总收入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228万元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highlight w:val="none"/>
                <w:lang w:val="en-US" w:eastAsia="zh-CN"/>
              </w:rPr>
              <w:t>227.48万元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确保景区持续整洁、维护良好形象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收益群众年投诉次数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有无林业传染病发生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全年无林业传染病发生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全年未发生林业传染病情况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预防水土流失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客户年投诉次数少于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</w:rPr>
      </w:pPr>
    </w:p>
    <w:p>
      <w:pP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Cs w:val="21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2023.5.7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毛世鸿</w:t>
      </w:r>
    </w:p>
    <w:p>
      <w:pPr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before="169" w:line="252" w:lineRule="auto"/>
        <w:ind w:right="345"/>
        <w:jc w:val="center"/>
        <w:rPr>
          <w:rFonts w:hint="eastAsia" w:ascii="宋体" w:hAnsi="宋体" w:cs="宋体"/>
          <w:spacing w:val="-10"/>
          <w:sz w:val="52"/>
          <w:szCs w:val="52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default" w:ascii="Times New Roman" w:hAnsi="Times New Roman" w:eastAsia="方正小标宋_GBK" w:cs="Times New Roman"/>
          <w:sz w:val="52"/>
          <w:szCs w:val="52"/>
        </w:rPr>
        <w:t>202</w:t>
      </w:r>
      <w:r>
        <w:rPr>
          <w:rFonts w:hint="default" w:ascii="Times New Roman" w:hAnsi="Times New Roman" w:eastAsia="方正小标宋_GBK" w:cs="Times New Roman"/>
          <w:sz w:val="52"/>
          <w:szCs w:val="52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sz w:val="52"/>
          <w:szCs w:val="52"/>
        </w:rPr>
        <w:t>年度</w:t>
      </w:r>
      <w:r>
        <w:rPr>
          <w:rFonts w:hint="eastAsia" w:ascii="宋体" w:hAnsi="宋体" w:cs="宋体"/>
          <w:spacing w:val="-10"/>
          <w:sz w:val="52"/>
          <w:szCs w:val="52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湖南省韶山管理局</w:t>
      </w:r>
    </w:p>
    <w:p>
      <w:pPr>
        <w:spacing w:before="169" w:line="252" w:lineRule="auto"/>
        <w:ind w:right="345"/>
        <w:jc w:val="center"/>
        <w:rPr>
          <w:rFonts w:hint="eastAsia" w:ascii="宋体" w:hAnsi="宋体" w:cs="宋体"/>
          <w:spacing w:val="-10"/>
          <w:sz w:val="52"/>
          <w:szCs w:val="52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cs="宋体"/>
          <w:spacing w:val="-10"/>
          <w:sz w:val="52"/>
          <w:szCs w:val="52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园林环卫管理处</w:t>
      </w:r>
    </w:p>
    <w:p>
      <w:pPr>
        <w:spacing w:before="169" w:line="252" w:lineRule="auto"/>
        <w:ind w:right="345"/>
        <w:jc w:val="center"/>
        <w:rPr>
          <w:rFonts w:hint="default" w:ascii="宋体" w:hAnsi="宋体" w:cs="宋体"/>
          <w:spacing w:val="-10"/>
          <w:sz w:val="52"/>
          <w:szCs w:val="52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-10"/>
          <w:sz w:val="52"/>
          <w:szCs w:val="52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整</w:t>
      </w:r>
      <w:r>
        <w:rPr>
          <w:rFonts w:hint="eastAsia" w:ascii="宋体" w:hAnsi="宋体" w:cs="宋体"/>
          <w:spacing w:val="-10"/>
          <w:sz w:val="52"/>
          <w:szCs w:val="52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体支出</w:t>
      </w:r>
      <w:r>
        <w:rPr>
          <w:rFonts w:hint="default" w:ascii="宋体" w:hAnsi="宋体" w:cs="宋体"/>
          <w:spacing w:val="-10"/>
          <w:sz w:val="52"/>
          <w:szCs w:val="52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部门（单位）名称：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湖南省韶山管理局园林环卫管理处</w:t>
      </w:r>
    </w:p>
    <w:p>
      <w:pPr>
        <w:spacing w:line="600" w:lineRule="exact"/>
        <w:ind w:firstLine="3200" w:firstLineChars="10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年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月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07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日</w:t>
      </w: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</w:p>
    <w:p>
      <w:pPr>
        <w:spacing w:before="169" w:line="252" w:lineRule="auto"/>
        <w:ind w:right="345"/>
        <w:jc w:val="center"/>
        <w:rPr>
          <w:rFonts w:hint="eastAsia" w:ascii="宋体" w:hAnsi="宋体" w:cs="宋体"/>
          <w:spacing w:val="-10"/>
          <w:sz w:val="40"/>
          <w:szCs w:val="40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default" w:ascii="Times New Roman" w:hAnsi="Times New Roman" w:eastAsia="方正小标宋_GBK" w:cs="Times New Roman"/>
          <w:sz w:val="40"/>
          <w:szCs w:val="40"/>
        </w:rPr>
        <w:t>202</w:t>
      </w:r>
      <w:r>
        <w:rPr>
          <w:rFonts w:hint="default" w:ascii="Times New Roman" w:hAnsi="Times New Roman" w:eastAsia="方正小标宋_GBK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sz w:val="40"/>
          <w:szCs w:val="40"/>
        </w:rPr>
        <w:t>年度</w:t>
      </w:r>
      <w:r>
        <w:rPr>
          <w:rFonts w:hint="eastAsia" w:ascii="宋体" w:hAnsi="宋体" w:cs="宋体"/>
          <w:spacing w:val="-10"/>
          <w:sz w:val="40"/>
          <w:szCs w:val="40"/>
          <w:lang w:eastAsia="zh-CN"/>
          <w14:textOutline w14:w="9448" w14:cap="flat" w14:cmpd="sng">
            <w14:solidFill>
              <w14:srgbClr w14:val="000000"/>
            </w14:solidFill>
            <w14:prstDash w14:val="solid"/>
            <w14:miter w14:val="0"/>
          </w14:textOutline>
        </w:rPr>
        <w:t>湖南省韶山管理局园林环卫管理处</w:t>
      </w:r>
    </w:p>
    <w:p>
      <w:pPr>
        <w:spacing w:before="169" w:line="252" w:lineRule="auto"/>
        <w:ind w:right="345"/>
        <w:jc w:val="center"/>
        <w:rPr>
          <w:rFonts w:hint="default" w:ascii="Times New Roman" w:hAnsi="Times New Roman" w:eastAsia="方正小标宋_GBK" w:cs="Times New Roman"/>
          <w:sz w:val="40"/>
          <w:szCs w:val="40"/>
          <w:highlight w:val="none"/>
        </w:rPr>
      </w:pPr>
      <w:r>
        <w:rPr>
          <w:rFonts w:hint="default" w:ascii="Times New Roman" w:hAnsi="Times New Roman" w:eastAsia="方正小标宋_GBK" w:cs="Times New Roman"/>
          <w:sz w:val="40"/>
          <w:szCs w:val="40"/>
          <w:highlight w:val="none"/>
        </w:rPr>
        <w:t>整体支出绩效自评报告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根据湘编办函〔2009〕69号和湘编办〔2014〕81号文件，本单位性质为湖南省韶山管理局直属独立核算、财政差额拨款的副处级公益二类事业单位法定代表人：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毛世鸿</w:t>
      </w:r>
      <w:r>
        <w:rPr>
          <w:rFonts w:hint="eastAsia" w:ascii="仿宋_GB2312" w:hAnsi="仿宋" w:eastAsia="仿宋_GB2312"/>
          <w:sz w:val="32"/>
          <w:szCs w:val="32"/>
        </w:rPr>
        <w:t>；核定编制29人。年末现有正式职工23人（其中行政管理人员1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人、专业技术人员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人、技术工人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人、退休职工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人、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名遗属、临时工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宗旨和业务范围：管理保护韶山革命纪念地国有森林资源，绿化美化核心景区环境，管理维护核心景区卫生及其设施设备，对外承接园林工程和花卉摆放管理业务。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default" w:ascii="仿宋_GB2312" w:hAnsi="仿宋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机构设置与主要职能：单位下设办公室、园林绿化管理一部、园林绿化管理二部、环境卫生管理部、防火办5个部门。办公室:负责综合协调、党建群团、文秘档案、行政后勤、人事劳资、安全保卫、财务财产管理。园林绿化管理一部：对外承接园林绿化工程和花卉租摆业务。负责核心景区公共园林和业务单位绿化园林除草、修剪、施肥等养护管理。及时清理责任区范围内的枯树死树。园林绿化管理二部：负责业务学习培训，组织园林绿化施工。负责基建工程管理；负责所辖国有风景林和毗邻地区山林病虫害防治技术指导。负责所辖国有风景林的卫生采伐、营林育林工作，配合当地相关职能部门对国有风景林的林政管理工作。环境卫生管理部：负责责任区内的环境卫生清扫和保洁工作。配合领导完成紧急接待任务的突击性环卫清扫工作。防火办：协调、检查、监督各部门的森林防火工作以及设备设施的维护保养和管理工作。掌握好本辖区内森林火险实时动态，及时通报森林火险等级，发布防火信息。负责组建森林扑火突击队伍，组织突击队员进行业务培训。</w:t>
      </w:r>
    </w:p>
    <w:p>
      <w:pPr>
        <w:pStyle w:val="5"/>
        <w:widowControl/>
        <w:spacing w:line="600" w:lineRule="exact"/>
        <w:ind w:firstLine="64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二、一般公共预算支出情况</w:t>
      </w:r>
    </w:p>
    <w:p>
      <w:pPr>
        <w:pStyle w:val="5"/>
        <w:widowControl/>
        <w:spacing w:line="600" w:lineRule="exact"/>
        <w:ind w:firstLine="643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（一）基本支出情况</w:t>
      </w:r>
    </w:p>
    <w:p>
      <w:pPr>
        <w:pStyle w:val="5"/>
        <w:widowControl/>
        <w:spacing w:line="600" w:lineRule="exact"/>
        <w:ind w:firstLine="643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财政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差额拨款补助部分共计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522.92万元，其中基本工资86.62万元、绩效工资104.97万元、职工基本医疗保险15万元、机关事业单位基本养老保险30万元、其他社会保障缴费1.98万元、职业年金15万元、住房公积金32万元、离退休费6.33万元、其他工资福利支出231.02万元。</w:t>
      </w:r>
    </w:p>
    <w:p>
      <w:pPr>
        <w:pStyle w:val="5"/>
        <w:widowControl/>
        <w:numPr>
          <w:ilvl w:val="0"/>
          <w:numId w:val="2"/>
        </w:numPr>
        <w:spacing w:line="600" w:lineRule="exact"/>
        <w:ind w:firstLine="643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项目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eastAsia="zh-CN"/>
        </w:rPr>
        <w:t>支出</w:t>
      </w:r>
    </w:p>
    <w:p>
      <w:pPr>
        <w:pStyle w:val="5"/>
        <w:widowControl/>
        <w:spacing w:line="600" w:lineRule="exact"/>
        <w:ind w:firstLine="643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项目经费收入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，均为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林业改革发展资金。</w:t>
      </w:r>
    </w:p>
    <w:p>
      <w:pPr>
        <w:widowControl/>
        <w:spacing w:line="600" w:lineRule="exact"/>
        <w:ind w:firstLine="645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、部门整体支出绩效情况</w:t>
      </w:r>
    </w:p>
    <w:p>
      <w:pPr>
        <w:widowControl/>
        <w:spacing w:line="600" w:lineRule="exact"/>
        <w:ind w:firstLine="645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单位设立的整体绩效目标符合国家法律法规、国民经济和社会发展总体规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律，全年支出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522.92万元，占部门总体支出的比重为53.24%，其中5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22.92万元全部用于人员工资福利支出，60万元专项资金支出用于林地植被恢复及国有山林有害生物防治，确保韶山管理局核心景区林地植被覆盖率及国有山林不破坏、国有资产不流失，在高温干旱的情况下，建设和维护好防火隔离带和屏障带的建设。</w:t>
      </w:r>
    </w:p>
    <w:p>
      <w:pPr>
        <w:pStyle w:val="5"/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存在的问题及原因分析</w:t>
      </w:r>
    </w:p>
    <w:p>
      <w:pPr>
        <w:pStyle w:val="5"/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经营收支偏离预算数比较大，是因单位是差额拨款预算单位，</w:t>
      </w:r>
      <w:r>
        <w:rPr>
          <w:rFonts w:hint="eastAsia" w:ascii="仿宋" w:hAnsi="仿宋" w:eastAsia="仿宋"/>
          <w:sz w:val="32"/>
          <w:szCs w:val="32"/>
          <w:lang w:eastAsia="zh-CN"/>
        </w:rPr>
        <w:t>受疫情反复的影响，</w:t>
      </w:r>
      <w:r>
        <w:rPr>
          <w:rFonts w:hint="eastAsia" w:ascii="仿宋" w:hAnsi="仿宋" w:eastAsia="仿宋"/>
          <w:sz w:val="32"/>
          <w:szCs w:val="32"/>
        </w:rPr>
        <w:t>环卫保洁业务、滴水洞门票收入变数较大，较难精准预算。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</w:rPr>
        <w:t>下一步改进措施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（一）强化预算约束。要牢固树立先有预算后有支出的理念，各项支出预算必须严格按照批复项目、科目和金额执行，不得随意改变内容，严格控制不同预算科目、预算级次。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（二）严控行政管理成本。加强预算管理，严格执行预算和财政制度，不得擅自扩大支出范围，提高支出标准。严格执行新的差旅费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ascii="仿宋" w:hAnsi="仿宋" w:eastAsia="仿宋"/>
          <w:sz w:val="32"/>
          <w:szCs w:val="32"/>
        </w:rPr>
        <w:t>会议费、培训费、等公务接待支出管理规定，切实规范公务消费行为，严格控制并尽量压缩一般性开支。</w:t>
      </w:r>
    </w:p>
    <w:p>
      <w:pPr>
        <w:spacing w:line="560" w:lineRule="exact"/>
        <w:ind w:firstLine="640" w:firstLineChars="200"/>
        <w:rPr>
          <w:rFonts w:hint="default"/>
        </w:rPr>
      </w:pPr>
      <w:r>
        <w:rPr>
          <w:rFonts w:ascii="仿宋" w:hAnsi="仿宋" w:eastAsia="仿宋"/>
          <w:sz w:val="32"/>
          <w:szCs w:val="32"/>
        </w:rPr>
        <w:t>（三）加强绩效管理。全面推行预算绩效管理，强化支出责任意识，将绩效理念贯穿于预算编制与执行的全过程，确保完成绩效目标，切实提高财政资金使用效益。</w:t>
      </w:r>
    </w:p>
    <w:p>
      <w:pPr>
        <w:widowControl/>
        <w:numPr>
          <w:numId w:val="0"/>
        </w:numPr>
        <w:spacing w:line="600" w:lineRule="exact"/>
        <w:ind w:leftChars="200" w:firstLine="320" w:firstLineChars="1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六、</w:t>
      </w:r>
      <w:r>
        <w:rPr>
          <w:rFonts w:hint="default" w:ascii="Times New Roman" w:hAnsi="Times New Roman" w:eastAsia="黑体" w:cs="Times New Roman"/>
          <w:sz w:val="32"/>
          <w:szCs w:val="32"/>
        </w:rPr>
        <w:t>部门整体支出绩效自评结果拟应用和公开情况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</w:rPr>
        <w:t>绩效自评结果拟应用于202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预算支出指导，严格管控成本，压缩一般性开支，将在</w:t>
      </w:r>
      <w:r>
        <w:rPr>
          <w:rFonts w:hint="eastAsia" w:ascii="仿宋" w:hAnsi="仿宋" w:eastAsia="仿宋"/>
          <w:sz w:val="32"/>
          <w:szCs w:val="32"/>
          <w:lang w:eastAsia="zh-CN"/>
        </w:rPr>
        <w:t>门户网站（http://www.txssw.com/）</w:t>
      </w:r>
      <w:r>
        <w:rPr>
          <w:rFonts w:hint="eastAsia" w:ascii="仿宋" w:hAnsi="仿宋" w:eastAsia="仿宋"/>
          <w:sz w:val="32"/>
          <w:szCs w:val="32"/>
        </w:rPr>
        <w:t>公开。</w:t>
      </w:r>
    </w:p>
    <w:p>
      <w:pPr>
        <w:pStyle w:val="2"/>
        <w:numPr>
          <w:ilvl w:val="0"/>
          <w:numId w:val="0"/>
        </w:numPr>
        <w:ind w:leftChars="200"/>
        <w:rPr>
          <w:rFonts w:hint="default"/>
        </w:rPr>
      </w:pPr>
    </w:p>
    <w:p>
      <w:pPr>
        <w:widowControl/>
        <w:spacing w:line="600" w:lineRule="exact"/>
        <w:ind w:firstLine="645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其他需要说明的情况</w:t>
      </w:r>
    </w:p>
    <w:p>
      <w:pPr>
        <w:pStyle w:val="2"/>
        <w:ind w:firstLine="560" w:firstLineChars="200"/>
        <w:rPr>
          <w:rFonts w:hint="eastAsia" w:eastAsia="黑体"/>
          <w:b w:val="0"/>
          <w:bCs w:val="0"/>
          <w:lang w:val="en-US" w:eastAsia="zh-CN"/>
        </w:rPr>
      </w:pPr>
      <w:r>
        <w:rPr>
          <w:rFonts w:hint="eastAsia" w:eastAsia="黑体"/>
          <w:b w:val="0"/>
          <w:bCs w:val="0"/>
          <w:lang w:val="en-US" w:eastAsia="zh-CN"/>
        </w:rPr>
        <w:t>无</w:t>
      </w:r>
    </w:p>
    <w:p>
      <w:pPr>
        <w:widowControl/>
        <w:spacing w:line="600" w:lineRule="exact"/>
        <w:ind w:firstLine="645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E62CC7"/>
    <w:multiLevelType w:val="singleLevel"/>
    <w:tmpl w:val="FCE62CC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1C3D0BA"/>
    <w:multiLevelType w:val="singleLevel"/>
    <w:tmpl w:val="51C3D0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zk3MWM2MWUwOTFiODc5MzliMGU2OTFmYmMxNDgifQ=="/>
  </w:docVars>
  <w:rsids>
    <w:rsidRoot w:val="019F5D79"/>
    <w:rsid w:val="019F5D79"/>
    <w:rsid w:val="07EB6CF7"/>
    <w:rsid w:val="1F834A11"/>
    <w:rsid w:val="2E2F5FA1"/>
    <w:rsid w:val="36104836"/>
    <w:rsid w:val="37700FCB"/>
    <w:rsid w:val="47456D41"/>
    <w:rsid w:val="52625F07"/>
    <w:rsid w:val="5D08518C"/>
    <w:rsid w:val="6D300D65"/>
    <w:rsid w:val="7FC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60" w:after="60"/>
      <w:jc w:val="left"/>
      <w:outlineLvl w:val="2"/>
    </w:pPr>
    <w:rPr>
      <w:rFonts w:ascii="Calibri Light" w:hAnsi="Calibri Light" w:eastAsia="宋体" w:cs="Times New Roman"/>
      <w:b/>
      <w:bCs/>
      <w:sz w:val="28"/>
      <w:szCs w:val="32"/>
    </w:rPr>
  </w:style>
  <w:style w:type="paragraph" w:styleId="5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5612</Words>
  <Characters>6018</Characters>
  <Lines>0</Lines>
  <Paragraphs>0</Paragraphs>
  <TotalTime>353</TotalTime>
  <ScaleCrop>false</ScaleCrop>
  <LinksUpToDate>false</LinksUpToDate>
  <CharactersWithSpaces>6308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2023-04-12T02:35:00Z</dcterms:created>
  <dc:creator>Administrator</dc:creator>
  <cp:lastModifiedBy>Administrator</cp:lastModifiedBy>
  <dcterms:modified xsi:type="dcterms:W3CDTF">2023-06-26T01:25:40Z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2E6D21054DE743D1BC29BC01511842F8_11</vt:lpwstr>
  </property>
</Properties>
</file>