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rPr>
          <w:rFonts w:hint="default" w:ascii="Times New Roman" w:hAnsi="Times New Roman" w:eastAsia="黑体" w:cs="Times New Roman"/>
          <w:sz w:val="32"/>
          <w:szCs w:val="32"/>
        </w:rPr>
      </w:pPr>
    </w:p>
    <w:p>
      <w:pPr>
        <w:spacing w:after="120" w:afterLines="50" w:line="600" w:lineRule="exact"/>
        <w:rPr>
          <w:rFonts w:hint="eastAsia"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p>
    <w:p>
      <w:pPr>
        <w:spacing w:after="120" w:afterLines="50" w:line="600" w:lineRule="exact"/>
        <w:jc w:val="center"/>
        <w:rPr>
          <w:rFonts w:hint="default" w:ascii="Times New Roman" w:hAnsi="Times New Roman" w:eastAsia="仿宋_GB2312" w:cs="Times New Roman"/>
          <w:sz w:val="24"/>
        </w:rPr>
      </w:pPr>
      <w:r>
        <w:rPr>
          <w:rFonts w:hint="default" w:ascii="Times New Roman" w:hAnsi="Times New Roman" w:eastAsia="方正小标宋_GBK" w:cs="Times New Roman"/>
          <w:sz w:val="36"/>
          <w:szCs w:val="36"/>
        </w:rPr>
        <w:t>202</w:t>
      </w:r>
      <w:r>
        <w:rPr>
          <w:rFonts w:hint="default" w:ascii="Times New Roman" w:hAnsi="Times New Roman" w:eastAsia="方正小标宋_GBK" w:cs="Times New Roman"/>
          <w:sz w:val="36"/>
          <w:szCs w:val="36"/>
          <w:lang w:val="en-US" w:eastAsia="zh-CN"/>
        </w:rPr>
        <w:t>2</w:t>
      </w:r>
      <w:r>
        <w:rPr>
          <w:rFonts w:hint="default" w:ascii="Times New Roman" w:hAnsi="Times New Roman" w:eastAsia="方正小标宋_GBK" w:cs="Times New Roman"/>
          <w:sz w:val="36"/>
          <w:szCs w:val="36"/>
        </w:rPr>
        <w:t>年度部门整体支出绩效评价基础数据表</w:t>
      </w:r>
    </w:p>
    <w:tbl>
      <w:tblPr>
        <w:tblStyle w:val="6"/>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202</w:t>
            </w:r>
            <w:r>
              <w:rPr>
                <w:rFonts w:hint="default" w:ascii="Times New Roman" w:hAnsi="Times New Roman" w:eastAsia="仿宋_GB2312" w:cs="Times New Roman"/>
                <w:sz w:val="20"/>
                <w:szCs w:val="20"/>
                <w:lang w:val="en-US" w:eastAsia="zh-CN"/>
              </w:rPr>
              <w:t>2</w:t>
            </w:r>
            <w:r>
              <w:rPr>
                <w:rFonts w:hint="default" w:ascii="Times New Roman" w:hAnsi="Times New Roman" w:eastAsia="仿宋_GB2312" w:cs="Times New Roman"/>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15</w:t>
            </w: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13</w:t>
            </w: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100%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202</w:t>
            </w:r>
            <w:r>
              <w:rPr>
                <w:rFonts w:hint="default" w:ascii="Times New Roman" w:hAnsi="Times New Roman" w:eastAsia="仿宋_GB2312" w:cs="Times New Roman"/>
                <w:sz w:val="20"/>
                <w:szCs w:val="20"/>
                <w:lang w:val="en-US" w:eastAsia="zh-CN"/>
              </w:rPr>
              <w:t>1</w:t>
            </w:r>
            <w:r>
              <w:rPr>
                <w:rFonts w:hint="default" w:ascii="Times New Roman" w:hAnsi="Times New Roman" w:eastAsia="仿宋_GB2312" w:cs="Times New Roman"/>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202</w:t>
            </w:r>
            <w:r>
              <w:rPr>
                <w:rFonts w:hint="default" w:ascii="Times New Roman" w:hAnsi="Times New Roman" w:eastAsia="仿宋_GB2312" w:cs="Times New Roman"/>
                <w:sz w:val="20"/>
                <w:szCs w:val="20"/>
                <w:lang w:val="en-US" w:eastAsia="zh-CN"/>
              </w:rPr>
              <w:t>2</w:t>
            </w:r>
            <w:r>
              <w:rPr>
                <w:rFonts w:hint="default" w:ascii="Times New Roman" w:hAnsi="Times New Roman" w:eastAsia="仿宋_GB2312" w:cs="Times New Roman"/>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202</w:t>
            </w:r>
            <w:r>
              <w:rPr>
                <w:rFonts w:hint="default" w:ascii="Times New Roman" w:hAnsi="Times New Roman" w:eastAsia="仿宋_GB2312" w:cs="Times New Roman"/>
                <w:sz w:val="20"/>
                <w:szCs w:val="20"/>
                <w:lang w:val="en-US" w:eastAsia="zh-CN"/>
              </w:rPr>
              <w:t>2</w:t>
            </w:r>
            <w:r>
              <w:rPr>
                <w:rFonts w:hint="default" w:ascii="Times New Roman" w:hAnsi="Times New Roman" w:eastAsia="仿宋_GB2312" w:cs="Times New Roman"/>
                <w:sz w:val="20"/>
                <w:szCs w:val="20"/>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0</w:t>
            </w: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0</w:t>
            </w: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0</w:t>
            </w: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15</w:t>
            </w: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Times New Roman" w:hAnsi="Times New Roman" w:eastAsia="仿宋_GB2312" w:cs="Times New Roman"/>
                <w:sz w:val="20"/>
                <w:szCs w:val="20"/>
                <w:lang w:val="en-US" w:eastAsia="zh-CN"/>
              </w:rPr>
            </w:pPr>
            <w:r>
              <w:rPr>
                <w:rFonts w:hint="default" w:ascii="Times New Roman" w:hAnsi="Times New Roman" w:eastAsia="仿宋_GB2312" w:cs="Times New Roman"/>
                <w:sz w:val="20"/>
                <w:szCs w:val="20"/>
              </w:rPr>
              <w:t>　</w:t>
            </w:r>
            <w:r>
              <w:rPr>
                <w:rFonts w:hint="eastAsia" w:ascii="Times New Roman" w:hAnsi="Times New Roman" w:eastAsia="仿宋_GB2312" w:cs="Times New Roman"/>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0</w:t>
            </w: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15</w:t>
            </w: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both"/>
              <w:rPr>
                <w:rFonts w:hint="default" w:ascii="Times New Roman" w:hAnsi="Times New Roman" w:eastAsia="仿宋_GB2312" w:cs="Times New Roman"/>
                <w:sz w:val="20"/>
                <w:szCs w:val="20"/>
              </w:rPr>
            </w:pP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3、省级专项资金（一个专项一行）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both"/>
              <w:rPr>
                <w:rFonts w:hint="default" w:ascii="Times New Roman" w:hAnsi="Times New Roman" w:eastAsia="仿宋_GB2312" w:cs="Times New Roman"/>
                <w:sz w:val="20"/>
                <w:szCs w:val="20"/>
              </w:rPr>
            </w:pP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57.94</w:t>
            </w:r>
            <w:r>
              <w:rPr>
                <w:rFonts w:hint="default" w:ascii="Times New Roman" w:hAnsi="Times New Roman" w:eastAsia="仿宋_GB2312" w:cs="Times New Roman"/>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69.7</w:t>
            </w: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69.7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0.1</w:t>
            </w: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0.1</w:t>
            </w: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0.1</w:t>
            </w:r>
            <w:r>
              <w:rPr>
                <w:rFonts w:hint="default" w:ascii="Times New Roman" w:hAnsi="Times New Roman" w:eastAsia="仿宋_GB2312" w:cs="Times New Roman"/>
                <w:color w:val="auto"/>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0.9</w:t>
            </w: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0.9</w:t>
            </w: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0.9</w:t>
            </w:r>
            <w:r>
              <w:rPr>
                <w:rFonts w:hint="default" w:ascii="Times New Roman" w:hAnsi="Times New Roman" w:eastAsia="仿宋_GB2312" w:cs="Times New Roman"/>
                <w:color w:val="auto"/>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FF0000"/>
                <w:sz w:val="20"/>
                <w:szCs w:val="20"/>
              </w:rPr>
            </w:pPr>
            <w:r>
              <w:rPr>
                <w:rFonts w:hint="default" w:ascii="Times New Roman" w:hAnsi="Times New Roman" w:eastAsia="仿宋_GB2312" w:cs="Times New Roman"/>
                <w:color w:val="FF0000"/>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FF0000"/>
                <w:sz w:val="20"/>
                <w:szCs w:val="20"/>
              </w:rPr>
            </w:pPr>
            <w:r>
              <w:rPr>
                <w:rFonts w:hint="default" w:ascii="Times New Roman" w:hAnsi="Times New Roman" w:eastAsia="仿宋_GB2312" w:cs="Times New Roman"/>
                <w:color w:val="FF0000"/>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FF0000"/>
                <w:sz w:val="20"/>
                <w:szCs w:val="20"/>
              </w:rPr>
            </w:pPr>
            <w:r>
              <w:rPr>
                <w:rFonts w:hint="default" w:ascii="Times New Roman" w:hAnsi="Times New Roman" w:eastAsia="仿宋_GB2312" w:cs="Times New Roman"/>
                <w:color w:val="FF0000"/>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Times New Roman" w:hAnsi="Times New Roman" w:eastAsia="仿宋_GB2312" w:cs="Times New Roman"/>
                <w:sz w:val="20"/>
                <w:szCs w:val="20"/>
                <w:lang w:eastAsia="zh-CN"/>
              </w:rPr>
            </w:pPr>
            <w:r>
              <w:rPr>
                <w:rFonts w:hint="default" w:ascii="Times New Roman" w:hAnsi="Times New Roman" w:eastAsia="仿宋_GB2312" w:cs="Times New Roman"/>
                <w:sz w:val="20"/>
                <w:szCs w:val="20"/>
              </w:rPr>
              <w:t>楼堂馆所控制情况</w:t>
            </w:r>
          </w:p>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（202</w:t>
            </w:r>
            <w:r>
              <w:rPr>
                <w:rFonts w:hint="eastAsia" w:ascii="Times New Roman" w:hAnsi="Times New Roman" w:eastAsia="仿宋_GB2312" w:cs="Times New Roman"/>
                <w:sz w:val="20"/>
                <w:szCs w:val="20"/>
                <w:lang w:val="en-US" w:eastAsia="zh-CN"/>
              </w:rPr>
              <w:t>2</w:t>
            </w:r>
            <w:r>
              <w:rPr>
                <w:rFonts w:hint="default" w:ascii="Times New Roman" w:hAnsi="Times New Roman" w:eastAsia="仿宋_GB2312" w:cs="Times New Roman"/>
                <w:sz w:val="20"/>
                <w:szCs w:val="20"/>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Times New Roman" w:hAnsi="Times New Roman" w:eastAsia="仿宋_GB2312" w:cs="Times New Roman"/>
                <w:bCs/>
                <w:sz w:val="20"/>
                <w:szCs w:val="20"/>
                <w:lang w:eastAsia="zh-CN"/>
              </w:rPr>
            </w:pPr>
            <w:r>
              <w:rPr>
                <w:rFonts w:hint="default" w:ascii="Times New Roman" w:hAnsi="Times New Roman" w:eastAsia="仿宋_GB2312" w:cs="Times New Roman"/>
                <w:bCs/>
                <w:sz w:val="20"/>
                <w:szCs w:val="20"/>
              </w:rPr>
              <w:t>批复规模</w:t>
            </w:r>
          </w:p>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w:t>
            </w:r>
            <w:r>
              <w:rPr>
                <w:rFonts w:hint="default" w:ascii="Times New Roman" w:hAnsi="Times New Roman" w:cs="Times New Roman"/>
                <w:bCs/>
                <w:sz w:val="20"/>
                <w:szCs w:val="20"/>
              </w:rPr>
              <w:t>㎡</w:t>
            </w:r>
            <w:r>
              <w:rPr>
                <w:rFonts w:hint="default" w:ascii="Times New Roman" w:hAnsi="Times New Roman" w:eastAsia="仿宋_GB2312" w:cs="Times New Roman"/>
                <w:bCs/>
                <w:sz w:val="20"/>
                <w:szCs w:val="20"/>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实际规模（</w:t>
            </w:r>
            <w:r>
              <w:rPr>
                <w:rFonts w:hint="default" w:ascii="Times New Roman" w:hAnsi="Times New Roman" w:cs="Times New Roman"/>
                <w:bCs/>
                <w:sz w:val="20"/>
                <w:szCs w:val="20"/>
              </w:rPr>
              <w:t>㎡</w:t>
            </w:r>
            <w:r>
              <w:rPr>
                <w:rFonts w:hint="default" w:ascii="Times New Roman" w:hAnsi="Times New Roman" w:eastAsia="仿宋_GB2312" w:cs="Times New Roman"/>
                <w:bCs/>
                <w:sz w:val="20"/>
                <w:szCs w:val="20"/>
              </w:rPr>
              <w:t>）</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sz w:val="20"/>
                <w:szCs w:val="20"/>
              </w:rPr>
            </w:pPr>
            <w:r>
              <w:rPr>
                <w:rFonts w:hint="default" w:ascii="Times New Roman" w:hAnsi="Times New Roman" w:eastAsia="仿宋_GB2312" w:cs="Times New Roman"/>
                <w:bCs/>
                <w:sz w:val="20"/>
                <w:szCs w:val="20"/>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ind w:firstLine="800" w:firstLineChars="400"/>
              <w:jc w:val="both"/>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val="en-US" w:eastAsia="zh-CN"/>
              </w:rPr>
              <w:t>单位规章制度</w:t>
            </w:r>
            <w:r>
              <w:rPr>
                <w:rFonts w:hint="default" w:ascii="Times New Roman" w:hAnsi="Times New Roman" w:eastAsia="仿宋_GB2312" w:cs="Times New Roman"/>
                <w:sz w:val="20"/>
                <w:szCs w:val="20"/>
              </w:rPr>
              <w:t>　</w:t>
            </w:r>
          </w:p>
        </w:tc>
      </w:tr>
    </w:tbl>
    <w:p>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rPr>
      </w:pPr>
    </w:p>
    <w:p>
      <w:pPr>
        <w:widowControl/>
        <w:spacing w:after="0" w:afterLines="0" w:line="400" w:lineRule="exact"/>
        <w:jc w:val="left"/>
        <w:rPr>
          <w:rFonts w:hint="eastAsia" w:ascii="Times New Roman" w:hAnsi="Times New Roman" w:eastAsia="黑体" w:cs="Times New Roman"/>
          <w:sz w:val="32"/>
          <w:szCs w:val="32"/>
          <w:lang w:eastAsia="zh-CN"/>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eastAsia="zh-CN"/>
        </w:rPr>
        <w:t>成玲</w:t>
      </w:r>
      <w:r>
        <w:rPr>
          <w:rFonts w:hint="default" w:ascii="Times New Roman" w:hAnsi="Times New Roman" w:eastAsia="仿宋_GB2312" w:cs="Times New Roman"/>
          <w:sz w:val="22"/>
        </w:rPr>
        <w:t xml:space="preserve">  填报日期： </w:t>
      </w:r>
      <w:r>
        <w:rPr>
          <w:rFonts w:hint="eastAsia" w:ascii="Times New Roman" w:hAnsi="Times New Roman" w:eastAsia="仿宋_GB2312" w:cs="Times New Roman"/>
          <w:sz w:val="22"/>
          <w:lang w:val="en-US" w:eastAsia="zh-CN"/>
        </w:rPr>
        <w:t>2023.04.03</w:t>
      </w:r>
      <w:r>
        <w:rPr>
          <w:rFonts w:hint="default" w:ascii="Times New Roman" w:hAnsi="Times New Roman" w:eastAsia="仿宋_GB2312" w:cs="Times New Roman"/>
          <w:sz w:val="22"/>
        </w:rPr>
        <w:t xml:space="preserve"> 联系电话：</w:t>
      </w:r>
      <w:r>
        <w:rPr>
          <w:rFonts w:hint="eastAsia" w:ascii="Times New Roman" w:hAnsi="Times New Roman" w:eastAsia="仿宋_GB2312" w:cs="Times New Roman"/>
          <w:sz w:val="22"/>
          <w:lang w:val="en-US" w:eastAsia="zh-CN"/>
        </w:rPr>
        <w:t>13973207777</w:t>
      </w:r>
      <w:r>
        <w:rPr>
          <w:rFonts w:hint="default" w:ascii="Times New Roman" w:hAnsi="Times New Roman" w:eastAsia="仿宋_GB2312" w:cs="Times New Roman"/>
          <w:sz w:val="22"/>
        </w:rPr>
        <w:t xml:space="preserve"> 单位负责人签字：</w:t>
      </w:r>
      <w:r>
        <w:rPr>
          <w:rFonts w:hint="eastAsia" w:ascii="Times New Roman" w:hAnsi="Times New Roman" w:eastAsia="仿宋_GB2312" w:cs="Times New Roman"/>
          <w:sz w:val="22"/>
          <w:lang w:eastAsia="zh-CN"/>
        </w:rPr>
        <w:t>黄文胜</w:t>
      </w:r>
      <w:r>
        <w:rPr>
          <w:rFonts w:hint="default" w:ascii="Times New Roman" w:hAnsi="Times New Roman" w:eastAsia="仿宋_GB2312" w:cs="Times New Roman"/>
          <w:sz w:val="2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3</w:t>
      </w:r>
    </w:p>
    <w:p>
      <w:pPr>
        <w:widowControl/>
        <w:spacing w:after="120" w:afterLines="50"/>
        <w:jc w:val="center"/>
        <w:rPr>
          <w:rFonts w:hint="default" w:ascii="Times New Roman" w:hAnsi="Times New Roman" w:eastAsia="方正小标宋_GBK" w:cs="Times New Roman"/>
          <w:color w:val="000000"/>
          <w:sz w:val="36"/>
          <w:szCs w:val="36"/>
        </w:rPr>
      </w:pPr>
      <w:r>
        <w:rPr>
          <w:rFonts w:hint="default" w:ascii="Times New Roman" w:hAnsi="Times New Roman" w:eastAsia="方正小标宋_GBK" w:cs="Times New Roman"/>
          <w:color w:val="000000"/>
          <w:sz w:val="36"/>
          <w:szCs w:val="36"/>
        </w:rPr>
        <w:t>202</w:t>
      </w:r>
      <w:r>
        <w:rPr>
          <w:rFonts w:hint="default" w:ascii="Times New Roman" w:hAnsi="Times New Roman" w:eastAsia="方正小标宋_GBK" w:cs="Times New Roman"/>
          <w:color w:val="000000"/>
          <w:sz w:val="36"/>
          <w:szCs w:val="36"/>
          <w:lang w:val="en-US" w:eastAsia="zh-CN"/>
        </w:rPr>
        <w:t>2</w:t>
      </w:r>
      <w:r>
        <w:rPr>
          <w:rFonts w:hint="default" w:ascii="Times New Roman" w:hAnsi="Times New Roman" w:eastAsia="方正小标宋_GBK" w:cs="Times New Roman"/>
          <w:color w:val="000000"/>
          <w:sz w:val="36"/>
          <w:szCs w:val="36"/>
        </w:rPr>
        <w:t>年度部门整体支出绩效自评表</w:t>
      </w:r>
    </w:p>
    <w:tbl>
      <w:tblPr>
        <w:tblStyle w:val="6"/>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省级预算部门名称</w:t>
            </w:r>
          </w:p>
        </w:tc>
        <w:tc>
          <w:tcPr>
            <w:tcW w:w="8999" w:type="dxa"/>
            <w:gridSpan w:val="8"/>
            <w:tcBorders>
              <w:top w:val="single" w:color="9CA1AC" w:sz="4"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韶山毛泽东广场管理处</w:t>
            </w: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jc w:val="center"/>
        </w:trPr>
        <w:tc>
          <w:tcPr>
            <w:tcW w:w="1080" w:type="dxa"/>
            <w:vMerge w:val="restart"/>
            <w:tcBorders>
              <w:top w:val="single" w:color="9CA1AC" w:sz="0"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年度预</w:t>
            </w: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算申请</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（万元）</w:t>
            </w:r>
          </w:p>
        </w:tc>
        <w:tc>
          <w:tcPr>
            <w:tcW w:w="2114" w:type="dxa"/>
            <w:gridSpan w:val="2"/>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270"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年初预算数</w:t>
            </w:r>
          </w:p>
        </w:tc>
        <w:tc>
          <w:tcPr>
            <w:tcW w:w="1311"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全年预算数</w:t>
            </w:r>
          </w:p>
        </w:tc>
        <w:tc>
          <w:tcPr>
            <w:tcW w:w="1269"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全年执行数</w:t>
            </w:r>
          </w:p>
        </w:tc>
        <w:tc>
          <w:tcPr>
            <w:tcW w:w="71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分值</w:t>
            </w:r>
          </w:p>
        </w:tc>
        <w:tc>
          <w:tcPr>
            <w:tcW w:w="873"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执行率</w:t>
            </w:r>
          </w:p>
        </w:tc>
        <w:tc>
          <w:tcPr>
            <w:tcW w:w="144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得分</w:t>
            </w:r>
          </w:p>
        </w:tc>
      </w:tr>
      <w:tr>
        <w:tblPrEx>
          <w:tblCellMar>
            <w:top w:w="0" w:type="dxa"/>
            <w:left w:w="108" w:type="dxa"/>
            <w:bottom w:w="0" w:type="dxa"/>
            <w:right w:w="108" w:type="dxa"/>
          </w:tblCellMar>
        </w:tblPrEx>
        <w:trPr>
          <w:jc w:val="center"/>
        </w:trPr>
        <w:tc>
          <w:tcPr>
            <w:tcW w:w="1080" w:type="dxa"/>
            <w:vMerge w:val="continue"/>
            <w:tcBorders>
              <w:top w:val="single" w:color="9CA1AC" w:sz="0"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2114" w:type="dxa"/>
            <w:gridSpan w:val="2"/>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年度资金总额</w:t>
            </w:r>
          </w:p>
        </w:tc>
        <w:tc>
          <w:tcPr>
            <w:tcW w:w="1270"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p>
        </w:tc>
        <w:tc>
          <w:tcPr>
            <w:tcW w:w="1311"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p>
        </w:tc>
        <w:tc>
          <w:tcPr>
            <w:tcW w:w="1269"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886.63</w:t>
            </w:r>
          </w:p>
        </w:tc>
        <w:tc>
          <w:tcPr>
            <w:tcW w:w="71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10</w:t>
            </w:r>
          </w:p>
        </w:tc>
        <w:tc>
          <w:tcPr>
            <w:tcW w:w="873"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98%</w:t>
            </w:r>
          </w:p>
        </w:tc>
        <w:tc>
          <w:tcPr>
            <w:tcW w:w="144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w:t>
            </w:r>
          </w:p>
        </w:tc>
      </w:tr>
      <w:tr>
        <w:tblPrEx>
          <w:tblCellMar>
            <w:top w:w="0" w:type="dxa"/>
            <w:left w:w="108" w:type="dxa"/>
            <w:bottom w:w="0" w:type="dxa"/>
            <w:right w:w="108" w:type="dxa"/>
          </w:tblCellMar>
        </w:tblPrEx>
        <w:trPr>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按收入性质分：</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p>
        </w:tc>
        <w:tc>
          <w:tcPr>
            <w:tcW w:w="4304"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按支出性质分：</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p>
        </w:tc>
      </w:tr>
      <w:tr>
        <w:tblPrEx>
          <w:tblCellMar>
            <w:top w:w="0" w:type="dxa"/>
            <w:left w:w="108" w:type="dxa"/>
            <w:bottom w:w="0" w:type="dxa"/>
            <w:right w:w="108" w:type="dxa"/>
          </w:tblCellMar>
        </w:tblPrEx>
        <w:trPr>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xml:space="preserve">  其中：  一般公共预算：</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248.81</w:t>
            </w:r>
          </w:p>
        </w:tc>
        <w:tc>
          <w:tcPr>
            <w:tcW w:w="4304"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其中：基本支出：</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p>
        </w:tc>
      </w:tr>
      <w:tr>
        <w:tblPrEx>
          <w:tblCellMar>
            <w:top w:w="0" w:type="dxa"/>
            <w:left w:w="108" w:type="dxa"/>
            <w:bottom w:w="0" w:type="dxa"/>
            <w:right w:w="108" w:type="dxa"/>
          </w:tblCellMar>
        </w:tblPrEx>
        <w:trPr>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政府性基金拨款：</w:t>
            </w:r>
          </w:p>
        </w:tc>
        <w:tc>
          <w:tcPr>
            <w:tcW w:w="4304"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项目支出：</w:t>
            </w:r>
          </w:p>
        </w:tc>
      </w:tr>
      <w:tr>
        <w:tblPrEx>
          <w:tblCellMar>
            <w:top w:w="0" w:type="dxa"/>
            <w:left w:w="108" w:type="dxa"/>
            <w:bottom w:w="0" w:type="dxa"/>
            <w:right w:w="108" w:type="dxa"/>
          </w:tblCellMar>
        </w:tblPrEx>
        <w:trPr>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纳入专户管理的非税收入拨款：</w:t>
            </w:r>
          </w:p>
        </w:tc>
        <w:tc>
          <w:tcPr>
            <w:tcW w:w="4304"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r>
      <w:tr>
        <w:tblPrEx>
          <w:tblCellMar>
            <w:top w:w="0" w:type="dxa"/>
            <w:left w:w="108" w:type="dxa"/>
            <w:bottom w:w="0" w:type="dxa"/>
            <w:right w:w="108" w:type="dxa"/>
          </w:tblCellMar>
        </w:tblPrEx>
        <w:trPr>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其他资金：</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650</w:t>
            </w:r>
          </w:p>
        </w:tc>
        <w:tc>
          <w:tcPr>
            <w:tcW w:w="4304" w:type="dxa"/>
            <w:gridSpan w:val="4"/>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r>
      <w:tr>
        <w:tblPrEx>
          <w:tblCellMar>
            <w:top w:w="0" w:type="dxa"/>
            <w:left w:w="108" w:type="dxa"/>
            <w:bottom w:w="0" w:type="dxa"/>
            <w:right w:w="108" w:type="dxa"/>
          </w:tblCellMar>
        </w:tblPrEx>
        <w:trPr>
          <w:jc w:val="center"/>
        </w:trPr>
        <w:tc>
          <w:tcPr>
            <w:tcW w:w="1080" w:type="dxa"/>
            <w:vMerge w:val="restart"/>
            <w:tcBorders>
              <w:top w:val="single" w:color="9CA1AC" w:sz="0"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年度总体目标</w:t>
            </w:r>
          </w:p>
        </w:tc>
        <w:tc>
          <w:tcPr>
            <w:tcW w:w="4695" w:type="dxa"/>
            <w:gridSpan w:val="4"/>
            <w:tcBorders>
              <w:top w:val="single" w:color="9CA1AC" w:sz="4"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预期目标</w:t>
            </w:r>
          </w:p>
        </w:tc>
        <w:tc>
          <w:tcPr>
            <w:tcW w:w="4304" w:type="dxa"/>
            <w:gridSpan w:val="4"/>
            <w:tcBorders>
              <w:top w:val="single" w:color="9CA1AC" w:sz="4"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9CA1AC" w:sz="0"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4695" w:type="dxa"/>
            <w:gridSpan w:val="4"/>
            <w:tcBorders>
              <w:top w:val="single" w:color="9CA1AC" w:sz="4"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898.81</w:t>
            </w: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4304" w:type="dxa"/>
            <w:gridSpan w:val="4"/>
            <w:tcBorders>
              <w:top w:val="single" w:color="9CA1AC" w:sz="4"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907.62</w:t>
            </w:r>
          </w:p>
        </w:tc>
      </w:tr>
      <w:tr>
        <w:tblPrEx>
          <w:tblCellMar>
            <w:top w:w="0" w:type="dxa"/>
            <w:left w:w="108" w:type="dxa"/>
            <w:bottom w:w="0" w:type="dxa"/>
            <w:right w:w="108" w:type="dxa"/>
          </w:tblCellMar>
        </w:tblPrEx>
        <w:trPr>
          <w:jc w:val="center"/>
        </w:trPr>
        <w:tc>
          <w:tcPr>
            <w:tcW w:w="1080" w:type="dxa"/>
            <w:vMerge w:val="restart"/>
            <w:tcBorders>
              <w:top w:val="single" w:color="9CA1AC" w:sz="0"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绩</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效</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指</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标</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一级指标</w:t>
            </w:r>
          </w:p>
        </w:tc>
        <w:tc>
          <w:tcPr>
            <w:tcW w:w="1034"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二级指标</w:t>
            </w:r>
          </w:p>
        </w:tc>
        <w:tc>
          <w:tcPr>
            <w:tcW w:w="1270"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三级指标</w:t>
            </w:r>
          </w:p>
        </w:tc>
        <w:tc>
          <w:tcPr>
            <w:tcW w:w="1311"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年度指标值</w:t>
            </w:r>
          </w:p>
        </w:tc>
        <w:tc>
          <w:tcPr>
            <w:tcW w:w="1269"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实际完成值</w:t>
            </w:r>
          </w:p>
        </w:tc>
        <w:tc>
          <w:tcPr>
            <w:tcW w:w="71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分值</w:t>
            </w:r>
          </w:p>
        </w:tc>
        <w:tc>
          <w:tcPr>
            <w:tcW w:w="873"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得分</w:t>
            </w:r>
          </w:p>
        </w:tc>
        <w:tc>
          <w:tcPr>
            <w:tcW w:w="1446" w:type="dxa"/>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偏差原因分析及改进措施</w:t>
            </w:r>
          </w:p>
        </w:tc>
      </w:tr>
      <w:tr>
        <w:tblPrEx>
          <w:tblCellMar>
            <w:top w:w="0" w:type="dxa"/>
            <w:left w:w="108" w:type="dxa"/>
            <w:bottom w:w="0" w:type="dxa"/>
            <w:right w:w="108" w:type="dxa"/>
          </w:tblCellMar>
        </w:tblPrEx>
        <w:trPr>
          <w:trHeight w:val="50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restart"/>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产出指标</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(50分)</w:t>
            </w:r>
          </w:p>
        </w:tc>
        <w:tc>
          <w:tcPr>
            <w:tcW w:w="1034" w:type="dxa"/>
            <w:vMerge w:val="restart"/>
            <w:tcBorders>
              <w:top w:val="single" w:color="9CA1AC" w:sz="0" w:space="0"/>
              <w:left w:val="single" w:color="9CA1AC" w:sz="0"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数量指标</w:t>
            </w:r>
          </w:p>
        </w:tc>
        <w:tc>
          <w:tcPr>
            <w:tcW w:w="1270"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年度</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给毛主席铜像献花</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人数达</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2500批次</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tc>
        <w:tc>
          <w:tcPr>
            <w:tcW w:w="1311"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年度献花≥</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2500</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批次</w:t>
            </w:r>
          </w:p>
        </w:tc>
        <w:tc>
          <w:tcPr>
            <w:tcW w:w="1269"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2000</w:t>
            </w:r>
          </w:p>
        </w:tc>
        <w:tc>
          <w:tcPr>
            <w:tcW w:w="716"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w:t>
            </w:r>
          </w:p>
        </w:tc>
        <w:tc>
          <w:tcPr>
            <w:tcW w:w="1446" w:type="dxa"/>
            <w:tcBorders>
              <w:top w:val="single" w:color="9CA1AC" w:sz="4" w:space="0"/>
              <w:left w:val="single" w:color="9CA1AC" w:sz="4" w:space="0"/>
              <w:bottom w:val="single" w:color="9CA1AC" w:sz="4" w:space="0"/>
              <w:right w:val="single" w:color="9CA1AC" w:sz="4" w:space="0"/>
            </w:tcBorders>
            <w:shd w:val="clear" w:color="auto" w:fill="auto"/>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受</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新冠疫情影响及</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周边花店的冲击影响，以后加大宣传，与各大旅行社加强沟通联系。</w:t>
            </w:r>
          </w:p>
        </w:tc>
      </w:tr>
      <w:tr>
        <w:tblPrEx>
          <w:tblCellMar>
            <w:top w:w="0" w:type="dxa"/>
            <w:left w:w="108" w:type="dxa"/>
            <w:bottom w:w="0" w:type="dxa"/>
            <w:right w:w="108" w:type="dxa"/>
          </w:tblCellMar>
        </w:tblPrEx>
        <w:trPr>
          <w:trHeight w:val="835"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continue"/>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tc>
        <w:tc>
          <w:tcPr>
            <w:tcW w:w="1270"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年度</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来广场举行</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党性教育研学活动</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达到</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1600批次</w:t>
            </w:r>
          </w:p>
        </w:tc>
        <w:tc>
          <w:tcPr>
            <w:tcW w:w="1311"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年度党性教育研学活动≥</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16</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00批次</w:t>
            </w:r>
          </w:p>
        </w:tc>
        <w:tc>
          <w:tcPr>
            <w:tcW w:w="1269"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1350</w:t>
            </w:r>
          </w:p>
        </w:tc>
        <w:tc>
          <w:tcPr>
            <w:tcW w:w="71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8</w:t>
            </w:r>
          </w:p>
        </w:tc>
        <w:tc>
          <w:tcPr>
            <w:tcW w:w="144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165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质量指标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环境优美、文明整洁、平安广场、和谐广场。</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维护广场瞻仰秩序，</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树立“平安广场、和谐广场”</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全时段</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没有</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非法照相、喊客、拉客</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情况</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20</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20</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环境优美、文明整洁、平安广场、和谐广场。</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75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restart"/>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时效指标</w:t>
            </w:r>
          </w:p>
        </w:tc>
        <w:tc>
          <w:tcPr>
            <w:tcW w:w="1270"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311"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269"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71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873"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44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成本指标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完成年初制定的上缴目标管理金任务</w:t>
            </w: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上缴目标管理金≥650万元</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600万元</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　</w:t>
            </w:r>
          </w:p>
        </w:tc>
      </w:tr>
      <w:tr>
        <w:tblPrEx>
          <w:tblCellMar>
            <w:top w:w="0" w:type="dxa"/>
            <w:left w:w="108" w:type="dxa"/>
            <w:bottom w:w="0" w:type="dxa"/>
            <w:right w:w="108" w:type="dxa"/>
          </w:tblCellMar>
        </w:tblPrEx>
        <w:trPr>
          <w:trHeight w:val="1847"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效益指标</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（30分）</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034"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经济效</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益指标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促进第三产业发展</w:t>
            </w: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进一步宣传韶山红色旅游文化，打造党性教育基地，吸引更多人来韶山参观，促进第三产业发展。</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毛主席铜像广场是来韶游客必来之处</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受新冠疫情影响</w:t>
            </w:r>
          </w:p>
        </w:tc>
      </w:tr>
      <w:tr>
        <w:tblPrEx>
          <w:tblCellMar>
            <w:top w:w="0" w:type="dxa"/>
            <w:left w:w="108" w:type="dxa"/>
            <w:bottom w:w="0" w:type="dxa"/>
            <w:right w:w="108" w:type="dxa"/>
          </w:tblCellMar>
        </w:tblPrEx>
        <w:trPr>
          <w:trHeight w:val="75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restart"/>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社会效</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益指标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扩大毛泽东铜像广场的社会影响</w:t>
            </w: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通过向主席铜像敬献花篮教育观摩活动，以爱国教育基地为依托，合理地开发红色旅游资源，扩大了社会影响。</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通过向主席铜像敬献花篮教育观摩活动，合理地开发红色旅游资源，扩大了社会影响。</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75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vMerge w:val="restart"/>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生态效</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益指标</w:t>
            </w:r>
          </w:p>
        </w:tc>
        <w:tc>
          <w:tcPr>
            <w:tcW w:w="1270"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大力发展旅游文化等第三产业</w:t>
            </w:r>
          </w:p>
        </w:tc>
        <w:tc>
          <w:tcPr>
            <w:tcW w:w="1311"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接待游客</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287余万人</w:t>
            </w: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tc>
        <w:tc>
          <w:tcPr>
            <w:tcW w:w="1269"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每年来韶游客是络绎不绝，近两年受疫情影响稍有下降。</w:t>
            </w:r>
          </w:p>
        </w:tc>
        <w:tc>
          <w:tcPr>
            <w:tcW w:w="71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10</w:t>
            </w:r>
          </w:p>
        </w:tc>
        <w:tc>
          <w:tcPr>
            <w:tcW w:w="873"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w:t>
            </w:r>
          </w:p>
        </w:tc>
        <w:tc>
          <w:tcPr>
            <w:tcW w:w="1446" w:type="dxa"/>
            <w:tcBorders>
              <w:top w:val="single" w:color="9CA1AC" w:sz="4" w:space="0"/>
              <w:left w:val="single" w:color="9CA1AC" w:sz="0" w:space="0"/>
              <w:bottom w:val="single" w:color="9CA1AC" w:sz="4" w:space="0"/>
              <w:right w:val="single" w:color="9CA1AC" w:sz="4" w:space="0"/>
            </w:tcBorders>
            <w:shd w:val="clear" w:color="auto" w:fill="FFFFFF" w:themeFill="background1"/>
            <w:noWrap w:val="0"/>
            <w:vAlign w:val="top"/>
          </w:tcPr>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cente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pPr>
          </w:p>
          <w:p>
            <w:pPr>
              <w:widowControl/>
              <w:spacing w:line="240" w:lineRule="exact"/>
              <w:jc w:val="both"/>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受</w:t>
            </w: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新冠疫情影响</w:t>
            </w:r>
          </w:p>
        </w:tc>
      </w:tr>
      <w:tr>
        <w:tblPrEx>
          <w:tblCellMar>
            <w:top w:w="0" w:type="dxa"/>
            <w:left w:w="108" w:type="dxa"/>
            <w:bottom w:w="0" w:type="dxa"/>
            <w:right w:w="108" w:type="dxa"/>
          </w:tblCellMar>
        </w:tblPrEx>
        <w:trPr>
          <w:trHeight w:val="86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34"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可持续影响指标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890" w:hRule="atLeast"/>
          <w:jc w:val="center"/>
        </w:trPr>
        <w:tc>
          <w:tcPr>
            <w:tcW w:w="1080" w:type="dxa"/>
            <w:vMerge w:val="continue"/>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p>
        </w:tc>
        <w:tc>
          <w:tcPr>
            <w:tcW w:w="108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满意度</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指标</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（10分）</w:t>
            </w:r>
          </w:p>
        </w:tc>
        <w:tc>
          <w:tcPr>
            <w:tcW w:w="1034"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服务对象满意度指标</w:t>
            </w:r>
          </w:p>
        </w:tc>
        <w:tc>
          <w:tcPr>
            <w:tcW w:w="1270"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eastAsia="zh-CN"/>
                <w14:textFill>
                  <w14:solidFill>
                    <w14:schemeClr w14:val="tx1"/>
                  </w14:solidFill>
                </w14:textFill>
              </w:rPr>
              <w:t>年投诉次数少于</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5次，服务满意度提升。</w:t>
            </w:r>
          </w:p>
        </w:tc>
        <w:tc>
          <w:tcPr>
            <w:tcW w:w="1311"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年投诉次数5≦次</w:t>
            </w:r>
          </w:p>
        </w:tc>
        <w:tc>
          <w:tcPr>
            <w:tcW w:w="1269"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2</w:t>
            </w: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≦次</w:t>
            </w:r>
          </w:p>
        </w:tc>
        <w:tc>
          <w:tcPr>
            <w:tcW w:w="71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10</w:t>
            </w:r>
          </w:p>
        </w:tc>
        <w:tc>
          <w:tcPr>
            <w:tcW w:w="873"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shd w:val="clear" w:color="auto" w:fill="auto"/>
                <w14:textFill>
                  <w14:solidFill>
                    <w14:schemeClr w14:val="tx1"/>
                  </w14:solidFill>
                </w14:textFill>
              </w:rPr>
              <w:t>10</w:t>
            </w:r>
          </w:p>
        </w:tc>
        <w:tc>
          <w:tcPr>
            <w:tcW w:w="1446" w:type="dxa"/>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9CA1AC" w:sz="4" w:space="0"/>
              <w:left w:val="single" w:color="9CA1AC" w:sz="4"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总分</w:t>
            </w:r>
          </w:p>
        </w:tc>
        <w:tc>
          <w:tcPr>
            <w:tcW w:w="716" w:type="dxa"/>
            <w:tcBorders>
              <w:top w:val="single" w:color="9CA1AC" w:sz="0"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100</w:t>
            </w:r>
          </w:p>
        </w:tc>
        <w:tc>
          <w:tcPr>
            <w:tcW w:w="873" w:type="dxa"/>
            <w:tcBorders>
              <w:top w:val="single" w:color="9CA1AC" w:sz="0"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r>
              <w:rPr>
                <w:rFonts w:hint="eastAsia" w:ascii="Times New Roman" w:hAnsi="Times New Roman" w:eastAsia="仿宋_GB2312" w:cs="Times New Roman"/>
                <w:color w:val="000000" w:themeColor="text1"/>
                <w:sz w:val="20"/>
                <w:szCs w:val="20"/>
                <w:shd w:val="clear" w:color="auto" w:fill="auto"/>
                <w:lang w:val="en-US" w:eastAsia="zh-CN"/>
                <w14:textFill>
                  <w14:solidFill>
                    <w14:schemeClr w14:val="tx1"/>
                  </w14:solidFill>
                </w14:textFill>
              </w:rPr>
              <w:t>92</w:t>
            </w:r>
          </w:p>
        </w:tc>
        <w:tc>
          <w:tcPr>
            <w:tcW w:w="1446" w:type="dxa"/>
            <w:tcBorders>
              <w:top w:val="single" w:color="9CA1AC" w:sz="0" w:space="0"/>
              <w:left w:val="single" w:color="9CA1AC" w:sz="0" w:space="0"/>
              <w:bottom w:val="single" w:color="9CA1AC" w:sz="4" w:space="0"/>
              <w:right w:val="single" w:color="9CA1AC" w:sz="4" w:space="0"/>
            </w:tcBorders>
            <w:shd w:val="clear" w:color="auto" w:fill="FFFFFF" w:themeFill="background1"/>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pPr>
            <w:r>
              <w:rPr>
                <w:rFonts w:hint="default" w:ascii="Times New Roman" w:hAnsi="Times New Roman" w:eastAsia="仿宋_GB2312" w:cs="Times New Roman"/>
                <w:color w:val="000000" w:themeColor="text1"/>
                <w:sz w:val="20"/>
                <w:szCs w:val="20"/>
                <w:shd w:val="clear" w:color="auto" w:fill="auto"/>
                <w14:textFill>
                  <w14:solidFill>
                    <w14:schemeClr w14:val="tx1"/>
                  </w14:solidFill>
                </w14:textFill>
              </w:rPr>
              <w:t>　</w:t>
            </w:r>
          </w:p>
        </w:tc>
      </w:tr>
    </w:tbl>
    <w:p>
      <w:pPr>
        <w:widowControl/>
        <w:spacing w:line="600" w:lineRule="exact"/>
        <w:jc w:val="left"/>
        <w:rPr>
          <w:rFonts w:hint="eastAsia" w:ascii="Times New Roman" w:hAnsi="Times New Roman" w:eastAsia="黑体" w:cs="Times New Roman"/>
          <w:sz w:val="32"/>
          <w:szCs w:val="32"/>
          <w:lang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成玲</w:t>
      </w:r>
      <w:r>
        <w:rPr>
          <w:rFonts w:hint="default" w:ascii="Times New Roman" w:hAnsi="Times New Roman" w:eastAsia="仿宋_GB2312" w:cs="Times New Roman"/>
          <w:sz w:val="22"/>
          <w:szCs w:val="22"/>
        </w:rPr>
        <w:t xml:space="preserve">  填报日期： </w:t>
      </w:r>
      <w:r>
        <w:rPr>
          <w:rFonts w:hint="eastAsia" w:ascii="Times New Roman" w:hAnsi="Times New Roman" w:eastAsia="仿宋_GB2312" w:cs="Times New Roman"/>
          <w:sz w:val="22"/>
          <w:szCs w:val="22"/>
          <w:lang w:val="en-US" w:eastAsia="zh-CN"/>
        </w:rPr>
        <w:t>2023.04.03</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13973207777</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eastAsia="zh-CN"/>
        </w:rPr>
        <w:t>黄文胜</w:t>
      </w:r>
      <w:r>
        <w:rPr>
          <w:rFonts w:hint="default" w:ascii="Times New Roman" w:hAnsi="Times New Roman" w:eastAsia="仿宋_GB2312" w:cs="Times New Roman"/>
          <w:sz w:val="22"/>
          <w:szCs w:val="2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4</w:t>
      </w:r>
    </w:p>
    <w:p>
      <w:pPr>
        <w:widowControl/>
        <w:spacing w:line="600" w:lineRule="exact"/>
        <w:jc w:val="center"/>
        <w:rPr>
          <w:rFonts w:hint="default" w:ascii="Times New Roman" w:hAnsi="Times New Roman" w:eastAsia="方正小标宋_GBK" w:cs="Times New Roman"/>
          <w:color w:val="000000"/>
          <w:sz w:val="36"/>
          <w:szCs w:val="36"/>
        </w:rPr>
      </w:pPr>
      <w:r>
        <w:rPr>
          <w:rFonts w:hint="default" w:ascii="Times New Roman" w:hAnsi="Times New Roman" w:eastAsia="方正小标宋_GBK" w:cs="Times New Roman"/>
          <w:color w:val="000000"/>
          <w:sz w:val="36"/>
          <w:szCs w:val="36"/>
        </w:rPr>
        <w:t>202</w:t>
      </w:r>
      <w:r>
        <w:rPr>
          <w:rFonts w:hint="default" w:ascii="Times New Roman" w:hAnsi="Times New Roman" w:eastAsia="方正小标宋_GBK" w:cs="Times New Roman"/>
          <w:color w:val="000000"/>
          <w:sz w:val="36"/>
          <w:szCs w:val="36"/>
          <w:lang w:val="en-US" w:eastAsia="zh-CN"/>
        </w:rPr>
        <w:t>2</w:t>
      </w:r>
      <w:r>
        <w:rPr>
          <w:rFonts w:hint="default" w:ascii="Times New Roman" w:hAnsi="Times New Roman" w:eastAsia="方正小标宋_GBK" w:cs="Times New Roman"/>
          <w:color w:val="000000"/>
          <w:sz w:val="36"/>
          <w:szCs w:val="36"/>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项目支</w:t>
            </w:r>
          </w:p>
          <w:p>
            <w:pPr>
              <w:widowControl/>
              <w:spacing w:line="26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Times New Roman" w:hAnsi="Times New Roman" w:eastAsia="仿宋_GB2312" w:cs="Times New Roman"/>
                <w:color w:val="000000"/>
                <w:sz w:val="20"/>
                <w:szCs w:val="20"/>
                <w:lang w:eastAsia="zh-CN"/>
              </w:rPr>
            </w:pPr>
            <w:r>
              <w:rPr>
                <w:rFonts w:hint="default" w:ascii="Times New Roman" w:hAnsi="Times New Roman" w:eastAsia="仿宋_GB2312" w:cs="Times New Roman"/>
                <w:color w:val="000000"/>
                <w:sz w:val="20"/>
                <w:szCs w:val="20"/>
              </w:rPr>
              <w:t>项目资金</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（万元）</w:t>
            </w: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22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年初</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预算数</w:t>
            </w:r>
          </w:p>
        </w:tc>
        <w:tc>
          <w:tcPr>
            <w:tcW w:w="1134"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全年</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预算数</w:t>
            </w:r>
          </w:p>
        </w:tc>
        <w:tc>
          <w:tcPr>
            <w:tcW w:w="1134" w:type="dxa"/>
            <w:tcBorders>
              <w:top w:val="nil"/>
              <w:left w:val="nil"/>
              <w:bottom w:val="single" w:color="auto" w:sz="4" w:space="0"/>
              <w:right w:val="single" w:color="auto" w:sz="4" w:space="0"/>
            </w:tcBorders>
            <w:noWrap w:val="0"/>
            <w:vAlign w:val="center"/>
          </w:tcPr>
          <w:p>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全年</w:t>
            </w:r>
          </w:p>
          <w:p>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执行数</w:t>
            </w:r>
          </w:p>
        </w:tc>
        <w:tc>
          <w:tcPr>
            <w:tcW w:w="828" w:type="dxa"/>
            <w:tcBorders>
              <w:top w:val="nil"/>
              <w:left w:val="nil"/>
              <w:bottom w:val="single" w:color="auto" w:sz="4" w:space="0"/>
              <w:right w:val="single" w:color="auto" w:sz="4" w:space="0"/>
            </w:tcBorders>
            <w:noWrap w:val="0"/>
            <w:vAlign w:val="center"/>
          </w:tcPr>
          <w:p>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分值</w:t>
            </w:r>
          </w:p>
        </w:tc>
        <w:tc>
          <w:tcPr>
            <w:tcW w:w="873" w:type="dxa"/>
            <w:tcBorders>
              <w:top w:val="nil"/>
              <w:left w:val="nil"/>
              <w:bottom w:val="single" w:color="auto" w:sz="4" w:space="0"/>
              <w:right w:val="single" w:color="auto" w:sz="4" w:space="0"/>
            </w:tcBorders>
            <w:noWrap w:val="0"/>
            <w:vAlign w:val="center"/>
          </w:tcPr>
          <w:p>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执行率</w:t>
            </w:r>
          </w:p>
        </w:tc>
        <w:tc>
          <w:tcPr>
            <w:tcW w:w="1418" w:type="dxa"/>
            <w:tcBorders>
              <w:top w:val="nil"/>
              <w:left w:val="nil"/>
              <w:bottom w:val="single" w:color="auto" w:sz="4" w:space="0"/>
              <w:right w:val="single" w:color="auto" w:sz="4" w:space="0"/>
            </w:tcBorders>
            <w:noWrap w:val="0"/>
            <w:vAlign w:val="center"/>
          </w:tcPr>
          <w:p>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年度资金总额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2160"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其中：当年财政拨款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2160" w:type="dxa"/>
            <w:gridSpan w:val="2"/>
            <w:tcBorders>
              <w:top w:val="nil"/>
              <w:left w:val="nil"/>
              <w:bottom w:val="single" w:color="auto" w:sz="4" w:space="0"/>
              <w:right w:val="single" w:color="auto" w:sz="4" w:space="0"/>
            </w:tcBorders>
            <w:noWrap w:val="0"/>
            <w:vAlign w:val="center"/>
          </w:tcPr>
          <w:p>
            <w:pPr>
              <w:widowControl/>
              <w:ind w:firstLine="600" w:firstLineChars="300"/>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上年结转资金　</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2160" w:type="dxa"/>
            <w:gridSpan w:val="2"/>
            <w:tcBorders>
              <w:top w:val="nil"/>
              <w:left w:val="nil"/>
              <w:bottom w:val="single" w:color="auto" w:sz="4" w:space="0"/>
              <w:right w:val="single" w:color="auto" w:sz="4" w:space="0"/>
            </w:tcBorders>
            <w:noWrap w:val="0"/>
            <w:vAlign w:val="center"/>
          </w:tcPr>
          <w:p>
            <w:pPr>
              <w:widowControl/>
              <w:ind w:firstLine="600" w:firstLineChars="300"/>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其他资金</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4518"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绩</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标</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一级指标</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二级指标</w:t>
            </w:r>
          </w:p>
        </w:tc>
        <w:tc>
          <w:tcPr>
            <w:tcW w:w="122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三级指标</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w:t>
            </w:r>
          </w:p>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指标值</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w:t>
            </w:r>
          </w:p>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完成值</w:t>
            </w:r>
          </w:p>
        </w:tc>
        <w:tc>
          <w:tcPr>
            <w:tcW w:w="82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得分</w:t>
            </w:r>
          </w:p>
        </w:tc>
        <w:tc>
          <w:tcPr>
            <w:tcW w:w="1418"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产出指标</w:t>
            </w:r>
          </w:p>
          <w:p>
            <w:pPr>
              <w:widowControl/>
              <w:jc w:val="center"/>
              <w:rPr>
                <w:rFonts w:hint="default" w:ascii="Times New Roman" w:hAnsi="Times New Roman" w:eastAsia="仿宋_GB2312" w:cs="Times New Roman"/>
                <w:color w:val="000000"/>
                <w:sz w:val="20"/>
                <w:szCs w:val="20"/>
              </w:rPr>
            </w:pP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(50分)</w:t>
            </w: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数量指标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质量指标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时效指标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成本指标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效益指标</w:t>
            </w:r>
          </w:p>
          <w:p>
            <w:pPr>
              <w:widowControl/>
              <w:jc w:val="left"/>
              <w:rPr>
                <w:rFonts w:hint="default" w:ascii="Times New Roman" w:hAnsi="Times New Roman" w:eastAsia="仿宋_GB2312" w:cs="Times New Roman"/>
                <w:color w:val="000000"/>
                <w:sz w:val="20"/>
                <w:szCs w:val="20"/>
              </w:rPr>
            </w:pPr>
          </w:p>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（30分）</w:t>
            </w:r>
          </w:p>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经济效</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社会效</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生态效</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224"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满意度</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指标</w:t>
            </w:r>
          </w:p>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（10分）</w:t>
            </w:r>
          </w:p>
        </w:tc>
        <w:tc>
          <w:tcPr>
            <w:tcW w:w="1080" w:type="dxa"/>
            <w:vMerge w:val="restart"/>
            <w:tcBorders>
              <w:top w:val="nil"/>
              <w:left w:val="nil"/>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服务对象满意度指标</w:t>
            </w: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080" w:type="dxa"/>
            <w:vMerge w:val="continue"/>
            <w:tcBorders>
              <w:left w:val="nil"/>
              <w:right w:val="single" w:color="auto" w:sz="4" w:space="0"/>
            </w:tcBorders>
            <w:noWrap w:val="0"/>
            <w:vAlign w:val="center"/>
          </w:tcPr>
          <w:p>
            <w:pPr>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080" w:type="dxa"/>
            <w:vMerge w:val="continue"/>
            <w:tcBorders>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p>
        </w:tc>
        <w:tc>
          <w:tcPr>
            <w:tcW w:w="122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34"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2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总分</w:t>
            </w:r>
          </w:p>
        </w:tc>
        <w:tc>
          <w:tcPr>
            <w:tcW w:w="828"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sz w:val="20"/>
                <w:szCs w:val="20"/>
              </w:rPr>
            </w:pPr>
          </w:p>
        </w:tc>
        <w:tc>
          <w:tcPr>
            <w:tcW w:w="87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418"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bl>
    <w:p>
      <w:pPr>
        <w:rPr>
          <w:rFonts w:hint="default" w:ascii="Times New Roman" w:hAnsi="Times New Roman" w:eastAsia="仿宋_GB2312" w:cs="Times New Roman"/>
          <w:sz w:val="18"/>
          <w:szCs w:val="18"/>
        </w:rPr>
      </w:pPr>
    </w:p>
    <w:p>
      <w:pPr>
        <w:rPr>
          <w:rFonts w:hint="eastAsia" w:ascii="Times New Roman" w:hAnsi="Times New Roman" w:eastAsia="仿宋_GB2312" w:cs="Times New Roman"/>
          <w:sz w:val="18"/>
          <w:szCs w:val="18"/>
          <w:lang w:eastAsia="zh-CN"/>
        </w:rPr>
      </w:pPr>
      <w:r>
        <w:rPr>
          <w:rFonts w:hint="default" w:ascii="Times New Roman" w:hAnsi="Times New Roman" w:eastAsia="仿宋_GB2312" w:cs="Times New Roman"/>
          <w:sz w:val="18"/>
          <w:szCs w:val="18"/>
        </w:rPr>
        <w:t>备注：一个一级项目支出一张表。</w:t>
      </w:r>
      <w:r>
        <w:rPr>
          <w:rFonts w:hint="eastAsia" w:ascii="Times New Roman" w:hAnsi="Times New Roman" w:eastAsia="仿宋_GB2312" w:cs="Times New Roman"/>
          <w:sz w:val="18"/>
          <w:szCs w:val="18"/>
          <w:lang w:eastAsia="zh-CN"/>
        </w:rPr>
        <w:t>如，</w:t>
      </w:r>
      <w:r>
        <w:rPr>
          <w:rFonts w:hint="default" w:ascii="Times New Roman" w:hAnsi="Times New Roman" w:eastAsia="仿宋_GB2312" w:cs="Times New Roman"/>
          <w:sz w:val="18"/>
          <w:szCs w:val="18"/>
        </w:rPr>
        <w:t>业务工作经费</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rPr>
        <w:t>运行维护经费</w:t>
      </w:r>
      <w:r>
        <w:rPr>
          <w:rFonts w:hint="eastAsia" w:ascii="Times New Roman" w:hAnsi="Times New Roman" w:eastAsia="仿宋_GB2312" w:cs="Times New Roman"/>
          <w:sz w:val="18"/>
          <w:szCs w:val="18"/>
          <w:lang w:eastAsia="zh-CN"/>
        </w:rPr>
        <w:t>，其他事业发展类资金…各一张表。</w:t>
      </w:r>
    </w:p>
    <w:p>
      <w:pPr>
        <w:rPr>
          <w:rFonts w:hint="default" w:ascii="Times New Roman" w:hAnsi="Times New Roman" w:eastAsia="仿宋_GB2312" w:cs="Times New Roman"/>
          <w:szCs w:val="21"/>
        </w:rPr>
      </w:pPr>
    </w:p>
    <w:p>
      <w:pPr>
        <w:rPr>
          <w:rFonts w:hint="eastAsia" w:ascii="Times New Roman" w:hAnsi="Times New Roman" w:eastAsia="黑体" w:cs="Times New Roman"/>
          <w:sz w:val="32"/>
          <w:szCs w:val="32"/>
          <w:lang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成玲</w:t>
      </w:r>
      <w:r>
        <w:rPr>
          <w:rFonts w:hint="default" w:ascii="Times New Roman" w:hAnsi="Times New Roman" w:eastAsia="仿宋_GB2312" w:cs="Times New Roman"/>
          <w:sz w:val="22"/>
          <w:szCs w:val="22"/>
        </w:rPr>
        <w:t xml:space="preserve"> </w:t>
      </w:r>
      <w:r>
        <w:rPr>
          <w:rFonts w:hint="eastAsia" w:ascii="Times New Roman" w:hAnsi="Times New Roman" w:eastAsia="仿宋_GB2312" w:cs="Times New Roman"/>
          <w:sz w:val="22"/>
          <w:szCs w:val="22"/>
          <w:lang w:val="en-US" w:eastAsia="zh-CN"/>
        </w:rPr>
        <w:t xml:space="preserve"> </w:t>
      </w:r>
      <w:r>
        <w:rPr>
          <w:rFonts w:hint="default" w:ascii="Times New Roman" w:hAnsi="Times New Roman" w:eastAsia="仿宋_GB2312" w:cs="Times New Roman"/>
          <w:sz w:val="22"/>
          <w:szCs w:val="22"/>
        </w:rPr>
        <w:t xml:space="preserve">填报日期： </w:t>
      </w:r>
      <w:r>
        <w:rPr>
          <w:rFonts w:hint="eastAsia" w:ascii="Times New Roman" w:hAnsi="Times New Roman" w:eastAsia="仿宋_GB2312" w:cs="Times New Roman"/>
          <w:sz w:val="22"/>
          <w:szCs w:val="22"/>
          <w:lang w:val="en-US" w:eastAsia="zh-CN"/>
        </w:rPr>
        <w:t>2023.04.03</w:t>
      </w:r>
      <w:r>
        <w:rPr>
          <w:rFonts w:hint="default" w:ascii="Times New Roman" w:hAnsi="Times New Roman" w:eastAsia="仿宋_GB2312" w:cs="Times New Roman"/>
          <w:sz w:val="22"/>
          <w:szCs w:val="22"/>
        </w:rPr>
        <w:t xml:space="preserve"> </w:t>
      </w:r>
      <w:r>
        <w:rPr>
          <w:rFonts w:hint="eastAsia" w:ascii="Times New Roman" w:hAnsi="Times New Roman" w:eastAsia="仿宋_GB2312" w:cs="Times New Roman"/>
          <w:sz w:val="22"/>
          <w:szCs w:val="22"/>
          <w:lang w:val="en-US" w:eastAsia="zh-CN"/>
        </w:rPr>
        <w:t xml:space="preserve"> </w:t>
      </w:r>
      <w:r>
        <w:rPr>
          <w:rFonts w:hint="default" w:ascii="Times New Roman" w:hAnsi="Times New Roman" w:eastAsia="仿宋_GB2312" w:cs="Times New Roman"/>
          <w:sz w:val="22"/>
          <w:szCs w:val="22"/>
        </w:rPr>
        <w:t>联系电话：</w:t>
      </w:r>
      <w:r>
        <w:rPr>
          <w:rFonts w:hint="eastAsia" w:ascii="Times New Roman" w:hAnsi="Times New Roman" w:eastAsia="仿宋_GB2312" w:cs="Times New Roman"/>
          <w:sz w:val="22"/>
          <w:szCs w:val="22"/>
          <w:lang w:val="en-US" w:eastAsia="zh-CN"/>
        </w:rPr>
        <w:t>13973207777</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eastAsia="zh-CN"/>
        </w:rPr>
        <w:t>黄文胜</w:t>
      </w:r>
      <w:r>
        <w:rPr>
          <w:rFonts w:hint="default" w:ascii="Times New Roman" w:hAnsi="Times New Roman" w:eastAsia="仿宋_GB2312" w:cs="Times New Roman"/>
          <w:sz w:val="22"/>
          <w:szCs w:val="2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5</w:t>
      </w: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pStyle w:val="2"/>
        <w:rPr>
          <w:rFonts w:hint="default"/>
        </w:rPr>
      </w:pPr>
    </w:p>
    <w:p>
      <w:pPr>
        <w:rPr>
          <w:rFonts w:hint="default"/>
        </w:rPr>
      </w:pPr>
    </w:p>
    <w:p>
      <w:pPr>
        <w:pStyle w:val="2"/>
        <w:rPr>
          <w:rFonts w:hint="default"/>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jc w:val="center"/>
        <w:rPr>
          <w:rFonts w:hint="eastAsia" w:ascii="黑体" w:hAnsi="黑体" w:eastAsia="黑体" w:cs="黑体"/>
          <w:sz w:val="52"/>
          <w:szCs w:val="52"/>
        </w:rPr>
      </w:pPr>
      <w:r>
        <w:rPr>
          <w:rFonts w:hint="eastAsia" w:ascii="黑体" w:hAnsi="黑体" w:eastAsia="黑体" w:cs="黑体"/>
          <w:sz w:val="52"/>
          <w:szCs w:val="52"/>
        </w:rPr>
        <w:t>202</w:t>
      </w:r>
      <w:r>
        <w:rPr>
          <w:rFonts w:hint="eastAsia" w:ascii="黑体" w:hAnsi="黑体" w:eastAsia="黑体" w:cs="黑体"/>
          <w:sz w:val="52"/>
          <w:szCs w:val="52"/>
          <w:lang w:val="en-US" w:eastAsia="zh-CN"/>
        </w:rPr>
        <w:t>2</w:t>
      </w:r>
      <w:r>
        <w:rPr>
          <w:rFonts w:hint="eastAsia" w:ascii="黑体" w:hAnsi="黑体" w:eastAsia="黑体" w:cs="黑体"/>
          <w:sz w:val="52"/>
          <w:szCs w:val="52"/>
        </w:rPr>
        <w:t>年度</w:t>
      </w:r>
      <w:r>
        <w:rPr>
          <w:rFonts w:hint="eastAsia" w:ascii="黑体" w:hAnsi="黑体" w:eastAsia="黑体" w:cs="黑体"/>
          <w:sz w:val="52"/>
          <w:szCs w:val="52"/>
          <w:lang w:eastAsia="zh-CN"/>
        </w:rPr>
        <w:t>韶山毛泽东广场管理</w:t>
      </w:r>
      <w:r>
        <w:rPr>
          <w:rFonts w:hint="eastAsia" w:ascii="黑体" w:hAnsi="黑体" w:eastAsia="黑体" w:cs="黑体"/>
          <w:sz w:val="52"/>
          <w:szCs w:val="52"/>
        </w:rPr>
        <w:t>整体</w:t>
      </w:r>
    </w:p>
    <w:p>
      <w:pPr>
        <w:jc w:val="center"/>
        <w:rPr>
          <w:rFonts w:hint="eastAsia" w:ascii="黑体" w:hAnsi="黑体" w:eastAsia="黑体" w:cs="黑体"/>
          <w:sz w:val="52"/>
          <w:szCs w:val="52"/>
        </w:rPr>
      </w:pPr>
      <w:r>
        <w:rPr>
          <w:rFonts w:hint="eastAsia" w:ascii="黑体" w:hAnsi="黑体" w:eastAsia="黑体" w:cs="黑体"/>
          <w:sz w:val="52"/>
          <w:szCs w:val="52"/>
        </w:rPr>
        <w:t>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ind w:firstLine="640" w:firstLineChars="2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eastAsia" w:ascii="Times New Roman" w:hAnsi="Times New Roman" w:eastAsia="仿宋_GB2312" w:cs="Times New Roman"/>
          <w:sz w:val="32"/>
          <w:szCs w:val="32"/>
          <w:u w:val="single"/>
          <w:lang w:val="en-US" w:eastAsia="zh-CN"/>
        </w:rPr>
        <w:t>韶山毛泽东广场管理处</w:t>
      </w:r>
      <w:r>
        <w:rPr>
          <w:rFonts w:hint="default" w:ascii="Times New Roman" w:hAnsi="Times New Roman" w:eastAsia="仿宋_GB2312" w:cs="Times New Roman"/>
          <w:sz w:val="32"/>
          <w:szCs w:val="32"/>
          <w:u w:val="single"/>
        </w:rPr>
        <w:t>（盖章）</w:t>
      </w:r>
    </w:p>
    <w:p>
      <w:pPr>
        <w:spacing w:line="600" w:lineRule="exact"/>
        <w:ind w:firstLine="3200" w:firstLineChars="1000"/>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04</w:t>
      </w:r>
      <w:r>
        <w:rPr>
          <w:rFonts w:hint="default"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lang w:val="en-US" w:eastAsia="zh-CN"/>
        </w:rPr>
        <w:t>03</w:t>
      </w:r>
      <w:r>
        <w:rPr>
          <w:rFonts w:hint="default" w:ascii="Times New Roman" w:hAnsi="Times New Roman" w:eastAsia="楷体_GB2312" w:cs="Times New Roman"/>
          <w:sz w:val="32"/>
          <w:szCs w:val="32"/>
        </w:rPr>
        <w:t xml:space="preserve"> 日</w:t>
      </w:r>
    </w:p>
    <w:p>
      <w:pPr>
        <w:jc w:val="center"/>
        <w:rPr>
          <w:rFonts w:hint="default" w:ascii="Times New Roman" w:hAnsi="Times New Roman" w:eastAsia="黑体" w:cs="Times New Roman"/>
          <w:sz w:val="32"/>
          <w:szCs w:val="32"/>
        </w:rPr>
      </w:pP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jc w:val="center"/>
        <w:rPr>
          <w:rFonts w:hint="eastAsia" w:ascii="黑体" w:hAnsi="黑体" w:eastAsia="黑体" w:cs="黑体"/>
          <w:sz w:val="44"/>
          <w:szCs w:val="44"/>
        </w:rPr>
      </w:pPr>
      <w:r>
        <w:rPr>
          <w:rFonts w:hint="eastAsia" w:ascii="黑体" w:hAnsi="黑体" w:eastAsia="黑体" w:cs="黑体"/>
          <w:sz w:val="44"/>
          <w:szCs w:val="44"/>
        </w:rPr>
        <w:t>202</w:t>
      </w:r>
      <w:r>
        <w:rPr>
          <w:rFonts w:hint="eastAsia" w:ascii="黑体" w:hAnsi="黑体" w:eastAsia="黑体" w:cs="黑体"/>
          <w:sz w:val="44"/>
          <w:szCs w:val="44"/>
          <w:lang w:val="en-US" w:eastAsia="zh-CN"/>
        </w:rPr>
        <w:t>2</w:t>
      </w:r>
      <w:r>
        <w:rPr>
          <w:rFonts w:hint="eastAsia" w:ascii="黑体" w:hAnsi="黑体" w:eastAsia="黑体" w:cs="黑体"/>
          <w:sz w:val="44"/>
          <w:szCs w:val="44"/>
        </w:rPr>
        <w:t>年度</w:t>
      </w:r>
      <w:r>
        <w:rPr>
          <w:rFonts w:hint="eastAsia" w:ascii="黑体" w:hAnsi="黑体" w:eastAsia="黑体" w:cs="黑体"/>
          <w:sz w:val="44"/>
          <w:szCs w:val="44"/>
          <w:lang w:eastAsia="zh-CN"/>
        </w:rPr>
        <w:t>韶山毛泽东广场管理</w:t>
      </w:r>
      <w:r>
        <w:rPr>
          <w:rFonts w:hint="eastAsia" w:ascii="黑体" w:hAnsi="黑体" w:eastAsia="黑体" w:cs="黑体"/>
          <w:sz w:val="44"/>
          <w:szCs w:val="44"/>
        </w:rPr>
        <w:t>整体</w:t>
      </w:r>
    </w:p>
    <w:p>
      <w:pPr>
        <w:jc w:val="center"/>
        <w:rPr>
          <w:rFonts w:hint="eastAsia" w:ascii="黑体" w:hAnsi="黑体" w:eastAsia="黑体" w:cs="黑体"/>
          <w:sz w:val="44"/>
          <w:szCs w:val="44"/>
        </w:rPr>
      </w:pPr>
      <w:r>
        <w:rPr>
          <w:rFonts w:hint="eastAsia" w:ascii="黑体" w:hAnsi="黑体" w:eastAsia="黑体" w:cs="黑体"/>
          <w:sz w:val="44"/>
          <w:szCs w:val="44"/>
        </w:rPr>
        <w:t>支出绩效自评报告</w:t>
      </w:r>
    </w:p>
    <w:p>
      <w:pPr>
        <w:rPr>
          <w:rFonts w:hint="default" w:ascii="Times New Roman" w:hAnsi="Times New Roman" w:eastAsia="仿宋_GB2312" w:cs="Times New Roman"/>
          <w:sz w:val="32"/>
          <w:szCs w:val="32"/>
        </w:rPr>
      </w:pPr>
    </w:p>
    <w:p>
      <w:pPr>
        <w:ind w:firstLine="640" w:firstLineChars="200"/>
        <w:rPr>
          <w:rFonts w:hint="default" w:ascii="Times New Roman" w:hAnsi="Times New Roman" w:eastAsia="黑体" w:cs="Times New Roman"/>
          <w:sz w:val="32"/>
          <w:szCs w:val="32"/>
        </w:rPr>
      </w:pPr>
    </w:p>
    <w:p>
      <w:pPr>
        <w:pStyle w:val="10"/>
        <w:spacing w:afterLines="0" w:line="520" w:lineRule="exact"/>
        <w:ind w:left="0" w:leftChars="0"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单位基本情况</w:t>
      </w:r>
    </w:p>
    <w:p>
      <w:pPr>
        <w:spacing w:line="600" w:lineRule="exact"/>
        <w:ind w:firstLine="643"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1．单位的主要职能：</w:t>
      </w:r>
      <w:r>
        <w:rPr>
          <w:rFonts w:hint="eastAsia" w:ascii="Times New Roman" w:hAnsi="Times New Roman" w:eastAsia="仿宋_GB2312" w:cs="Times New Roman"/>
          <w:sz w:val="32"/>
          <w:szCs w:val="32"/>
          <w:lang w:val="en-US" w:eastAsia="zh-CN"/>
        </w:rPr>
        <w:t>负责来韶瞻仰主席铜像的重宾和游客的接待服务工作、负责毛泽东同志铜像及广场设施设备、花草苗木的保护和管理工作。</w:t>
      </w:r>
      <w:r>
        <w:rPr>
          <w:rFonts w:hint="eastAsia" w:ascii="Times New Roman" w:hAnsi="Times New Roman" w:eastAsia="仿宋_GB2312" w:cs="Times New Roman"/>
          <w:b/>
          <w:bCs/>
          <w:sz w:val="32"/>
          <w:szCs w:val="32"/>
          <w:lang w:val="en-US" w:eastAsia="zh-CN"/>
        </w:rPr>
        <w:t>2．机构情况：</w:t>
      </w:r>
      <w:r>
        <w:rPr>
          <w:rFonts w:hint="eastAsia" w:ascii="Times New Roman" w:hAnsi="Times New Roman" w:eastAsia="仿宋_GB2312" w:cs="Times New Roman"/>
          <w:sz w:val="32"/>
          <w:szCs w:val="32"/>
          <w:lang w:val="en-US" w:eastAsia="zh-CN"/>
        </w:rPr>
        <w:t>韶山毛泽东广场管理处是经省委同意和省编办批准新设立的全额拨款事业单位，省编办以湘编办函【2008】64号文件对韶山毛泽东广场管理处的名称及编制给予了确认。下设办公室、游客服务部、保安保洁部、园林管理部四个职能部室。</w:t>
      </w:r>
      <w:r>
        <w:rPr>
          <w:rFonts w:hint="eastAsia" w:ascii="Times New Roman" w:hAnsi="Times New Roman" w:eastAsia="仿宋_GB2312" w:cs="Times New Roman"/>
          <w:b/>
          <w:bCs/>
          <w:sz w:val="32"/>
          <w:szCs w:val="32"/>
          <w:lang w:val="en-US" w:eastAsia="zh-CN"/>
        </w:rPr>
        <w:t>3．人员情况：</w:t>
      </w:r>
      <w:r>
        <w:rPr>
          <w:rFonts w:hint="eastAsia" w:ascii="Times New Roman" w:hAnsi="Times New Roman" w:eastAsia="仿宋_GB2312" w:cs="Times New Roman"/>
          <w:sz w:val="32"/>
          <w:szCs w:val="32"/>
          <w:lang w:val="en-US" w:eastAsia="zh-CN"/>
        </w:rPr>
        <w:t xml:space="preserve"> 核定编制15名,现有正式在职职工13人，退休职工2人，聘用员工40人，外聘保安人员21人，外聘保洁人员16人,外聘绿化养护人员7人。</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二、一般公共预算支出情况</w:t>
      </w:r>
    </w:p>
    <w:p>
      <w:pPr>
        <w:spacing w:afterLines="0" w:line="52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（一）基本支出情况</w:t>
      </w:r>
    </w:p>
    <w:p>
      <w:pPr>
        <w:spacing w:line="600" w:lineRule="exact"/>
        <w:ind w:firstLine="640" w:firstLineChars="200"/>
        <w:jc w:val="both"/>
        <w:rPr>
          <w:rFonts w:hint="default" w:ascii="Times New Roman" w:hAnsi="Times New Roman" w:eastAsia="楷体_GB2312" w:cs="Times New Roman"/>
          <w:b/>
          <w:sz w:val="32"/>
          <w:szCs w:val="32"/>
        </w:rPr>
      </w:pPr>
      <w:r>
        <w:rPr>
          <w:rFonts w:hint="eastAsia" w:ascii="Times New Roman" w:hAnsi="Times New Roman" w:eastAsia="仿宋_GB2312" w:cs="Times New Roman"/>
          <w:sz w:val="32"/>
          <w:szCs w:val="32"/>
          <w:lang w:val="en-US" w:eastAsia="zh-CN"/>
        </w:rPr>
        <w:t>为贯彻落实节约、降低一般运行经费的要求，根据财政厅的相关政策文件规定，我处制订了财务管理制度、固定资产管理办法、物资采购管理办法等等相关制度，加强部门资金的使用管理，坚持勤俭节约，反对奢侈浪费，按制度办事，确保每一分钱都落到实处。基本支出主要用于发放人员工资、办公支出，2022年度共支出266.38万元：其中基本支出中工资福利支出196.68万元、商品和服务支出69.7万元。</w:t>
      </w:r>
    </w:p>
    <w:p>
      <w:pPr>
        <w:spacing w:afterLines="0" w:line="520" w:lineRule="exact"/>
        <w:ind w:firstLine="643" w:firstLineChars="200"/>
        <w:rPr>
          <w:rFonts w:hint="default" w:ascii="Times New Roman" w:hAnsi="Times New Roman" w:eastAsia="楷体_GB2312" w:cs="Times New Roman"/>
          <w:b/>
          <w:sz w:val="32"/>
          <w:szCs w:val="32"/>
        </w:rPr>
      </w:pPr>
      <w:r>
        <w:rPr>
          <w:rFonts w:hint="eastAsia"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val="en-US" w:eastAsia="zh-CN"/>
        </w:rPr>
        <w:t>二</w:t>
      </w:r>
      <w:r>
        <w:rPr>
          <w:rFonts w:hint="eastAsia"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项目支出情况</w:t>
      </w:r>
    </w:p>
    <w:p>
      <w:pPr>
        <w:pStyle w:val="11"/>
        <w:widowControl/>
        <w:numPr>
          <w:ilvl w:val="0"/>
          <w:numId w:val="0"/>
        </w:numPr>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2022年度无项目支出。</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政府性基金预算支出情况</w:t>
      </w:r>
    </w:p>
    <w:p>
      <w:pPr>
        <w:pStyle w:val="11"/>
        <w:widowControl/>
        <w:numPr>
          <w:ilvl w:val="0"/>
          <w:numId w:val="0"/>
        </w:numPr>
        <w:spacing w:line="600" w:lineRule="exact"/>
        <w:ind w:firstLine="640" w:firstLineChars="20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2022年度无政府性基金预算支出。</w:t>
      </w:r>
    </w:p>
    <w:p>
      <w:pPr>
        <w:pStyle w:val="10"/>
        <w:spacing w:afterLines="0" w:line="520" w:lineRule="exact"/>
        <w:ind w:left="0" w:leftChars="0"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val="en-US" w:eastAsia="zh-CN"/>
        </w:rPr>
        <w:t>国有资本经营预算支出情况</w:t>
      </w:r>
      <w:r>
        <w:rPr>
          <w:rFonts w:hint="eastAsia" w:ascii="Times New Roman" w:hAnsi="Times New Roman" w:eastAsia="黑体" w:cs="Times New Roman"/>
          <w:sz w:val="32"/>
          <w:szCs w:val="32"/>
          <w:lang w:val="en-US" w:eastAsia="zh-CN"/>
        </w:rPr>
        <w:t>。</w:t>
      </w:r>
    </w:p>
    <w:p>
      <w:pPr>
        <w:pStyle w:val="11"/>
        <w:widowControl/>
        <w:numPr>
          <w:ilvl w:val="0"/>
          <w:numId w:val="0"/>
        </w:numPr>
        <w:spacing w:line="600" w:lineRule="exact"/>
        <w:ind w:firstLine="640" w:firstLineChars="20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2022年度无国有资本经营预算支出。</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社会保险基金预算支出情况</w:t>
      </w:r>
    </w:p>
    <w:p>
      <w:pPr>
        <w:pStyle w:val="11"/>
        <w:widowControl/>
        <w:numPr>
          <w:ilvl w:val="0"/>
          <w:numId w:val="0"/>
        </w:numPr>
        <w:spacing w:line="600" w:lineRule="exact"/>
        <w:ind w:firstLine="640" w:firstLineChars="20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2022年度无社会保险基金预算支出。</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六、部门整体支出绩效情况</w:t>
      </w:r>
    </w:p>
    <w:p>
      <w:pPr>
        <w:spacing w:line="60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整体支出规模、使用方向和主要内容、涉及范围主要是：人员工资的支出、主席铜像的维护和保养、广场园林绿化及花卉摆放、广场的安全保卫、广场的日常保洁、广场硬化设施的维护和管理、水、电费用的支出、网络高清监控设施的支出、其他费用等。2022年我处实际完成支出907.62万元，其中人员经费支出196.68万元、日常公用经费支出710.94万元；全年没有发生“三公经费”支出，与上年持平。加大综治维稳资金投入，全年共投入180余万元安保经费，其中保安人员费用140万，设备添置维护保养20万，各种临时安保人员费用20万余元；坚持人防、物防、技防相结合，升级完善广场主入口、人行道路口、绿化带、迎宾桥路口等相关设施；</w:t>
      </w:r>
      <w:r>
        <w:rPr>
          <w:rFonts w:hint="default" w:ascii="Times New Roman" w:hAnsi="Times New Roman" w:eastAsia="仿宋_GB2312" w:cs="Times New Roman"/>
          <w:kern w:val="2"/>
          <w:sz w:val="32"/>
          <w:szCs w:val="32"/>
          <w:lang w:val="en-US" w:eastAsia="zh-CN" w:bidi="ar-SA"/>
        </w:rPr>
        <w:t>参加消防安全知识培训1次和森林火灾应急演练1次，</w:t>
      </w:r>
      <w:r>
        <w:rPr>
          <w:rFonts w:hint="eastAsia" w:ascii="Times New Roman" w:hAnsi="Times New Roman" w:eastAsia="仿宋_GB2312" w:cs="Times New Roman"/>
          <w:kern w:val="2"/>
          <w:sz w:val="32"/>
          <w:szCs w:val="32"/>
          <w:lang w:val="en-US" w:eastAsia="zh-CN" w:bidi="ar-SA"/>
        </w:rPr>
        <w:t>承办局市反恐演习1次，</w:t>
      </w:r>
      <w:r>
        <w:rPr>
          <w:rFonts w:hint="default" w:ascii="Times New Roman" w:hAnsi="Times New Roman" w:eastAsia="仿宋_GB2312" w:cs="Times New Roman"/>
          <w:kern w:val="2"/>
          <w:sz w:val="32"/>
          <w:szCs w:val="32"/>
          <w:lang w:val="en-US" w:eastAsia="zh-CN" w:bidi="ar-SA"/>
        </w:rPr>
        <w:t>聘请湖南省消协教官开展</w:t>
      </w:r>
      <w:r>
        <w:rPr>
          <w:rFonts w:hint="eastAsia" w:ascii="Times New Roman" w:hAnsi="Times New Roman" w:eastAsia="仿宋_GB2312" w:cs="Times New Roman"/>
          <w:kern w:val="2"/>
          <w:sz w:val="32"/>
          <w:szCs w:val="32"/>
          <w:lang w:val="en-US" w:eastAsia="zh-CN" w:bidi="ar-SA"/>
        </w:rPr>
        <w:t>2</w:t>
      </w:r>
      <w:r>
        <w:rPr>
          <w:rFonts w:hint="default" w:ascii="Times New Roman" w:hAnsi="Times New Roman" w:eastAsia="仿宋_GB2312" w:cs="Times New Roman"/>
          <w:kern w:val="2"/>
          <w:sz w:val="32"/>
          <w:szCs w:val="32"/>
          <w:lang w:val="en-US" w:eastAsia="zh-CN" w:bidi="ar-SA"/>
        </w:rPr>
        <w:t>次消防培训</w:t>
      </w:r>
      <w:r>
        <w:rPr>
          <w:rFonts w:hint="eastAsia" w:ascii="Times New Roman" w:hAnsi="Times New Roman" w:eastAsia="仿宋_GB2312" w:cs="Times New Roman"/>
          <w:kern w:val="2"/>
          <w:sz w:val="32"/>
          <w:szCs w:val="32"/>
          <w:lang w:val="en-US" w:eastAsia="zh-CN" w:bidi="ar-SA"/>
        </w:rPr>
        <w:t>，实际操练1次，重要时期实行全封闭安检管理，如主席诞辰日、春节除夕重大时间节点，全时段禁止非法照相、喊客、拉客，维护广场瞻仰秩序，树立</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平安广场、和谐广场</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良好形象。</w:t>
      </w:r>
    </w:p>
    <w:p>
      <w:pPr>
        <w:spacing w:line="60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完善广场基础设施，推进广场公共厕所提质改造、绿化带建设，推进广场休闲区景观灯改造，更换音响设施设备，持续抓好广场环卫净化工作。今年以来，完成广场绿化枯枝修剪及苗木防寒防冻和罗汉松、玉龙草的定期养护、花坛花卉更换等工作，加强对园林绿化喷药杀虫、修建整形；改善广场残疾通道护栏及瞻仰区岗亭，更换红日饭店道闸，对游步道进行防滑处理；广场入口前坪大面积沉塌积水修复，广场入口新增广场铭牌石，原建设铭牌石移位；及时对办公区域、儿童桥水坝闸门、监控室设施检质维修，营造优良的旅游环境，有效提升景区品质。</w:t>
      </w:r>
    </w:p>
    <w:p>
      <w:pPr>
        <w:spacing w:line="600" w:lineRule="exact"/>
        <w:ind w:firstLine="640" w:firstLineChars="20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挖掘红色文化内涵，充分利用红色教育资源，推进“党性教育+主题陈展+研学旅行”深度融合，有效提升教育功能；支持在景区开展多种形式的文化汇演，塑造共建共享共创文化发展新格局；净化旅游环境和风貌，做好旅游环境整顿、环境卫生工作，合理引导景观绿化、灯光照明、公共设施等要素管控；推进游客休闲廊道建设，实现广场旅游环境有机更新，优化旅游服务体验。</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七、存在的问题及原因分析</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预算编制是根据单位可预见的工作任务，确定单位预算目标，但是在实际过程中，个别时候可能与预算执行存在偏差。</w:t>
      </w:r>
    </w:p>
    <w:p>
      <w:pPr>
        <w:pStyle w:val="10"/>
        <w:spacing w:afterLines="0" w:line="520" w:lineRule="exact"/>
        <w:ind w:left="0" w:leftChars="0"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lang w:val="en-US" w:eastAsia="zh-CN"/>
        </w:rPr>
        <w:t>下一步改进措施</w:t>
      </w:r>
    </w:p>
    <w:p>
      <w:pPr>
        <w:widowControl/>
        <w:spacing w:line="600" w:lineRule="exact"/>
        <w:ind w:firstLine="640" w:firstLineChars="200"/>
        <w:jc w:val="left"/>
        <w:rPr>
          <w:rFonts w:hint="default"/>
        </w:rPr>
      </w:pPr>
      <w:r>
        <w:rPr>
          <w:rFonts w:hint="eastAsia" w:ascii="Times New Roman" w:hAnsi="Times New Roman" w:eastAsia="仿宋_GB2312" w:cs="Times New Roman"/>
          <w:sz w:val="32"/>
          <w:szCs w:val="32"/>
          <w:lang w:val="en-US" w:eastAsia="zh-CN"/>
        </w:rPr>
        <w:t>合理编制全年预算资金，尽量做到预决算数据一致。</w:t>
      </w:r>
    </w:p>
    <w:p>
      <w:pPr>
        <w:widowControl/>
        <w:numPr>
          <w:ilvl w:val="0"/>
          <w:numId w:val="0"/>
        </w:numPr>
        <w:spacing w:line="600" w:lineRule="exact"/>
        <w:ind w:firstLine="640" w:firstLineChars="200"/>
        <w:jc w:val="left"/>
        <w:rPr>
          <w:rFonts w:hint="default"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九、</w:t>
      </w:r>
      <w:r>
        <w:rPr>
          <w:rFonts w:hint="default" w:ascii="Times New Roman" w:hAnsi="Times New Roman" w:eastAsia="黑体" w:cs="Times New Roman"/>
          <w:kern w:val="2"/>
          <w:sz w:val="32"/>
          <w:szCs w:val="32"/>
          <w:lang w:val="en-US" w:eastAsia="zh-CN" w:bidi="ar-SA"/>
        </w:rPr>
        <w:t>部门整体支出绩效自评结果拟应用和公开情况</w:t>
      </w:r>
    </w:p>
    <w:p>
      <w:pPr>
        <w:widowControl/>
        <w:spacing w:line="600" w:lineRule="exact"/>
        <w:ind w:firstLine="640" w:firstLineChars="200"/>
        <w:jc w:val="left"/>
        <w:rPr>
          <w:rFonts w:hint="default"/>
        </w:rPr>
      </w:pPr>
      <w:r>
        <w:rPr>
          <w:rFonts w:hint="eastAsia" w:ascii="Times New Roman" w:hAnsi="Times New Roman" w:eastAsia="仿宋_GB2312" w:cs="Times New Roman"/>
          <w:sz w:val="32"/>
          <w:szCs w:val="32"/>
          <w:lang w:val="en-US" w:eastAsia="zh-CN"/>
        </w:rPr>
        <w:t>单位内部公开通报，我处2022年度部门整体支出绩效自评得分92分。</w:t>
      </w:r>
    </w:p>
    <w:p>
      <w:pPr>
        <w:widowControl/>
        <w:numPr>
          <w:ilvl w:val="0"/>
          <w:numId w:val="0"/>
        </w:numPr>
        <w:spacing w:line="600" w:lineRule="exact"/>
        <w:ind w:firstLine="640" w:firstLineChars="200"/>
        <w:jc w:val="left"/>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其他需要说明的情况</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无。</w:t>
      </w:r>
    </w:p>
    <w:p>
      <w:pPr>
        <w:widowControl/>
        <w:spacing w:line="600" w:lineRule="exact"/>
        <w:ind w:firstLine="645"/>
        <w:jc w:val="left"/>
        <w:rPr>
          <w:rFonts w:hint="default" w:ascii="Times New Roman" w:hAnsi="Times New Roman" w:eastAsia="仿宋_GB2312" w:cs="Times New Roman"/>
          <w:sz w:val="32"/>
          <w:szCs w:val="32"/>
        </w:rPr>
      </w:pPr>
    </w:p>
    <w:p>
      <w:pPr>
        <w:pStyle w:val="2"/>
        <w:rPr>
          <w:rFonts w:hint="default" w:ascii="Times New Roman" w:hAnsi="Times New Roman" w:eastAsia="仿宋_GB2312" w:cs="Times New Roman"/>
          <w:sz w:val="32"/>
          <w:szCs w:val="32"/>
        </w:rPr>
      </w:pPr>
    </w:p>
    <w:p>
      <w:pPr>
        <w:rPr>
          <w:rFonts w:hint="default"/>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widowControl/>
        <w:jc w:val="left"/>
        <w:rPr>
          <w:rFonts w:hint="default" w:ascii="Times New Roman" w:hAnsi="Times New Roman" w:eastAsia="黑体" w:cs="Times New Roman"/>
          <w:kern w:val="0"/>
          <w:sz w:val="32"/>
          <w:szCs w:val="32"/>
        </w:rPr>
      </w:pPr>
    </w:p>
    <w:p/>
    <w:sectPr>
      <w:headerReference r:id="rId3" w:type="default"/>
      <w:footerReference r:id="rId4" w:type="default"/>
      <w:footerReference r:id="rId5" w:type="even"/>
      <w:pgSz w:w="11905" w:h="16837"/>
      <w:pgMar w:top="1418" w:right="1588" w:bottom="1418" w:left="1588" w:header="720" w:footer="1701" w:gutter="0"/>
      <w:pgBorders>
        <w:top w:val="none" w:sz="0" w:space="0"/>
        <w:left w:val="none" w:sz="0" w:space="0"/>
        <w:bottom w:val="none" w:sz="0" w:space="0"/>
        <w:right w:val="none" w:sz="0" w:space="0"/>
      </w:pgBorders>
      <w:pgNumType w:start="1"/>
      <w:cols w:space="720" w:num="1"/>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8"/>
        <w:szCs w:val="28"/>
      </w:rPr>
    </w:pPr>
    <w:r>
      <w:rPr>
        <w:rStyle w:val="8"/>
        <w:rFonts w:hint="eastAsia" w:cs="宋体"/>
      </w:rPr>
      <w:t>—</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1</w:t>
    </w:r>
    <w:r>
      <w:rPr>
        <w:sz w:val="28"/>
        <w:szCs w:val="28"/>
      </w:rPr>
      <w:fldChar w:fldCharType="end"/>
    </w:r>
    <w:r>
      <w:rPr>
        <w:rStyle w:val="8"/>
        <w:rFonts w:hint="eastAsia" w:cs="宋体"/>
      </w:rPr>
      <w:t>—</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separate"/>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MDMzMWE0ZmVhNjFhZDRmZjc3MjRmMGNmZmM5YjkifQ=="/>
  </w:docVars>
  <w:rsids>
    <w:rsidRoot w:val="00000000"/>
    <w:rsid w:val="00CB77BE"/>
    <w:rsid w:val="00FE4037"/>
    <w:rsid w:val="0BE8391A"/>
    <w:rsid w:val="0DB85319"/>
    <w:rsid w:val="100D394F"/>
    <w:rsid w:val="256040C9"/>
    <w:rsid w:val="258620CE"/>
    <w:rsid w:val="289D2046"/>
    <w:rsid w:val="28FB2A87"/>
    <w:rsid w:val="2ECB771A"/>
    <w:rsid w:val="375E2940"/>
    <w:rsid w:val="37C7514A"/>
    <w:rsid w:val="39535FC7"/>
    <w:rsid w:val="3BB24055"/>
    <w:rsid w:val="3EAB0813"/>
    <w:rsid w:val="3F60375A"/>
    <w:rsid w:val="45887EDC"/>
    <w:rsid w:val="4612698D"/>
    <w:rsid w:val="464780FE"/>
    <w:rsid w:val="48D367DD"/>
    <w:rsid w:val="4C286E40"/>
    <w:rsid w:val="4E1A7B81"/>
    <w:rsid w:val="52811E39"/>
    <w:rsid w:val="562B1C75"/>
    <w:rsid w:val="5AE124F0"/>
    <w:rsid w:val="5BE7260B"/>
    <w:rsid w:val="5C6A0DAE"/>
    <w:rsid w:val="5EBB1D95"/>
    <w:rsid w:val="6FB82A2E"/>
    <w:rsid w:val="75E73C4E"/>
    <w:rsid w:val="77B5084D"/>
    <w:rsid w:val="78243355"/>
    <w:rsid w:val="7CDE6F23"/>
    <w:rsid w:val="7E362E35"/>
    <w:rsid w:val="7EF32394"/>
    <w:rsid w:val="7F13245B"/>
    <w:rsid w:val="DF95B873"/>
    <w:rsid w:val="FEAFC6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60" w:after="60"/>
      <w:jc w:val="left"/>
      <w:outlineLvl w:val="2"/>
    </w:pPr>
    <w:rPr>
      <w:rFonts w:ascii="Calibri Light" w:hAnsi="Calibri Light" w:eastAsia="宋体" w:cs="Times New Roman"/>
      <w:b/>
      <w:bCs/>
      <w:sz w:val="28"/>
      <w:szCs w:val="32"/>
    </w:rPr>
  </w:style>
  <w:style w:type="paragraph" w:styleId="3">
    <w:name w:val="Body Text"/>
    <w:basedOn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表格内容"/>
    <w:basedOn w:val="3"/>
    <w:qFormat/>
    <w:uiPriority w:val="0"/>
    <w:pPr>
      <w:suppressLineNumbers/>
      <w:suppressAutoHyphens/>
      <w:jc w:val="left"/>
    </w:pPr>
    <w:rPr>
      <w:rFonts w:cs="Tahoma"/>
      <w:kern w:val="0"/>
      <w:sz w:val="24"/>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99"/>
    <w:pPr>
      <w:ind w:firstLine="420" w:firstLineChars="200"/>
    </w:pPr>
    <w:rPr>
      <w:rFonts w:ascii="Calibri" w:hAnsi="Calibri"/>
      <w:szCs w:val="22"/>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3092</Words>
  <Characters>3388</Characters>
  <Lines>0</Lines>
  <Paragraphs>0</Paragraphs>
  <TotalTime>5</TotalTime>
  <ScaleCrop>false</ScaleCrop>
  <LinksUpToDate>false</LinksUpToDate>
  <CharactersWithSpaces>3755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Administrator</cp:lastModifiedBy>
  <dcterms:modified xsi:type="dcterms:W3CDTF">2023-09-15T02:20:39Z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9B9AE461265F4B088187028D32412754_13</vt:lpwstr>
  </property>
</Properties>
</file>