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1"/>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pt;margin-top:-23.4pt;height:40.75pt;width:119.95pt;z-index:251659264;mso-width-relative:page;mso-height-relative:page;" fillcolor="#FFFFFF [3201]" filled="t" stroked="f" coordsize="21600,21600" o:gfxdata="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vAmUNYAAAAK&#10;AQAADwAAAAAAAAABACAAAAAiAAAAZHJzL2Rvd25yZXYueG1sUEsBAhQAFAAAAAgAh07iQEe/k8dX&#10;AgAAmgQAAA4AAAAAAAAAAQAgAAAAJQEAAGRycy9lMm9Eb2MueG1sUEsFBgAAAAAGAAYAWQEAAO4F&#10;AAAAAA==&#10;">
                <v:fill on="t" focussize="0,0"/>
                <v:stroke on="f" weight="0.5pt"/>
                <v:imagedata o:title=""/>
                <o:lock v:ext="edit" aspectratio="f"/>
                <v:textbox>
                  <w:txbxContent>
                    <w:p>
                      <w:pPr>
                        <w:rPr>
                          <w:rFonts w:hint="eastAsia" w:ascii="楷体" w:hAnsi="楷体" w:eastAsia="楷体" w:cs="楷体"/>
                          <w:sz w:val="30"/>
                          <w:szCs w:val="30"/>
                          <w:lang w:val="en-US" w:eastAsia="zh-CN"/>
                        </w:rPr>
                      </w:pPr>
                      <w:r>
                        <w:rPr>
                          <w:rFonts w:hint="eastAsia" w:ascii="楷体" w:hAnsi="楷体" w:eastAsia="楷体" w:cs="楷体"/>
                          <w:sz w:val="30"/>
                          <w:szCs w:val="30"/>
                          <w:lang w:eastAsia="zh-CN"/>
                        </w:rPr>
                        <w:t>附件</w:t>
                      </w:r>
                      <w:r>
                        <w:rPr>
                          <w:rFonts w:hint="eastAsia" w:ascii="楷体" w:hAnsi="楷体" w:eastAsia="楷体" w:cs="楷体"/>
                          <w:sz w:val="30"/>
                          <w:szCs w:val="30"/>
                          <w:lang w:val="en-US" w:eastAsia="zh-CN"/>
                        </w:rPr>
                        <w:t>2：</w:t>
                      </w:r>
                    </w:p>
                  </w:txbxContent>
                </v:textbox>
              </v:shape>
            </w:pict>
          </mc:Fallback>
        </mc:AlternateContent>
      </w: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韶山毛泽东图书馆</w:t>
      </w:r>
      <w:r>
        <w:rPr>
          <w:rFonts w:hint="eastAsia" w:ascii="方正小标宋_GBK" w:hAnsi="方正小标宋_GBK" w:eastAsia="方正小标宋_GBK" w:cs="方正小标宋_GBK"/>
          <w:sz w:val="84"/>
          <w:szCs w:val="84"/>
        </w:rPr>
        <w:t>决算</w:t>
      </w:r>
    </w:p>
    <w:p>
      <w:pPr>
        <w:pStyle w:val="9"/>
        <w:jc w:val="center"/>
        <w:rPr>
          <w:rFonts w:hint="eastAsia" w:ascii="方正小标宋_GBK" w:hAnsi="方正小标宋_GBK" w:eastAsia="方正小标宋_GBK" w:cs="方正小标宋_GBK"/>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both"/>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韶山毛泽东图书馆</w:t>
      </w:r>
      <w:r>
        <w:rPr>
          <w:rFonts w:hint="eastAsia" w:ascii="黑体" w:hAnsi="黑体" w:eastAsia="黑体" w:cs="黑体"/>
          <w:b w:val="0"/>
          <w:bCs/>
          <w:sz w:val="28"/>
          <w:szCs w:val="28"/>
        </w:rPr>
        <w:t>概况</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9"/>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9"/>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9"/>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9"/>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韶山毛泽东图书馆</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numPr>
          <w:ilvl w:val="0"/>
          <w:numId w:val="0"/>
        </w:numPr>
        <w:spacing w:line="600" w:lineRule="exact"/>
        <w:ind w:firstLine="640" w:firstLineChars="200"/>
        <w:rPr>
          <w:rFonts w:hint="eastAsia" w:asciiTheme="minorEastAsia" w:hAnsiTheme="minorEastAsia"/>
          <w:bCs/>
          <w:kern w:val="0"/>
          <w:sz w:val="32"/>
          <w:szCs w:val="32"/>
          <w:lang w:eastAsia="zh-CN"/>
        </w:rPr>
      </w:pPr>
      <w:r>
        <w:rPr>
          <w:rFonts w:hint="eastAsia" w:asciiTheme="minorEastAsia" w:hAnsiTheme="minorEastAsia"/>
          <w:bCs/>
          <w:kern w:val="0"/>
          <w:sz w:val="32"/>
          <w:szCs w:val="32"/>
          <w:lang w:eastAsia="zh-CN"/>
        </w:rPr>
        <w:t>主要职能：韶山毛泽东图书馆主要收藏、研究和展示各种版本毛泽东著作、毛泽东批阅过的书刊杂志、研究毛泽东生平与思想的文章、著作、文献及影像资料，旨在建成“毛泽东思想研究资料中心”。</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320" w:firstLineChars="100"/>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numPr>
          <w:ilvl w:val="0"/>
          <w:numId w:val="0"/>
        </w:numPr>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lang w:eastAsia="zh-CN"/>
        </w:rPr>
        <w:t>韶山毛泽东图书馆</w:t>
      </w:r>
      <w:r>
        <w:rPr>
          <w:rFonts w:hint="eastAsia" w:asciiTheme="minorEastAsia" w:hAnsiTheme="minorEastAsia"/>
          <w:bCs/>
          <w:kern w:val="0"/>
          <w:sz w:val="32"/>
          <w:szCs w:val="32"/>
        </w:rPr>
        <w:t>内设机构包括：办公室、采编部、研究室、读者服务部、数字资源发展部五个部室。</w:t>
      </w:r>
    </w:p>
    <w:p>
      <w:pPr>
        <w:widowControl/>
        <w:numPr>
          <w:ilvl w:val="0"/>
          <w:numId w:val="0"/>
        </w:numPr>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lang w:val="en-US" w:eastAsia="zh-CN"/>
        </w:rPr>
        <w:t xml:space="preserve">  （二）</w:t>
      </w: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lang w:eastAsia="zh-CN"/>
        </w:rPr>
        <w:t>韶山毛泽东图书馆</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2</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eastAsia="zh-CN"/>
        </w:rPr>
        <w:t>韶山毛泽东图书馆</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9"/>
        <w:jc w:val="center"/>
        <w:rPr>
          <w:rFonts w:hint="eastAsia" w:ascii="方正小标宋_GBK" w:hAnsi="方正小标宋_GBK" w:eastAsia="方正小标宋_GBK" w:cs="方正小标宋_GBK"/>
          <w:sz w:val="84"/>
          <w:szCs w:val="84"/>
        </w:rPr>
      </w:pPr>
    </w:p>
    <w:p>
      <w:pPr>
        <w:pStyle w:val="9"/>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lang w:val="en-US" w:eastAsia="zh-CN"/>
        </w:rPr>
        <w:t>七</w:t>
      </w:r>
      <w:r>
        <w:rPr>
          <w:rFonts w:cs="仿宋_GB2312" w:asciiTheme="minorEastAsia" w:hAnsiTheme="minorEastAsia" w:eastAsiaTheme="minorEastAsia"/>
          <w:sz w:val="28"/>
          <w:szCs w:val="28"/>
        </w:rPr>
        <w:t>、政府性基金预算财政拨款收入支出决算表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lang w:val="en-US" w:eastAsia="zh-CN"/>
        </w:rPr>
        <w:t>八</w:t>
      </w:r>
      <w:r>
        <w:rPr>
          <w:rFonts w:hint="eastAsia" w:cs="仿宋_GB2312" w:asciiTheme="minorEastAsia" w:hAnsiTheme="minorEastAsia" w:eastAsiaTheme="minorEastAsia"/>
          <w:sz w:val="28"/>
          <w:szCs w:val="28"/>
        </w:rPr>
        <w:t>、国有资本经营预算财政拨款支出决算表</w:t>
      </w:r>
    </w:p>
    <w:p>
      <w:pPr>
        <w:pStyle w:val="9"/>
        <w:spacing w:line="500" w:lineRule="exact"/>
        <w:ind w:firstLine="700" w:firstLineChars="250"/>
        <w:rPr>
          <w:rFonts w:hint="eastAsia" w:asciiTheme="minorEastAsia" w:hAnsiTheme="minorEastAsia" w:eastAsiaTheme="minorEastAsia"/>
          <w:sz w:val="32"/>
          <w:szCs w:val="32"/>
          <w:lang w:val="en-US" w:eastAsia="zh-CN"/>
        </w:rPr>
        <w:sectPr>
          <w:pgSz w:w="11906" w:h="16838"/>
          <w:pgMar w:top="720" w:right="720" w:bottom="720" w:left="720" w:header="851" w:footer="992" w:gutter="0"/>
          <w:cols w:space="425" w:num="1"/>
          <w:docGrid w:type="lines" w:linePitch="312" w:charSpace="0"/>
        </w:sectPr>
      </w:pPr>
      <w:r>
        <w:rPr>
          <w:rFonts w:hint="eastAsia" w:cs="仿宋_GB2312" w:asciiTheme="minorEastAsia" w:hAnsiTheme="minorEastAsia" w:eastAsiaTheme="minorEastAsia"/>
          <w:sz w:val="28"/>
          <w:szCs w:val="28"/>
          <w:lang w:val="en-US" w:eastAsia="zh-CN"/>
        </w:rPr>
        <w:t>九</w:t>
      </w:r>
      <w:r>
        <w:rPr>
          <w:rFonts w:cs="仿宋_GB2312" w:asciiTheme="minorEastAsia" w:hAnsiTheme="minorEastAsia" w:eastAsiaTheme="minorEastAsia"/>
          <w:sz w:val="28"/>
          <w:szCs w:val="28"/>
        </w:rPr>
        <w:t>、财政拨款“三公”经费支出决算</w:t>
      </w:r>
      <w:r>
        <w:rPr>
          <w:rFonts w:hint="eastAsia" w:cs="仿宋_GB2312" w:asciiTheme="minorEastAsia" w:hAnsiTheme="minorEastAsia" w:eastAsiaTheme="minorEastAsia"/>
          <w:sz w:val="28"/>
          <w:szCs w:val="28"/>
          <w:lang w:val="en-US" w:eastAsia="zh-CN"/>
        </w:rPr>
        <w:t>表</w:t>
      </w:r>
    </w:p>
    <w:p>
      <w:pPr>
        <w:widowControl/>
        <w:jc w:val="left"/>
        <w:rPr>
          <w:rFonts w:ascii="宋体" w:eastAsia="宋体" w:cs="宋体"/>
          <w:kern w:val="0"/>
          <w:sz w:val="24"/>
          <w:szCs w:val="24"/>
        </w:rPr>
      </w:pPr>
      <w:bookmarkStart w:id="0" w:name="RANGE!A1:I22"/>
      <w:bookmarkEnd w:id="0"/>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rPr>
          <w:rFonts w:ascii="黑体" w:hAnsi="黑体" w:eastAsia="黑体"/>
          <w:szCs w:val="21"/>
        </w:rPr>
        <w:br w:type="page"/>
      </w:r>
      <w:bookmarkStart w:id="1" w:name="_GoBack"/>
      <w:bookmarkEnd w:id="1"/>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9"/>
        <w:jc w:val="center"/>
        <w:rPr>
          <w:rFonts w:hint="eastAsia" w:ascii="方正小标宋_GBK" w:hAnsi="方正小标宋_GBK" w:eastAsia="方正小标宋_GBK" w:cs="方正小标宋_GBK"/>
          <w:sz w:val="70"/>
          <w:szCs w:val="70"/>
        </w:rPr>
      </w:pPr>
    </w:p>
    <w:p>
      <w:pPr>
        <w:pStyle w:val="9"/>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rPr>
          <w:rFonts w:hint="eastAsia" w:ascii="方正小标宋_GBK" w:hAnsi="方正小标宋_GBK" w:eastAsia="方正小标宋_GBK" w:cs="方正小标宋_GBK"/>
          <w:sz w:val="70"/>
          <w:szCs w:val="70"/>
        </w:rPr>
        <w:br w:type="page"/>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1063.03</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10.63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10.10</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收到上年结余毛泽东著作旧版本资金10.67万元。</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1063.03</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932.41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87.72</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130.62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12.28</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897.48</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686.88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76.53</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210.6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23.47</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9"/>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932.41</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19.71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2.07</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2021年我馆收到了，毛泽东著作旧版本书籍经费，2022年无此项经费。</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871.68</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97.13</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69.77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7.41</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2022年度总支出的较上年有所减少并且使用了其他资金进行支出、2022年退休3人。</w:t>
      </w:r>
    </w:p>
    <w:p>
      <w:pPr>
        <w:pStyle w:val="9"/>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9"/>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871.68</w:t>
      </w:r>
      <w:r>
        <w:rPr>
          <w:rFonts w:hint="eastAsia" w:ascii="Times New Roman" w:hAnsi="Times New Roman" w:eastAsia="仿宋_GB2312"/>
          <w:sz w:val="32"/>
          <w:szCs w:val="32"/>
        </w:rPr>
        <w:t>万元，主要用于以下方面：一般公共服务（类）支出</w:t>
      </w:r>
      <w:r>
        <w:rPr>
          <w:rFonts w:hint="eastAsia" w:ascii="Times New Roman" w:hAnsi="Times New Roman" w:eastAsia="仿宋_GB2312"/>
          <w:sz w:val="32"/>
          <w:szCs w:val="32"/>
          <w:lang w:val="en-US" w:eastAsia="zh-CN"/>
        </w:rPr>
        <w:t>14.74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1.69</w:t>
      </w:r>
      <w:r>
        <w:rPr>
          <w:rFonts w:hint="eastAsia" w:ascii="Times New Roman" w:hAnsi="Times New Roman" w:eastAsia="仿宋_GB2312"/>
          <w:sz w:val="32"/>
          <w:szCs w:val="32"/>
        </w:rPr>
        <w:t>%；教育（类）支出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0.17</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文化旅游体育与传媒支出</w:t>
      </w:r>
      <w:r>
        <w:rPr>
          <w:rFonts w:hint="eastAsia" w:ascii="Times New Roman" w:hAnsi="Times New Roman" w:eastAsia="仿宋_GB2312"/>
          <w:sz w:val="32"/>
          <w:szCs w:val="32"/>
          <w:lang w:val="en-US" w:eastAsia="zh-CN"/>
        </w:rPr>
        <w:t>744.84万元，占85.45%；卫生健康支出12.00万元，占1.38%；住房保障支出50.80万元，占5.83%；社会保障和就业支出47.80万元，占5.48%。</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696.17</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871.68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125.21</w:t>
      </w:r>
      <w:r>
        <w:rPr>
          <w:rFonts w:hint="eastAsia" w:ascii="Times New Roman" w:hAnsi="Times New Roman" w:eastAsia="仿宋_GB2312"/>
          <w:sz w:val="32"/>
          <w:szCs w:val="32"/>
        </w:rPr>
        <w:t>%，其中：</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1、一般公共服务支出（类）</w:t>
      </w:r>
      <w:r>
        <w:rPr>
          <w:rFonts w:hint="eastAsia" w:ascii="Times New Roman" w:hAnsi="Times New Roman" w:eastAsia="仿宋_GB2312"/>
          <w:sz w:val="32"/>
          <w:szCs w:val="32"/>
          <w:lang w:eastAsia="zh-CN"/>
        </w:rPr>
        <w:t>其他共产党事务支出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事业运行</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年初预算</w:t>
      </w:r>
      <w:r>
        <w:rPr>
          <w:rFonts w:hint="eastAsia" w:ascii="Times New Roman" w:hAnsi="Times New Roman" w:eastAsia="仿宋_GB2312"/>
          <w:sz w:val="32"/>
          <w:szCs w:val="32"/>
        </w:rPr>
        <w:t>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年中追加14.74万元，</w:t>
      </w:r>
      <w:r>
        <w:rPr>
          <w:rFonts w:hint="eastAsia" w:ascii="Times New Roman" w:hAnsi="Times New Roman" w:eastAsia="仿宋_GB2312"/>
          <w:sz w:val="32"/>
          <w:szCs w:val="32"/>
        </w:rPr>
        <w:t>支出决算为</w:t>
      </w:r>
      <w:r>
        <w:rPr>
          <w:rFonts w:hint="eastAsia" w:ascii="Times New Roman" w:hAnsi="Times New Roman" w:eastAsia="仿宋_GB2312"/>
          <w:sz w:val="32"/>
          <w:szCs w:val="32"/>
          <w:lang w:val="en-US" w:eastAsia="zh-CN"/>
        </w:rPr>
        <w:t>14.74</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此项支出为年中追加事业单位基本工资调标补助，</w:t>
      </w:r>
      <w:r>
        <w:rPr>
          <w:rFonts w:hint="eastAsia" w:ascii="Times New Roman" w:hAnsi="Times New Roman" w:eastAsia="仿宋_GB2312"/>
          <w:sz w:val="32"/>
          <w:szCs w:val="32"/>
        </w:rPr>
        <w:t>完成</w:t>
      </w:r>
      <w:r>
        <w:rPr>
          <w:rFonts w:hint="eastAsia" w:ascii="Times New Roman" w:hAnsi="Times New Roman" w:eastAsia="仿宋_GB2312"/>
          <w:sz w:val="32"/>
          <w:szCs w:val="32"/>
          <w:lang w:val="en-US" w:eastAsia="zh-CN"/>
        </w:rPr>
        <w:t>年中追加的100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w:t>
      </w:r>
      <w:r>
        <w:rPr>
          <w:rFonts w:hint="eastAsia" w:ascii="Times New Roman" w:hAnsi="Times New Roman" w:eastAsia="仿宋_GB2312"/>
          <w:sz w:val="32"/>
          <w:szCs w:val="32"/>
          <w:lang w:eastAsia="zh-CN"/>
        </w:rPr>
        <w:t>文化旅游体育与传媒支出</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文化和旅游</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图书馆</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576.70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592.80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102.79%，决算大于预算的原因是年中追加了省直事业单位经费补助18.20万元</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教育</w:t>
      </w:r>
      <w:r>
        <w:rPr>
          <w:rFonts w:hint="eastAsia" w:ascii="Times New Roman" w:hAnsi="Times New Roman" w:eastAsia="仿宋_GB2312"/>
          <w:sz w:val="32"/>
          <w:szCs w:val="32"/>
        </w:rPr>
        <w:t>支出（类）</w:t>
      </w:r>
      <w:r>
        <w:rPr>
          <w:rFonts w:hint="eastAsia" w:ascii="Times New Roman" w:hAnsi="Times New Roman" w:eastAsia="仿宋_GB2312"/>
          <w:sz w:val="32"/>
          <w:szCs w:val="32"/>
          <w:lang w:eastAsia="zh-CN"/>
        </w:rPr>
        <w:t>进修及培训</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培训支出</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社会保障和就业</w:t>
      </w:r>
      <w:r>
        <w:rPr>
          <w:rFonts w:hint="eastAsia" w:ascii="Times New Roman" w:hAnsi="Times New Roman" w:eastAsia="仿宋_GB2312"/>
          <w:sz w:val="32"/>
          <w:szCs w:val="32"/>
        </w:rPr>
        <w:t>支出（类）</w:t>
      </w:r>
      <w:r>
        <w:rPr>
          <w:rFonts w:hint="eastAsia" w:ascii="Times New Roman" w:hAnsi="Times New Roman" w:eastAsia="仿宋_GB2312"/>
          <w:sz w:val="32"/>
          <w:szCs w:val="32"/>
          <w:lang w:eastAsia="zh-CN"/>
        </w:rPr>
        <w:t>行政事业单位养老支出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机关事业单位基本养老保险缴费支出</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44.50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44.50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lang w:eastAsia="zh-CN"/>
        </w:rPr>
        <w:t>卫生健康支出</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行政事业单位医疗</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事业单位医疗</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lang w:eastAsia="zh-CN"/>
        </w:rPr>
        <w:t>住房保障</w:t>
      </w:r>
      <w:r>
        <w:rPr>
          <w:rFonts w:hint="eastAsia" w:ascii="Times New Roman" w:hAnsi="Times New Roman" w:eastAsia="仿宋_GB2312"/>
          <w:sz w:val="32"/>
          <w:szCs w:val="32"/>
        </w:rPr>
        <w:t>支出（类）</w:t>
      </w:r>
      <w:r>
        <w:rPr>
          <w:rFonts w:hint="eastAsia" w:ascii="Times New Roman" w:hAnsi="Times New Roman" w:eastAsia="仿宋_GB2312"/>
          <w:sz w:val="32"/>
          <w:szCs w:val="32"/>
          <w:lang w:eastAsia="zh-CN"/>
        </w:rPr>
        <w:t>住房改革支出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住房公积金</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50.00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lang w:eastAsia="zh-CN"/>
        </w:rPr>
        <w:t>住房保障</w:t>
      </w:r>
      <w:r>
        <w:rPr>
          <w:rFonts w:hint="eastAsia" w:ascii="Times New Roman" w:hAnsi="Times New Roman" w:eastAsia="仿宋_GB2312"/>
          <w:sz w:val="32"/>
          <w:szCs w:val="32"/>
        </w:rPr>
        <w:t>支出（类）</w:t>
      </w:r>
      <w:r>
        <w:rPr>
          <w:rFonts w:hint="eastAsia" w:ascii="Times New Roman" w:hAnsi="Times New Roman" w:eastAsia="仿宋_GB2312"/>
          <w:sz w:val="32"/>
          <w:szCs w:val="32"/>
          <w:lang w:eastAsia="zh-CN"/>
        </w:rPr>
        <w:t>住房改革支出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购房补贴</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0.80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lang w:eastAsia="zh-CN"/>
        </w:rPr>
        <w:t>文化旅游体育与传媒支出</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其他文化旅游体育与传媒支出</w:t>
      </w:r>
      <w:r>
        <w:rPr>
          <w:rFonts w:hint="eastAsia" w:ascii="Times New Roman" w:hAnsi="Times New Roman" w:eastAsia="仿宋_GB2312"/>
          <w:sz w:val="32"/>
          <w:szCs w:val="32"/>
        </w:rPr>
        <w:t>（款）</w:t>
      </w:r>
      <w:r>
        <w:rPr>
          <w:rFonts w:hint="eastAsia" w:ascii="Times New Roman" w:hAnsi="Times New Roman" w:eastAsia="仿宋_GB2312"/>
          <w:sz w:val="32"/>
          <w:szCs w:val="32"/>
          <w:lang w:eastAsia="zh-CN"/>
        </w:rPr>
        <w:t>其他文化旅游体育与传媒支出</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10.67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152.04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决算大于预算的原因是年中财政追加中央绩效经费</w:t>
      </w:r>
      <w:r>
        <w:rPr>
          <w:rFonts w:hint="eastAsia" w:ascii="Times New Roman" w:hAnsi="Times New Roman" w:eastAsia="仿宋_GB2312"/>
          <w:sz w:val="32"/>
          <w:szCs w:val="32"/>
          <w:lang w:val="en-US" w:eastAsia="zh-CN"/>
        </w:rPr>
        <w:t>200.00万元，结余58.63万元。</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lang w:eastAsia="zh-CN"/>
        </w:rPr>
        <w:t>社会保障和就业</w:t>
      </w:r>
      <w:r>
        <w:rPr>
          <w:rFonts w:hint="eastAsia" w:ascii="Times New Roman" w:hAnsi="Times New Roman" w:eastAsia="仿宋_GB2312"/>
          <w:sz w:val="32"/>
          <w:szCs w:val="32"/>
        </w:rPr>
        <w:t>支出（类）</w:t>
      </w:r>
      <w:r>
        <w:rPr>
          <w:rFonts w:hint="eastAsia" w:ascii="Times New Roman" w:hAnsi="Times New Roman" w:eastAsia="仿宋_GB2312"/>
          <w:sz w:val="32"/>
          <w:szCs w:val="32"/>
          <w:lang w:eastAsia="zh-CN"/>
        </w:rPr>
        <w:t>行政事业单位养老支出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事业单位离退休</w:t>
      </w:r>
      <w:r>
        <w:rPr>
          <w:rFonts w:hint="eastAsia" w:ascii="Times New Roman" w:hAnsi="Times New Roman" w:eastAsia="仿宋_GB2312"/>
          <w:sz w:val="32"/>
          <w:szCs w:val="32"/>
        </w:rPr>
        <w:t>（项）。</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年中追加3.30万元，</w:t>
      </w:r>
      <w:r>
        <w:rPr>
          <w:rFonts w:hint="eastAsia" w:ascii="Times New Roman" w:hAnsi="Times New Roman" w:eastAsia="仿宋_GB2312"/>
          <w:sz w:val="32"/>
          <w:szCs w:val="32"/>
        </w:rPr>
        <w:t>支出决算为</w:t>
      </w:r>
      <w:r>
        <w:rPr>
          <w:rFonts w:hint="eastAsia" w:ascii="Times New Roman" w:hAnsi="Times New Roman" w:eastAsia="仿宋_GB2312"/>
          <w:sz w:val="32"/>
          <w:szCs w:val="32"/>
          <w:lang w:val="en-US" w:eastAsia="zh-CN"/>
        </w:rPr>
        <w:t>3.30</w:t>
      </w:r>
      <w:r>
        <w:rPr>
          <w:rFonts w:hint="eastAsia" w:ascii="Times New Roman" w:hAnsi="Times New Roman" w:eastAsia="仿宋_GB2312"/>
          <w:sz w:val="32"/>
          <w:szCs w:val="32"/>
        </w:rPr>
        <w:t>万元，完成</w:t>
      </w:r>
      <w:r>
        <w:rPr>
          <w:rFonts w:hint="eastAsia" w:ascii="Times New Roman" w:hAnsi="Times New Roman" w:eastAsia="仿宋_GB2312"/>
          <w:sz w:val="32"/>
          <w:szCs w:val="32"/>
          <w:lang w:val="en-US" w:eastAsia="zh-CN"/>
        </w:rPr>
        <w:t>年中追加</w:t>
      </w:r>
      <w:r>
        <w:rPr>
          <w:rFonts w:hint="eastAsia" w:ascii="Times New Roman" w:hAnsi="Times New Roman" w:eastAsia="仿宋_GB2312"/>
          <w:sz w:val="32"/>
          <w:szCs w:val="32"/>
        </w:rPr>
        <w:t>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681.94</w:t>
      </w:r>
      <w:r>
        <w:rPr>
          <w:rFonts w:hint="eastAsia" w:ascii="Times New Roman" w:hAnsi="Times New Roman" w:eastAsia="仿宋_GB2312"/>
          <w:sz w:val="32"/>
          <w:szCs w:val="32"/>
        </w:rPr>
        <w:t>万元，其中：</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531.04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77.87</w:t>
      </w:r>
      <w:r>
        <w:rPr>
          <w:rFonts w:hint="eastAsia" w:ascii="Times New Roman" w:hAnsi="Times New Roman" w:eastAsia="仿宋_GB2312"/>
          <w:sz w:val="32"/>
          <w:szCs w:val="32"/>
        </w:rPr>
        <w:t>%,主要包括基本工资</w:t>
      </w:r>
      <w:r>
        <w:rPr>
          <w:rFonts w:hint="eastAsia" w:ascii="Times New Roman" w:hAnsi="Times New Roman" w:eastAsia="仿宋_GB2312"/>
          <w:sz w:val="32"/>
          <w:szCs w:val="32"/>
          <w:lang w:val="en-US" w:eastAsia="zh-CN"/>
        </w:rPr>
        <w:t>131万元</w:t>
      </w:r>
      <w:r>
        <w:rPr>
          <w:rFonts w:hint="eastAsia" w:ascii="Times New Roman" w:hAnsi="Times New Roman" w:eastAsia="仿宋_GB2312"/>
          <w:sz w:val="32"/>
          <w:szCs w:val="32"/>
        </w:rPr>
        <w:t>、津贴补贴</w:t>
      </w:r>
      <w:r>
        <w:rPr>
          <w:rFonts w:hint="eastAsia" w:ascii="Times New Roman" w:hAnsi="Times New Roman" w:eastAsia="仿宋_GB2312"/>
          <w:sz w:val="32"/>
          <w:szCs w:val="32"/>
          <w:lang w:val="en-US" w:eastAsia="zh-CN"/>
        </w:rPr>
        <w:t>1.20万元</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绩效工资238.09万元</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机关事业单位基本养老保险缴费44.5万元、职工基本医疗保险缴费25.37万元、其他社会保障缴费4.50万元、住房公积金50.00万元、医疗费12.00万元、其他工资福利支出17.38万元、奖励金7.00万元</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150.9</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22.13</w:t>
      </w:r>
      <w:r>
        <w:rPr>
          <w:rFonts w:hint="eastAsia" w:ascii="Times New Roman" w:hAnsi="Times New Roman" w:eastAsia="仿宋_GB2312"/>
          <w:sz w:val="32"/>
          <w:szCs w:val="32"/>
        </w:rPr>
        <w:t>%，主要包括办公费</w:t>
      </w:r>
      <w:r>
        <w:rPr>
          <w:rFonts w:hint="eastAsia" w:ascii="Times New Roman" w:hAnsi="Times New Roman" w:eastAsia="仿宋_GB2312"/>
          <w:sz w:val="32"/>
          <w:szCs w:val="32"/>
          <w:lang w:val="en-US" w:eastAsia="zh-CN"/>
        </w:rPr>
        <w:t>4.82万元</w:t>
      </w:r>
      <w:r>
        <w:rPr>
          <w:rFonts w:hint="eastAsia" w:ascii="Times New Roman" w:hAnsi="Times New Roman" w:eastAsia="仿宋_GB2312"/>
          <w:sz w:val="32"/>
          <w:szCs w:val="32"/>
        </w:rPr>
        <w:t>、印刷费</w:t>
      </w:r>
      <w:r>
        <w:rPr>
          <w:rFonts w:hint="eastAsia" w:ascii="Times New Roman" w:hAnsi="Times New Roman" w:eastAsia="仿宋_GB2312"/>
          <w:sz w:val="32"/>
          <w:szCs w:val="32"/>
          <w:lang w:val="en-US" w:eastAsia="zh-CN"/>
        </w:rPr>
        <w:t>4.87万元</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水费1.91万元</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电费8.57万元、邮电费0.68万元、物业管理费28.52万元、差旅费2.67万元、维修（护）费8.96万元、培训费1.50万元、公务接待费2.49万元、专用材料费6.41万元、劳务费14.57万元、工会经费20.00万元、公务用车运行维护费2.30万元、其他商品服务支出42.65万元</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5.09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4.79</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94.11</w:t>
      </w:r>
      <w:r>
        <w:rPr>
          <w:rFonts w:hint="eastAsia" w:ascii="Times New Roman" w:hAnsi="Times New Roman" w:eastAsia="仿宋_GB2312"/>
          <w:sz w:val="32"/>
          <w:szCs w:val="32"/>
        </w:rPr>
        <w:t>%，其中：</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2.49</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2.49</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严格控制公务接待经费使用</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2.60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88.46</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0.35</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13.21</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严格控制公务用车运行经费使用</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2.49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51.98</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2.30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48.02</w:t>
      </w:r>
      <w:r>
        <w:rPr>
          <w:rFonts w:hint="eastAsia" w:ascii="Times New Roman" w:hAnsi="Times New Roman" w:eastAsia="仿宋_GB2312"/>
          <w:sz w:val="32"/>
          <w:szCs w:val="32"/>
        </w:rPr>
        <w:t>%。其中：</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2.49</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13</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135</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val="en-US" w:eastAsia="zh-CN"/>
        </w:rPr>
        <w:t>毛泽东著作版本研究、各地图书馆间工作交流等</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2.30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2.30</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val="en-US" w:eastAsia="zh-CN"/>
        </w:rPr>
        <w:t>燃料费、过桥过路费、车辆保险费、车辆年检费等</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w:t>
      </w:r>
      <w:r>
        <w:rPr>
          <w:rFonts w:hint="eastAsia" w:ascii="Times New Roman" w:hAnsi="Times New Roman" w:eastAsia="仿宋_GB2312"/>
          <w:sz w:val="32"/>
          <w:szCs w:val="32"/>
          <w:lang w:val="en-US" w:eastAsia="zh-CN"/>
        </w:rPr>
        <w:t>单位无</w:t>
      </w:r>
      <w:r>
        <w:rPr>
          <w:rFonts w:hint="eastAsia" w:ascii="Times New Roman" w:hAnsi="Times New Roman" w:eastAsia="仿宋_GB2312"/>
          <w:sz w:val="32"/>
          <w:szCs w:val="32"/>
        </w:rPr>
        <w:t>机关运行经费支出</w:t>
      </w:r>
      <w:r>
        <w:rPr>
          <w:rFonts w:hint="eastAsia" w:ascii="Times New Roman" w:hAnsi="Times New Roman" w:eastAsia="仿宋_GB2312"/>
          <w:sz w:val="32"/>
          <w:szCs w:val="32"/>
          <w:lang w:eastAsia="zh-CN"/>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w:t>
      </w:r>
      <w:r>
        <w:rPr>
          <w:rFonts w:hint="eastAsia" w:ascii="Times New Roman" w:hAnsi="Times New Roman" w:eastAsia="仿宋_GB2312"/>
          <w:sz w:val="32"/>
          <w:szCs w:val="32"/>
          <w:lang w:val="en-US" w:eastAsia="zh-CN"/>
        </w:rPr>
        <w:t>单位</w:t>
      </w:r>
      <w:r>
        <w:rPr>
          <w:rFonts w:hint="eastAsia" w:ascii="Times New Roman" w:hAnsi="Times New Roman" w:eastAsia="仿宋_GB2312"/>
          <w:sz w:val="32"/>
          <w:szCs w:val="32"/>
        </w:rPr>
        <w:t>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eastAsia="zh-CN"/>
        </w:rPr>
        <w:t>业务</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23</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eastAsia="zh-CN"/>
        </w:rPr>
        <w:t>毛泽东思想、图书馆建设和管理培训</w:t>
      </w:r>
      <w:r>
        <w:rPr>
          <w:rFonts w:hint="eastAsia" w:ascii="Times New Roman" w:hAnsi="Times New Roman" w:eastAsia="仿宋_GB2312"/>
          <w:sz w:val="32"/>
          <w:szCs w:val="32"/>
        </w:rPr>
        <w:t>；举办</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等节庆、晚会、论坛、赛事活动，开支</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136.61</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18.31</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118.30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136.61</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136.61</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13.40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86.60</w:t>
      </w:r>
      <w:r>
        <w:rPr>
          <w:rFonts w:hint="eastAsia" w:ascii="Times New Roman" w:hAnsi="Times New Roman" w:eastAsia="仿宋_GB2312"/>
          <w:sz w:val="32"/>
          <w:szCs w:val="32"/>
        </w:rPr>
        <w:t>%。</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辆，其他用车主要是</w:t>
      </w:r>
      <w:r>
        <w:rPr>
          <w:rFonts w:hint="eastAsia" w:ascii="Times New Roman" w:hAnsi="Times New Roman" w:eastAsia="仿宋_GB2312"/>
          <w:sz w:val="32"/>
          <w:szCs w:val="32"/>
          <w:lang w:val="en-US" w:eastAsia="zh-CN"/>
        </w:rPr>
        <w:t>单位业务用车</w:t>
      </w:r>
      <w:r>
        <w:rPr>
          <w:rFonts w:hint="eastAsia" w:ascii="Times New Roman" w:hAnsi="Times New Roman" w:eastAsia="仿宋_GB2312"/>
          <w:sz w:val="32"/>
          <w:szCs w:val="32"/>
        </w:rPr>
        <w:t>；单位价值50万元以上通用设备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9"/>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widowControl/>
        <w:spacing w:line="600" w:lineRule="exact"/>
        <w:ind w:firstLine="645"/>
        <w:jc w:val="left"/>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1、图书及期刊购置、毛著旧版本购置（预算20.67万元）</w:t>
      </w:r>
    </w:p>
    <w:p>
      <w:pPr>
        <w:spacing w:line="600" w:lineRule="exact"/>
        <w:ind w:firstLine="851"/>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2022年完成图书及期刊购置经费10万元以及毛著旧版本购置经费10.67万元 。征集到馆图书资料1319册份，其中毛著版本39种39册，分编、加工、交送781种1319册。</w:t>
      </w:r>
    </w:p>
    <w:p>
      <w:pPr>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2、毛泽东著作版本研究及成果出版（预算8万元）</w:t>
      </w:r>
    </w:p>
    <w:p>
      <w:pPr>
        <w:spacing w:line="600" w:lineRule="exact"/>
        <w:ind w:firstLine="851"/>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7月29日至31日，第四届毛泽东著作及版本研讨会在韶山召开，来自中央党史和文献研究院、中国社会科学院、清华大学、北京大学、中国人民大学、中国人民解放军军事科学院、国防大学等国内科研机构和高校的80余名专家学者，围绕“毛泽东关于中共党史论著及版本研究”主题，就如何深化毛泽东著作及版本研究以及推进马克思主义中国化时代化等问题展开深入研讨。</w:t>
      </w:r>
    </w:p>
    <w:p>
      <w:pPr>
        <w:spacing w:line="600" w:lineRule="exact"/>
        <w:ind w:firstLine="851"/>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会上先后有20余位专家学者进行线上线下发言,在学术界和社会上都产生了重要影响,对进一步挖掘好毛泽东著作版本这一学术富矿，做大、做强毛泽东著作及版本研讨会这一学术品牌，做好、做精毛泽东研究这项伟大工程具有重要意义。人民网、学习强国、《湖南日报》，新湖南、红网等新闻媒体先后进行了报道。</w:t>
      </w:r>
    </w:p>
    <w:p>
      <w:pPr>
        <w:spacing w:line="600" w:lineRule="exact"/>
        <w:ind w:firstLine="851"/>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3、中央绩效补助经费—毛泽东著作版本数字化项目、毛泽东红色影视馆项目（预算200万元）</w:t>
      </w:r>
    </w:p>
    <w:p>
      <w:pPr>
        <w:spacing w:line="600" w:lineRule="exact"/>
        <w:ind w:firstLine="851"/>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数字资源平台工作：组织馆员工学习国家图书馆图书数字化扫描加工标准和命名规则，建立了馆藏图书数字化加工常态化工作机制，制定我馆图书数字化扫描加工标准，并明确了加工任务。严格按照加工标准，完成2019—2021年购入的珍贵图书版本数字化扫描310册，共计27810页。完成了1949年前毛泽东著作版本数字化项目进度款支付。</w:t>
      </w:r>
    </w:p>
    <w:p>
      <w:pPr>
        <w:spacing w:line="580" w:lineRule="exact"/>
        <w:ind w:firstLine="800" w:firstLineChars="25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谋划毛泽东思想馆建设工作：</w:t>
      </w:r>
    </w:p>
    <w:p>
      <w:pPr>
        <w:spacing w:line="58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1）在原有提质改造方案的基础上，我馆充分征求多方意见制定了图书馆提质改造的第二方案，具体包括新建一栋约5000平方米的毛泽东著作版本库房，改造现有主楼的屋面和外立面，在主楼一楼规划建设毛泽东影像馆和馆藏珍品展览。</w:t>
      </w:r>
    </w:p>
    <w:p>
      <w:pPr>
        <w:spacing w:line="58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（2）收集并整理了毛泽东相关原始视频片段84个，总时长200多分钟，剪辑制作主题视频10个，总时长96分钟。</w:t>
      </w:r>
    </w:p>
    <w:p>
      <w:pPr>
        <w:spacing w:line="58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（3）完成了毛泽东影像馆专题纪录片前期调研工作，编制了相关预算，按规定办理了该项目的采购申报工作，拟定了《毛泽东图书馆影像馆专题视频制作》竞争性磋商文件，并进行了1次专题讨论。</w:t>
      </w:r>
    </w:p>
    <w:p>
      <w:pPr>
        <w:spacing w:line="58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（4）组织全馆干部职工就毛泽东影像馆内容方案进行12次专题讨论，并上报了相关的请示报告。毛泽东红色影视馆概念设计方案进行了3次修改，已完成初步方案。</w:t>
      </w:r>
    </w:p>
    <w:p>
      <w:pPr>
        <w:pStyle w:val="9"/>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widowControl/>
        <w:spacing w:line="60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我馆</w:t>
      </w:r>
      <w:r>
        <w:rPr>
          <w:rFonts w:hint="eastAsia" w:ascii="Times New Roman" w:hAnsi="Times New Roman" w:eastAsia="仿宋_GB2312"/>
          <w:sz w:val="32"/>
          <w:szCs w:val="32"/>
        </w:rPr>
        <w:t>已完成了1</w:t>
      </w:r>
      <w:r>
        <w:rPr>
          <w:rFonts w:ascii="Times New Roman" w:hAnsi="Times New Roman" w:eastAsia="仿宋_GB2312"/>
          <w:sz w:val="32"/>
          <w:szCs w:val="32"/>
        </w:rPr>
        <w:t>949</w:t>
      </w:r>
      <w:r>
        <w:rPr>
          <w:rFonts w:hint="eastAsia" w:ascii="Times New Roman" w:hAnsi="Times New Roman" w:eastAsia="仿宋_GB2312"/>
          <w:sz w:val="32"/>
          <w:szCs w:val="32"/>
        </w:rPr>
        <w:t>年前毛泽东著作版本数字化项目款项的支付，中央绩效补助经费剩余部分将结余至2</w:t>
      </w:r>
      <w:r>
        <w:rPr>
          <w:rFonts w:ascii="Times New Roman" w:hAnsi="Times New Roman" w:eastAsia="仿宋_GB2312"/>
          <w:sz w:val="32"/>
          <w:szCs w:val="32"/>
        </w:rPr>
        <w:t>023</w:t>
      </w:r>
      <w:r>
        <w:rPr>
          <w:rFonts w:hint="eastAsia" w:ascii="Times New Roman" w:hAnsi="Times New Roman" w:eastAsia="仿宋_GB2312"/>
          <w:sz w:val="32"/>
          <w:szCs w:val="32"/>
        </w:rPr>
        <w:t>年用于毛泽东红色影视馆等项目。</w:t>
      </w:r>
    </w:p>
    <w:p>
      <w:pPr>
        <w:widowControl/>
        <w:spacing w:line="600" w:lineRule="exact"/>
        <w:ind w:firstLine="640" w:firstLineChars="200"/>
        <w:jc w:val="left"/>
        <w:rPr>
          <w:rFonts w:hint="eastAsia" w:ascii="仿宋_GB2312" w:hAnsi="Times New Roman" w:eastAsia="仿宋_GB2312"/>
          <w:sz w:val="32"/>
          <w:szCs w:val="32"/>
        </w:rPr>
      </w:pPr>
      <w:r>
        <w:rPr>
          <w:rFonts w:hint="eastAsia" w:ascii="仿宋_GB2312" w:hAnsi="Times New Roman" w:eastAsia="仿宋_GB2312"/>
          <w:sz w:val="32"/>
          <w:szCs w:val="32"/>
        </w:rPr>
        <w:t>我馆绩效评价工作有待提升，下一步将继续加强协调指导和培训的力度，加强对各部门申报项目的指导，使项目编制更加符合绩效评价的相关要求，实施开展培训，牢固树立绩效管理理念，同时进一步提高绩效评价工作方式方法，将已完成的所有工作绩效成果充分体现出来。</w:t>
      </w:r>
    </w:p>
    <w:p>
      <w:pPr>
        <w:widowControl/>
        <w:spacing w:line="600" w:lineRule="exact"/>
        <w:ind w:firstLine="640" w:firstLineChars="200"/>
        <w:jc w:val="left"/>
        <w:rPr>
          <w:rFonts w:hint="eastAsia" w:ascii="Times New Roman" w:hAnsi="Times New Roman" w:eastAsia="仿宋_GB2312"/>
          <w:sz w:val="32"/>
          <w:szCs w:val="32"/>
        </w:rPr>
      </w:pPr>
    </w:p>
    <w:p>
      <w:pPr>
        <w:widowControl/>
        <w:spacing w:line="600" w:lineRule="exact"/>
        <w:ind w:firstLine="640" w:firstLineChars="200"/>
        <w:jc w:val="left"/>
        <w:rPr>
          <w:rFonts w:hint="eastAsia" w:ascii="Times New Roman" w:hAnsi="Times New Roman" w:eastAsia="仿宋_GB2312"/>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p>
    <w:p>
      <w:pPr>
        <w:pStyle w:val="9"/>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rPr>
          <w:rFonts w:hint="eastAsia" w:ascii="方正小标宋_GBK" w:hAnsi="方正小标宋_GBK" w:eastAsia="方正小标宋_GBK" w:cs="方正小标宋_GBK"/>
          <w:color w:val="000000"/>
          <w:kern w:val="0"/>
          <w:sz w:val="70"/>
          <w:szCs w:val="70"/>
        </w:rPr>
        <w:br w:type="page"/>
      </w:r>
    </w:p>
    <w:p>
      <w:pPr>
        <w:widowControl/>
        <w:spacing w:line="600" w:lineRule="exact"/>
        <w:ind w:firstLine="640" w:firstLineChars="200"/>
        <w:jc w:val="left"/>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1.财政拨款收入：指单位从同级财政部门取得的财政预算资金。</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2.事业收入：指事业单位开展专业业务活动及辅助活动取得的收入。</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3.经营收入：指事业单位在专业业务活动及其辅助活动之外开展非独立核算经营活动取得的收入。</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4.其他收入：指单位取得的除上述收入以外的各项收入。如捐赠收入、利息收入等。</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5.年初结转和结余：指单位以前年度尚未完成、结转到本年按有关规定继续使用的资金。</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6.年末结转和结余：指本年度或以前年度预算安排、因客观条件发生变化无法按原计划实施，需延迟到以后年度按有关规定继续使用的资金。</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7.用事业基金弥补收支差额：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8.基本支出：指为保障机构正常运转、完成日常工作任务而发生的人员支出和公用支出。</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9.项目支出：指在基本支出之外，为完成特定行政任务和事业发展目标所发生的支出。</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10.机关运行经费：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Times New Roman" w:eastAsia="仿宋_GB2312"/>
          <w:sz w:val="32"/>
          <w:szCs w:val="32"/>
          <w:lang w:val="en-US" w:eastAsia="zh-CN"/>
        </w:rPr>
        <w:br w:type="textWrapping"/>
      </w:r>
      <w:r>
        <w:rPr>
          <w:rFonts w:hint="eastAsia" w:ascii="仿宋_GB2312" w:hAnsi="Times New Roman" w:eastAsia="仿宋_GB2312"/>
          <w:sz w:val="32"/>
          <w:szCs w:val="32"/>
          <w:lang w:val="en-US" w:eastAsia="zh-CN"/>
        </w:rPr>
        <w:t>　　11.“三公”经费：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MjU5ZjMyN2E0ZTI1ZThiMGEyM2Y0MTI0YzVlMTg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13332638"/>
    <w:rsid w:val="206D227E"/>
    <w:rsid w:val="44341556"/>
    <w:rsid w:val="5777D4F5"/>
    <w:rsid w:val="5D805AC4"/>
    <w:rsid w:val="5FC6BB1E"/>
    <w:rsid w:val="5FF720F1"/>
    <w:rsid w:val="737D59BA"/>
    <w:rsid w:val="77C37683"/>
    <w:rsid w:val="79FF515B"/>
    <w:rsid w:val="7E9F11B4"/>
    <w:rsid w:val="7FC69637"/>
    <w:rsid w:val="7FFDB408"/>
    <w:rsid w:val="9FF7D786"/>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 w:type="character" w:customStyle="1" w:styleId="12">
    <w:name w:val="font0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4"/>
      <w:szCs w:val="24"/>
      <w:u w:val="none"/>
    </w:rPr>
  </w:style>
  <w:style w:type="character" w:customStyle="1" w:styleId="14">
    <w:name w:val="font1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5</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2020-07-05T02:32:00Z</dcterms:created>
  <dc:creator>李航 null</dc:creator>
  <cp:lastModifiedBy>skn</cp:lastModifiedBy>
  <cp:lastPrinted>2023-08-15T17:28:00Z</cp:lastPrinted>
  <dcterms:modified xsi:type="dcterms:W3CDTF">2023-09-15T10:41:48Z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08FC0254FFF44DDCB6AEA55E0E038F09_13</vt:lpwstr>
  </property>
</Properties>
</file>