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84"/>
          <w:szCs w:val="84"/>
        </w:rPr>
      </w:pPr>
      <w:r>
        <w:rPr>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1"/>
                <wp:cNvGraphicFramePr/>
                <a:graphic xmlns:a="http://schemas.openxmlformats.org/drawingml/2006/main">
                  <a:graphicData uri="http://schemas.microsoft.com/office/word/2010/wordprocessingShape">
                    <wps:wsp>
                      <wps:cNvSpPr txBox="1"/>
                      <wps:spPr>
                        <a:xfrm>
                          <a:off x="1799590" y="935990"/>
                          <a:ext cx="1523365" cy="5175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pt;margin-top:-23.4pt;height:40.75pt;width:119.95pt;z-index:251659264;mso-width-relative:page;mso-height-relative:page;" fillcolor="#FFFFFF [3201]" filled="t" stroked="f" coordsize="21600,21600" o:gfxdata="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cvAmUNYAAAAK&#10;AQAADwAAAAAAAAABACAAAAAiAAAAZHJzL2Rvd25yZXYueG1sUEsBAhQAFAAAAAgAh07iQEe/k8dX&#10;AgAAmgQAAA4AAAAAAAAAAQAgAAAAJQEAAGRycy9lMm9Eb2MueG1sUEsFBgAAAAAGAAYAWQEAAO4F&#10;AAAAAA==&#10;">
                <v:fill on="t" focussize="0,0"/>
                <v:stroke on="f" weight="0.5pt"/>
                <v:imagedata o:title=""/>
                <o:lock v:ext="edit" aspectratio="f"/>
                <v:textbo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v:textbox>
              </v:shape>
            </w:pict>
          </mc:Fallback>
        </mc:AlternateContent>
      </w: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r>
        <w:rPr>
          <w:rFonts w:hint="eastAsia"/>
          <w:sz w:val="84"/>
          <w:szCs w:val="84"/>
        </w:rPr>
        <w:t>202</w:t>
      </w:r>
      <w:r>
        <w:rPr>
          <w:rFonts w:hint="eastAsia"/>
          <w:sz w:val="84"/>
          <w:szCs w:val="84"/>
          <w:lang w:val="en-US" w:eastAsia="zh-CN"/>
        </w:rPr>
        <w:t>2</w:t>
      </w:r>
      <w:r>
        <w:rPr>
          <w:rFonts w:hint="eastAsia"/>
          <w:sz w:val="84"/>
          <w:szCs w:val="84"/>
        </w:rPr>
        <w:t>年度</w:t>
      </w:r>
    </w:p>
    <w:p>
      <w:pPr>
        <w:pStyle w:val="11"/>
        <w:jc w:val="center"/>
        <w:rPr>
          <w:rFonts w:hint="eastAsia"/>
          <w:sz w:val="84"/>
          <w:szCs w:val="84"/>
          <w:lang w:val="en-US" w:eastAsia="zh-CN"/>
        </w:rPr>
      </w:pPr>
      <w:r>
        <w:rPr>
          <w:rFonts w:hint="eastAsia"/>
          <w:sz w:val="84"/>
          <w:szCs w:val="84"/>
          <w:lang w:val="en-US" w:eastAsia="zh-CN"/>
        </w:rPr>
        <w:t>韶山毛泽东同志纪念馆</w:t>
      </w:r>
    </w:p>
    <w:p>
      <w:pPr>
        <w:pStyle w:val="11"/>
        <w:jc w:val="center"/>
        <w:rPr>
          <w:rFonts w:hint="eastAsia"/>
          <w:sz w:val="84"/>
          <w:szCs w:val="84"/>
        </w:rPr>
      </w:pPr>
      <w:r>
        <w:rPr>
          <w:rFonts w:hint="eastAsia"/>
          <w:sz w:val="84"/>
          <w:szCs w:val="84"/>
        </w:rPr>
        <w:t>部门决算</w:t>
      </w:r>
    </w:p>
    <w:p>
      <w:pPr>
        <w:pStyle w:val="11"/>
        <w:jc w:val="center"/>
        <w:rPr>
          <w:rFonts w:hint="eastAsia"/>
          <w:sz w:val="84"/>
          <w:szCs w:val="84"/>
        </w:rPr>
      </w:pP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both"/>
        <w:rPr>
          <w:rFonts w:hint="eastAsia"/>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韶山毛泽东同志纪念馆单位</w:t>
      </w:r>
      <w:r>
        <w:rPr>
          <w:rFonts w:hint="eastAsia" w:ascii="黑体" w:hAnsi="黑体" w:eastAsia="黑体" w:cs="黑体"/>
          <w:b w:val="0"/>
          <w:bCs/>
          <w:sz w:val="28"/>
          <w:szCs w:val="28"/>
        </w:rPr>
        <w:t>概况</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1"/>
        <w:jc w:val="center"/>
        <w:rPr>
          <w:rFonts w:hint="eastAsia" w:ascii="方正小标宋_GBK" w:hAnsi="方正小标宋_GBK" w:eastAsia="方正小标宋_GBK" w:cs="方正小标宋_GBK"/>
          <w:sz w:val="84"/>
          <w:szCs w:val="84"/>
        </w:rPr>
      </w:pPr>
    </w:p>
    <w:p>
      <w:pPr>
        <w:pStyle w:val="11"/>
        <w:jc w:val="center"/>
        <w:rPr>
          <w:rFonts w:hint="eastAsia" w:ascii="方正小标宋_GBK" w:hAnsi="方正小标宋_GBK" w:eastAsia="方正小标宋_GBK" w:cs="方正小标宋_GBK"/>
          <w:sz w:val="84"/>
          <w:szCs w:val="84"/>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第一部分</w:t>
      </w:r>
    </w:p>
    <w:p>
      <w:pPr>
        <w:pStyle w:val="11"/>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韶山毛泽东同志纪念馆</w:t>
      </w: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pStyle w:val="2"/>
        <w:rPr>
          <w:rFonts w:hint="eastAsia" w:ascii="方正小标宋_GBK" w:hAnsi="方正小标宋_GBK" w:eastAsia="方正小标宋_GBK" w:cs="方正小标宋_GBK"/>
          <w:sz w:val="72"/>
          <w:szCs w:val="72"/>
        </w:rPr>
      </w:pPr>
    </w:p>
    <w:p>
      <w:pPr>
        <w:pStyle w:val="2"/>
        <w:rPr>
          <w:rFonts w:hint="eastAsia" w:ascii="方正小标宋_GBK" w:hAnsi="方正小标宋_GBK" w:eastAsia="方正小标宋_GBK" w:cs="方正小标宋_GBK"/>
          <w:sz w:val="72"/>
          <w:szCs w:val="72"/>
        </w:rPr>
      </w:pPr>
    </w:p>
    <w:p>
      <w:pPr>
        <w:pStyle w:val="12"/>
        <w:numPr>
          <w:ilvl w:val="0"/>
          <w:numId w:val="0"/>
        </w:numPr>
        <w:ind w:leftChars="0" w:firstLine="640" w:firstLineChars="200"/>
        <w:jc w:val="left"/>
        <w:rPr>
          <w:rFonts w:hint="eastAsia" w:ascii="黑体" w:hAnsi="黑体" w:eastAsia="黑体" w:cs="黑体"/>
          <w:b w:val="0"/>
          <w:bCs w:val="0"/>
          <w:sz w:val="32"/>
          <w:szCs w:val="32"/>
          <w:lang w:val="en-US" w:eastAsia="zh-CN"/>
        </w:rPr>
      </w:pPr>
    </w:p>
    <w:p>
      <w:pPr>
        <w:pStyle w:val="12"/>
        <w:numPr>
          <w:ilvl w:val="0"/>
          <w:numId w:val="0"/>
        </w:numPr>
        <w:jc w:val="left"/>
        <w:rPr>
          <w:rFonts w:hint="eastAsia" w:ascii="黑体" w:hAnsi="黑体" w:eastAsia="黑体" w:cs="黑体"/>
          <w:b w:val="0"/>
          <w:bCs w:val="0"/>
          <w:sz w:val="32"/>
          <w:szCs w:val="32"/>
          <w:lang w:val="en-US" w:eastAsia="zh-CN"/>
        </w:rPr>
      </w:pPr>
    </w:p>
    <w:p>
      <w:pPr>
        <w:pStyle w:val="12"/>
        <w:numPr>
          <w:ilvl w:val="0"/>
          <w:numId w:val="0"/>
        </w:numPr>
        <w:jc w:val="left"/>
        <w:rPr>
          <w:rFonts w:hint="eastAsia" w:ascii="黑体" w:hAnsi="黑体" w:eastAsia="黑体" w:cs="黑体"/>
          <w:b w:val="0"/>
          <w:bCs w:val="0"/>
          <w:sz w:val="32"/>
          <w:szCs w:val="32"/>
          <w:lang w:val="en-US" w:eastAsia="zh-CN"/>
        </w:rPr>
      </w:pPr>
    </w:p>
    <w:p>
      <w:pPr>
        <w:pStyle w:val="12"/>
        <w:numPr>
          <w:ilvl w:val="0"/>
          <w:numId w:val="0"/>
        </w:numPr>
        <w:jc w:val="lef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部门职责</w:t>
      </w:r>
    </w:p>
    <w:p>
      <w:pPr>
        <w:keepNext w:val="0"/>
        <w:keepLines w:val="0"/>
        <w:widowControl/>
        <w:suppressLineNumbers w:val="0"/>
        <w:shd w:val="clear"/>
        <w:spacing w:before="0" w:beforeAutospacing="0" w:after="0" w:afterAutospacing="0" w:line="600" w:lineRule="atLeast"/>
        <w:ind w:left="0" w:right="0" w:firstLine="635"/>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韶山毛泽东同志纪念馆肩负着社会教育、开放管理、文创研发、陈列展示、科学研究、藏品建设等六项主要职能。具体如下：</w:t>
      </w:r>
    </w:p>
    <w:p>
      <w:pPr>
        <w:keepNext w:val="0"/>
        <w:keepLines w:val="0"/>
        <w:widowControl/>
        <w:suppressLineNumbers w:val="0"/>
        <w:shd w:val="clear"/>
        <w:spacing w:before="0" w:beforeAutospacing="0" w:after="0" w:afterAutospacing="0" w:line="600" w:lineRule="atLeast"/>
        <w:ind w:left="0" w:right="0" w:firstLine="634"/>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1.社会教育职能。以阵地宣讲为主，通过报告团、研学实践教育、党性教育等不断拓展宣传教育阵地，增强社会教育效果，提升爱国主义教育基地的覆盖面、影响力。</w:t>
      </w:r>
    </w:p>
    <w:p>
      <w:pPr>
        <w:keepNext w:val="0"/>
        <w:keepLines w:val="0"/>
        <w:widowControl/>
        <w:suppressLineNumbers w:val="0"/>
        <w:shd w:val="clear"/>
        <w:spacing w:before="0" w:beforeAutospacing="0" w:after="0" w:afterAutospacing="0" w:line="600" w:lineRule="atLeast"/>
        <w:ind w:left="0" w:right="0" w:firstLine="634"/>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2.开放管理职能。在保证文物安全的前提下，本着为来韶游客营造舒适、安全、有序的参观环境的原则，做好馆辖区域对外开放场馆的管理工作。严格执行全网络实名制、分时段、限总量参观预约工作，提供全免费、全覆盖、分批次的讲解服务等</w:t>
      </w:r>
    </w:p>
    <w:p>
      <w:pPr>
        <w:keepNext w:val="0"/>
        <w:keepLines w:val="0"/>
        <w:widowControl/>
        <w:suppressLineNumbers w:val="0"/>
        <w:shd w:val="clear"/>
        <w:spacing w:before="0" w:beforeAutospacing="0" w:after="0" w:afterAutospacing="0" w:line="600" w:lineRule="atLeast"/>
        <w:ind w:left="0" w:right="0" w:firstLine="634"/>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3.文创研发职能。以“深挖馆藏文物资源，传承红色基因，让文物活起来，讲好毛主席故事”为宗旨，从事文创产品研发、制作和发行工作，通过开发文创产品实现文化传播，并创造经济效益。</w:t>
      </w:r>
    </w:p>
    <w:p>
      <w:pPr>
        <w:keepNext w:val="0"/>
        <w:keepLines w:val="0"/>
        <w:widowControl/>
        <w:suppressLineNumbers w:val="0"/>
        <w:shd w:val="clear"/>
        <w:spacing w:before="0" w:beforeAutospacing="0" w:after="0" w:afterAutospacing="0" w:line="600" w:lineRule="atLeast"/>
        <w:ind w:left="0" w:right="0" w:firstLine="634"/>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4.陈列展示职能。凭借丰富的馆藏资源，挖掘文物内涵，形成全国独一无二的、富有伟人文化特色的陈列展示体系。</w:t>
      </w:r>
    </w:p>
    <w:p>
      <w:pPr>
        <w:keepNext w:val="0"/>
        <w:keepLines w:val="0"/>
        <w:widowControl/>
        <w:suppressLineNumbers w:val="0"/>
        <w:shd w:val="clear"/>
        <w:spacing w:before="0" w:beforeAutospacing="0" w:after="0" w:afterAutospacing="0" w:line="600" w:lineRule="atLeast"/>
        <w:ind w:left="0" w:right="0" w:firstLine="634"/>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5.科学研究职能。依托文物和资料优势，深入毛泽东生平和思想研究学术领域。</w:t>
      </w:r>
    </w:p>
    <w:p>
      <w:pPr>
        <w:keepNext w:val="0"/>
        <w:keepLines w:val="0"/>
        <w:widowControl/>
        <w:suppressLineNumbers w:val="0"/>
        <w:shd w:val="clear"/>
        <w:spacing w:before="0" w:beforeAutospacing="0" w:after="0" w:afterAutospacing="0" w:line="600" w:lineRule="atLeast"/>
        <w:ind w:left="0" w:right="0" w:firstLine="634"/>
        <w:jc w:val="left"/>
        <w:rPr>
          <w:rFonts w:hint="eastAsia" w:asciiTheme="minorEastAsia" w:hAnsiTheme="minorEastAsia" w:eastAsiaTheme="minorEastAsia" w:cstheme="minorEastAsia"/>
          <w:i w:val="0"/>
          <w:iCs w:val="0"/>
          <w:caps w:val="0"/>
          <w:color w:val="000000"/>
          <w:spacing w:val="0"/>
          <w:sz w:val="32"/>
          <w:szCs w:val="32"/>
        </w:rPr>
      </w:pPr>
      <w:r>
        <w:rPr>
          <w:rFonts w:hint="eastAsia" w:asciiTheme="minorEastAsia" w:hAnsiTheme="minorEastAsia" w:eastAsiaTheme="minorEastAsia" w:cstheme="minorEastAsia"/>
          <w:i w:val="0"/>
          <w:iCs w:val="0"/>
          <w:caps w:val="0"/>
          <w:color w:val="000000"/>
          <w:spacing w:val="0"/>
          <w:kern w:val="0"/>
          <w:sz w:val="32"/>
          <w:szCs w:val="32"/>
          <w:shd w:val="clear" w:fill="FFFFFF"/>
          <w:lang w:val="en-US" w:eastAsia="zh-CN" w:bidi="ar"/>
        </w:rPr>
        <w:t>6.藏品建设职能。做好故居、各旧址及周边环境的管理和维护工作。通过征集利用、接受捐赠等形式丰富馆藏文物，打造国内外毛泽东生平和思想研究、毛泽东遗物研究、韶山地方史研究的资料中心和研究基地。</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lang w:val="en-US" w:eastAsia="zh-CN"/>
        </w:rPr>
        <w:t>二、</w:t>
      </w:r>
      <w:r>
        <w:rPr>
          <w:rFonts w:hint="eastAsia" w:ascii="黑体" w:hAnsi="黑体" w:eastAsia="黑体" w:cs="黑体"/>
          <w:b w:val="0"/>
          <w:bCs/>
          <w:kern w:val="0"/>
          <w:sz w:val="32"/>
          <w:szCs w:val="32"/>
        </w:rPr>
        <w:t>机构设置及决算单位构成</w:t>
      </w:r>
    </w:p>
    <w:p>
      <w:pPr>
        <w:keepNext w:val="0"/>
        <w:keepLines w:val="0"/>
        <w:widowControl/>
        <w:suppressLineNumbers w:val="0"/>
        <w:shd w:val="clear"/>
        <w:spacing w:before="0" w:beforeAutospacing="0" w:after="0" w:afterAutospacing="0" w:line="600" w:lineRule="atLeast"/>
        <w:ind w:right="0"/>
        <w:jc w:val="left"/>
        <w:rPr>
          <w:rFonts w:hint="eastAsia" w:ascii="宋体" w:hAnsi="宋体" w:eastAsia="宋体" w:cs="宋体"/>
          <w:i w:val="0"/>
          <w:iCs w:val="0"/>
          <w:caps w:val="0"/>
          <w:color w:val="000000"/>
          <w:spacing w:val="0"/>
          <w:kern w:val="0"/>
          <w:sz w:val="32"/>
          <w:szCs w:val="32"/>
          <w:shd w:val="clear" w:fill="FFFFFF"/>
          <w:lang w:val="en-US" w:eastAsia="zh-CN" w:bidi="ar"/>
        </w:rPr>
      </w:pPr>
      <w:r>
        <w:rPr>
          <w:rFonts w:hint="eastAsia" w:ascii="宋体" w:hAnsi="宋体" w:eastAsia="宋体" w:cs="宋体"/>
          <w:i w:val="0"/>
          <w:iCs w:val="0"/>
          <w:caps w:val="0"/>
          <w:color w:val="000000"/>
          <w:spacing w:val="0"/>
          <w:kern w:val="0"/>
          <w:sz w:val="32"/>
          <w:szCs w:val="32"/>
          <w:shd w:val="clear" w:fill="FFFFFF"/>
          <w:lang w:val="en-US" w:eastAsia="zh-CN" w:bidi="ar"/>
        </w:rPr>
        <w:t>（一）内部机构设置。韶山毛泽东同志纪念馆内设机构包括：办公室、宣教部、编研部、陈列部、文物部、文化产业管理部、信息技术部、故居管理部、预约管理部、人力资源部、财务部、保安保洁部等12个部门。</w:t>
      </w:r>
    </w:p>
    <w:p>
      <w:pPr>
        <w:keepNext w:val="0"/>
        <w:keepLines w:val="0"/>
        <w:widowControl/>
        <w:suppressLineNumbers w:val="0"/>
        <w:shd w:val="clear"/>
        <w:spacing w:before="0" w:beforeAutospacing="0" w:after="0" w:afterAutospacing="0" w:line="600" w:lineRule="atLeast"/>
        <w:ind w:right="0"/>
        <w:jc w:val="left"/>
        <w:rPr>
          <w:rFonts w:hint="eastAsia" w:ascii="宋体" w:hAnsi="宋体" w:eastAsia="宋体" w:cs="宋体"/>
          <w:i w:val="0"/>
          <w:iCs w:val="0"/>
          <w:caps w:val="0"/>
          <w:color w:val="000000"/>
          <w:spacing w:val="0"/>
          <w:kern w:val="0"/>
          <w:sz w:val="32"/>
          <w:szCs w:val="32"/>
          <w:shd w:val="clear" w:fill="FFFFFF"/>
          <w:lang w:val="en-US" w:eastAsia="zh-CN" w:bidi="ar"/>
        </w:rPr>
      </w:pPr>
      <w:r>
        <w:rPr>
          <w:rFonts w:hint="eastAsia" w:ascii="宋体" w:hAnsi="宋体" w:eastAsia="宋体" w:cs="宋体"/>
          <w:i w:val="0"/>
          <w:iCs w:val="0"/>
          <w:caps w:val="0"/>
          <w:color w:val="000000"/>
          <w:spacing w:val="0"/>
          <w:kern w:val="0"/>
          <w:sz w:val="32"/>
          <w:szCs w:val="32"/>
          <w:shd w:val="clear" w:fill="FFFFFF"/>
          <w:lang w:val="en-US" w:eastAsia="zh-CN" w:bidi="ar"/>
        </w:rPr>
        <w:t>（二）决算单位构成。韶山毛泽东同志纪念馆2022年部门决算汇总公开单位构成包括：韶山毛泽东同志纪念馆本级。</w:t>
      </w:r>
    </w:p>
    <w:p>
      <w:pPr>
        <w:jc w:val="center"/>
        <w:rPr>
          <w:rFonts w:ascii="黑体" w:hAnsi="黑体" w:eastAsia="黑体"/>
          <w:sz w:val="28"/>
          <w:szCs w:val="28"/>
        </w:rPr>
      </w:pPr>
    </w:p>
    <w:p>
      <w:pPr>
        <w:widowControl/>
        <w:jc w:val="both"/>
        <w:rPr>
          <w:sz w:val="72"/>
          <w:szCs w:val="72"/>
        </w:rPr>
        <w:sectPr>
          <w:pgSz w:w="11906" w:h="16838"/>
          <w:pgMar w:top="720" w:right="720" w:bottom="720" w:left="720" w:header="851" w:footer="992" w:gutter="0"/>
          <w:cols w:space="0" w:num="1"/>
          <w:rtlGutter w:val="0"/>
          <w:docGrid w:type="lines" w:linePitch="312" w:charSpace="0"/>
        </w:sectPr>
      </w:pPr>
    </w:p>
    <w:p>
      <w:pPr>
        <w:pStyle w:val="11"/>
        <w:jc w:val="both"/>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1"/>
        <w:jc w:val="center"/>
        <w:rPr>
          <w:rFonts w:hint="eastAsia" w:ascii="方正小标宋_GBK" w:hAnsi="方正小标宋_GBK" w:eastAsia="方正小标宋_GBK" w:cs="方正小标宋_GBK"/>
          <w:sz w:val="84"/>
          <w:szCs w:val="84"/>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1"/>
        <w:jc w:val="center"/>
        <w:rPr>
          <w:rFonts w:hint="eastAsia" w:ascii="方正小标宋_GBK" w:hAnsi="方正小标宋_GBK" w:eastAsia="方正小标宋_GBK" w:cs="方正小标宋_GBK"/>
          <w:sz w:val="70"/>
          <w:szCs w:val="70"/>
        </w:rPr>
      </w:pPr>
    </w:p>
    <w:p>
      <w:pPr>
        <w:pStyle w:val="11"/>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7518.21</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315.75</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4.38</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增加中宣部拨付“中国出了个毛泽东”基本陈列局部改陈布展项目专项资金。</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6116.06</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4994.70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81.67</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0.08</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65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1.06</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1051.36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17.19</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5787.64</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1156.30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19.98</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4628.03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79.96</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3.31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0.06</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1"/>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6089.23</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67.37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1.09</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上年结余的免费开放专项资金减少。</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5655.10</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97.91</w:t>
      </w:r>
      <w:r>
        <w:rPr>
          <w:rFonts w:hint="eastAsia" w:ascii="Times New Roman" w:hAnsi="Times New Roman" w:eastAsia="仿宋_GB2312"/>
          <w:sz w:val="32"/>
          <w:szCs w:val="32"/>
        </w:rPr>
        <w:t>%，与上年相比，财政拨</w:t>
      </w:r>
      <w:r>
        <w:rPr>
          <w:rFonts w:hint="eastAsia" w:ascii="Times New Roman" w:hAnsi="Times New Roman" w:eastAsia="仿宋_GB2312"/>
          <w:color w:val="auto"/>
          <w:sz w:val="32"/>
          <w:szCs w:val="32"/>
        </w:rPr>
        <w:t>款支出</w:t>
      </w:r>
      <w:r>
        <w:rPr>
          <w:rFonts w:hint="eastAsia" w:ascii="Times New Roman" w:hAnsi="Times New Roman" w:eastAsia="仿宋_GB2312"/>
          <w:color w:val="auto"/>
          <w:sz w:val="32"/>
          <w:szCs w:val="32"/>
          <w:lang w:val="en-US" w:eastAsia="zh-CN"/>
        </w:rPr>
        <w:t>增加958.36</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val="en-US" w:eastAsia="zh-CN"/>
        </w:rPr>
        <w:t>增加20.40</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增加上年结转免费开放专项资金及“毛泽东与反腐倡廉”展示项目专项资金。</w:t>
      </w:r>
    </w:p>
    <w:p>
      <w:pPr>
        <w:pStyle w:val="11"/>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（二）财政拨款支出决算结构情况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w:t>
      </w:r>
      <w:r>
        <w:rPr>
          <w:rFonts w:hint="eastAsia" w:ascii="Times New Roman" w:hAnsi="Times New Roman" w:eastAsia="仿宋_GB2312"/>
          <w:color w:val="auto"/>
          <w:sz w:val="32"/>
          <w:szCs w:val="32"/>
          <w:lang w:val="en-US" w:eastAsia="zh-CN"/>
        </w:rPr>
        <w:t>5655.10</w:t>
      </w:r>
      <w:r>
        <w:rPr>
          <w:rFonts w:hint="eastAsia" w:ascii="Times New Roman" w:hAnsi="Times New Roman" w:eastAsia="仿宋_GB2312"/>
          <w:color w:val="auto"/>
          <w:sz w:val="32"/>
          <w:szCs w:val="32"/>
        </w:rPr>
        <w:t>万元，主要用于以下方面：一般公共服务（类）支出</w:t>
      </w:r>
      <w:r>
        <w:rPr>
          <w:rFonts w:hint="eastAsia" w:ascii="Times New Roman" w:hAnsi="Times New Roman" w:eastAsia="仿宋_GB2312"/>
          <w:color w:val="auto"/>
          <w:sz w:val="32"/>
          <w:szCs w:val="32"/>
          <w:lang w:val="en-US" w:eastAsia="zh-CN"/>
        </w:rPr>
        <w:t>53.44</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0.94</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文化旅游体育与传媒支出</w:t>
      </w:r>
      <w:r>
        <w:rPr>
          <w:rFonts w:hint="eastAsia" w:ascii="Times New Roman" w:hAnsi="Times New Roman" w:eastAsia="仿宋_GB2312"/>
          <w:color w:val="auto"/>
          <w:sz w:val="32"/>
          <w:szCs w:val="32"/>
        </w:rPr>
        <w:t>（类）支出</w:t>
      </w:r>
      <w:r>
        <w:rPr>
          <w:rFonts w:hint="eastAsia" w:ascii="Times New Roman" w:hAnsi="Times New Roman" w:eastAsia="仿宋_GB2312"/>
          <w:color w:val="auto"/>
          <w:sz w:val="32"/>
          <w:szCs w:val="32"/>
          <w:lang w:val="en-US" w:eastAsia="zh-CN"/>
        </w:rPr>
        <w:t>5238.62</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92.64</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社会保障和就业支出</w:t>
      </w:r>
      <w:r>
        <w:rPr>
          <w:rFonts w:hint="eastAsia" w:ascii="Times New Roman" w:hAnsi="Times New Roman" w:eastAsia="仿宋_GB2312"/>
          <w:color w:val="auto"/>
          <w:sz w:val="32"/>
          <w:szCs w:val="32"/>
        </w:rPr>
        <w:t>（类）支出</w:t>
      </w:r>
      <w:r>
        <w:rPr>
          <w:rFonts w:hint="eastAsia" w:ascii="Times New Roman" w:hAnsi="Times New Roman" w:eastAsia="仿宋_GB2312"/>
          <w:color w:val="auto"/>
          <w:sz w:val="32"/>
          <w:szCs w:val="32"/>
          <w:lang w:val="en-US" w:eastAsia="zh-CN"/>
        </w:rPr>
        <w:t>189.04</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3.34</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住房保障</w:t>
      </w:r>
      <w:r>
        <w:rPr>
          <w:rFonts w:hint="eastAsia" w:ascii="Times New Roman" w:hAnsi="Times New Roman" w:eastAsia="仿宋_GB2312"/>
          <w:color w:val="auto"/>
          <w:sz w:val="32"/>
          <w:szCs w:val="32"/>
        </w:rPr>
        <w:t>（类）支出</w:t>
      </w:r>
      <w:r>
        <w:rPr>
          <w:rFonts w:hint="eastAsia" w:ascii="Times New Roman" w:hAnsi="Times New Roman" w:eastAsia="仿宋_GB2312"/>
          <w:color w:val="auto"/>
          <w:sz w:val="32"/>
          <w:szCs w:val="32"/>
          <w:lang w:val="en-US" w:eastAsia="zh-CN"/>
        </w:rPr>
        <w:t>174</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3.08</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（三）财政拨款支出决算具体情况</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年度财政拨款支出年初预算数为</w:t>
      </w:r>
      <w:r>
        <w:rPr>
          <w:rFonts w:hint="eastAsia" w:ascii="Times New Roman" w:hAnsi="Times New Roman" w:eastAsia="仿宋_GB2312"/>
          <w:color w:val="auto"/>
          <w:sz w:val="32"/>
          <w:szCs w:val="32"/>
          <w:lang w:val="en-US" w:eastAsia="zh-CN"/>
        </w:rPr>
        <w:t>2190.55</w:t>
      </w:r>
      <w:r>
        <w:rPr>
          <w:rFonts w:hint="eastAsia" w:ascii="Times New Roman" w:hAnsi="Times New Roman" w:eastAsia="仿宋_GB2312"/>
          <w:color w:val="auto"/>
          <w:sz w:val="32"/>
          <w:szCs w:val="32"/>
        </w:rPr>
        <w:t>万元，支出决算数为</w:t>
      </w:r>
      <w:r>
        <w:rPr>
          <w:rFonts w:hint="eastAsia" w:ascii="Times New Roman" w:hAnsi="Times New Roman" w:eastAsia="仿宋_GB2312"/>
          <w:color w:val="auto"/>
          <w:sz w:val="32"/>
          <w:szCs w:val="32"/>
          <w:lang w:val="en-US" w:eastAsia="zh-CN"/>
        </w:rPr>
        <w:t>5655.10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258.16</w:t>
      </w:r>
      <w:r>
        <w:rPr>
          <w:rFonts w:hint="eastAsia" w:ascii="Times New Roman" w:hAnsi="Times New Roman" w:eastAsia="仿宋_GB2312"/>
          <w:color w:val="auto"/>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1、</w:t>
      </w:r>
      <w:r>
        <w:rPr>
          <w:rFonts w:hint="eastAsia" w:ascii="Times New Roman" w:hAnsi="Times New Roman" w:eastAsia="仿宋_GB2312"/>
          <w:color w:val="auto"/>
          <w:sz w:val="32"/>
          <w:szCs w:val="32"/>
          <w:lang w:val="en-US" w:eastAsia="zh-CN"/>
        </w:rPr>
        <w:t>一般公共服务支出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其他共产党事务支出</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事业运行</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53.44</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年中追加省级机关事业单位基本工资形成支出。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文化旅游体育与传媒支出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文化和旅游</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其他文化和旅游支出</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年中追加韶山毛泽东同志纪念馆“毛泽东与反腐倡廉”展示项目形成支出。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文化旅游体育与传媒支出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文物</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博物馆</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1689.23</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4404.79</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260.76</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val="en-US" w:eastAsia="zh-CN"/>
        </w:rPr>
        <w:t>年中追加免费开放专项资金形成支出。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4</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文化旅游体育与传媒支出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文物</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其他文物支出</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130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397.52</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305.78</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val="en-US" w:eastAsia="zh-CN"/>
        </w:rPr>
        <w:t>年中追加韶山冲毛主席旧居修缮工程专项资金形成支出。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文化旅游体育与传媒支出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其他文化旅游体育与传媒支出</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其他文化旅游体育与传媒支出</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36.32</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336.32</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925.99</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增加公共文化服务体系建设绩效奖励形成支出。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6</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社会保障和就业支出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行政事业单位养老支出</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事业单位离退休</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20.90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val="en-US" w:eastAsia="zh-CN"/>
        </w:rPr>
        <w:t>增加省直事业单位经费补助形成支出。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7</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社会保障和就业支出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行政事业单位养老支出</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机关事业单位养老保险缴费支出</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161</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161</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8</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社会保障和就业支出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抚恤</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死亡抚恤</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7.14</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%，决算数大于年初预算数的主要原因是：</w:t>
      </w:r>
      <w:r>
        <w:rPr>
          <w:rFonts w:hint="eastAsia" w:ascii="Times New Roman" w:hAnsi="Times New Roman" w:eastAsia="仿宋_GB2312"/>
          <w:color w:val="auto"/>
          <w:sz w:val="32"/>
          <w:szCs w:val="32"/>
          <w:lang w:val="en-US" w:eastAsia="zh-CN"/>
        </w:rPr>
        <w:t>增加丧葬费和抚恤金形成支出。</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9</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住房保障支出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住房改革支出</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住房公积金</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160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160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10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住房保障支出</w:t>
      </w:r>
      <w:r>
        <w:rPr>
          <w:rFonts w:hint="eastAsia" w:ascii="Times New Roman" w:hAnsi="Times New Roman" w:eastAsia="仿宋_GB2312"/>
          <w:color w:val="auto"/>
          <w:sz w:val="32"/>
          <w:szCs w:val="32"/>
        </w:rPr>
        <w:t>（类）</w:t>
      </w:r>
      <w:r>
        <w:rPr>
          <w:rFonts w:hint="eastAsia" w:ascii="Times New Roman" w:hAnsi="Times New Roman" w:eastAsia="仿宋_GB2312"/>
          <w:color w:val="auto"/>
          <w:sz w:val="32"/>
          <w:szCs w:val="32"/>
          <w:lang w:val="en-US" w:eastAsia="zh-CN"/>
        </w:rPr>
        <w:t>住房改革支出</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购房补贴</w:t>
      </w:r>
      <w:r>
        <w:rPr>
          <w:rFonts w:hint="eastAsia" w:ascii="Times New Roman" w:hAnsi="Times New Roman" w:eastAsia="仿宋_GB2312"/>
          <w:color w:val="auto"/>
          <w:sz w:val="32"/>
          <w:szCs w:val="32"/>
        </w:rPr>
        <w:t>（项）。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14</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14</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年度财政拨款基本支出</w:t>
      </w:r>
      <w:r>
        <w:rPr>
          <w:rFonts w:hint="eastAsia" w:ascii="Times New Roman" w:hAnsi="Times New Roman" w:eastAsia="仿宋_GB2312"/>
          <w:color w:val="auto"/>
          <w:sz w:val="32"/>
          <w:szCs w:val="32"/>
          <w:lang w:val="en-US" w:eastAsia="zh-CN"/>
        </w:rPr>
        <w:t>1156.30</w:t>
      </w:r>
      <w:r>
        <w:rPr>
          <w:rFonts w:hint="eastAsia" w:ascii="Times New Roman" w:hAnsi="Times New Roman" w:eastAsia="仿宋_GB2312"/>
          <w:color w:val="auto"/>
          <w:sz w:val="32"/>
          <w:szCs w:val="32"/>
        </w:rPr>
        <w:t>万元，其中：</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b/>
          <w:bCs/>
          <w:color w:val="auto"/>
          <w:sz w:val="32"/>
          <w:szCs w:val="32"/>
        </w:rPr>
        <w:t>人员经费</w:t>
      </w:r>
      <w:r>
        <w:rPr>
          <w:rFonts w:hint="eastAsia" w:ascii="Times New Roman" w:hAnsi="Times New Roman" w:eastAsia="仿宋_GB2312"/>
          <w:color w:val="auto"/>
          <w:sz w:val="32"/>
          <w:szCs w:val="32"/>
          <w:lang w:val="en-US" w:eastAsia="zh-CN"/>
        </w:rPr>
        <w:t>1133.40</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98.02</w:t>
      </w:r>
      <w:r>
        <w:rPr>
          <w:rFonts w:hint="eastAsia" w:ascii="Times New Roman" w:hAnsi="Times New Roman" w:eastAsia="仿宋_GB2312"/>
          <w:color w:val="auto"/>
          <w:sz w:val="32"/>
          <w:szCs w:val="32"/>
        </w:rPr>
        <w:t>%,主要包括基本工资、津贴补贴、</w:t>
      </w:r>
      <w:r>
        <w:rPr>
          <w:rFonts w:hint="eastAsia" w:ascii="Times New Roman" w:hAnsi="Times New Roman" w:eastAsia="仿宋_GB2312"/>
          <w:color w:val="auto"/>
          <w:sz w:val="32"/>
          <w:szCs w:val="32"/>
          <w:lang w:val="en-US" w:eastAsia="zh-CN"/>
        </w:rPr>
        <w:t>绩效工资</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机关事业单位基本养老保险缴费、职工基本医疗保险缴费、其他社会保障缴费、住房公积金、退休费、抚恤金等</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b/>
          <w:bCs/>
          <w:color w:val="auto"/>
          <w:sz w:val="32"/>
          <w:szCs w:val="32"/>
        </w:rPr>
        <w:t>公用经费</w:t>
      </w:r>
      <w:r>
        <w:rPr>
          <w:rFonts w:hint="eastAsia" w:ascii="Times New Roman" w:hAnsi="Times New Roman" w:eastAsia="仿宋_GB2312"/>
          <w:color w:val="auto"/>
          <w:sz w:val="32"/>
          <w:szCs w:val="32"/>
          <w:lang w:val="en-US" w:eastAsia="zh-CN"/>
        </w:rPr>
        <w:t>22.90</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1.98</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主要包括公务接待费、公务用车运行维护费</w:t>
      </w:r>
      <w:r>
        <w:rPr>
          <w:rFonts w:hint="eastAsia" w:ascii="Times New Roman" w:hAnsi="Times New Roman" w:eastAsia="仿宋_GB2312"/>
          <w:color w:val="auto"/>
          <w:sz w:val="32"/>
          <w:szCs w:val="32"/>
          <w:lang w:eastAsia="zh-CN"/>
        </w:rPr>
        <w:t>。</w:t>
      </w:r>
    </w:p>
    <w:p>
      <w:pPr>
        <w:pStyle w:val="11"/>
        <w:keepNext w:val="0"/>
        <w:keepLines w:val="0"/>
        <w:pageBreakBefore w:val="0"/>
        <w:widowControl w:val="0"/>
        <w:numPr>
          <w:ilvl w:val="0"/>
          <w:numId w:val="1"/>
        </w:numPr>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财政拨款三公经费支出决算情况说明</w:t>
      </w:r>
    </w:p>
    <w:p>
      <w:pPr>
        <w:pStyle w:val="11"/>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（一）“三公”经费财政拨款支出决算总体情况说明</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23.20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22.90</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98.71</w:t>
      </w:r>
      <w:r>
        <w:rPr>
          <w:rFonts w:hint="eastAsia" w:ascii="Times New Roman" w:hAnsi="Times New Roman" w:eastAsia="仿宋_GB2312"/>
          <w:color w:val="auto"/>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决算数等于预算数</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8</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7.71</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96.38</w:t>
      </w:r>
      <w:r>
        <w:rPr>
          <w:rFonts w:hint="eastAsia" w:ascii="Times New Roman" w:hAnsi="Times New Roman" w:eastAsia="仿宋_GB2312"/>
          <w:color w:val="auto"/>
          <w:sz w:val="32"/>
          <w:szCs w:val="32"/>
        </w:rPr>
        <w:t>%，决算数小于预算数的主要原因是</w:t>
      </w:r>
      <w:r>
        <w:rPr>
          <w:rFonts w:hint="eastAsia" w:ascii="Times New Roman" w:hAnsi="Times New Roman" w:eastAsia="仿宋_GB2312"/>
          <w:color w:val="auto"/>
          <w:sz w:val="32"/>
          <w:szCs w:val="32"/>
          <w:lang w:val="en-US" w:eastAsia="zh-CN"/>
        </w:rPr>
        <w:t>严格控制公务接待经费</w:t>
      </w:r>
      <w:r>
        <w:rPr>
          <w:rFonts w:hint="eastAsia" w:ascii="Times New Roman" w:hAnsi="Times New Roman" w:eastAsia="仿宋_GB2312"/>
          <w:color w:val="auto"/>
          <w:sz w:val="32"/>
          <w:szCs w:val="32"/>
        </w:rPr>
        <w:t>，与上年相比</w:t>
      </w:r>
      <w:r>
        <w:rPr>
          <w:rFonts w:hint="eastAsia" w:ascii="Times New Roman" w:hAnsi="Times New Roman" w:eastAsia="仿宋_GB2312"/>
          <w:color w:val="auto"/>
          <w:sz w:val="32"/>
          <w:szCs w:val="32"/>
          <w:lang w:val="en-US" w:eastAsia="zh-CN"/>
        </w:rPr>
        <w:t>持平</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决算数等于预算数</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公务用车运行维护费支出预算为</w:t>
      </w:r>
      <w:r>
        <w:rPr>
          <w:rFonts w:hint="eastAsia" w:ascii="Times New Roman" w:hAnsi="Times New Roman" w:eastAsia="仿宋_GB2312"/>
          <w:color w:val="auto"/>
          <w:sz w:val="32"/>
          <w:szCs w:val="32"/>
          <w:lang w:val="en-US" w:eastAsia="zh-CN"/>
        </w:rPr>
        <w:t>15.20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15.19</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99.93</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决算数小于预算数的主要原因是严格控制公务用车运行经费，与上年相比减少0.01万元，减少的主要原因是严格控制公务用车运行经费</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（二）“三公”经费财政拨款支出决算具体情况说明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7.71</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33.67</w:t>
      </w:r>
      <w:r>
        <w:rPr>
          <w:rFonts w:hint="eastAsia" w:ascii="Times New Roman" w:hAnsi="Times New Roman" w:eastAsia="仿宋_GB2312"/>
          <w:color w:val="auto"/>
          <w:sz w:val="32"/>
          <w:szCs w:val="32"/>
        </w:rPr>
        <w:t>%,因公出国（境）费支出决算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%,公务用车购置费及运行维护费支出决算</w:t>
      </w:r>
      <w:r>
        <w:rPr>
          <w:rFonts w:hint="eastAsia" w:ascii="Times New Roman" w:hAnsi="Times New Roman" w:eastAsia="仿宋_GB2312"/>
          <w:color w:val="auto"/>
          <w:sz w:val="32"/>
          <w:szCs w:val="32"/>
          <w:lang w:val="en-US" w:eastAsia="zh-CN"/>
        </w:rPr>
        <w:t>15.19</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66.33</w:t>
      </w:r>
      <w:r>
        <w:rPr>
          <w:rFonts w:hint="eastAsia" w:ascii="Times New Roman" w:hAnsi="Times New Roman" w:eastAsia="仿宋_GB2312"/>
          <w:color w:val="auto"/>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val="en-US" w:eastAsia="zh-CN"/>
        </w:rPr>
      </w:pP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因公出国（境）费支出决算为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万元，全年安排因公出国（境）团组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个，累计</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人次</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2、公务接待费支出决算为</w:t>
      </w:r>
      <w:r>
        <w:rPr>
          <w:rFonts w:hint="eastAsia" w:ascii="Times New Roman" w:hAnsi="Times New Roman" w:eastAsia="仿宋_GB2312"/>
          <w:color w:val="auto"/>
          <w:sz w:val="32"/>
          <w:szCs w:val="32"/>
          <w:lang w:val="en-US" w:eastAsia="zh-CN"/>
        </w:rPr>
        <w:t>7.71</w:t>
      </w:r>
      <w:r>
        <w:rPr>
          <w:rFonts w:hint="eastAsia" w:ascii="Times New Roman" w:hAnsi="Times New Roman" w:eastAsia="仿宋_GB2312"/>
          <w:color w:val="auto"/>
          <w:sz w:val="32"/>
          <w:szCs w:val="32"/>
        </w:rPr>
        <w:t>万元，全年共接待来访团组</w:t>
      </w:r>
      <w:r>
        <w:rPr>
          <w:rFonts w:hint="eastAsia" w:ascii="Times New Roman" w:hAnsi="Times New Roman" w:eastAsia="仿宋_GB2312"/>
          <w:color w:val="auto"/>
          <w:sz w:val="32"/>
          <w:szCs w:val="32"/>
          <w:lang w:val="en-US" w:eastAsia="zh-CN"/>
        </w:rPr>
        <w:t>27</w:t>
      </w:r>
      <w:r>
        <w:rPr>
          <w:rFonts w:hint="eastAsia" w:ascii="Times New Roman" w:hAnsi="Times New Roman" w:eastAsia="仿宋_GB2312"/>
          <w:color w:val="auto"/>
          <w:sz w:val="32"/>
          <w:szCs w:val="32"/>
        </w:rPr>
        <w:t>个、来宾</w:t>
      </w:r>
      <w:r>
        <w:rPr>
          <w:rFonts w:hint="eastAsia" w:ascii="Times New Roman" w:hAnsi="Times New Roman" w:eastAsia="仿宋_GB2312"/>
          <w:color w:val="auto"/>
          <w:sz w:val="32"/>
          <w:szCs w:val="32"/>
          <w:lang w:val="en-US" w:eastAsia="zh-CN"/>
        </w:rPr>
        <w:t>432</w:t>
      </w:r>
      <w:r>
        <w:rPr>
          <w:rFonts w:hint="eastAsia" w:ascii="Times New Roman" w:hAnsi="Times New Roman" w:eastAsia="仿宋_GB2312"/>
          <w:color w:val="auto"/>
          <w:sz w:val="32"/>
          <w:szCs w:val="32"/>
        </w:rPr>
        <w:t>人次，主要是</w:t>
      </w:r>
      <w:r>
        <w:rPr>
          <w:rFonts w:hint="eastAsia" w:ascii="Times New Roman" w:hAnsi="Times New Roman" w:eastAsia="仿宋_GB2312"/>
          <w:color w:val="auto"/>
          <w:sz w:val="32"/>
          <w:szCs w:val="32"/>
          <w:lang w:val="en-US" w:eastAsia="zh-CN"/>
        </w:rPr>
        <w:t>餐饮、住宿</w:t>
      </w:r>
      <w:r>
        <w:rPr>
          <w:rFonts w:hint="eastAsia" w:ascii="Times New Roman" w:hAnsi="Times New Roman" w:eastAsia="仿宋_GB2312"/>
          <w:color w:val="auto"/>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color w:val="auto"/>
          <w:sz w:val="32"/>
          <w:szCs w:val="32"/>
        </w:rPr>
        <w:t>3、公务用车购置费及运行维护费支出决算为</w:t>
      </w:r>
      <w:r>
        <w:rPr>
          <w:rFonts w:hint="eastAsia" w:ascii="Times New Roman" w:hAnsi="Times New Roman" w:eastAsia="仿宋_GB2312"/>
          <w:color w:val="auto"/>
          <w:sz w:val="32"/>
          <w:szCs w:val="32"/>
          <w:lang w:val="en-US" w:eastAsia="zh-CN"/>
        </w:rPr>
        <w:t>15.20</w:t>
      </w:r>
      <w:r>
        <w:rPr>
          <w:rFonts w:hint="eastAsia" w:ascii="Times New Roman" w:hAnsi="Times New Roman" w:eastAsia="仿宋_GB2312"/>
          <w:color w:val="auto"/>
          <w:sz w:val="32"/>
          <w:szCs w:val="32"/>
        </w:rPr>
        <w:t>万元，其中：公务用车购置费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万元。公务用车运行维护费</w:t>
      </w:r>
      <w:r>
        <w:rPr>
          <w:rFonts w:hint="eastAsia" w:ascii="Times New Roman" w:hAnsi="Times New Roman" w:eastAsia="仿宋_GB2312"/>
          <w:color w:val="auto"/>
          <w:sz w:val="32"/>
          <w:szCs w:val="32"/>
          <w:lang w:val="en-US" w:eastAsia="zh-CN"/>
        </w:rPr>
        <w:t>15.19</w:t>
      </w:r>
      <w:r>
        <w:rPr>
          <w:rFonts w:hint="eastAsia" w:ascii="Times New Roman" w:hAnsi="Times New Roman" w:eastAsia="仿宋_GB2312"/>
          <w:color w:val="auto"/>
          <w:sz w:val="32"/>
          <w:szCs w:val="32"/>
        </w:rPr>
        <w:t>万元，主</w:t>
      </w:r>
      <w:r>
        <w:rPr>
          <w:rFonts w:hint="eastAsia" w:ascii="Times New Roman" w:hAnsi="Times New Roman" w:eastAsia="仿宋_GB2312"/>
          <w:sz w:val="32"/>
          <w:szCs w:val="32"/>
        </w:rPr>
        <w:t>要是</w:t>
      </w:r>
      <w:r>
        <w:rPr>
          <w:rFonts w:hint="eastAsia" w:ascii="Times New Roman" w:hAnsi="Times New Roman" w:eastAsia="仿宋_GB2312"/>
          <w:sz w:val="32"/>
          <w:szCs w:val="32"/>
          <w:lang w:val="en-US" w:eastAsia="zh-CN"/>
        </w:rPr>
        <w:t>燃油费、保险费、维修费等</w:t>
      </w:r>
      <w:r>
        <w:rPr>
          <w:rFonts w:hint="eastAsia" w:ascii="Times New Roman" w:hAnsi="Times New Roman" w:eastAsia="仿宋_GB2312"/>
          <w:sz w:val="32"/>
          <w:szCs w:val="32"/>
        </w:rPr>
        <w:t>支出，截止202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辆。</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本单位无政府性基金收支。</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本部门无机关运行经费支出。</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年本部门开支会议费</w:t>
      </w:r>
      <w:r>
        <w:rPr>
          <w:rFonts w:hint="eastAsia" w:ascii="Times New Roman" w:hAnsi="Times New Roman" w:eastAsia="仿宋_GB2312"/>
          <w:color w:val="auto"/>
          <w:sz w:val="32"/>
          <w:szCs w:val="32"/>
          <w:lang w:val="en-US" w:eastAsia="zh-CN"/>
        </w:rPr>
        <w:t>7.28</w:t>
      </w:r>
      <w:r>
        <w:rPr>
          <w:rFonts w:hint="eastAsia" w:ascii="Times New Roman" w:hAnsi="Times New Roman" w:eastAsia="仿宋_GB2312"/>
          <w:color w:val="auto"/>
          <w:sz w:val="32"/>
          <w:szCs w:val="32"/>
        </w:rPr>
        <w:t>万元，用于召开</w:t>
      </w:r>
      <w:r>
        <w:rPr>
          <w:rFonts w:hint="eastAsia" w:ascii="Times New Roman" w:hAnsi="Times New Roman" w:eastAsia="仿宋_GB2312"/>
          <w:color w:val="auto"/>
          <w:sz w:val="32"/>
          <w:szCs w:val="32"/>
          <w:lang w:val="en-US" w:eastAsia="zh-CN"/>
        </w:rPr>
        <w:t>第十四届毛泽东论坛</w:t>
      </w:r>
      <w:r>
        <w:rPr>
          <w:rFonts w:hint="eastAsia" w:ascii="Times New Roman" w:hAnsi="Times New Roman" w:eastAsia="仿宋_GB2312"/>
          <w:color w:val="auto"/>
          <w:sz w:val="32"/>
          <w:szCs w:val="32"/>
        </w:rPr>
        <w:t>会议，人数</w:t>
      </w:r>
      <w:r>
        <w:rPr>
          <w:rFonts w:hint="eastAsia" w:ascii="Times New Roman" w:hAnsi="Times New Roman" w:eastAsia="仿宋_GB2312"/>
          <w:color w:val="auto"/>
          <w:sz w:val="32"/>
          <w:szCs w:val="32"/>
          <w:lang w:val="en-US" w:eastAsia="zh-CN"/>
        </w:rPr>
        <w:t>164</w:t>
      </w:r>
      <w:r>
        <w:rPr>
          <w:rFonts w:hint="eastAsia" w:ascii="Times New Roman" w:hAnsi="Times New Roman" w:eastAsia="仿宋_GB2312"/>
          <w:color w:val="auto"/>
          <w:sz w:val="32"/>
          <w:szCs w:val="32"/>
        </w:rPr>
        <w:t>人，内容为</w:t>
      </w:r>
      <w:r>
        <w:rPr>
          <w:rFonts w:hint="eastAsia" w:ascii="Times New Roman" w:hAnsi="Times New Roman" w:eastAsia="仿宋_GB2312"/>
          <w:color w:val="auto"/>
          <w:sz w:val="32"/>
          <w:szCs w:val="32"/>
          <w:lang w:val="en-US" w:eastAsia="zh-CN"/>
        </w:rPr>
        <w:t>以伟大建党精神为主题召开的毛泽东论坛会；用于召开革命文物工作会议暨革命文物保护实践经验与制度创新研究学术论坛会议，人数80人，内容为革命文物工作会议暨革命文物保护实践经验与制度创新研究</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开支培训费</w:t>
      </w:r>
      <w:r>
        <w:rPr>
          <w:rFonts w:hint="eastAsia" w:ascii="Times New Roman" w:hAnsi="Times New Roman" w:eastAsia="仿宋_GB2312"/>
          <w:color w:val="auto"/>
          <w:sz w:val="32"/>
          <w:szCs w:val="32"/>
          <w:lang w:val="en-US" w:eastAsia="zh-CN"/>
        </w:rPr>
        <w:t>3.29</w:t>
      </w:r>
      <w:r>
        <w:rPr>
          <w:rFonts w:hint="eastAsia" w:ascii="Times New Roman" w:hAnsi="Times New Roman" w:eastAsia="仿宋_GB2312"/>
          <w:color w:val="auto"/>
          <w:sz w:val="32"/>
          <w:szCs w:val="32"/>
        </w:rPr>
        <w:t>万元，用于</w:t>
      </w:r>
      <w:r>
        <w:rPr>
          <w:rFonts w:hint="eastAsia" w:ascii="Times New Roman" w:hAnsi="Times New Roman" w:eastAsia="仿宋_GB2312"/>
          <w:color w:val="auto"/>
          <w:sz w:val="32"/>
          <w:szCs w:val="32"/>
          <w:lang w:val="en-US" w:eastAsia="zh-CN"/>
        </w:rPr>
        <w:t>单位员工参加业务培训学习</w:t>
      </w:r>
      <w:r>
        <w:rPr>
          <w:rFonts w:hint="eastAsia" w:ascii="Times New Roman" w:hAnsi="Times New Roman" w:eastAsia="仿宋_GB2312"/>
          <w:color w:val="auto"/>
          <w:sz w:val="32"/>
          <w:szCs w:val="32"/>
        </w:rPr>
        <w:t>，人数</w:t>
      </w: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人，内容</w:t>
      </w:r>
      <w:r>
        <w:rPr>
          <w:rFonts w:hint="eastAsia" w:ascii="Times New Roman" w:hAnsi="Times New Roman" w:eastAsia="仿宋_GB2312"/>
          <w:color w:val="auto"/>
          <w:sz w:val="32"/>
          <w:szCs w:val="32"/>
          <w:lang w:val="en-US" w:eastAsia="zh-CN"/>
        </w:rPr>
        <w:t>为与自身工作相关的业务学习培训</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FF0000"/>
          <w:sz w:val="32"/>
          <w:szCs w:val="32"/>
        </w:rPr>
      </w:pPr>
      <w:r>
        <w:rPr>
          <w:rFonts w:hint="eastAsia" w:ascii="Times New Roman" w:hAnsi="Times New Roman" w:eastAsia="仿宋_GB2312"/>
          <w:sz w:val="32"/>
          <w:szCs w:val="32"/>
        </w:rPr>
        <w:t>本部门</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902.03</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36.59</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179.95</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685.49</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902.03</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w:t>
      </w:r>
      <w:r>
        <w:rPr>
          <w:rFonts w:hint="eastAsia" w:ascii="Times New Roman" w:hAnsi="Times New Roman" w:eastAsia="仿宋_GB2312"/>
          <w:color w:val="auto"/>
          <w:sz w:val="32"/>
          <w:szCs w:val="32"/>
        </w:rPr>
        <w:t>予小微企业合同金额</w:t>
      </w:r>
      <w:r>
        <w:rPr>
          <w:rFonts w:hint="eastAsia" w:ascii="Times New Roman" w:hAnsi="Times New Roman" w:eastAsia="仿宋_GB2312"/>
          <w:color w:val="auto"/>
          <w:sz w:val="32"/>
          <w:szCs w:val="32"/>
          <w:lang w:val="en-US" w:eastAsia="zh-CN"/>
        </w:rPr>
        <w:t>495.74</w:t>
      </w:r>
      <w:r>
        <w:rPr>
          <w:rFonts w:hint="eastAsia" w:ascii="Times New Roman" w:hAnsi="Times New Roman" w:eastAsia="仿宋_GB2312"/>
          <w:color w:val="auto"/>
          <w:sz w:val="32"/>
          <w:szCs w:val="32"/>
        </w:rPr>
        <w:t>万元，占政府采购支出总额的</w:t>
      </w:r>
      <w:r>
        <w:rPr>
          <w:rFonts w:hint="eastAsia" w:ascii="Times New Roman" w:hAnsi="Times New Roman" w:eastAsia="仿宋_GB2312"/>
          <w:color w:val="auto"/>
          <w:sz w:val="32"/>
          <w:szCs w:val="32"/>
          <w:lang w:val="en-US" w:eastAsia="zh-CN"/>
        </w:rPr>
        <w:t>54.96</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%，工程采购授予中小企业合同金额占工程支出金额的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%，服务采购授予中小企业合同金额占服务支</w:t>
      </w:r>
      <w:bookmarkStart w:id="0" w:name="_GoBack"/>
      <w:bookmarkEnd w:id="0"/>
      <w:r>
        <w:rPr>
          <w:rFonts w:hint="eastAsia" w:ascii="Times New Roman" w:hAnsi="Times New Roman" w:eastAsia="仿宋_GB2312"/>
          <w:color w:val="auto"/>
          <w:sz w:val="32"/>
          <w:szCs w:val="32"/>
        </w:rPr>
        <w:t>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辆，其他用车主要是</w:t>
      </w:r>
      <w:r>
        <w:rPr>
          <w:rFonts w:hint="eastAsia" w:ascii="Times New Roman" w:hAnsi="Times New Roman" w:eastAsia="仿宋_GB2312"/>
          <w:sz w:val="32"/>
          <w:szCs w:val="32"/>
          <w:lang w:val="en-US" w:eastAsia="zh-CN"/>
        </w:rPr>
        <w:t>接待用车、业务工作用车</w:t>
      </w:r>
      <w:r>
        <w:rPr>
          <w:rFonts w:hint="eastAsia" w:ascii="Times New Roman" w:hAnsi="Times New Roman" w:eastAsia="仿宋_GB2312"/>
          <w:sz w:val="32"/>
          <w:szCs w:val="32"/>
        </w:rPr>
        <w:t>；</w:t>
      </w:r>
      <w:r>
        <w:rPr>
          <w:rFonts w:hint="eastAsia" w:ascii="Times New Roman" w:hAnsi="Times New Roman" w:eastAsia="仿宋_GB2312"/>
          <w:color w:val="auto"/>
          <w:sz w:val="32"/>
          <w:szCs w:val="32"/>
        </w:rPr>
        <w:t>单位价值50万元以上通用设备</w:t>
      </w:r>
      <w:r>
        <w:rPr>
          <w:rFonts w:hint="eastAsia" w:ascii="Times New Roman" w:hAnsi="Times New Roman" w:eastAsia="仿宋_GB2312"/>
          <w:color w:val="auto"/>
          <w:sz w:val="32"/>
          <w:szCs w:val="32"/>
          <w:lang w:val="en-US" w:eastAsia="zh-CN"/>
        </w:rPr>
        <w:t>17</w:t>
      </w:r>
      <w:r>
        <w:rPr>
          <w:rFonts w:hint="eastAsia" w:ascii="Times New Roman" w:hAnsi="Times New Roman" w:eastAsia="仿宋_GB2312"/>
          <w:color w:val="auto"/>
          <w:sz w:val="32"/>
          <w:szCs w:val="32"/>
        </w:rPr>
        <w:t>台（套）；单位价值100万元以上专用设备</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台（套）。</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keepNext w:val="0"/>
        <w:keepLines w:val="0"/>
        <w:pageBreakBefore w:val="0"/>
        <w:tabs>
          <w:tab w:val="left" w:pos="8280"/>
        </w:tabs>
        <w:kinsoku/>
        <w:wordWrap/>
        <w:overflowPunct/>
        <w:topLinePunct w:val="0"/>
        <w:autoSpaceDE/>
        <w:autoSpaceDN/>
        <w:bidi w:val="0"/>
        <w:adjustRightInd/>
        <w:spacing w:line="584"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 w:cs="Times New Roman"/>
          <w:kern w:val="2"/>
          <w:sz w:val="32"/>
          <w:szCs w:val="32"/>
          <w:highlight w:val="none"/>
          <w:lang w:val="en-US" w:eastAsia="zh-CN" w:bidi="ar-SA"/>
        </w:rPr>
        <w:t>2022年</w:t>
      </w:r>
      <w:r>
        <w:rPr>
          <w:rFonts w:hint="default" w:ascii="Times New Roman" w:hAnsi="Times New Roman" w:eastAsia="仿宋_GB2312" w:cs="Times New Roman"/>
          <w:color w:val="auto"/>
          <w:sz w:val="32"/>
          <w:szCs w:val="32"/>
        </w:rPr>
        <w:t>，我馆以党的</w:t>
      </w:r>
      <w:r>
        <w:rPr>
          <w:rFonts w:hint="default" w:ascii="Times New Roman" w:hAnsi="Times New Roman" w:eastAsia="仿宋_GB2312" w:cs="Times New Roman"/>
          <w:color w:val="auto"/>
          <w:sz w:val="32"/>
          <w:szCs w:val="32"/>
          <w:lang w:eastAsia="zh-CN"/>
        </w:rPr>
        <w:t>二十大</w:t>
      </w:r>
      <w:r>
        <w:rPr>
          <w:rFonts w:hint="default" w:ascii="Times New Roman" w:hAnsi="Times New Roman" w:eastAsia="仿宋_GB2312" w:cs="Times New Roman"/>
          <w:color w:val="auto"/>
          <w:sz w:val="32"/>
          <w:szCs w:val="32"/>
        </w:rPr>
        <w:t>精神以及习近平总书记重要讲话精神为指引，坚持正确政治方向，以创新为引领，紧扣时代脉搏，融入时代元素，服务群众需求，深度挖掘红色文化内涵，</w:t>
      </w:r>
      <w:r>
        <w:rPr>
          <w:rFonts w:hint="eastAsia" w:ascii="Times New Roman" w:hAnsi="Times New Roman" w:eastAsia="仿宋_GB2312" w:cs="Times New Roman"/>
          <w:color w:val="auto"/>
          <w:sz w:val="32"/>
          <w:szCs w:val="32"/>
          <w:lang w:eastAsia="zh-CN"/>
        </w:rPr>
        <w:t>较好的</w:t>
      </w:r>
      <w:r>
        <w:rPr>
          <w:rFonts w:hint="default" w:ascii="Times New Roman" w:hAnsi="Times New Roman" w:eastAsia="仿宋_GB2312" w:cs="Times New Roman"/>
          <w:color w:val="auto"/>
          <w:sz w:val="32"/>
          <w:szCs w:val="32"/>
        </w:rPr>
        <w:t>突出</w:t>
      </w:r>
      <w:r>
        <w:rPr>
          <w:rFonts w:hint="eastAsia" w:ascii="Times New Roman" w:hAnsi="Times New Roman" w:eastAsia="仿宋_GB2312" w:cs="Times New Roman"/>
          <w:color w:val="auto"/>
          <w:sz w:val="32"/>
          <w:szCs w:val="32"/>
          <w:lang w:eastAsia="zh-CN"/>
        </w:rPr>
        <w:t>了</w:t>
      </w:r>
      <w:r>
        <w:rPr>
          <w:rFonts w:hint="default" w:ascii="Times New Roman" w:hAnsi="Times New Roman" w:eastAsia="仿宋_GB2312" w:cs="Times New Roman"/>
          <w:bCs/>
          <w:color w:val="auto"/>
          <w:sz w:val="32"/>
          <w:szCs w:val="32"/>
        </w:rPr>
        <w:t>陈列展览、文物保护、学术研究、宣传教育</w:t>
      </w:r>
      <w:r>
        <w:rPr>
          <w:rFonts w:hint="default" w:ascii="Times New Roman" w:hAnsi="Times New Roman" w:eastAsia="仿宋_GB2312" w:cs="Times New Roman"/>
          <w:bCs/>
          <w:color w:val="auto"/>
          <w:sz w:val="32"/>
          <w:szCs w:val="32"/>
          <w:lang w:eastAsia="zh-CN"/>
        </w:rPr>
        <w:t>、</w:t>
      </w:r>
      <w:r>
        <w:rPr>
          <w:rFonts w:hint="eastAsia" w:ascii="Times New Roman" w:hAnsi="Times New Roman" w:eastAsia="仿宋_GB2312" w:cs="Times New Roman"/>
          <w:bCs/>
          <w:color w:val="auto"/>
          <w:sz w:val="32"/>
          <w:szCs w:val="32"/>
          <w:lang w:eastAsia="zh-CN"/>
        </w:rPr>
        <w:t>管理服务</w:t>
      </w:r>
      <w:r>
        <w:rPr>
          <w:rFonts w:hint="default" w:ascii="Times New Roman" w:hAnsi="Times New Roman" w:eastAsia="仿宋_GB2312" w:cs="Times New Roman"/>
          <w:color w:val="auto"/>
          <w:sz w:val="32"/>
          <w:szCs w:val="32"/>
          <w:lang w:eastAsia="zh-CN"/>
        </w:rPr>
        <w:t>五</w:t>
      </w:r>
      <w:r>
        <w:rPr>
          <w:rFonts w:hint="default" w:ascii="Times New Roman" w:hAnsi="Times New Roman" w:eastAsia="仿宋_GB2312" w:cs="Times New Roman"/>
          <w:color w:val="auto"/>
          <w:sz w:val="32"/>
          <w:szCs w:val="32"/>
        </w:rPr>
        <w:t>大工作重点，充分发挥资政育人、培根铸魂重要功能</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全年完成了年初工作目标</w:t>
      </w:r>
      <w:r>
        <w:rPr>
          <w:rFonts w:hint="eastAsia" w:ascii="Times New Roman" w:hAnsi="Times New Roman" w:eastAsia="仿宋" w:cs="Times New Roman"/>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单位整体支出绩效情况良好</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kern w:val="2"/>
          <w:sz w:val="32"/>
          <w:szCs w:val="32"/>
          <w:highlight w:val="none"/>
          <w:lang w:val="en-US" w:eastAsia="zh-CN" w:bidi="ar-SA"/>
        </w:rPr>
        <w:t>进一步提升了社会效益、经济效益、生态效益、可持续发展能力和服务对象满意度。主要体现在以下几个方面：</w:t>
      </w:r>
    </w:p>
    <w:p>
      <w:pPr>
        <w:keepNext w:val="0"/>
        <w:keepLines w:val="0"/>
        <w:pageBreakBefore w:val="0"/>
        <w:widowControl/>
        <w:shd w:val="clear" w:color="auto" w:fill="FFFFFF"/>
        <w:tabs>
          <w:tab w:val="left" w:pos="8280"/>
        </w:tabs>
        <w:kinsoku/>
        <w:wordWrap/>
        <w:overflowPunct/>
        <w:topLinePunct w:val="0"/>
        <w:autoSpaceDE/>
        <w:autoSpaceDN/>
        <w:bidi w:val="0"/>
        <w:adjustRightInd/>
        <w:spacing w:before="0" w:beforeAutospacing="0" w:after="0" w:afterAutospacing="0" w:line="584"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1. 资金使用保障足。一是保障了职工工资，津补贴的及时足额发放，没有出现拖欠职工工资，离退休费用等现象；二是保障了各项工作的正常运转，资金支付正常；三是资金使用无虚列支出及随意使用现象，无大额现金支付现象。</w:t>
      </w:r>
    </w:p>
    <w:p>
      <w:pPr>
        <w:keepNext w:val="0"/>
        <w:keepLines w:val="0"/>
        <w:pageBreakBefore w:val="0"/>
        <w:tabs>
          <w:tab w:val="left" w:pos="8280"/>
        </w:tabs>
        <w:kinsoku/>
        <w:wordWrap/>
        <w:overflowPunct/>
        <w:topLinePunct w:val="0"/>
        <w:autoSpaceDE/>
        <w:autoSpaceDN/>
        <w:bidi w:val="0"/>
        <w:adjustRightInd/>
        <w:spacing w:after="0" w:line="584" w:lineRule="exact"/>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 资金使用社会效益好。一是保障了我馆接待工作的顺利进行，2022年全年共接待观众309.4万人次，共计完成讲解9254批，观众满意度100%。重宾接待共计完成84批次，其中包括</w:t>
      </w:r>
      <w:r>
        <w:rPr>
          <w:rFonts w:hint="default" w:ascii="Times New Roman" w:hAnsi="Times New Roman" w:eastAsia="仿宋_GB2312" w:cs="Times New Roman"/>
          <w:color w:val="auto"/>
          <w:sz w:val="32"/>
          <w:szCs w:val="32"/>
          <w:lang w:val="en-US" w:eastAsia="zh-CN"/>
        </w:rPr>
        <w:t>柬埔寨国</w:t>
      </w:r>
      <w:r>
        <w:rPr>
          <w:rFonts w:hint="default" w:ascii="Times New Roman" w:hAnsi="Times New Roman" w:eastAsia="仿宋_GB2312" w:cs="Times New Roman"/>
          <w:color w:val="auto"/>
          <w:sz w:val="32"/>
          <w:szCs w:val="32"/>
          <w:highlight w:val="none"/>
          <w:lang w:val="en-US" w:eastAsia="zh-CN"/>
        </w:rPr>
        <w:t>王西哈莫尼、全国政协副主席王永清、全国人大常务委员会副委员长白玛赤林</w:t>
      </w:r>
      <w:r>
        <w:rPr>
          <w:rFonts w:hint="default" w:ascii="Times New Roman" w:hAnsi="Times New Roman" w:eastAsia="仿宋_GB2312" w:cs="Times New Roman"/>
          <w:color w:val="auto"/>
          <w:kern w:val="2"/>
          <w:sz w:val="32"/>
          <w:szCs w:val="32"/>
          <w:highlight w:val="none"/>
          <w:lang w:val="en-US" w:eastAsia="zh-CN" w:bidi="ar-SA"/>
        </w:rPr>
        <w:t>等。二是突发疫情闭馆期间，我馆开辟了网上宣传阵地，上传了网上展览，游客们可以足不出户就体验到伟人风范。三是保障了桂东县沙田镇龙头村乡村振兴资金。</w:t>
      </w:r>
      <w:r>
        <w:rPr>
          <w:rFonts w:hint="default" w:ascii="Times New Roman" w:hAnsi="Times New Roman" w:eastAsia="仿宋_GB2312" w:cs="Times New Roman"/>
          <w:color w:val="auto"/>
          <w:sz w:val="32"/>
          <w:szCs w:val="32"/>
          <w:highlight w:val="none"/>
          <w:lang w:val="en-US" w:eastAsia="zh-CN"/>
        </w:rPr>
        <w:t>四是认真开展综治及平安单位建设工作，我馆被评为湖南省韶山管理局“2022年度</w:t>
      </w:r>
      <w:r>
        <w:rPr>
          <w:rFonts w:hint="default" w:ascii="Times New Roman" w:hAnsi="Times New Roman" w:eastAsia="仿宋_GB2312" w:cs="Times New Roman"/>
          <w:color w:val="auto"/>
          <w:sz w:val="32"/>
          <w:szCs w:val="32"/>
          <w:lang w:val="en-US" w:eastAsia="zh-CN"/>
        </w:rPr>
        <w:t>平安建设先进单位”。五是启动新媒体运营，配置专人负责我馆微信公众号、视频号、抖音号等的运营和宣传工作，制定了新媒体运营相关制度，进一步规范新媒体运</w:t>
      </w:r>
      <w:r>
        <w:rPr>
          <w:rFonts w:hint="default" w:ascii="Times New Roman" w:hAnsi="Times New Roman" w:eastAsia="仿宋_GB2312" w:cs="Times New Roman"/>
          <w:color w:val="auto"/>
          <w:sz w:val="32"/>
          <w:szCs w:val="32"/>
          <w:highlight w:val="none"/>
          <w:lang w:val="en-US" w:eastAsia="zh-CN"/>
        </w:rPr>
        <w:t>营管理。</w:t>
      </w:r>
      <w:r>
        <w:rPr>
          <w:rFonts w:hint="default" w:ascii="Times New Roman" w:hAnsi="Times New Roman" w:eastAsia="仿宋_GB2312" w:cs="Times New Roman"/>
          <w:color w:val="auto"/>
          <w:kern w:val="2"/>
          <w:sz w:val="32"/>
          <w:szCs w:val="32"/>
          <w:highlight w:val="none"/>
          <w:lang w:val="en-US" w:eastAsia="zh-CN" w:bidi="ar-SA"/>
        </w:rPr>
        <w:t>为宣传毛泽东生平业绩和人格风范，弘扬时代正能量，发挥了极为重要的作用。</w:t>
      </w:r>
    </w:p>
    <w:p>
      <w:pPr>
        <w:keepNext w:val="0"/>
        <w:keepLines w:val="0"/>
        <w:pageBreakBefore w:val="0"/>
        <w:widowControl/>
        <w:tabs>
          <w:tab w:val="left" w:pos="8280"/>
        </w:tabs>
        <w:kinsoku/>
        <w:wordWrap/>
        <w:overflowPunct/>
        <w:topLinePunct w:val="0"/>
        <w:autoSpaceDE/>
        <w:autoSpaceDN/>
        <w:bidi w:val="0"/>
        <w:adjustRightInd/>
        <w:snapToGrid/>
        <w:spacing w:line="584"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3.资金使用经济效益好。疫情期间，整体经济下行，但是我馆仍是</w:t>
      </w:r>
      <w:r>
        <w:rPr>
          <w:rFonts w:hint="default" w:ascii="Times New Roman" w:hAnsi="Times New Roman" w:eastAsia="仿宋_GB2312" w:cs="Times New Roman"/>
          <w:color w:val="auto"/>
          <w:sz w:val="32"/>
          <w:szCs w:val="32"/>
          <w:highlight w:val="none"/>
          <w:lang w:eastAsia="zh-CN"/>
        </w:rPr>
        <w:t>带动了整</w:t>
      </w:r>
      <w:r>
        <w:rPr>
          <w:rFonts w:hint="default" w:ascii="Times New Roman" w:hAnsi="Times New Roman" w:eastAsia="仿宋_GB2312" w:cs="Times New Roman"/>
          <w:color w:val="auto"/>
          <w:sz w:val="32"/>
          <w:szCs w:val="32"/>
          <w:lang w:eastAsia="zh-CN"/>
        </w:rPr>
        <w:t>个景区旅游经营产业的稳定发展的主力，让周边商家、居民尽可能的少受疫情影响。</w:t>
      </w:r>
    </w:p>
    <w:p>
      <w:pPr>
        <w:keepNext w:val="0"/>
        <w:keepLines w:val="0"/>
        <w:pageBreakBefore w:val="0"/>
        <w:widowControl w:val="0"/>
        <w:numPr>
          <w:ilvl w:val="0"/>
          <w:numId w:val="0"/>
        </w:numPr>
        <w:tabs>
          <w:tab w:val="left" w:pos="8280"/>
        </w:tabs>
        <w:kinsoku/>
        <w:wordWrap/>
        <w:overflowPunct/>
        <w:topLinePunct w:val="0"/>
        <w:autoSpaceDE/>
        <w:autoSpaceDN/>
        <w:bidi w:val="0"/>
        <w:adjustRightInd/>
        <w:snapToGrid w:val="0"/>
        <w:spacing w:after="0" w:line="584"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2"/>
          <w:sz w:val="32"/>
          <w:szCs w:val="32"/>
          <w:highlight w:val="none"/>
          <w:lang w:val="en-US" w:eastAsia="zh-CN" w:bidi="ar-SA"/>
        </w:rPr>
        <w:t>4.资金使用可持续影响长。今年顺利完成了“一切为了人民——迎接党的二十大胜利召开主题展”、“胜利的密码——毛泽东与反腐倡廉”展览提质升级、“中国出了个毛泽东”巡展、“红色电波中的领袖风范——毛泽东同志香山时期发布电报手稿专题展览”等展览；积极推进了“中国出了个毛泽东”基本陈列提质升级；高效完成了两期内部资料性出版物《新天》的编印，《毛泽东党的核心地位毛泽东思想指导地位的确立与启示》《“两个确立”的逻辑初理》等研究文章的撰写，《用好红色资源 打造经典红色文化名片》等文章的发表工作；圆满完成了革命文物工作会议暨革命文物保护实践经验与制度创新研究学术论坛会、第十五届全国“毛泽东论坛”等研讨工作会议的组织、接待工作；顺利亮相了第九届中国博物馆及相关产品与技术博览会；配合做好了局“韶山下的思政课（第二季）”活动；扎实推进了旧址群环境提质改造工程、故居南岸安防及消防工程、节能减排提质改造工程、中华民族文化基因库（一期）红色基因库试点工作。系列展览、研究、活动及工程有效的提高了我馆的综合实力和社会持续影响力。</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keepNext w:val="0"/>
        <w:keepLines w:val="0"/>
        <w:pageBreakBefore w:val="0"/>
        <w:numPr>
          <w:ilvl w:val="0"/>
          <w:numId w:val="0"/>
        </w:numPr>
        <w:kinsoku/>
        <w:wordWrap/>
        <w:overflowPunct/>
        <w:topLinePunct w:val="0"/>
        <w:autoSpaceDE/>
        <w:autoSpaceDN/>
        <w:bidi w:val="0"/>
        <w:spacing w:line="584"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一是部分项目预算执行进度偏慢。受疫情影响，部分项目启动较晚，实施周期相对较长，导致项目验收晚，预算执行进度偏慢。</w:t>
      </w:r>
    </w:p>
    <w:p>
      <w:pPr>
        <w:keepNext w:val="0"/>
        <w:keepLines w:val="0"/>
        <w:pageBreakBefore w:val="0"/>
        <w:numPr>
          <w:ilvl w:val="0"/>
          <w:numId w:val="0"/>
        </w:numPr>
        <w:kinsoku/>
        <w:wordWrap/>
        <w:overflowPunct/>
        <w:topLinePunct w:val="0"/>
        <w:autoSpaceDE/>
        <w:autoSpaceDN/>
        <w:bidi w:val="0"/>
        <w:spacing w:line="584" w:lineRule="exact"/>
        <w:ind w:firstLine="640" w:firstLineChars="200"/>
        <w:rPr>
          <w:rFonts w:hint="default" w:eastAsia="仿宋_GB2312" w:cs="Times New Roman"/>
          <w:sz w:val="32"/>
          <w:szCs w:val="32"/>
          <w:lang w:eastAsia="zh-CN"/>
        </w:rPr>
      </w:pPr>
      <w:r>
        <w:rPr>
          <w:rFonts w:hint="eastAsia" w:eastAsia="仿宋_GB2312" w:cs="Times New Roman"/>
          <w:sz w:val="32"/>
          <w:szCs w:val="32"/>
          <w:lang w:eastAsia="zh-CN"/>
        </w:rPr>
        <w:t>二是绩效目标设置有待进一步完善。主要是对预算绩效目标设置理解不够，在结合实际工作科学设置绩效目标方面还需要继续完善。</w:t>
      </w:r>
    </w:p>
    <w:p>
      <w:pPr>
        <w:pStyle w:val="11"/>
        <w:jc w:val="center"/>
        <w:rPr>
          <w:sz w:val="72"/>
          <w:szCs w:val="72"/>
        </w:rPr>
      </w:pPr>
    </w:p>
    <w:p>
      <w:pPr>
        <w:pStyle w:val="11"/>
        <w:jc w:val="center"/>
        <w:rPr>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一</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二</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三</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四</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其他收入：指单位取得的除上述收入以外的各项收入。如捐赠收入、利息收入等。</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五</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年初结转和结余：指单位以前年度尚未完成、结转到本年按有关规定继续使用的资金。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六</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年末结转和结余：指本年度或以前年度预算安排、因客观条件发生变化无法按原计划实施，需延迟到以后年度按有关规定继续使用的资金。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七</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用事业基金弥补收支差额：指事业单位在当年的“财政拨款收入”、“事业收入”、“经营收入”和“其他收入”不足以安排当年支出的情况下，使用以前年度积累的事业基金(即事业单位以前各年度收支相抵后，按国家规定提取、用于弥补以后年度收支差额的基金)弥补本年收支缺口的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八</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九</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十</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机关运行经费：指各部门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十一</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三公”经费：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C5BB68-64EF-439E-AED8-B763827FCE3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embedRegular r:id="rId2" w:fontKey="{AD48F77B-1E38-4936-8C78-A1F90B2AEA87}"/>
  </w:font>
  <w:font w:name="仿宋_GB2312">
    <w:panose1 w:val="02010609030101010101"/>
    <w:charset w:val="86"/>
    <w:family w:val="modern"/>
    <w:pitch w:val="default"/>
    <w:sig w:usb0="00000001" w:usb1="080E0000" w:usb2="00000000" w:usb3="00000000" w:csb0="00040000" w:csb1="00000000"/>
    <w:embedRegular r:id="rId3" w:fontKey="{CDD5C88E-49E8-4551-8C89-F5FE4564A8F8}"/>
  </w:font>
  <w:font w:name="方正小标宋_GBK">
    <w:panose1 w:val="02000000000000000000"/>
    <w:charset w:val="86"/>
    <w:family w:val="script"/>
    <w:pitch w:val="default"/>
    <w:sig w:usb0="A00002BF" w:usb1="38CF7CFA" w:usb2="00082016" w:usb3="00000000" w:csb0="00040001" w:csb1="00000000"/>
    <w:embedRegular r:id="rId4" w:fontKey="{F4D521FB-031D-4CC7-A0CC-ABA030F32DB8}"/>
  </w:font>
  <w:font w:name="仿宋">
    <w:panose1 w:val="02010609060101010101"/>
    <w:charset w:val="86"/>
    <w:family w:val="auto"/>
    <w:pitch w:val="default"/>
    <w:sig w:usb0="800002BF" w:usb1="38CF7CFA" w:usb2="00000016" w:usb3="00000000" w:csb0="00040001" w:csb1="00000000"/>
    <w:embedRegular r:id="rId5" w:fontKey="{008E1A50-CE73-4119-9FA5-48AA3AFDA04C}"/>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9EE25"/>
    <w:multiLevelType w:val="singleLevel"/>
    <w:tmpl w:val="6569EE25"/>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zYjYwNjg0NTgwN2JjNWVkYTEzNGZiMzA5MmQwNm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B27E8C"/>
    <w:rsid w:val="02D2278F"/>
    <w:rsid w:val="04310280"/>
    <w:rsid w:val="075617BE"/>
    <w:rsid w:val="07923467"/>
    <w:rsid w:val="0D2E495F"/>
    <w:rsid w:val="13670044"/>
    <w:rsid w:val="14E8057A"/>
    <w:rsid w:val="1B594B12"/>
    <w:rsid w:val="1C675A78"/>
    <w:rsid w:val="1CE12600"/>
    <w:rsid w:val="22957093"/>
    <w:rsid w:val="25BB0A6F"/>
    <w:rsid w:val="2AB0164F"/>
    <w:rsid w:val="2D383164"/>
    <w:rsid w:val="332508B9"/>
    <w:rsid w:val="370D3F44"/>
    <w:rsid w:val="3BCA2779"/>
    <w:rsid w:val="3EE21988"/>
    <w:rsid w:val="4537679D"/>
    <w:rsid w:val="488C4E13"/>
    <w:rsid w:val="555C0275"/>
    <w:rsid w:val="5777D4F5"/>
    <w:rsid w:val="5FC6BB1E"/>
    <w:rsid w:val="5FF720F1"/>
    <w:rsid w:val="6063049F"/>
    <w:rsid w:val="67BA3A87"/>
    <w:rsid w:val="737D59BA"/>
    <w:rsid w:val="7775337F"/>
    <w:rsid w:val="77C37683"/>
    <w:rsid w:val="79FF515B"/>
    <w:rsid w:val="7E9F11B4"/>
    <w:rsid w:val="7FC69637"/>
    <w:rsid w:val="7FFDB408"/>
    <w:rsid w:val="9FF7D786"/>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unhideWhenUsed/>
    <w:qFormat/>
    <w:uiPriority w:val="0"/>
    <w:pPr>
      <w:spacing w:after="120" w:line="480" w:lineRule="auto"/>
    </w:pPr>
    <w:rPr>
      <w:rFonts w:ascii="Calibri" w:hAnsi="Calibri" w:cs="Calibri"/>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character" w:customStyle="1" w:styleId="14">
    <w:name w:val="font01"/>
    <w:basedOn w:val="8"/>
    <w:qFormat/>
    <w:uiPriority w:val="0"/>
    <w:rPr>
      <w:rFonts w:hint="eastAsia" w:ascii="宋体" w:hAnsi="宋体" w:eastAsia="宋体" w:cs="宋体"/>
      <w:color w:val="000000"/>
      <w:sz w:val="22"/>
      <w:szCs w:val="22"/>
      <w:u w:val="none"/>
    </w:rPr>
  </w:style>
  <w:style w:type="character" w:customStyle="1" w:styleId="15">
    <w:name w:val="font21"/>
    <w:basedOn w:val="8"/>
    <w:qFormat/>
    <w:uiPriority w:val="0"/>
    <w:rPr>
      <w:rFonts w:hint="eastAsia" w:ascii="宋体" w:hAnsi="宋体" w:eastAsia="宋体" w:cs="宋体"/>
      <w:color w:val="000000"/>
      <w:sz w:val="24"/>
      <w:szCs w:val="24"/>
      <w:u w:val="none"/>
    </w:rPr>
  </w:style>
  <w:style w:type="character" w:customStyle="1" w:styleId="16">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6066</Words>
  <Characters>6589</Characters>
  <Lines>63</Lines>
  <Paragraphs>18</Paragraphs>
  <TotalTime>11</TotalTime>
  <ScaleCrop>false</ScaleCrop>
  <LinksUpToDate>false</LinksUpToDate>
  <CharactersWithSpaces>6601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2020-07-05T02:32:00Z</dcterms:created>
  <dc:creator>李航 null</dc:creator>
  <cp:lastModifiedBy>Administrator</cp:lastModifiedBy>
  <cp:lastPrinted>2023-09-20T03:40:00Z</cp:lastPrinted>
  <dcterms:modified xsi:type="dcterms:W3CDTF">2023-09-25T02:33:55Z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0662ADCEBA2E4D49A05421128B3ECE9B_12</vt:lpwstr>
  </property>
</Properties>
</file>