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韶山毛泽东同志纪念馆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6" w:h="16838"/>
          <w:pgMar w:top="1984" w:right="1531" w:bottom="1417" w:left="1531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sectPr>
          <w:footerReference r:id="rId3" w:type="default"/>
          <w:pgSz w:w="11906" w:h="16838"/>
          <w:pgMar w:top="1984" w:right="1531" w:bottom="1417" w:left="1531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韶山毛泽东同志纪念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馆肩负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着社会教育、开放管理、文创研发、陈列展示、科学研究、藏品建设等六项主要职能。具体如下：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社会教育职能。以阵地宣讲为主，通过报告团、研学实践教育、党性教育等不断拓展宣传教育阵地，增强社会教育效果，提升爱国主义教育基地的覆盖面、影响力。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开放管理职能。在保证文物安全的前提下，本着为来韶游客营造舒适、安全、有序的参观环境的原则，做好馆辖区域对外开放场馆的管理工作。严格执行全网络实名制、分时段、限总量参观预约工作，提供全免费、全覆盖、分批次的讲解服务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文创研发职能。以“深挖馆藏文物资源，传承红色基因，让文物活起来，讲好毛主席故事”为宗旨，从事文创产品研发、制作和发行工作，通过开发文创产品实现文化传播，并创造经济效益。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 陈列展示职能。凭借丰富的馆藏资源，挖掘文物内涵，形成全国独一无二的、富有伟人文化特色的陈列展示体系。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 科学研究职能。依托文物和资料优势，深入毛泽东生平和思想研究学术领域。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 藏品建设职能。做好故居、各旧址及周边环境的管理和维护工作。通过征集利用、接受捐赠等形式丰富馆藏文物，打造国内外毛泽东生平和思想研究、毛泽东遗物研究、韶山地方史研究的资料中心和研究基地。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（二）机构设置。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韶山毛泽东同志纪念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是隶属省韶山管理局的正处级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公益一类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事业单位，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现有部门12个，馆属公司1个。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办公室、宣教部、编研部、陈列部、文物部、文化产业管理部、信息技术部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故居管理部、预约管理部、人力资源部、财务部、保安保洁部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等。馆属公司为</w:t>
      </w:r>
      <w:r>
        <w:rPr>
          <w:rFonts w:hint="eastAsia" w:ascii="仿宋_GB2312" w:hAnsi="仿宋_GB2312" w:eastAsia="仿宋_GB2312" w:cs="仿宋_GB2312"/>
          <w:sz w:val="32"/>
          <w:szCs w:val="32"/>
        </w:rPr>
        <w:t>韶山文博文化发展有限公司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二、单位预算单位构成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韶山毛泽东同志纪念馆只有本级，没有其他预算单位，因此本单位预算仅含本级预算。</w:t>
      </w:r>
      <w:bookmarkStart w:id="0" w:name="_GoBack"/>
      <w:bookmarkEnd w:id="0"/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eastAsia="黑体" w:cs="Times New Roman"/>
          <w:bCs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年本单位收入预算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2319.62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1119.82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万元，政府性基金预算拨款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万元，国有资本经营预算拨款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万元，纳入专户管理的非税收入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eastAsia="仿宋_GB2312" w:cs="Times New Roman"/>
          <w:sz w:val="32"/>
          <w:szCs w:val="32"/>
          <w:lang w:eastAsia="zh-CN"/>
        </w:rPr>
        <w:t>，事业单位经营收入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90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万元，其他收入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934.5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万元，上年结转结余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175.3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收入较去年减少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316.47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“一增一减”造成：一是增加经费合计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634.76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，其中，人员经费50万元，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晋级晋档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5.8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万元，其他收入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563.96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万元，事业单位经营收入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5万元。二是减少经费合计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951.23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，其中，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减人减支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32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万元，上年结转结余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919.23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jc w:val="lef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年本单位支出预算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2319.62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万元，公共安全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万元，教育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万元，科学技术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万元，文化旅游体育与传媒支出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2156.92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万元，住房保障支出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162.7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支出较去年减少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316.47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万元，主要是工资福利支出减少0.66万元，商品和服务支出减少289.63万元，对个人和家庭补助支出减少26.18万元。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 w:firstLineChars="196"/>
        <w:textAlignment w:val="auto"/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（注：与上年的收支增减对比情况一定要作出说明）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年本单位一般公共预算拨款支出预算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1295.12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万元，其中，一般公共服务支出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%；公共安全支出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；文化旅游体育与传媒支出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>1132.42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87.44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；住房保障支出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>162.7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12.56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。具体安排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情况如下：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年本单位基本支出预算数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1119.82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年本单位项目支出预算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175.3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>博物馆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121.25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万元，主要用于</w:t>
      </w:r>
      <w:r>
        <w:rPr>
          <w:rFonts w:hint="eastAsia" w:eastAsia="仿宋_GB2312"/>
          <w:color w:val="auto"/>
          <w:sz w:val="32"/>
          <w:szCs w:val="32"/>
          <w:lang w:eastAsia="zh-CN"/>
        </w:rPr>
        <w:t>免费开放运行支出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方面；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其他文物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54.05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万元，主要用于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韶山毛主席旧居之旧居、南岸私塾消防工程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方面。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本部门无政府性基金安排的支出。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年本单位机关运行经费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万元，比上年预算减少（增加或持平）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万元，下降（上升）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年本单位“三公”经费预算数为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22.91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7.71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15.2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万元（其中，公务用车购置费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15.2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年“三公”经费预算较上年减少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0.29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</w:t>
      </w:r>
      <w:r>
        <w:rPr>
          <w:rFonts w:hint="eastAsia" w:eastAsia="仿宋_GB2312" w:cs="Times New Roman"/>
          <w:sz w:val="32"/>
          <w:szCs w:val="32"/>
          <w:lang w:eastAsia="zh-CN"/>
        </w:rPr>
        <w:t>减少了公务接待费用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年本单位会议费预算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万元，拟召开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会议，人数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人，内容为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；培训费预算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万元，拟开展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培训，人数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人，内容为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；拟举办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等节庆、晚会、论坛、赛事活动，经费预算</w:t>
      </w:r>
      <w:r>
        <w:rPr>
          <w:rFonts w:hint="eastAsia" w:eastAsia="仿宋_GB2312" w:cs="Times New Roman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（注：三类会议、培训活动，节庆、晚会、论坛、赛事等活动，请分项列明活动计划及经费预算情况）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900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共有公务用车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 xml:space="preserve"> 2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single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台。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年拟新增配置公务用车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辆，其中，机要通信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辆；新增配备单位价值50万元以上通用设备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年单位整体支出绩效目标的金额为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2319.62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1209.82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1109.8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/>
    <w:sectPr>
      <w:footerReference r:id="rId4" w:type="default"/>
      <w:pgSz w:w="11906" w:h="16838"/>
      <w:pgMar w:top="1984" w:right="1531" w:bottom="1417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iNTMzOTU1M2QwYWE3ZDAxYmZiMjMzMmRkNGE4NDYifQ=="/>
  </w:docVars>
  <w:rsids>
    <w:rsidRoot w:val="467D69A5"/>
    <w:rsid w:val="02F66DCF"/>
    <w:rsid w:val="066F7E20"/>
    <w:rsid w:val="1314773D"/>
    <w:rsid w:val="2A8A06E6"/>
    <w:rsid w:val="2CA94C27"/>
    <w:rsid w:val="313E5C07"/>
    <w:rsid w:val="467D69A5"/>
    <w:rsid w:val="618F4231"/>
    <w:rsid w:val="6AE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3076</Words>
  <Characters>3323</Characters>
  <Lines>0</Lines>
  <Paragraphs>0</Paragraphs>
  <TotalTime>6</TotalTime>
  <ScaleCrop>false</ScaleCrop>
  <LinksUpToDate>false</LinksUpToDate>
  <CharactersWithSpaces>3477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2023-02-20T06:54:00Z</dcterms:created>
  <dc:creator>睿妹</dc:creator>
  <cp:lastModifiedBy>睿妹</cp:lastModifiedBy>
  <cp:lastPrinted>2023-02-22T06:55:00Z</cp:lastPrinted>
  <dcterms:modified xsi:type="dcterms:W3CDTF">2023-03-03T01:08:21Z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89B4410686EA426D8AF95011234E35D7</vt:lpwstr>
  </property>
</Properties>
</file>