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450" w:lineRule="atLeast"/>
        <w:jc w:val="center"/>
        <w:outlineLvl w:val="1"/>
        <w:rPr>
          <w:rFonts w:ascii="宋体" w:hAnsi="宋体" w:eastAsia="宋体" w:cs="宋体"/>
          <w:b/>
          <w:bCs/>
          <w:color w:val="666666"/>
          <w:kern w:val="0"/>
          <w:sz w:val="34"/>
          <w:szCs w:val="34"/>
        </w:rPr>
      </w:pPr>
      <w:r>
        <w:rPr>
          <w:rFonts w:ascii="宋体" w:hAnsi="宋体" w:eastAsia="宋体" w:cs="宋体"/>
          <w:b/>
          <w:bCs/>
          <w:color w:val="666666"/>
          <w:kern w:val="0"/>
          <w:sz w:val="34"/>
          <w:szCs w:val="34"/>
        </w:rPr>
        <w:t>湖南省社会科学院 2019年部门预算说明</w:t>
      </w:r>
    </w:p>
    <w:p>
      <w:pPr>
        <w:widowControl/>
        <w:wordWrap w:val="0"/>
        <w:spacing w:after="169" w:line="405" w:lineRule="atLeast"/>
        <w:ind w:firstLine="480"/>
        <w:jc w:val="center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目</w:t>
      </w:r>
      <w:r>
        <w:rPr>
          <w:rFonts w:hint="eastAsia" w:ascii="宋体" w:hAnsi="宋体" w:eastAsia="宋体" w:cs="宋体"/>
          <w:color w:val="333333"/>
          <w:kern w:val="0"/>
          <w:sz w:val="32"/>
        </w:rPr>
        <w:t> 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录</w:t>
      </w:r>
    </w:p>
    <w:p>
      <w:pPr>
        <w:widowControl/>
        <w:wordWrap w:val="0"/>
        <w:spacing w:after="169" w:line="405" w:lineRule="atLeast"/>
        <w:ind w:firstLine="480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hint="eastAsia" w:ascii="仿宋_GB2312" w:hAnsi="黑体" w:eastAsia="仿宋_GB2312" w:cs="宋体"/>
          <w:b/>
          <w:bCs/>
          <w:color w:val="333333"/>
          <w:kern w:val="0"/>
          <w:sz w:val="32"/>
        </w:rPr>
        <w:t>第一部分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2"/>
        </w:rPr>
        <w:t> </w:t>
      </w:r>
      <w:r>
        <w:rPr>
          <w:rFonts w:hint="eastAsia" w:ascii="方正小标宋_GBK" w:hAnsi="黑体" w:eastAsia="方正小标宋_GBK" w:cs="宋体"/>
          <w:color w:val="333333"/>
          <w:kern w:val="0"/>
          <w:sz w:val="32"/>
          <w:szCs w:val="32"/>
        </w:rPr>
        <w:t>2</w:t>
      </w:r>
      <w:r>
        <w:rPr>
          <w:rFonts w:hint="eastAsia" w:ascii="黑体" w:hAnsi="黑体" w:eastAsia="黑体" w:cs="宋体"/>
          <w:b/>
          <w:bCs/>
          <w:color w:val="333333"/>
          <w:kern w:val="0"/>
          <w:sz w:val="32"/>
        </w:rPr>
        <w:t>019</w:t>
      </w:r>
      <w:r>
        <w:rPr>
          <w:rFonts w:hint="eastAsia" w:ascii="仿宋_GB2312" w:hAnsi="黑体" w:eastAsia="仿宋_GB2312" w:cs="宋体"/>
          <w:b/>
          <w:bCs/>
          <w:color w:val="333333"/>
          <w:kern w:val="0"/>
          <w:sz w:val="32"/>
        </w:rPr>
        <w:t>年部门预算说明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一、部门基本概况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二、部门预算单位构成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三、部门收支总体情况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四、一般公共预算拨款支出预算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五、其他重要事项的情况说明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rPr>
          <w:rFonts w:hint="eastAsia" w:ascii="仿宋_GB2312" w:hAnsi="黑体" w:eastAsia="仿宋_GB2312" w:cs="宋体"/>
          <w:b/>
          <w:bCs/>
          <w:color w:val="333333"/>
          <w:kern w:val="0"/>
          <w:sz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六、名词解释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hint="eastAsia" w:ascii="仿宋_GB2312" w:hAnsi="黑体" w:eastAsia="仿宋_GB2312" w:cs="宋体"/>
          <w:b/>
          <w:bCs/>
          <w:color w:val="333333"/>
          <w:kern w:val="0"/>
          <w:sz w:val="32"/>
        </w:rPr>
        <w:t>第二部分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2"/>
        </w:rPr>
        <w:t> </w:t>
      </w:r>
      <w:r>
        <w:rPr>
          <w:rFonts w:hint="eastAsia" w:ascii="黑体" w:hAnsi="黑体" w:eastAsia="黑体" w:cs="宋体"/>
          <w:b/>
          <w:bCs/>
          <w:color w:val="333333"/>
          <w:kern w:val="0"/>
          <w:sz w:val="32"/>
        </w:rPr>
        <w:t>2019</w:t>
      </w:r>
      <w:r>
        <w:rPr>
          <w:rFonts w:hint="eastAsia" w:ascii="仿宋_GB2312" w:hAnsi="黑体" w:eastAsia="仿宋_GB2312" w:cs="宋体"/>
          <w:b/>
          <w:bCs/>
          <w:color w:val="333333"/>
          <w:kern w:val="0"/>
          <w:sz w:val="32"/>
        </w:rPr>
        <w:t>年部门预算公开表格</w:t>
      </w:r>
      <w:r>
        <w:rPr>
          <w:rFonts w:hint="eastAsia" w:ascii="微软雅黑" w:hAnsi="微软雅黑" w:eastAsia="微软雅黑" w:cs="宋体"/>
          <w:color w:val="333333"/>
          <w:kern w:val="0"/>
          <w:sz w:val="20"/>
        </w:rPr>
        <w:t> </w:t>
      </w:r>
      <w:r>
        <w:rPr>
          <w:rFonts w:hint="eastAsia" w:ascii="微软雅黑" w:hAnsi="微软雅黑" w:eastAsia="微软雅黑" w:cs="宋体"/>
          <w:color w:val="FFFFFF"/>
          <w:kern w:val="0"/>
          <w:sz w:val="20"/>
          <w:szCs w:val="20"/>
        </w:rPr>
        <w:t>内容来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1</w:t>
      </w:r>
      <w:r>
        <w:rPr>
          <w:rFonts w:hint="eastAsia" w:ascii="仿宋_GB2312" w:hAnsi="黑体" w:eastAsia="仿宋_GB2312" w:cs="宋体"/>
          <w:color w:val="333333"/>
          <w:kern w:val="0"/>
          <w:sz w:val="32"/>
          <w:szCs w:val="32"/>
        </w:rPr>
        <w:t>、部门收支总体情况表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2</w:t>
      </w:r>
      <w:r>
        <w:rPr>
          <w:rFonts w:hint="eastAsia" w:ascii="仿宋_GB2312" w:hAnsi="黑体" w:eastAsia="仿宋_GB2312" w:cs="宋体"/>
          <w:color w:val="333333"/>
          <w:kern w:val="0"/>
          <w:sz w:val="32"/>
          <w:szCs w:val="32"/>
        </w:rPr>
        <w:t>、部门收入总体情况表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3</w:t>
      </w:r>
      <w:r>
        <w:rPr>
          <w:rFonts w:hint="eastAsia" w:ascii="仿宋_GB2312" w:hAnsi="黑体" w:eastAsia="仿宋_GB2312" w:cs="宋体"/>
          <w:color w:val="333333"/>
          <w:kern w:val="0"/>
          <w:sz w:val="32"/>
          <w:szCs w:val="32"/>
        </w:rPr>
        <w:t>、部门支出总体情况表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4</w:t>
      </w:r>
      <w:r>
        <w:rPr>
          <w:rFonts w:hint="eastAsia" w:ascii="仿宋_GB2312" w:hAnsi="黑体" w:eastAsia="仿宋_GB2312" w:cs="宋体"/>
          <w:color w:val="333333"/>
          <w:kern w:val="0"/>
          <w:sz w:val="32"/>
          <w:szCs w:val="32"/>
        </w:rPr>
        <w:t>、部门支出总表（按部门预算经济分类）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5</w:t>
      </w:r>
      <w:r>
        <w:rPr>
          <w:rFonts w:hint="eastAsia" w:ascii="仿宋_GB2312" w:hAnsi="黑体" w:eastAsia="仿宋_GB2312" w:cs="宋体"/>
          <w:color w:val="333333"/>
          <w:kern w:val="0"/>
          <w:sz w:val="32"/>
          <w:szCs w:val="32"/>
        </w:rPr>
        <w:t>、部门支出总表（按政府预算经济分类）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6</w:t>
      </w:r>
      <w:r>
        <w:rPr>
          <w:rFonts w:hint="eastAsia" w:ascii="仿宋_GB2312" w:hAnsi="黑体" w:eastAsia="仿宋_GB2312" w:cs="宋体"/>
          <w:color w:val="333333"/>
          <w:kern w:val="0"/>
          <w:sz w:val="32"/>
          <w:szCs w:val="32"/>
        </w:rPr>
        <w:t>、省级基本支出预算明细表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-</w:t>
      </w:r>
      <w:r>
        <w:rPr>
          <w:rFonts w:hint="eastAsia" w:ascii="仿宋_GB2312" w:hAnsi="黑体" w:eastAsia="仿宋_GB2312" w:cs="宋体"/>
          <w:color w:val="333333"/>
          <w:kern w:val="0"/>
          <w:sz w:val="32"/>
          <w:szCs w:val="32"/>
        </w:rPr>
        <w:t>工资福利支出（按部门预算经济分类）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7</w:t>
      </w:r>
      <w:r>
        <w:rPr>
          <w:rFonts w:hint="eastAsia" w:ascii="仿宋_GB2312" w:hAnsi="黑体" w:eastAsia="仿宋_GB2312" w:cs="宋体"/>
          <w:color w:val="333333"/>
          <w:kern w:val="0"/>
          <w:sz w:val="32"/>
          <w:szCs w:val="32"/>
        </w:rPr>
        <w:t>、省级基本支出预算明细表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-</w:t>
      </w:r>
      <w:r>
        <w:rPr>
          <w:rFonts w:hint="eastAsia" w:ascii="仿宋_GB2312" w:hAnsi="黑体" w:eastAsia="仿宋_GB2312" w:cs="宋体"/>
          <w:color w:val="333333"/>
          <w:kern w:val="0"/>
          <w:sz w:val="32"/>
          <w:szCs w:val="32"/>
        </w:rPr>
        <w:t>工资福利支出（按政府预算经济分类）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8</w:t>
      </w:r>
      <w:r>
        <w:rPr>
          <w:rFonts w:hint="eastAsia" w:ascii="仿宋_GB2312" w:hAnsi="黑体" w:eastAsia="仿宋_GB2312" w:cs="宋体"/>
          <w:color w:val="333333"/>
          <w:kern w:val="0"/>
          <w:sz w:val="32"/>
          <w:szCs w:val="32"/>
        </w:rPr>
        <w:t>、省级基本支出预算明细表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-</w:t>
      </w:r>
      <w:r>
        <w:rPr>
          <w:rFonts w:hint="eastAsia" w:ascii="仿宋_GB2312" w:hAnsi="黑体" w:eastAsia="仿宋_GB2312" w:cs="宋体"/>
          <w:color w:val="333333"/>
          <w:kern w:val="0"/>
          <w:sz w:val="32"/>
          <w:szCs w:val="32"/>
        </w:rPr>
        <w:t>商品和服务支出（按部门预算经济分类）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9</w:t>
      </w:r>
      <w:r>
        <w:rPr>
          <w:rFonts w:hint="eastAsia" w:ascii="仿宋_GB2312" w:hAnsi="黑体" w:eastAsia="仿宋_GB2312" w:cs="宋体"/>
          <w:color w:val="333333"/>
          <w:kern w:val="0"/>
          <w:sz w:val="32"/>
          <w:szCs w:val="32"/>
        </w:rPr>
        <w:t>、省级基本支出预算明细表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-</w:t>
      </w:r>
      <w:r>
        <w:rPr>
          <w:rFonts w:hint="eastAsia" w:ascii="仿宋_GB2312" w:hAnsi="黑体" w:eastAsia="仿宋_GB2312" w:cs="宋体"/>
          <w:color w:val="333333"/>
          <w:kern w:val="0"/>
          <w:sz w:val="32"/>
          <w:szCs w:val="32"/>
        </w:rPr>
        <w:t>商品和服务支出（按政府预算经济分类）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10</w:t>
      </w:r>
      <w:r>
        <w:rPr>
          <w:rFonts w:hint="eastAsia" w:ascii="仿宋_GB2312" w:hAnsi="黑体" w:eastAsia="仿宋_GB2312" w:cs="宋体"/>
          <w:color w:val="333333"/>
          <w:kern w:val="0"/>
          <w:sz w:val="32"/>
          <w:szCs w:val="32"/>
        </w:rPr>
        <w:t>、省级基本支出预算明细表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-</w:t>
      </w:r>
      <w:r>
        <w:rPr>
          <w:rFonts w:hint="eastAsia" w:ascii="仿宋_GB2312" w:hAnsi="黑体" w:eastAsia="仿宋_GB2312" w:cs="宋体"/>
          <w:color w:val="333333"/>
          <w:kern w:val="0"/>
          <w:sz w:val="32"/>
          <w:szCs w:val="32"/>
        </w:rPr>
        <w:t>对个人和家庭的补助（按部门预算经济分类）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11</w:t>
      </w:r>
      <w:r>
        <w:rPr>
          <w:rFonts w:hint="eastAsia" w:ascii="仿宋_GB2312" w:hAnsi="黑体" w:eastAsia="仿宋_GB2312" w:cs="宋体"/>
          <w:color w:val="333333"/>
          <w:kern w:val="0"/>
          <w:sz w:val="32"/>
          <w:szCs w:val="32"/>
        </w:rPr>
        <w:t>、省级基本支出预算明细表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-</w:t>
      </w:r>
      <w:r>
        <w:rPr>
          <w:rFonts w:hint="eastAsia" w:ascii="仿宋_GB2312" w:hAnsi="黑体" w:eastAsia="仿宋_GB2312" w:cs="宋体"/>
          <w:color w:val="333333"/>
          <w:kern w:val="0"/>
          <w:sz w:val="32"/>
          <w:szCs w:val="32"/>
        </w:rPr>
        <w:t>对个人和家庭的补助（按政府预算经济分类）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12</w:t>
      </w:r>
      <w:r>
        <w:rPr>
          <w:rFonts w:hint="eastAsia" w:ascii="仿宋_GB2312" w:hAnsi="黑体" w:eastAsia="仿宋_GB2312" w:cs="宋体"/>
          <w:color w:val="333333"/>
          <w:kern w:val="0"/>
          <w:sz w:val="32"/>
          <w:szCs w:val="32"/>
        </w:rPr>
        <w:t>、财政拨款收支总体情况表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13</w:t>
      </w:r>
      <w:r>
        <w:rPr>
          <w:rFonts w:hint="eastAsia" w:ascii="仿宋_GB2312" w:hAnsi="黑体" w:eastAsia="仿宋_GB2312" w:cs="宋体"/>
          <w:color w:val="333333"/>
          <w:kern w:val="0"/>
          <w:sz w:val="32"/>
          <w:szCs w:val="32"/>
        </w:rPr>
        <w:t>、一般公共预算支出情况表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14</w:t>
      </w:r>
      <w:r>
        <w:rPr>
          <w:rFonts w:hint="eastAsia" w:ascii="仿宋_GB2312" w:hAnsi="黑体" w:eastAsia="仿宋_GB2312" w:cs="宋体"/>
          <w:color w:val="333333"/>
          <w:kern w:val="0"/>
          <w:sz w:val="32"/>
          <w:szCs w:val="32"/>
        </w:rPr>
        <w:t>、一般公共预算基本支出情况表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15</w:t>
      </w:r>
      <w:r>
        <w:rPr>
          <w:rFonts w:hint="eastAsia" w:ascii="仿宋_GB2312" w:hAnsi="黑体" w:eastAsia="仿宋_GB2312" w:cs="宋体"/>
          <w:color w:val="333333"/>
          <w:kern w:val="0"/>
          <w:sz w:val="32"/>
          <w:szCs w:val="32"/>
        </w:rPr>
        <w:t>、一般公共预算省级基本支出预算明细表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-</w:t>
      </w:r>
      <w:r>
        <w:rPr>
          <w:rFonts w:hint="eastAsia" w:ascii="仿宋_GB2312" w:hAnsi="黑体" w:eastAsia="仿宋_GB2312" w:cs="宋体"/>
          <w:color w:val="333333"/>
          <w:kern w:val="0"/>
          <w:sz w:val="32"/>
          <w:szCs w:val="32"/>
        </w:rPr>
        <w:t>工资福利支出（按部门预算经济分类）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16</w:t>
      </w:r>
      <w:r>
        <w:rPr>
          <w:rFonts w:hint="eastAsia" w:ascii="仿宋_GB2312" w:hAnsi="黑体" w:eastAsia="仿宋_GB2312" w:cs="宋体"/>
          <w:color w:val="333333"/>
          <w:kern w:val="0"/>
          <w:sz w:val="32"/>
          <w:szCs w:val="32"/>
        </w:rPr>
        <w:t>、一般公共预算省级基本支出预算明细表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-</w:t>
      </w:r>
      <w:r>
        <w:rPr>
          <w:rFonts w:hint="eastAsia" w:ascii="仿宋_GB2312" w:hAnsi="黑体" w:eastAsia="仿宋_GB2312" w:cs="宋体"/>
          <w:color w:val="333333"/>
          <w:kern w:val="0"/>
          <w:sz w:val="32"/>
          <w:szCs w:val="32"/>
        </w:rPr>
        <w:t>工资福利支出（按政府预算经济分类）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17</w:t>
      </w:r>
      <w:r>
        <w:rPr>
          <w:rFonts w:hint="eastAsia" w:ascii="仿宋_GB2312" w:hAnsi="黑体" w:eastAsia="仿宋_GB2312" w:cs="宋体"/>
          <w:color w:val="333333"/>
          <w:kern w:val="0"/>
          <w:sz w:val="32"/>
          <w:szCs w:val="32"/>
        </w:rPr>
        <w:t>、一般公共预算省级基本支出预算明细表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-</w:t>
      </w:r>
      <w:r>
        <w:rPr>
          <w:rFonts w:hint="eastAsia" w:ascii="仿宋_GB2312" w:hAnsi="黑体" w:eastAsia="仿宋_GB2312" w:cs="宋体"/>
          <w:color w:val="333333"/>
          <w:kern w:val="0"/>
          <w:sz w:val="32"/>
          <w:szCs w:val="32"/>
        </w:rPr>
        <w:t>商品和服务支出（按部门预算经济分类）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18</w:t>
      </w:r>
      <w:r>
        <w:rPr>
          <w:rFonts w:hint="eastAsia" w:ascii="仿宋_GB2312" w:hAnsi="黑体" w:eastAsia="仿宋_GB2312" w:cs="宋体"/>
          <w:color w:val="333333"/>
          <w:kern w:val="0"/>
          <w:sz w:val="32"/>
          <w:szCs w:val="32"/>
        </w:rPr>
        <w:t>、一般公共预算省级基本支出预算明细表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-</w:t>
      </w:r>
      <w:r>
        <w:rPr>
          <w:rFonts w:hint="eastAsia" w:ascii="仿宋_GB2312" w:hAnsi="黑体" w:eastAsia="仿宋_GB2312" w:cs="宋体"/>
          <w:color w:val="333333"/>
          <w:kern w:val="0"/>
          <w:sz w:val="32"/>
          <w:szCs w:val="32"/>
        </w:rPr>
        <w:t>商品和服务支出（按政府预算经济分类）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19</w:t>
      </w:r>
      <w:r>
        <w:rPr>
          <w:rFonts w:hint="eastAsia" w:ascii="仿宋_GB2312" w:hAnsi="黑体" w:eastAsia="仿宋_GB2312" w:cs="宋体"/>
          <w:color w:val="333333"/>
          <w:kern w:val="0"/>
          <w:sz w:val="32"/>
          <w:szCs w:val="32"/>
        </w:rPr>
        <w:t>、一般公共预算省级基本支出预算明细表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-</w:t>
      </w:r>
      <w:r>
        <w:rPr>
          <w:rFonts w:hint="eastAsia" w:ascii="仿宋_GB2312" w:hAnsi="黑体" w:eastAsia="仿宋_GB2312" w:cs="宋体"/>
          <w:color w:val="333333"/>
          <w:kern w:val="0"/>
          <w:sz w:val="32"/>
          <w:szCs w:val="32"/>
        </w:rPr>
        <w:t>对个人和家庭的补助（按部门预算经济分类）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20</w:t>
      </w:r>
      <w:r>
        <w:rPr>
          <w:rFonts w:hint="eastAsia" w:ascii="仿宋_GB2312" w:hAnsi="黑体" w:eastAsia="仿宋_GB2312" w:cs="宋体"/>
          <w:color w:val="333333"/>
          <w:kern w:val="0"/>
          <w:sz w:val="32"/>
          <w:szCs w:val="32"/>
        </w:rPr>
        <w:t>、一般公共预算省级基本支出预算明细表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-</w:t>
      </w:r>
      <w:r>
        <w:rPr>
          <w:rFonts w:hint="eastAsia" w:ascii="仿宋_GB2312" w:hAnsi="黑体" w:eastAsia="仿宋_GB2312" w:cs="宋体"/>
          <w:color w:val="333333"/>
          <w:kern w:val="0"/>
          <w:sz w:val="32"/>
          <w:szCs w:val="32"/>
        </w:rPr>
        <w:t>对个人和家庭的补助（按政府预算经济分类）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21</w:t>
      </w:r>
      <w:r>
        <w:rPr>
          <w:rFonts w:hint="eastAsia" w:ascii="仿宋_GB2312" w:hAnsi="黑体" w:eastAsia="仿宋_GB2312" w:cs="宋体"/>
          <w:color w:val="333333"/>
          <w:kern w:val="0"/>
          <w:sz w:val="32"/>
          <w:szCs w:val="32"/>
        </w:rPr>
        <w:t>、政府性基金预算支出情况表（按部门预算经济分类）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22</w:t>
      </w:r>
      <w:r>
        <w:rPr>
          <w:rFonts w:hint="eastAsia" w:ascii="仿宋_GB2312" w:hAnsi="黑体" w:eastAsia="仿宋_GB2312" w:cs="宋体"/>
          <w:color w:val="333333"/>
          <w:kern w:val="0"/>
          <w:sz w:val="32"/>
          <w:szCs w:val="32"/>
        </w:rPr>
        <w:t>、政府性基金预算支出情况表（按政府预算经济分类）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23</w:t>
      </w:r>
      <w:r>
        <w:rPr>
          <w:rFonts w:hint="eastAsia" w:ascii="仿宋_GB2312" w:hAnsi="黑体" w:eastAsia="仿宋_GB2312" w:cs="宋体"/>
          <w:color w:val="333333"/>
          <w:kern w:val="0"/>
          <w:sz w:val="32"/>
          <w:szCs w:val="32"/>
        </w:rPr>
        <w:t>、纳入专户管理的非税收入拨款预算分类汇总表（按部门预算经济分类）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24</w:t>
      </w:r>
      <w:r>
        <w:rPr>
          <w:rFonts w:hint="eastAsia" w:ascii="仿宋_GB2312" w:hAnsi="黑体" w:eastAsia="仿宋_GB2312" w:cs="宋体"/>
          <w:color w:val="333333"/>
          <w:kern w:val="0"/>
          <w:sz w:val="32"/>
          <w:szCs w:val="32"/>
        </w:rPr>
        <w:t>、纳入专户管理的非税收入拨款预算分类汇总表（按政府预算经济分类）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25</w:t>
      </w:r>
      <w:r>
        <w:rPr>
          <w:rFonts w:hint="eastAsia" w:ascii="仿宋_GB2312" w:hAnsi="黑体" w:eastAsia="仿宋_GB2312" w:cs="宋体"/>
          <w:color w:val="333333"/>
          <w:kern w:val="0"/>
          <w:sz w:val="32"/>
          <w:szCs w:val="32"/>
        </w:rPr>
        <w:t>、一般公共预算拨款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--</w:t>
      </w:r>
      <w:r>
        <w:rPr>
          <w:rFonts w:hint="eastAsia" w:ascii="仿宋_GB2312" w:hAnsi="黑体" w:eastAsia="仿宋_GB2312" w:cs="宋体"/>
          <w:color w:val="333333"/>
          <w:kern w:val="0"/>
          <w:sz w:val="32"/>
          <w:szCs w:val="32"/>
        </w:rPr>
        <w:t>经费拨款预算表（按部门预算经济分类）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26</w:t>
      </w:r>
      <w:r>
        <w:rPr>
          <w:rFonts w:hint="eastAsia" w:ascii="仿宋_GB2312" w:hAnsi="黑体" w:eastAsia="仿宋_GB2312" w:cs="宋体"/>
          <w:color w:val="333333"/>
          <w:kern w:val="0"/>
          <w:sz w:val="32"/>
          <w:szCs w:val="32"/>
        </w:rPr>
        <w:t>、一般公共预算拨款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--</w:t>
      </w:r>
      <w:r>
        <w:rPr>
          <w:rFonts w:hint="eastAsia" w:ascii="仿宋_GB2312" w:hAnsi="黑体" w:eastAsia="仿宋_GB2312" w:cs="宋体"/>
          <w:color w:val="333333"/>
          <w:kern w:val="0"/>
          <w:sz w:val="32"/>
          <w:szCs w:val="32"/>
        </w:rPr>
        <w:t>经费拨款预算表（按政府预算经济分类）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27</w:t>
      </w:r>
      <w:r>
        <w:rPr>
          <w:rFonts w:hint="eastAsia" w:ascii="仿宋_GB2312" w:hAnsi="黑体" w:eastAsia="仿宋_GB2312" w:cs="宋体"/>
          <w:color w:val="333333"/>
          <w:kern w:val="0"/>
          <w:sz w:val="32"/>
          <w:szCs w:val="32"/>
        </w:rPr>
        <w:t>、省级专项资金清单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28</w:t>
      </w:r>
      <w:r>
        <w:rPr>
          <w:rFonts w:hint="eastAsia" w:ascii="仿宋_GB2312" w:hAnsi="黑体" w:eastAsia="仿宋_GB2312" w:cs="宋体"/>
          <w:color w:val="333333"/>
          <w:kern w:val="0"/>
          <w:sz w:val="32"/>
          <w:szCs w:val="32"/>
        </w:rPr>
        <w:t>、一般公共预算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“</w:t>
      </w:r>
      <w:r>
        <w:rPr>
          <w:rFonts w:hint="eastAsia" w:ascii="仿宋_GB2312" w:hAnsi="黑体" w:eastAsia="仿宋_GB2312" w:cs="宋体"/>
          <w:color w:val="333333"/>
          <w:kern w:val="0"/>
          <w:sz w:val="32"/>
          <w:szCs w:val="32"/>
        </w:rPr>
        <w:t>三公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”</w:t>
      </w:r>
      <w:r>
        <w:rPr>
          <w:rFonts w:hint="eastAsia" w:ascii="仿宋_GB2312" w:hAnsi="黑体" w:eastAsia="仿宋_GB2312" w:cs="宋体"/>
          <w:color w:val="333333"/>
          <w:kern w:val="0"/>
          <w:sz w:val="32"/>
          <w:szCs w:val="32"/>
        </w:rPr>
        <w:t>经费预算表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29</w:t>
      </w:r>
      <w:r>
        <w:rPr>
          <w:rFonts w:hint="eastAsia" w:ascii="仿宋_GB2312" w:hAnsi="黑体" w:eastAsia="仿宋_GB2312" w:cs="宋体"/>
          <w:color w:val="333333"/>
          <w:kern w:val="0"/>
          <w:sz w:val="32"/>
          <w:szCs w:val="32"/>
        </w:rPr>
        <w:t>、项目支出绩效目标表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30</w:t>
      </w:r>
      <w:r>
        <w:rPr>
          <w:rFonts w:hint="eastAsia" w:ascii="仿宋_GB2312" w:hAnsi="黑体" w:eastAsia="仿宋_GB2312" w:cs="宋体"/>
          <w:color w:val="333333"/>
          <w:kern w:val="0"/>
          <w:sz w:val="32"/>
          <w:szCs w:val="32"/>
        </w:rPr>
        <w:t>、整体支出绩效目标表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  <w:t> </w:t>
      </w:r>
    </w:p>
    <w:p>
      <w:pPr>
        <w:widowControl/>
        <w:wordWrap w:val="0"/>
        <w:spacing w:after="169" w:line="405" w:lineRule="atLeast"/>
        <w:ind w:firstLine="480"/>
        <w:jc w:val="center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hint="eastAsia" w:ascii="仿宋_GB2312" w:hAnsi="黑体" w:eastAsia="仿宋_GB2312" w:cs="宋体"/>
          <w:b/>
          <w:bCs/>
          <w:color w:val="333333"/>
          <w:kern w:val="0"/>
          <w:sz w:val="32"/>
        </w:rPr>
        <w:t>第一部分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2"/>
        </w:rPr>
        <w:t> </w:t>
      </w:r>
      <w:r>
        <w:rPr>
          <w:rFonts w:hint="eastAsia" w:ascii="方正小标宋_GBK" w:hAnsi="黑体" w:eastAsia="方正小标宋_GBK" w:cs="宋体"/>
          <w:color w:val="333333"/>
          <w:kern w:val="0"/>
          <w:sz w:val="32"/>
          <w:szCs w:val="32"/>
        </w:rPr>
        <w:t>2</w:t>
      </w:r>
      <w:r>
        <w:rPr>
          <w:rFonts w:hint="eastAsia" w:ascii="黑体" w:hAnsi="黑体" w:eastAsia="黑体" w:cs="宋体"/>
          <w:b/>
          <w:bCs/>
          <w:color w:val="333333"/>
          <w:kern w:val="0"/>
          <w:sz w:val="32"/>
        </w:rPr>
        <w:t>019</w:t>
      </w:r>
      <w:r>
        <w:rPr>
          <w:rFonts w:hint="eastAsia" w:ascii="仿宋_GB2312" w:hAnsi="黑体" w:eastAsia="仿宋_GB2312" w:cs="宋体"/>
          <w:b/>
          <w:bCs/>
          <w:color w:val="333333"/>
          <w:kern w:val="0"/>
          <w:sz w:val="32"/>
        </w:rPr>
        <w:t>年部门预算说明</w:t>
      </w:r>
      <w:r>
        <w:rPr>
          <w:rFonts w:hint="eastAsia" w:ascii="微软雅黑" w:hAnsi="微软雅黑" w:eastAsia="微软雅黑" w:cs="宋体"/>
          <w:color w:val="333333"/>
          <w:kern w:val="0"/>
          <w:sz w:val="20"/>
        </w:rPr>
        <w:t> </w:t>
      </w:r>
      <w:r>
        <w:rPr>
          <w:rFonts w:hint="eastAsia" w:ascii="微软雅黑" w:hAnsi="微软雅黑" w:eastAsia="微软雅黑" w:cs="宋体"/>
          <w:color w:val="FFFFFF"/>
          <w:kern w:val="0"/>
          <w:sz w:val="20"/>
          <w:szCs w:val="20"/>
        </w:rPr>
        <w:t>本文来自湖南省社会科学院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一、部门基本概况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1、湖南省社会科学院是进行社会科学研究，承担国家、省社科规划课题和党政部门的研究任务的专门机构。承担的主要职能、职责及业务范围有：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①、当好思想库、智囊团，为省委省政府决策服务;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②、开展哲学社会科学研究，促进哲学社会科学繁荣发展;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③、承担各级党委政府和相关部办委厅局、企事业单位委托研究项目，服务经济社会发展;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④、负责全省社科研究系列职称评审工作;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⑤、负责社科大院(社科院、社科联、地方志)三家单位的后勤基建工作;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⑥、承办省委省政府交办的其他工作。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2、我院设有6个职能部门：办公室、科研处、人事与离退休工作处、后勤与财务处、机关党委、工会;2个科辅部门：文献信息中心(图书馆)，《求索》杂志社;9个研究所：文学研究所、历史研究所、哲学研究所、经济研究所、区域经济与系统工程研究所、产业经济研究所、中国马克思主义研究所、社会学研究所、人力资源研究所。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二、部门预算单位构成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湖南省社会科学院只有本级，没有其他二级预算单位，因此，纳入2019年部门预算编制范围的只有湖南省社会科学院本级。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三、部门收支总体情况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2019年部门预算只有本级预算。收入包括一般公共预算收入和纳入一般公共预算管理的非税收入;支出包括保障我院基本运行的经费，也包括科学研究的专项经费，本部门政府性基金收支数额为0。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(一)收入预算：2019年年初预算数5947.23万元，其中，一般公共预算拨款5869.94万元，纳入一般公共预算管理的非税收入拨款77.29万元。收入较去年增加238.91万元，主要是新进人人员增人增支以及机关事业单位津补贴(绩效工资)提标。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(二)支出预算：2019年年初预算数5947.23万元，其中，科学技术5239.23万元，社会保障和就业支出688万元，卫生健康支出支出20万元，较去年增加238.91万元，主要是新进人员增人增支及机关事业单位津补贴(绩效工资)提标支出。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四、一般公共预算拨款支出预算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2019年一般公共预算拨款收入5947.23万元，具体安排情况如下：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(一)基本支出：2019年基本支出年初预算数为4073.48万元，是指为保障单位机构正常运转、完成日常工作任务而发生的各项支出，包括用于基本工资、津贴补贴等人员经费以及办公费、印刷费、水电费、办公设备购置等日常公用经费。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(二)项目支出：2019年项目支出年初预算数为1873.75万元，是指单位为完成特定行政工作任务或事业发展目标而发生的支出，包括有关事业发展专项、业务工作经费、基本建设支出等。其中：按项目管理的商品和服务支出1415.75万元，主要用于科学事业研究等方面的支出;资本性支出458万元，主要用于我院图书馆维修改造支出。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五、其他重要事项的情况说明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1、机关运行经费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2019年我院行政事业单位的机关运行经费当年一般公共预算拨款661.98万元，比2018年预算增加40.13万元，上升6.38%。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2、“三公”经费预算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2019年“三公”经费预算数为25万元，其中，公务接待费10万元，公务用车购置及运行费15万元(其中，公务用车购置费0万元，公务用车运行费15万元)，因公出国(境)费0万元。2019年“三公”经费预算较2018年减少45万元，主要是我院执行上级部门“厉行节约”政策，严控三公经费支出，加上从2019年起，我院开始实施公车改革，原有的9台公车从2018年12月下降至4台保障用车，减少了公务用车运行费支出。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3、政府采购情况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2019年我院政府采购预算总额489万元，其中，政府采购货物预算31万元;政府采购工程预算458万元;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4、国有资产占用使用情况说明：截至2018年6月30日，共有车辆9辆，其中，一般公务用车9辆。单位价值50万元以上通用设备0台，单位价值100万元以上专用设备0台。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5、预算绩效目标说明：本部门整体支出和项目支出实行绩效目标管理，纳入2019年部门整体支出绩效目标的金额为5947.23万元，其中，基本支出4073.48万元，项目支出1873.75万元。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6、政府性基金预算说明：本部门无政府性基金预算收入及支出。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六、名词解释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2、“三公”经费：纳入省财政预算管理的“三公“经费，是指用一般公共预算拨款安排的公务接待费、公务用车购置及运行维护费和因公出国(境)费。其中，公务接待费反映单位按规定开支的各类公务接待支出;公务用车购置及运行费反映单位公务用车车辆购置支出(含车辆购置税)，以及燃料费、维修费、保险费等支出;因公出国(境)费反映单位公务出国(境)的国际旅费、国外城市间交通费、食宿费等支出。</w:t>
      </w:r>
    </w:p>
    <w:p>
      <w:pPr>
        <w:widowControl/>
        <w:wordWrap w:val="0"/>
        <w:spacing w:after="169" w:line="405" w:lineRule="atLeast"/>
        <w:ind w:firstLine="480"/>
        <w:jc w:val="righ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湖南省社会科学院</w:t>
      </w:r>
    </w:p>
    <w:p>
      <w:pPr>
        <w:widowControl/>
        <w:wordWrap w:val="0"/>
        <w:spacing w:after="169" w:line="405" w:lineRule="atLeast"/>
        <w:ind w:firstLine="480"/>
        <w:jc w:val="righ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2019年3月7日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第二部分：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部门预算公开的表格情况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1、部门收支总体情况表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2、部门收入总体情况表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3、部门支出总体情况表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4、部门支出总表(按部门预算经济分类)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5、部门支出总表(按政府预算经济分类)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6、省级基本支出预算明细表-工资福利支出(按部门预算经济分类)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7、省级基本支出预算明细表-工资福利支出(按政府预算经济分类)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8、省级基本支出预算明细表-商品和服务支出(按部门预算经济分类)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9、省级基本支出预算明细表-商品和服务支出(按政府预算经济分类)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10、省级基本支出预算明细表-对个人和家庭的补助(按部门预算经济分类)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11、省级基本支出预算明细表-对个人和家庭的补助(按政府预算经济分类)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12、财政拨款收支总体情况表 </w:t>
      </w:r>
      <w:r>
        <w:rPr>
          <w:rFonts w:hint="eastAsia" w:ascii="仿宋" w:hAnsi="仿宋" w:eastAsia="仿宋" w:cs="仿宋"/>
          <w:color w:val="FFFFFF"/>
          <w:kern w:val="0"/>
          <w:sz w:val="32"/>
          <w:szCs w:val="32"/>
        </w:rPr>
        <w:t>copyright 湖南省社会科</w:t>
      </w:r>
      <w:bookmarkStart w:id="0" w:name="_GoBack"/>
      <w:bookmarkEnd w:id="0"/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13、一般公共预算支出情况表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14、一般公共预算基本支出情况表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15、一般公共预算省级基本支出预算明细表-工资福利支出(按部门预算经济分类)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16、一般公共预算省级基本支出预算明细表-工资福利支出(按政府预算经济分类)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17、一般公共预算省级基本支出预算明细表-商品和服务支出(按部门预算经济分类)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18、一般公共预算省级基本支出预算明细表-商品和服务支出(按政府预算经济分类)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19、一般公共预算省级基本支出预算明细表-对个人和家庭的补助(按部门预算经济分类)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20、一般公共预算省级基本支出预算明细表-对个人和家庭的补助(按政府预算经济分类)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21、政府性基金预算支出情况表(按部门预算经济分类)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22、政府性基金预算支出情况表(按政府预算经济分类)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23、纳入专户管理的非税收入拨款预算分类汇总表(按部门预算经济分类)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24、纳入专户管理的非税收入拨款预算分类汇总表(按政府预算经济分类)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25、一般公共预算拨款--经费拨款预算表(按部门预算经济分类)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26、一般公共预算拨款--经费拨款预算表(按政府预算经济分类)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27、省级专项资金清单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28、一般公共预算“三公”经费预算表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29、项目支出绩效目标表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30、整体支出绩效目标表</w:t>
      </w:r>
    </w:p>
    <w:p>
      <w:pPr>
        <w:widowControl/>
        <w:wordWrap w:val="0"/>
        <w:spacing w:after="169" w:line="405" w:lineRule="atLeast"/>
        <w:ind w:firstLine="48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表格链接下载：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"http://www.hnass.cn/u/article/201903/08/b85ed12ff8d99584.rar"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color w:val="0B5AA8"/>
          <w:kern w:val="0"/>
          <w:sz w:val="32"/>
          <w:szCs w:val="32"/>
        </w:rPr>
        <w:t>/u/article/201903/08/b85ed12ff8d99584.rar</w:t>
      </w:r>
      <w:r>
        <w:rPr>
          <w:rFonts w:hint="eastAsia" w:ascii="仿宋" w:hAnsi="仿宋" w:eastAsia="仿宋" w:cs="仿宋"/>
          <w:color w:val="0B5AA8"/>
          <w:kern w:val="0"/>
          <w:sz w:val="32"/>
          <w:szCs w:val="32"/>
        </w:rPr>
        <w:fldChar w:fldCharType="end"/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0A21"/>
    <w:rsid w:val="00273296"/>
    <w:rsid w:val="004A131E"/>
    <w:rsid w:val="00530A21"/>
    <w:rsid w:val="7A12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8">
    <w:name w:val="标题 2 Char"/>
    <w:basedOn w:val="5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9">
    <w:name w:val="apple-converted-space"/>
    <w:basedOn w:val="5"/>
    <w:uiPriority w:val="0"/>
  </w:style>
  <w:style w:type="character" w:customStyle="1" w:styleId="10">
    <w:name w:val="item_views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584</Words>
  <Characters>3329</Characters>
  <Lines>27</Lines>
  <Paragraphs>7</Paragraphs>
  <TotalTime>1</TotalTime>
  <ScaleCrop>false</ScaleCrop>
  <LinksUpToDate>false</LinksUpToDate>
  <CharactersWithSpaces>3906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2021-07-04T04:20:00Z</dcterms:created>
  <dc:creator>Windows 用户</dc:creator>
  <cp:lastModifiedBy>admin</cp:lastModifiedBy>
  <dcterms:modified xsi:type="dcterms:W3CDTF">2021-07-04T04:31:30Z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AC03298FAB0843D8994CBA3F385583C6</vt:lpwstr>
  </property>
</Properties>
</file>