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666666"/>
          <w:sz w:val="44"/>
          <w:szCs w:val="44"/>
        </w:rPr>
        <w:t>2019年湖南省社会科学界联合会部门预算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 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br w:type="textWrapping"/>
      </w:r>
      <w:r>
        <w:rPr>
          <w:rStyle w:val="5"/>
          <w:rFonts w:hint="eastAsia" w:ascii="黑体" w:hAnsi="黑体" w:eastAsia="黑体" w:cs="黑体"/>
          <w:color w:val="666666"/>
          <w:sz w:val="32"/>
          <w:szCs w:val="32"/>
        </w:rPr>
        <w:t>目 录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 xml:space="preserve">       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第一部分 2019年部门预算说明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、部门基本概况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、部门预算单位构成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、部门收支总体情况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、一般公共预算拨款支出预算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、其他重要事项的情况说明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color w:val="666666"/>
          <w:sz w:val="32"/>
          <w:szCs w:val="32"/>
          <w:lang w:val="en"/>
        </w:rPr>
        <w:t>、名词解释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第二部分 2019年部门预算表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       1、部门收支总体情况表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2、部门收入总体情况表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3、部门支出总体情况表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4、部门支出总表(按部门预算经济分类)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5、部门支出总表(按政府预算经济分类)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6、省级基本支出预算明细表-工资福利支出(按政府预算经济分类)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7、省级基本支出预算明细表-工资福利支出(按部门预算经济分类)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8、省级基本支出预算明细表-商品和服务支出(按政府预算经济分类)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9、省级基本支出预算明细表-商品和服务支出(按部门预算经济分类)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10、省级基本支出预算明细表-对个人和家庭的补助(按政府预算经济分类)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11、省级基本支出预算明细表-对个人和家庭的补助(按部门预算经济分类)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12、财政拨款收支总体情况表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13、一般公共预算支出情况表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14、一般公共预算基本支出情况表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15、一般公共预算基本支出预算明细表-工资福利支出(按部门预算经济分类)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16、一般公共预算基本支出预算明细表-工资福利支出(按政府预算经济分类)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17、一般公共预算基本支出预算明细表-商品和服务支出(按部门预算经济分类)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18、一般公共预算基本支出预算明细表-商品和服务支出(按政府预算经济分类)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19、一般公共预算基本支出预算明细表-对个人和家庭的补助(按部门预算经济分类)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20、一般公共预算基本支出预算明细表-对个人和家庭的补助(按政府预算经济分类)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21、政府性基金预算支出情况表(按部门预算经济分类)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22、政府性基金预算支出情况表(按政府预算经济分类)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23、纳入专户管理的非税收入拨款预算分类汇总表(按部门预算经济分类)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24、纳入专户管理的非税收入拨款预算分类汇总表(按政府预算经济分类)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25、一般公共预算拨款--经费拨款预算表(按部门预算经济分类)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26、一般公共预算拨款--经费拨款预算表(按政府预算经济分类)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27、省级专项资金清单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28、一般公共预算“三公”经费预算表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29、项目支出绩效目标表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30、整体支出绩效目标表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</w:rPr>
        <w:t>第一部分    2019年部门预算说明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Style w:val="5"/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一、部门基本概况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　　(一)职能职责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湖南省社会科学界联合会(简称湖南省社科联)是中共湖南省委、省人民政府领导下的全省学术性人民团体，为正厅级单位，是省委、省政府团结和联系广大社会科学工作者的桥梁和纽带，肩负着繁荣和发展全省社会科学事业的牵头职责。其主要工作职责有八个方面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1.组织开展课题研究。一方面，围绕省委省政府重大战略部署，开展湖南省社会科学成果评审委员会课题(省级)立项工作；另一方面，直接接受省委省政府领导委托任务，开展省情研究，服务重大决策。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2.管理和服务社科类社会组织。按照《国务院社团管理条例》的规定，省社科联负责管理省级社科类社会组织。指导市州社科联、县市区社科联、高校社科联工作。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3.组织学术活动。主要是围绕省委省政府中心工作，重点组织湖南省社科界学术年会，指导全省社科组织开展学术活动。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4.组织湖南省社会科学奖的评审。包括：湖南省社会科学优秀成果奖，湖南省社会科学应用研究成果转化评奖，湖南省优秀社会科学专家评选，湖南省优秀青年社会科学专家评选。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5.组织成果鉴定。对各类申报成果进行省级鉴定，分为国内先进、省内领先、省内先进、通过和不通过五个鉴定等级。其鉴定结论为省内先进水平以上的成果可作为省级课题成果。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6.推进社科普及。组织开展社科普及启动式和宣传周、湖湘大学堂、优秀社科普及读物推荐等系列活动，建设社科普及基地和社科普及志愿者队伍等。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7.培养社科队伍。一是通过各类社科平台和激励机制，发现宣传推介优秀社科人才。二是积极发挥湖南省青年社会科学工作委员会作用，举办全省青年社会科学学术研讨会，通过组织“湘江时论”学术沙龙等活动，积极发现培养宣传优秀青年社科人才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8.建设学术阵地。主办《湖南社会科学》和《船山学刊》两大公开学术期刊，建设管理湖南社科网，编辑《湖南社科研究》(决策内参)、《湖南社会科学年鉴》。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(二)机构设置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我会内设处室部门7个，分别是办公室、机关党委(人事处)、学会工作处、科研组织处、软科学研究室(省情与对策研究中心)、《湖南社会科学》编辑部、《船山学刊》编辑部。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二、部门预算单位构成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湖南省社会科学界联合会只有本级，没有其他二级预算单位，因此，纳入2019年部门预算编制范围的只有湖南省社会科学界联合会本级。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三、部门收支总体情况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2019年部门预算编报范围为会机关。收入为一般公共预算收入和纳入一般公共预算管理的非税收入；支出包括保障机关的基本运行的经费，以及为完成特定行政工作任务或事业发展目标而发生的项目支出。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(一)收入预算：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2019年年初部门预算数2668.53万元，其中：一般公共预算拨款2648.53，政府性基金收支数额为0，纳入一般公共预算管理的非税收入拨款20万元。收入较去年增加440.64万元，主要是工资提标等人员经费的增加和湖南哲学社会科学大数据平台(项目)的增加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(二)支出预算：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2019年年初部门预算数2668.53万元，其中科学技术支出2458.63万元，社会保障和就业支出123.90万元，医疗卫生与计划生育支出6.00万元，住房保障支出80.00万元。支出较去年增加440.64万元，主要是工资提标等人员经费的增加和湖南哲学社会科学大数据平台(项目)的增加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四、一般公共预算拨款支出预算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2019年一般公共预算拨款收入2668.53万元，具体安排情况如下：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(一)基本支出：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2019年年初预算数为1523.53万元，是指为保障单位机构正常运转、完成日常工作任务而发生的各项支出。包括用于基本工资、津贴补贴等人员经费以及办公费、印刷费、水电费、办公设备购置等日常公用经费。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(二)项目支出：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2019年年初预算数为1145.00万元，是指单位为完成特定行政工作任务或事业发展目标而发生的支出，包括业务工作经费，运行维护经费。其中业务工作经费715.00万元，主要用于省社会科学普及、省社科成果鉴定、省社科成果评奖、刊物的编辑出版及学术活动交流等方面；运行维护经费30.00万元，主要用于办公设备购置；资本性支出400.00万元，主要用于湖南哲学社会科学大数据平台的建设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      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五、其他重要事项的情况说明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1、机关运行经费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2019年省社科联机关运行经费当年一般公共预算拨款368.45万元，比2018年预算增加26.33万元，上升8%。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2、“三公”经费预算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2019年“三公”经费预算数为53万元，其中，公务接待费8万元，公务用车购置及运行费35万元(其中，公务用车购置费0万元，公务用车运行费35万元)，因公出国(境)费10万元。2019年“三公”经费预算数与2018年持平。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3、政府采购情况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2019年省社科联政府采购预算总额1086.75万元，其中，政府采购货物预算614.75万元；政府采购服务预算472.00万元。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4、国有资产占有情况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截止2018年6月30日，我会共有公务车辆4台，其中：单位主要负责人实物保障车辆1台，机要、紧急事务、老干公务用车各1台。单位价值50万元以上通用设备0台(套)，价值100万元以上专用设备0 台(套)。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5、预算绩效情况说明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2019年部门预算整体支出和项目支出实行绩效目标管理，纳入2019年部门整体支出绩效目标的金额为2668.53万元，其中，基本支出1523.53万元，项目支出1145.00万元。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  <w:lang w:eastAsia="zh-CN"/>
        </w:rPr>
        <w:t>六</w:t>
      </w:r>
      <w:r>
        <w:rPr>
          <w:rStyle w:val="5"/>
          <w:rFonts w:hint="eastAsia" w:ascii="黑体" w:hAnsi="黑体" w:eastAsia="黑体" w:cs="黑体"/>
          <w:b w:val="0"/>
          <w:bCs/>
          <w:color w:val="666666"/>
          <w:sz w:val="32"/>
          <w:szCs w:val="32"/>
        </w:rPr>
        <w:t>、名词解释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1、机关运行经费：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666666"/>
          <w:sz w:val="32"/>
          <w:szCs w:val="32"/>
        </w:rPr>
        <w:t>2、“三公”经费：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纳入省财政预算管理的“三公“经费，是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/>
        <w:rPr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666666"/>
          <w:sz w:val="32"/>
          <w:szCs w:val="32"/>
        </w:rPr>
        <w:t>第二部分    2019年部门预算表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部门预算公开的表格情况(公开表格附后)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1、部门收支总体情况表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2、部门收入总体情况表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3、部门支出总体情况表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4、部门支出总表(按部门预算经济分类)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5、部门支出总表(按政府预算经济分类)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6、省级基本支出预算明细表-工资福利支出(按政府预算经济分类)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7、省级基本支出预算明细表-工资福利支出(按部门预算经济分类)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8、省级基本支出预算明细表-商品和服务支出(按政府预算经济分类)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9、省级基本支出预算明细表-商品和服务支出(按部门预算经济分类)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10、省级基本支出预算明细表-对个人和家庭的补助(按政府预算经济分类)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11、省级基本支出预算明细表-对个人和家庭的补助(按部门预算经济分类)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12、财政拨款收支总体情况表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13、一般公共预算支出情况表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14、一般公共预算基本支出情况表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15、一般公共预算基本支出预算明细表-工资福利支出(按部门预算经济分类)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16、一般公共预算基本支出预算明细表-工资福利支出(按政府预算经济分类)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17、一般公共预算基本支出预算明细表-商品和服务支出(按部门预算经济分类)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18、一般公共预算基本支出预算明细表-商品和服务支出(按政府预算经济分类)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19、一般公共预算基本支出预算明细表-对个人和家庭的补助(按部门预算经济分类)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20、一般公共预算基本支出预算明细表-对个人和家庭的补助(按政府预算经济分类)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21、政府性基金预算支出情况表(按部门预算经济分类)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22、政府性基金预算支出情况表(按政府预算经济分类)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23、纳入专户管理的非税收入拨款预算分类汇总表(按部门预算经济分类)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24、纳入专户管理的非税收入拨款预算分类汇总表(按政府预算经济分类)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25、一般公共预算拨款--经费拨款预算表(按部门预算经济分类)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26、一般公共预算拨款--经费拨款预算表(按政府预算经济分类)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27、省级专项资金清单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28、一般公共预算“三公”经费预算表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29、项目支出绩效目标表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30、整体支出绩效目标表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="仿宋" w:hAnsi="仿宋" w:eastAsia="仿宋" w:cs="仿宋"/>
          <w:color w:val="666666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湖南省社会科学界联合会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>　　2019年3月08日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948D2"/>
    <w:rsid w:val="03D32233"/>
    <w:rsid w:val="083722BC"/>
    <w:rsid w:val="162A1924"/>
    <w:rsid w:val="7DD948D2"/>
    <w:rsid w:val="7E3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53367"/>
      <w:u w:val="none"/>
    </w:rPr>
  </w:style>
  <w:style w:type="character" w:styleId="7">
    <w:name w:val="Emphasis"/>
    <w:basedOn w:val="4"/>
    <w:qFormat/>
    <w:uiPriority w:val="0"/>
    <w:rPr>
      <w:color w:val="CC0000"/>
      <w:u w:val="single"/>
    </w:rPr>
  </w:style>
  <w:style w:type="character" w:styleId="8">
    <w:name w:val="Hyperlink"/>
    <w:basedOn w:val="4"/>
    <w:uiPriority w:val="0"/>
    <w:rPr>
      <w:color w:val="053367"/>
      <w:u w:val="none"/>
    </w:rPr>
  </w:style>
  <w:style w:type="character" w:customStyle="1" w:styleId="9">
    <w:name w:val="bd-2red"/>
    <w:basedOn w:val="4"/>
    <w:qFormat/>
    <w:uiPriority w:val="0"/>
  </w:style>
  <w:style w:type="character" w:customStyle="1" w:styleId="10">
    <w:name w:val="bd-2red1"/>
    <w:basedOn w:val="4"/>
    <w:uiPriority w:val="0"/>
  </w:style>
  <w:style w:type="character" w:customStyle="1" w:styleId="11">
    <w:name w:val="bd-1red"/>
    <w:basedOn w:val="4"/>
    <w:qFormat/>
    <w:uiPriority w:val="0"/>
  </w:style>
  <w:style w:type="character" w:customStyle="1" w:styleId="12">
    <w:name w:val="bd-1red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2021-07-04T02:15:00Z</dcterms:created>
  <dc:creator>OK</dc:creator>
  <cp:lastModifiedBy>admin</cp:lastModifiedBy>
  <dcterms:modified xsi:type="dcterms:W3CDTF">2021-07-04T03:56:53Z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04F5C3AF5F2D4798BDEB682D001AAA8F</vt:lpwstr>
  </property>
</Properties>
</file>