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hint="eastAsia"/>
          <w:color w:val="auto"/>
          <w:sz w:val="56"/>
          <w:szCs w:val="56"/>
        </w:rPr>
      </w:pPr>
      <w:bookmarkStart w:id="3" w:name="_GoBack"/>
    </w:p>
    <w:p>
      <w:pPr>
        <w:pStyle w:val="13"/>
        <w:jc w:val="center"/>
        <w:rPr>
          <w:color w:val="auto"/>
          <w:sz w:val="56"/>
          <w:szCs w:val="56"/>
        </w:rPr>
      </w:pPr>
    </w:p>
    <w:p>
      <w:pPr>
        <w:pStyle w:val="13"/>
        <w:jc w:val="center"/>
        <w:rPr>
          <w:color w:val="auto"/>
          <w:sz w:val="84"/>
          <w:szCs w:val="84"/>
        </w:rPr>
      </w:pPr>
    </w:p>
    <w:p>
      <w:pPr>
        <w:pStyle w:val="13"/>
        <w:jc w:val="both"/>
        <w:rPr>
          <w:color w:val="auto"/>
          <w:sz w:val="84"/>
          <w:szCs w:val="84"/>
        </w:rPr>
      </w:pPr>
    </w:p>
    <w:p>
      <w:pPr>
        <w:pStyle w:val="13"/>
        <w:jc w:val="center"/>
        <w:rPr>
          <w:color w:val="auto"/>
          <w:sz w:val="84"/>
          <w:szCs w:val="84"/>
        </w:rPr>
      </w:pPr>
    </w:p>
    <w:p>
      <w:pPr>
        <w:pStyle w:val="13"/>
        <w:jc w:val="center"/>
        <w:rPr>
          <w:rFonts w:hint="eastAsia"/>
          <w:color w:val="auto"/>
          <w:sz w:val="72"/>
          <w:szCs w:val="72"/>
        </w:rPr>
      </w:pPr>
      <w:r>
        <w:rPr>
          <w:rFonts w:hint="eastAsia"/>
          <w:color w:val="auto"/>
          <w:sz w:val="72"/>
          <w:szCs w:val="72"/>
        </w:rPr>
        <w:t>2021年度</w:t>
      </w:r>
    </w:p>
    <w:p>
      <w:pPr>
        <w:pStyle w:val="13"/>
        <w:jc w:val="center"/>
        <w:rPr>
          <w:rFonts w:hint="eastAsia"/>
          <w:color w:val="auto"/>
          <w:sz w:val="72"/>
          <w:szCs w:val="72"/>
          <w:lang w:val="en-US" w:eastAsia="zh-CN"/>
        </w:rPr>
      </w:pPr>
      <w:r>
        <w:rPr>
          <w:rFonts w:hint="eastAsia"/>
          <w:color w:val="auto"/>
          <w:sz w:val="72"/>
          <w:szCs w:val="72"/>
          <w:lang w:val="en-US" w:eastAsia="zh-CN"/>
        </w:rPr>
        <w:t>湖南省食品安全审评认证中心</w:t>
      </w:r>
    </w:p>
    <w:p>
      <w:pPr>
        <w:pStyle w:val="13"/>
        <w:jc w:val="center"/>
        <w:rPr>
          <w:rFonts w:hint="eastAsia"/>
          <w:color w:val="auto"/>
          <w:sz w:val="72"/>
          <w:szCs w:val="72"/>
        </w:rPr>
      </w:pPr>
      <w:r>
        <w:rPr>
          <w:rFonts w:hint="eastAsia"/>
          <w:color w:val="auto"/>
          <w:sz w:val="72"/>
          <w:szCs w:val="72"/>
        </w:rPr>
        <w:t>部门决算</w:t>
      </w:r>
    </w:p>
    <w:p>
      <w:pPr>
        <w:pStyle w:val="13"/>
        <w:jc w:val="center"/>
        <w:rPr>
          <w:color w:val="auto"/>
          <w:sz w:val="56"/>
          <w:szCs w:val="56"/>
        </w:rPr>
      </w:pPr>
    </w:p>
    <w:p>
      <w:pPr>
        <w:pStyle w:val="13"/>
        <w:jc w:val="center"/>
        <w:rPr>
          <w:color w:val="auto"/>
          <w:sz w:val="56"/>
          <w:szCs w:val="56"/>
        </w:rPr>
      </w:pPr>
    </w:p>
    <w:p>
      <w:pPr>
        <w:pStyle w:val="13"/>
        <w:jc w:val="center"/>
        <w:rPr>
          <w:color w:val="auto"/>
          <w:sz w:val="56"/>
          <w:szCs w:val="56"/>
        </w:rPr>
      </w:pPr>
    </w:p>
    <w:p>
      <w:pPr>
        <w:pStyle w:val="13"/>
        <w:jc w:val="center"/>
        <w:rPr>
          <w:color w:val="auto"/>
          <w:sz w:val="56"/>
          <w:szCs w:val="56"/>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jc w:val="center"/>
        <w:rPr>
          <w:color w:val="auto"/>
          <w:sz w:val="32"/>
          <w:szCs w:val="32"/>
        </w:rPr>
      </w:pPr>
    </w:p>
    <w:p>
      <w:pPr>
        <w:pStyle w:val="13"/>
        <w:spacing w:line="540" w:lineRule="exact"/>
        <w:jc w:val="center"/>
        <w:rPr>
          <w:color w:val="auto"/>
          <w:sz w:val="56"/>
          <w:szCs w:val="56"/>
        </w:rPr>
      </w:pPr>
    </w:p>
    <w:p>
      <w:pPr>
        <w:pStyle w:val="13"/>
        <w:spacing w:line="500" w:lineRule="exact"/>
        <w:jc w:val="center"/>
        <w:rPr>
          <w:b/>
          <w:color w:val="auto"/>
          <w:sz w:val="36"/>
          <w:szCs w:val="28"/>
        </w:rPr>
      </w:pPr>
    </w:p>
    <w:p>
      <w:pPr>
        <w:pStyle w:val="13"/>
        <w:spacing w:line="500" w:lineRule="exact"/>
        <w:jc w:val="center"/>
        <w:rPr>
          <w:b/>
          <w:color w:val="auto"/>
          <w:sz w:val="36"/>
          <w:szCs w:val="28"/>
        </w:rPr>
      </w:pPr>
    </w:p>
    <w:p>
      <w:pPr>
        <w:pStyle w:val="13"/>
        <w:spacing w:line="500" w:lineRule="exact"/>
        <w:jc w:val="center"/>
        <w:rPr>
          <w:rFonts w:hint="eastAsia" w:eastAsia="黑体"/>
          <w:b/>
          <w:color w:val="auto"/>
          <w:sz w:val="36"/>
          <w:szCs w:val="28"/>
          <w:lang w:val="en-US" w:eastAsia="zh-CN"/>
        </w:rPr>
      </w:pPr>
      <w:r>
        <w:rPr>
          <w:rFonts w:hint="eastAsia"/>
          <w:b/>
          <w:color w:val="auto"/>
          <w:sz w:val="36"/>
          <w:szCs w:val="28"/>
          <w:lang w:val="en-US" w:eastAsia="zh-CN"/>
        </w:rPr>
        <w:t>目 录</w:t>
      </w:r>
    </w:p>
    <w:p>
      <w:pPr>
        <w:pStyle w:val="13"/>
        <w:spacing w:line="500" w:lineRule="exact"/>
        <w:rPr>
          <w:rFonts w:ascii="仿宋_GB2312" w:hAnsi="仿宋_GB2312" w:cs="仿宋_GB2312"/>
          <w:b/>
          <w:color w:val="auto"/>
          <w:sz w:val="28"/>
          <w:szCs w:val="28"/>
        </w:rPr>
      </w:pPr>
      <w:r>
        <w:rPr>
          <w:rFonts w:hint="eastAsia"/>
          <w:b/>
          <w:color w:val="auto"/>
          <w:sz w:val="28"/>
          <w:szCs w:val="28"/>
        </w:rPr>
        <w:t>第一部分</w:t>
      </w:r>
      <w:r>
        <w:rPr>
          <w:rFonts w:hint="eastAsia"/>
          <w:b/>
          <w:color w:val="auto"/>
          <w:sz w:val="28"/>
          <w:szCs w:val="28"/>
          <w:lang w:val="en-US" w:eastAsia="zh-CN"/>
        </w:rPr>
        <w:t>湖南省食品安全审评认证中心</w:t>
      </w:r>
      <w:r>
        <w:rPr>
          <w:rFonts w:hint="eastAsia"/>
          <w:b/>
          <w:color w:val="auto"/>
          <w:sz w:val="28"/>
          <w:szCs w:val="28"/>
        </w:rPr>
        <w:t>单位概况</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一、部门职责</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二、机构设置</w:t>
      </w:r>
    </w:p>
    <w:p>
      <w:pPr>
        <w:pStyle w:val="13"/>
        <w:spacing w:line="500" w:lineRule="exact"/>
        <w:rPr>
          <w:rFonts w:ascii="仿宋_GB2312" w:hAnsi="仿宋_GB2312" w:cs="仿宋_GB2312"/>
          <w:b/>
          <w:color w:val="auto"/>
          <w:sz w:val="28"/>
          <w:szCs w:val="28"/>
        </w:rPr>
      </w:pPr>
      <w:r>
        <w:rPr>
          <w:rFonts w:hint="eastAsia" w:hAnsi="仿宋_GB2312"/>
          <w:b/>
          <w:color w:val="auto"/>
          <w:sz w:val="28"/>
          <w:szCs w:val="28"/>
        </w:rPr>
        <w:t>第二部分</w:t>
      </w:r>
      <w:r>
        <w:rPr>
          <w:rFonts w:hAnsi="仿宋_GB2312"/>
          <w:b/>
          <w:color w:val="auto"/>
          <w:sz w:val="28"/>
          <w:szCs w:val="28"/>
        </w:rPr>
        <w:t>20</w:t>
      </w:r>
      <w:r>
        <w:rPr>
          <w:rFonts w:hint="eastAsia" w:hAnsi="仿宋_GB2312"/>
          <w:b/>
          <w:color w:val="auto"/>
          <w:sz w:val="28"/>
          <w:szCs w:val="28"/>
        </w:rPr>
        <w:t>21年度部门决算表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二、收入决算表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三、支出决算表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四、财政拨款收入支出决算总表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五、一般公共预算财政拨款支出决算表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六、一般公共预算财政拨款基本支出决算</w:t>
      </w:r>
      <w:r>
        <w:rPr>
          <w:rFonts w:hint="eastAsia" w:cs="仿宋_GB2312" w:asciiTheme="minorEastAsia" w:hAnsiTheme="minorEastAsia" w:eastAsiaTheme="minorEastAsia"/>
          <w:color w:val="auto"/>
          <w:sz w:val="28"/>
          <w:szCs w:val="28"/>
        </w:rPr>
        <w:t>明细</w:t>
      </w:r>
      <w:r>
        <w:rPr>
          <w:rFonts w:cs="仿宋_GB2312" w:asciiTheme="minorEastAsia" w:hAnsiTheme="minorEastAsia" w:eastAsiaTheme="minorEastAsia"/>
          <w:color w:val="auto"/>
          <w:sz w:val="28"/>
          <w:szCs w:val="28"/>
        </w:rPr>
        <w:t>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七、一般公共预算财政拨款“三公”经费支出决算表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八、政府性基金预算财政拨款收入支出决算表</w:t>
      </w:r>
    </w:p>
    <w:p>
      <w:pPr>
        <w:pStyle w:val="13"/>
        <w:spacing w:line="500" w:lineRule="exact"/>
        <w:ind w:firstLine="700" w:firstLineChars="250"/>
        <w:rPr>
          <w:rFonts w:cs="仿宋_GB2312" w:asciiTheme="minorEastAsia" w:hAnsiTheme="minorEastAsia" w:eastAsiaTheme="minorEastAsia"/>
          <w:color w:val="auto"/>
          <w:sz w:val="28"/>
          <w:szCs w:val="28"/>
        </w:rPr>
      </w:pPr>
      <w:r>
        <w:rPr>
          <w:rFonts w:hint="eastAsia" w:cs="仿宋_GB2312" w:asciiTheme="minorEastAsia" w:hAnsiTheme="minorEastAsia" w:eastAsiaTheme="minorEastAsia"/>
          <w:color w:val="auto"/>
          <w:sz w:val="28"/>
          <w:szCs w:val="28"/>
        </w:rPr>
        <w:t>九、国有资本经营预算财政拨款支出决算表</w:t>
      </w:r>
    </w:p>
    <w:p>
      <w:pPr>
        <w:pStyle w:val="13"/>
        <w:spacing w:line="500" w:lineRule="exact"/>
        <w:rPr>
          <w:rFonts w:ascii="仿宋_GB2312" w:hAnsi="仿宋_GB2312" w:cs="仿宋_GB2312"/>
          <w:b/>
          <w:color w:val="auto"/>
          <w:sz w:val="28"/>
          <w:szCs w:val="28"/>
        </w:rPr>
      </w:pPr>
      <w:r>
        <w:rPr>
          <w:rFonts w:hint="eastAsia" w:hAnsi="仿宋_GB2312"/>
          <w:b/>
          <w:color w:val="auto"/>
          <w:sz w:val="28"/>
          <w:szCs w:val="28"/>
        </w:rPr>
        <w:t>第三部分</w:t>
      </w:r>
      <w:r>
        <w:rPr>
          <w:rFonts w:hAnsi="仿宋_GB2312"/>
          <w:b/>
          <w:color w:val="auto"/>
          <w:sz w:val="28"/>
          <w:szCs w:val="28"/>
        </w:rPr>
        <w:t>20</w:t>
      </w:r>
      <w:r>
        <w:rPr>
          <w:rFonts w:hint="eastAsia" w:hAnsi="仿宋_GB2312"/>
          <w:b/>
          <w:color w:val="auto"/>
          <w:sz w:val="28"/>
          <w:szCs w:val="28"/>
        </w:rPr>
        <w:t>21年度部门决算情况说明</w:t>
      </w:r>
    </w:p>
    <w:p>
      <w:pPr>
        <w:pStyle w:val="13"/>
        <w:spacing w:line="500" w:lineRule="exact"/>
        <w:ind w:firstLine="700" w:firstLineChars="250"/>
        <w:rPr>
          <w:rFonts w:cs="仿宋_GB2312" w:asciiTheme="minorEastAsia" w:hAnsiTheme="minorEastAsia" w:eastAsiaTheme="minorEastAsia"/>
          <w:color w:val="auto"/>
          <w:sz w:val="28"/>
          <w:szCs w:val="28"/>
        </w:rPr>
      </w:pPr>
      <w:r>
        <w:rPr>
          <w:rFonts w:cs="仿宋_GB2312" w:asciiTheme="minorEastAsia" w:hAnsiTheme="minorEastAsia" w:eastAsiaTheme="minorEastAsia"/>
          <w:color w:val="auto"/>
          <w:sz w:val="28"/>
          <w:szCs w:val="28"/>
        </w:rPr>
        <w:t>一、收入支出决算总体情况说明</w:t>
      </w:r>
    </w:p>
    <w:p>
      <w:pPr>
        <w:spacing w:line="500" w:lineRule="exact"/>
        <w:ind w:firstLine="700" w:firstLineChars="250"/>
        <w:jc w:val="left"/>
        <w:rPr>
          <w:rFonts w:ascii="仿宋_GB2312" w:hAnsi="仿宋_GB2312" w:cs="仿宋_GB2312"/>
          <w:color w:val="auto"/>
          <w:sz w:val="28"/>
          <w:szCs w:val="28"/>
        </w:rPr>
      </w:pPr>
      <w:r>
        <w:rPr>
          <w:rFonts w:ascii="仿宋_GB2312" w:hAnsi="仿宋_GB2312" w:cs="仿宋_GB2312"/>
          <w:color w:val="auto"/>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rPr>
      </w:pPr>
      <w:r>
        <w:rPr>
          <w:rFonts w:ascii="仿宋_GB2312" w:hAnsi="仿宋_GB2312" w:cs="仿宋_GB2312"/>
          <w:color w:val="auto"/>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rPr>
      </w:pPr>
      <w:r>
        <w:rPr>
          <w:rFonts w:ascii="仿宋_GB2312" w:hAnsi="仿宋_GB2312" w:cs="仿宋_GB2312"/>
          <w:color w:val="auto"/>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rPr>
      </w:pPr>
      <w:r>
        <w:rPr>
          <w:rFonts w:ascii="仿宋_GB2312" w:hAnsi="仿宋_GB2312" w:cs="仿宋_GB2312"/>
          <w:color w:val="auto"/>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rPr>
      </w:pPr>
      <w:r>
        <w:rPr>
          <w:rFonts w:ascii="仿宋_GB2312" w:hAnsi="仿宋_GB2312" w:cs="仿宋_GB2312"/>
          <w:color w:val="auto"/>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rPr>
      </w:pPr>
      <w:r>
        <w:rPr>
          <w:rFonts w:ascii="仿宋_GB2312" w:hAnsi="仿宋_GB2312" w:cs="仿宋_GB2312"/>
          <w:color w:val="auto"/>
          <w:kern w:val="0"/>
          <w:sz w:val="28"/>
          <w:szCs w:val="28"/>
        </w:rPr>
        <w:t>七、一般公共预算财政拨款</w:t>
      </w:r>
      <w:r>
        <w:rPr>
          <w:rFonts w:hint="eastAsia" w:ascii="仿宋_GB2312" w:hAnsi="仿宋_GB2312" w:cs="仿宋_GB2312"/>
          <w:color w:val="auto"/>
          <w:kern w:val="0"/>
          <w:sz w:val="28"/>
          <w:szCs w:val="28"/>
        </w:rPr>
        <w:t>“</w:t>
      </w:r>
      <w:r>
        <w:rPr>
          <w:rFonts w:ascii="仿宋_GB2312" w:hAnsi="仿宋_GB2312" w:cs="仿宋_GB2312"/>
          <w:color w:val="auto"/>
          <w:kern w:val="0"/>
          <w:sz w:val="28"/>
          <w:szCs w:val="28"/>
        </w:rPr>
        <w:t>三公</w:t>
      </w:r>
      <w:r>
        <w:rPr>
          <w:rFonts w:hint="eastAsia" w:ascii="仿宋_GB2312" w:hAnsi="仿宋_GB2312" w:cs="仿宋_GB2312"/>
          <w:color w:val="auto"/>
          <w:kern w:val="0"/>
          <w:sz w:val="28"/>
          <w:szCs w:val="28"/>
        </w:rPr>
        <w:t>”</w:t>
      </w:r>
      <w:r>
        <w:rPr>
          <w:rFonts w:ascii="仿宋_GB2312" w:hAnsi="仿宋_GB2312" w:cs="仿宋_GB2312"/>
          <w:color w:val="auto"/>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rPr>
      </w:pPr>
      <w:r>
        <w:rPr>
          <w:rFonts w:hint="eastAsia" w:ascii="仿宋_GB2312" w:hAnsi="仿宋_GB2312" w:cs="仿宋_GB2312"/>
          <w:color w:val="auto"/>
          <w:kern w:val="0"/>
          <w:sz w:val="28"/>
          <w:szCs w:val="28"/>
        </w:rPr>
        <w:t>八</w:t>
      </w:r>
      <w:r>
        <w:rPr>
          <w:rFonts w:ascii="仿宋_GB2312" w:hAnsi="仿宋_GB2312" w:cs="仿宋_GB2312"/>
          <w:color w:val="auto"/>
          <w:kern w:val="0"/>
          <w:sz w:val="28"/>
          <w:szCs w:val="28"/>
        </w:rPr>
        <w:t>、</w:t>
      </w:r>
      <w:r>
        <w:rPr>
          <w:rFonts w:hint="eastAsia" w:ascii="仿宋_GB2312" w:hAnsi="仿宋_GB2312" w:cs="仿宋_GB2312"/>
          <w:color w:val="auto"/>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rPr>
      </w:pPr>
      <w:r>
        <w:rPr>
          <w:rFonts w:hint="eastAsia" w:ascii="仿宋_GB2312" w:hAnsi="仿宋_GB2312" w:cs="仿宋_GB2312"/>
          <w:color w:val="auto"/>
          <w:kern w:val="0"/>
          <w:sz w:val="28"/>
          <w:szCs w:val="28"/>
        </w:rPr>
        <w:t>九</w:t>
      </w:r>
      <w:r>
        <w:rPr>
          <w:rFonts w:ascii="仿宋_GB2312" w:hAnsi="仿宋_GB2312" w:cs="仿宋_GB2312"/>
          <w:color w:val="auto"/>
          <w:kern w:val="0"/>
          <w:sz w:val="28"/>
          <w:szCs w:val="28"/>
        </w:rPr>
        <w:t>、</w:t>
      </w:r>
      <w:r>
        <w:rPr>
          <w:rFonts w:hint="eastAsia" w:ascii="仿宋_GB2312" w:hAnsi="仿宋_GB2312" w:cs="仿宋_GB2312"/>
          <w:color w:val="auto"/>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rPr>
      </w:pPr>
      <w:r>
        <w:rPr>
          <w:rFonts w:hint="eastAsia" w:ascii="仿宋_GB2312" w:hAnsi="仿宋_GB2312" w:cs="仿宋_GB2312"/>
          <w:color w:val="auto"/>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auto"/>
          <w:kern w:val="0"/>
          <w:sz w:val="28"/>
          <w:szCs w:val="28"/>
        </w:rPr>
      </w:pPr>
      <w:r>
        <w:rPr>
          <w:rFonts w:hint="eastAsia" w:ascii="仿宋_GB2312" w:hAnsi="仿宋_GB2312" w:cs="仿宋_GB2312"/>
          <w:color w:val="auto"/>
          <w:kern w:val="0"/>
          <w:sz w:val="28"/>
          <w:szCs w:val="28"/>
        </w:rPr>
        <w:t>十一、政府采购支出说明</w:t>
      </w:r>
    </w:p>
    <w:p>
      <w:pPr>
        <w:pStyle w:val="13"/>
        <w:spacing w:line="500" w:lineRule="exact"/>
        <w:ind w:firstLine="700" w:firstLineChars="250"/>
        <w:rPr>
          <w:rFonts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十二、国有资产占用情况说明</w:t>
      </w:r>
    </w:p>
    <w:p>
      <w:pPr>
        <w:pStyle w:val="13"/>
        <w:spacing w:line="500" w:lineRule="exact"/>
        <w:ind w:firstLine="700" w:firstLineChars="250"/>
        <w:rPr>
          <w:rFonts w:ascii="仿宋_GB2312" w:hAnsi="仿宋_GB2312" w:cs="仿宋_GB2312" w:eastAsiaTheme="minorEastAsia"/>
          <w:color w:val="auto"/>
          <w:sz w:val="28"/>
          <w:szCs w:val="28"/>
        </w:rPr>
      </w:pPr>
      <w:r>
        <w:rPr>
          <w:rFonts w:hint="eastAsia" w:ascii="仿宋_GB2312" w:hAnsi="仿宋_GB2312" w:cs="仿宋_GB2312" w:eastAsiaTheme="minorEastAsia"/>
          <w:color w:val="auto"/>
          <w:sz w:val="28"/>
          <w:szCs w:val="28"/>
        </w:rPr>
        <w:t>十三、</w:t>
      </w:r>
      <w:r>
        <w:rPr>
          <w:rFonts w:hint="eastAsia" w:cs="仿宋_GB2312" w:asciiTheme="minorEastAsia" w:hAnsiTheme="minorEastAsia" w:eastAsiaTheme="minorEastAsia"/>
          <w:color w:val="auto"/>
          <w:sz w:val="28"/>
          <w:szCs w:val="28"/>
        </w:rPr>
        <w:t>2021年</w:t>
      </w:r>
      <w:r>
        <w:rPr>
          <w:rFonts w:hint="eastAsia" w:ascii="仿宋_GB2312" w:hAnsi="仿宋_GB2312" w:cs="仿宋_GB2312" w:eastAsiaTheme="minorEastAsia"/>
          <w:color w:val="auto"/>
          <w:sz w:val="28"/>
          <w:szCs w:val="28"/>
        </w:rPr>
        <w:t>度预算绩效情况说明</w:t>
      </w:r>
    </w:p>
    <w:p>
      <w:pPr>
        <w:autoSpaceDE w:val="0"/>
        <w:autoSpaceDN w:val="0"/>
        <w:adjustRightInd w:val="0"/>
        <w:spacing w:line="500" w:lineRule="exact"/>
        <w:jc w:val="left"/>
        <w:rPr>
          <w:rFonts w:ascii="黑体" w:hAnsi="黑体" w:eastAsia="黑体" w:cs="黑体"/>
          <w:b/>
          <w:color w:val="auto"/>
          <w:kern w:val="0"/>
          <w:sz w:val="28"/>
          <w:szCs w:val="28"/>
        </w:rPr>
      </w:pPr>
      <w:r>
        <w:rPr>
          <w:rFonts w:ascii="黑体" w:hAnsi="黑体" w:eastAsia="黑体" w:cs="黑体"/>
          <w:b/>
          <w:color w:val="auto"/>
          <w:kern w:val="0"/>
          <w:sz w:val="28"/>
          <w:szCs w:val="28"/>
        </w:rPr>
        <w:t>第四部分名词解释</w:t>
      </w:r>
    </w:p>
    <w:p>
      <w:pPr>
        <w:autoSpaceDE w:val="0"/>
        <w:autoSpaceDN w:val="0"/>
        <w:adjustRightInd w:val="0"/>
        <w:spacing w:line="500" w:lineRule="exact"/>
        <w:jc w:val="left"/>
        <w:rPr>
          <w:rFonts w:ascii="黑体" w:hAnsi="黑体" w:eastAsia="黑体" w:cs="仿宋_GB2312"/>
          <w:b/>
          <w:color w:val="auto"/>
          <w:kern w:val="0"/>
          <w:sz w:val="28"/>
          <w:szCs w:val="28"/>
        </w:rPr>
      </w:pPr>
      <w:r>
        <w:rPr>
          <w:rFonts w:hint="eastAsia" w:ascii="黑体" w:hAnsi="黑体" w:eastAsia="黑体" w:cs="黑体"/>
          <w:b/>
          <w:color w:val="auto"/>
          <w:kern w:val="0"/>
          <w:sz w:val="28"/>
          <w:szCs w:val="28"/>
        </w:rPr>
        <w:t>第五部分附件</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rPr>
          <w:color w:val="auto"/>
          <w:sz w:val="72"/>
          <w:szCs w:val="72"/>
        </w:rPr>
      </w:pPr>
    </w:p>
    <w:p>
      <w:pPr>
        <w:rPr>
          <w:rFonts w:hint="eastAsia"/>
          <w:color w:val="auto"/>
          <w:sz w:val="84"/>
          <w:szCs w:val="84"/>
        </w:rPr>
      </w:pPr>
      <w:r>
        <w:rPr>
          <w:rFonts w:hint="eastAsia"/>
          <w:color w:val="auto"/>
          <w:sz w:val="84"/>
          <w:szCs w:val="84"/>
        </w:rPr>
        <w:br w:type="page"/>
      </w:r>
    </w:p>
    <w:p>
      <w:pPr>
        <w:pStyle w:val="13"/>
        <w:jc w:val="both"/>
        <w:rPr>
          <w:rFonts w:hint="eastAsia"/>
          <w:color w:val="auto"/>
          <w:sz w:val="84"/>
          <w:szCs w:val="84"/>
        </w:rPr>
      </w:pPr>
    </w:p>
    <w:p>
      <w:pPr>
        <w:pStyle w:val="13"/>
        <w:jc w:val="center"/>
        <w:rPr>
          <w:rFonts w:hint="eastAsia"/>
          <w:color w:val="auto"/>
          <w:sz w:val="84"/>
          <w:szCs w:val="84"/>
        </w:rPr>
      </w:pPr>
    </w:p>
    <w:p>
      <w:pPr>
        <w:pStyle w:val="13"/>
        <w:jc w:val="center"/>
        <w:rPr>
          <w:rFonts w:hint="eastAsia"/>
          <w:color w:val="auto"/>
          <w:sz w:val="84"/>
          <w:szCs w:val="84"/>
        </w:rPr>
      </w:pPr>
    </w:p>
    <w:p>
      <w:pPr>
        <w:pStyle w:val="13"/>
        <w:jc w:val="both"/>
        <w:rPr>
          <w:rFonts w:hint="eastAsia"/>
          <w:color w:val="auto"/>
          <w:sz w:val="84"/>
          <w:szCs w:val="84"/>
        </w:rPr>
      </w:pPr>
    </w:p>
    <w:p>
      <w:pPr>
        <w:pStyle w:val="13"/>
        <w:jc w:val="center"/>
        <w:rPr>
          <w:rFonts w:hint="eastAsia"/>
          <w:color w:val="auto"/>
          <w:sz w:val="72"/>
          <w:szCs w:val="72"/>
        </w:rPr>
      </w:pPr>
      <w:r>
        <w:rPr>
          <w:rFonts w:hint="eastAsia"/>
          <w:color w:val="auto"/>
          <w:sz w:val="72"/>
          <w:szCs w:val="72"/>
        </w:rPr>
        <w:t xml:space="preserve">第一部分 </w:t>
      </w:r>
    </w:p>
    <w:p>
      <w:pPr>
        <w:pStyle w:val="13"/>
        <w:jc w:val="center"/>
        <w:rPr>
          <w:rFonts w:hint="eastAsia"/>
          <w:color w:val="auto"/>
          <w:sz w:val="72"/>
          <w:szCs w:val="72"/>
        </w:rPr>
      </w:pPr>
    </w:p>
    <w:p>
      <w:pPr>
        <w:pStyle w:val="13"/>
        <w:jc w:val="center"/>
        <w:rPr>
          <w:rFonts w:hint="eastAsia"/>
          <w:color w:val="auto"/>
          <w:sz w:val="72"/>
          <w:szCs w:val="72"/>
          <w:lang w:val="en-US" w:eastAsia="zh-CN"/>
        </w:rPr>
      </w:pPr>
      <w:r>
        <w:rPr>
          <w:rFonts w:hint="eastAsia"/>
          <w:color w:val="auto"/>
          <w:sz w:val="72"/>
          <w:szCs w:val="72"/>
          <w:lang w:val="en-US" w:eastAsia="zh-CN"/>
        </w:rPr>
        <w:t>湖南省食品安全审评认证中心</w:t>
      </w:r>
    </w:p>
    <w:p>
      <w:pPr>
        <w:pStyle w:val="13"/>
        <w:jc w:val="center"/>
        <w:rPr>
          <w:rFonts w:hint="eastAsia"/>
          <w:color w:val="auto"/>
          <w:sz w:val="72"/>
          <w:szCs w:val="72"/>
        </w:rPr>
      </w:pPr>
      <w:r>
        <w:rPr>
          <w:rFonts w:hint="eastAsia"/>
          <w:color w:val="auto"/>
          <w:sz w:val="72"/>
          <w:szCs w:val="72"/>
        </w:rPr>
        <w:t>概况</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pStyle w:val="14"/>
        <w:ind w:left="720" w:firstLine="0" w:firstLineChars="0"/>
        <w:jc w:val="left"/>
        <w:rPr>
          <w:rFonts w:ascii="黑体" w:hAnsi="黑体" w:eastAsia="黑体"/>
          <w:color w:val="auto"/>
          <w:sz w:val="32"/>
          <w:szCs w:val="32"/>
        </w:rPr>
      </w:pPr>
    </w:p>
    <w:p>
      <w:pPr>
        <w:pStyle w:val="14"/>
        <w:ind w:left="720" w:firstLine="0" w:firstLineChars="0"/>
        <w:jc w:val="left"/>
        <w:rPr>
          <w:rFonts w:ascii="黑体" w:hAnsi="黑体" w:eastAsia="黑体"/>
          <w:color w:val="auto"/>
          <w:sz w:val="32"/>
          <w:szCs w:val="32"/>
        </w:rPr>
      </w:pPr>
    </w:p>
    <w:p>
      <w:pPr>
        <w:pStyle w:val="14"/>
        <w:ind w:left="720" w:firstLine="0" w:firstLineChars="0"/>
        <w:jc w:val="left"/>
        <w:rPr>
          <w:rFonts w:ascii="黑体" w:hAnsi="黑体" w:eastAsia="黑体"/>
          <w:color w:val="auto"/>
          <w:sz w:val="32"/>
          <w:szCs w:val="32"/>
        </w:rPr>
      </w:pPr>
    </w:p>
    <w:p>
      <w:pPr>
        <w:pStyle w:val="14"/>
        <w:numPr>
          <w:ilvl w:val="0"/>
          <w:numId w:val="1"/>
        </w:numPr>
        <w:ind w:firstLineChars="0"/>
        <w:jc w:val="left"/>
        <w:rPr>
          <w:rFonts w:ascii="黑体" w:hAnsi="黑体" w:eastAsia="黑体"/>
          <w:color w:val="auto"/>
          <w:sz w:val="32"/>
          <w:szCs w:val="32"/>
        </w:rPr>
      </w:pPr>
      <w:r>
        <w:rPr>
          <w:rFonts w:ascii="黑体" w:hAnsi="黑体" w:eastAsia="黑体"/>
          <w:color w:val="auto"/>
          <w:sz w:val="32"/>
          <w:szCs w:val="32"/>
        </w:rPr>
        <w:t>部门职责</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heme="minorEastAsia" w:hAnsiTheme="minorEastAsia"/>
          <w:bCs/>
          <w:color w:val="auto"/>
          <w:kern w:val="0"/>
          <w:sz w:val="32"/>
          <w:szCs w:val="32"/>
          <w:lang w:val="en-US" w:eastAsia="zh-CN"/>
        </w:rPr>
      </w:pPr>
      <w:r>
        <w:rPr>
          <w:rFonts w:hint="eastAsia" w:asciiTheme="minorEastAsia" w:hAnsiTheme="minorEastAsia"/>
          <w:bCs/>
          <w:color w:val="auto"/>
          <w:kern w:val="0"/>
          <w:sz w:val="32"/>
          <w:szCs w:val="32"/>
          <w:lang w:val="en-US" w:eastAsia="zh-CN"/>
        </w:rPr>
        <w:t>1、负责省级食品（含特殊食品、食品添加剂）许可事项及注册、备案的技术审评和现场核查工作、食品生产经营企业GMP、GSP的认证工作；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heme="minorEastAsia" w:hAnsiTheme="minorEastAsia"/>
          <w:bCs/>
          <w:color w:val="auto"/>
          <w:kern w:val="0"/>
          <w:sz w:val="32"/>
          <w:szCs w:val="32"/>
          <w:lang w:val="en-US" w:eastAsia="zh-CN"/>
        </w:rPr>
      </w:pPr>
      <w:r>
        <w:rPr>
          <w:rFonts w:hint="eastAsia" w:asciiTheme="minorEastAsia" w:hAnsiTheme="minorEastAsia"/>
          <w:bCs/>
          <w:color w:val="auto"/>
          <w:kern w:val="0"/>
          <w:sz w:val="32"/>
          <w:szCs w:val="32"/>
          <w:lang w:val="en-US" w:eastAsia="zh-CN"/>
        </w:rPr>
        <w:t>2、受省局委托承担食品生产经营企业的跟踪检查和飞行检查工作；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heme="minorEastAsia" w:hAnsiTheme="minorEastAsia"/>
          <w:bCs/>
          <w:color w:val="auto"/>
          <w:kern w:val="0"/>
          <w:sz w:val="32"/>
          <w:szCs w:val="32"/>
          <w:lang w:val="en-US" w:eastAsia="zh-CN"/>
        </w:rPr>
      </w:pPr>
      <w:r>
        <w:rPr>
          <w:rFonts w:hint="eastAsia" w:asciiTheme="minorEastAsia" w:hAnsiTheme="minorEastAsia"/>
          <w:bCs/>
          <w:color w:val="auto"/>
          <w:kern w:val="0"/>
          <w:sz w:val="32"/>
          <w:szCs w:val="32"/>
          <w:lang w:val="en-US" w:eastAsia="zh-CN"/>
        </w:rPr>
        <w:t>3、承担省级食品生产经营许可审查员、认证检查员及其师资的日常管理和培训考核工作；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heme="minorEastAsia" w:hAnsiTheme="minorEastAsia"/>
          <w:bCs/>
          <w:color w:val="auto"/>
          <w:kern w:val="0"/>
          <w:sz w:val="32"/>
          <w:szCs w:val="32"/>
          <w:lang w:val="en-US" w:eastAsia="zh-CN"/>
        </w:rPr>
      </w:pPr>
      <w:r>
        <w:rPr>
          <w:rFonts w:hint="eastAsia" w:asciiTheme="minorEastAsia" w:hAnsiTheme="minorEastAsia"/>
          <w:bCs/>
          <w:color w:val="auto"/>
          <w:kern w:val="0"/>
          <w:sz w:val="32"/>
          <w:szCs w:val="32"/>
          <w:lang w:val="en-US" w:eastAsia="zh-CN"/>
        </w:rPr>
        <w:t>4、开展食品安全琢审评认证相关政策法规宣传、咨询、研究、技术指导和交流与合作；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heme="minorEastAsia" w:hAnsiTheme="minorEastAsia"/>
          <w:bCs/>
          <w:color w:val="auto"/>
          <w:kern w:val="0"/>
          <w:sz w:val="32"/>
          <w:szCs w:val="32"/>
          <w:lang w:val="en-US" w:eastAsia="zh-CN"/>
        </w:rPr>
      </w:pPr>
      <w:r>
        <w:rPr>
          <w:rFonts w:hint="eastAsia" w:asciiTheme="minorEastAsia" w:hAnsiTheme="minorEastAsia"/>
          <w:bCs/>
          <w:color w:val="auto"/>
          <w:kern w:val="0"/>
          <w:sz w:val="32"/>
          <w:szCs w:val="32"/>
          <w:lang w:val="en-US" w:eastAsia="zh-CN"/>
        </w:rPr>
        <w:t>5、协助省局制订或修订食品技术审评标准、要求及工作程序；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heme="minorEastAsia" w:hAnsiTheme="minorEastAsia"/>
          <w:bCs/>
          <w:color w:val="auto"/>
          <w:kern w:val="0"/>
          <w:sz w:val="32"/>
          <w:szCs w:val="32"/>
          <w:lang w:val="en-US" w:eastAsia="zh-CN"/>
        </w:rPr>
      </w:pPr>
      <w:r>
        <w:rPr>
          <w:rFonts w:hint="eastAsia" w:asciiTheme="minorEastAsia" w:hAnsiTheme="minorEastAsia"/>
          <w:bCs/>
          <w:color w:val="auto"/>
          <w:kern w:val="0"/>
          <w:sz w:val="32"/>
          <w:szCs w:val="32"/>
          <w:lang w:val="en-US" w:eastAsia="zh-CN"/>
        </w:rPr>
        <w:t>6、指导全省食品生产经营技术审评认证工作；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heme="minorEastAsia" w:hAnsiTheme="minorEastAsia"/>
          <w:bCs/>
          <w:color w:val="auto"/>
          <w:kern w:val="0"/>
          <w:sz w:val="32"/>
          <w:szCs w:val="32"/>
          <w:lang w:val="en-US" w:eastAsia="zh-CN"/>
        </w:rPr>
      </w:pPr>
      <w:r>
        <w:rPr>
          <w:rFonts w:hint="eastAsia" w:asciiTheme="minorEastAsia" w:hAnsiTheme="minorEastAsia"/>
          <w:bCs/>
          <w:color w:val="auto"/>
          <w:kern w:val="0"/>
          <w:sz w:val="32"/>
          <w:szCs w:val="32"/>
          <w:lang w:val="en-US" w:eastAsia="zh-CN"/>
        </w:rPr>
        <w:t>7、承担省局交办的其他有关事项。</w:t>
      </w:r>
    </w:p>
    <w:p>
      <w:pPr>
        <w:widowControl/>
        <w:spacing w:line="600" w:lineRule="exact"/>
        <w:rPr>
          <w:rFonts w:ascii="黑体" w:hAnsi="黑体" w:eastAsia="黑体"/>
          <w:bCs/>
          <w:color w:val="auto"/>
          <w:kern w:val="0"/>
          <w:sz w:val="32"/>
          <w:szCs w:val="32"/>
        </w:rPr>
      </w:pPr>
      <w:r>
        <w:rPr>
          <w:rFonts w:hint="eastAsia" w:ascii="黑体" w:hAnsi="黑体" w:eastAsia="黑体"/>
          <w:bCs/>
          <w:color w:val="auto"/>
          <w:kern w:val="0"/>
          <w:sz w:val="32"/>
          <w:szCs w:val="32"/>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bCs/>
          <w:color w:val="auto"/>
          <w:kern w:val="0"/>
          <w:sz w:val="32"/>
          <w:szCs w:val="32"/>
        </w:rPr>
      </w:pPr>
      <w:r>
        <w:rPr>
          <w:rFonts w:hint="eastAsia" w:asciiTheme="minorEastAsia" w:hAnsiTheme="minorEastAsia"/>
          <w:bCs/>
          <w:color w:val="auto"/>
          <w:kern w:val="0"/>
          <w:sz w:val="32"/>
          <w:szCs w:val="32"/>
        </w:rPr>
        <w:t>（一）内设机构设置。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heme="minorEastAsia" w:hAnsiTheme="minorEastAsia"/>
          <w:bCs/>
          <w:color w:val="auto"/>
          <w:kern w:val="0"/>
          <w:sz w:val="32"/>
          <w:szCs w:val="32"/>
          <w:lang w:val="en-US" w:eastAsia="zh-CN"/>
        </w:rPr>
      </w:pPr>
      <w:r>
        <w:rPr>
          <w:rFonts w:hint="eastAsia" w:asciiTheme="minorEastAsia" w:hAnsiTheme="minorEastAsia"/>
          <w:bCs/>
          <w:color w:val="auto"/>
          <w:kern w:val="0"/>
          <w:sz w:val="32"/>
          <w:szCs w:val="32"/>
          <w:lang w:val="en-US" w:eastAsia="zh-CN"/>
        </w:rPr>
        <w:t>我中心内设机构共5个，分别是综合科、质控科、审评一科、审评二科、审评三科。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bCs/>
          <w:color w:val="auto"/>
          <w:kern w:val="0"/>
          <w:sz w:val="32"/>
          <w:szCs w:val="32"/>
        </w:rPr>
      </w:pPr>
      <w:r>
        <w:rPr>
          <w:rFonts w:hint="eastAsia" w:asciiTheme="minorEastAsia" w:hAnsiTheme="minorEastAsia"/>
          <w:bCs/>
          <w:color w:val="auto"/>
          <w:kern w:val="0"/>
          <w:sz w:val="32"/>
          <w:szCs w:val="32"/>
          <w:lang w:eastAsia="zh-CN"/>
        </w:rPr>
        <w:t>（</w:t>
      </w:r>
      <w:r>
        <w:rPr>
          <w:rFonts w:hint="eastAsia" w:asciiTheme="minorEastAsia" w:hAnsiTheme="minorEastAsia"/>
          <w:bCs/>
          <w:color w:val="auto"/>
          <w:kern w:val="0"/>
          <w:sz w:val="32"/>
          <w:szCs w:val="32"/>
          <w:lang w:val="en-US" w:eastAsia="zh-CN"/>
        </w:rPr>
        <w:t>二</w:t>
      </w:r>
      <w:r>
        <w:rPr>
          <w:rFonts w:hint="eastAsia" w:asciiTheme="minorEastAsia" w:hAnsiTheme="minorEastAsia"/>
          <w:bCs/>
          <w:color w:val="auto"/>
          <w:kern w:val="0"/>
          <w:sz w:val="32"/>
          <w:szCs w:val="32"/>
          <w:lang w:eastAsia="zh-CN"/>
        </w:rPr>
        <w:t>）</w:t>
      </w:r>
      <w:r>
        <w:rPr>
          <w:rFonts w:hint="eastAsia" w:asciiTheme="minorEastAsia" w:hAnsiTheme="minorEastAsia"/>
          <w:bCs/>
          <w:color w:val="auto"/>
          <w:kern w:val="0"/>
          <w:sz w:val="32"/>
          <w:szCs w:val="32"/>
        </w:rPr>
        <w:t>决算单位构成。</w:t>
      </w:r>
    </w:p>
    <w:p>
      <w:pPr>
        <w:jc w:val="left"/>
        <w:rPr>
          <w:rFonts w:hint="default" w:ascii="仿宋_GB2312" w:eastAsia="仿宋_GB2312" w:hAnsiTheme="minorEastAsia"/>
          <w:color w:val="auto"/>
          <w:sz w:val="28"/>
          <w:szCs w:val="32"/>
          <w:lang w:val="en-US" w:eastAsia="zh-CN"/>
        </w:rPr>
      </w:pPr>
      <w:r>
        <w:rPr>
          <w:rFonts w:hint="eastAsia" w:ascii="仿宋_GB2312" w:eastAsia="仿宋_GB2312" w:hAnsiTheme="minorEastAsia"/>
          <w:color w:val="auto"/>
          <w:sz w:val="28"/>
          <w:szCs w:val="32"/>
          <w:lang w:val="en-US" w:eastAsia="zh-CN"/>
        </w:rPr>
        <w:t xml:space="preserve">  </w:t>
      </w:r>
      <w:r>
        <w:rPr>
          <w:rFonts w:hint="eastAsia" w:asciiTheme="minorEastAsia" w:hAnsiTheme="minorEastAsia"/>
          <w:bCs/>
          <w:color w:val="auto"/>
          <w:kern w:val="0"/>
          <w:sz w:val="32"/>
          <w:szCs w:val="32"/>
          <w:lang w:val="en-US" w:eastAsia="zh-CN"/>
        </w:rPr>
        <w:t xml:space="preserve"> 湖南省食品安全审评认证中心</w:t>
      </w:r>
      <w:r>
        <w:rPr>
          <w:rFonts w:asciiTheme="minorEastAsia" w:hAnsiTheme="minorEastAsia"/>
          <w:bCs/>
          <w:color w:val="auto"/>
          <w:kern w:val="0"/>
          <w:sz w:val="32"/>
          <w:szCs w:val="32"/>
        </w:rPr>
        <w:t>20</w:t>
      </w:r>
      <w:r>
        <w:rPr>
          <w:rFonts w:hint="eastAsia" w:asciiTheme="minorEastAsia" w:hAnsiTheme="minorEastAsia"/>
          <w:bCs/>
          <w:color w:val="auto"/>
          <w:kern w:val="0"/>
          <w:sz w:val="32"/>
          <w:szCs w:val="32"/>
        </w:rPr>
        <w:t>2</w:t>
      </w:r>
      <w:r>
        <w:rPr>
          <w:rFonts w:hint="eastAsia" w:asciiTheme="minorEastAsia" w:hAnsiTheme="minorEastAsia"/>
          <w:bCs/>
          <w:color w:val="auto"/>
          <w:kern w:val="0"/>
          <w:sz w:val="32"/>
          <w:szCs w:val="32"/>
          <w:lang w:val="en-US" w:eastAsia="zh-CN"/>
        </w:rPr>
        <w:t>1</w:t>
      </w:r>
      <w:r>
        <w:rPr>
          <w:rFonts w:hint="eastAsia" w:asciiTheme="minorEastAsia" w:hAnsiTheme="minorEastAsia"/>
          <w:bCs/>
          <w:color w:val="auto"/>
          <w:kern w:val="0"/>
          <w:sz w:val="32"/>
          <w:szCs w:val="32"/>
        </w:rPr>
        <w:t>年部门决算汇总公开单位构成包括：</w:t>
      </w:r>
      <w:r>
        <w:rPr>
          <w:rFonts w:hint="eastAsia" w:asciiTheme="minorEastAsia" w:hAnsiTheme="minorEastAsia"/>
          <w:bCs/>
          <w:color w:val="auto"/>
          <w:kern w:val="0"/>
          <w:sz w:val="32"/>
          <w:szCs w:val="32"/>
        </w:rPr>
        <w:t>本单位无下级预算单位，</w:t>
      </w:r>
      <w:r>
        <w:rPr>
          <w:rFonts w:hint="eastAsia" w:asciiTheme="minorEastAsia" w:hAnsiTheme="minorEastAsia"/>
          <w:bCs/>
          <w:color w:val="auto"/>
          <w:kern w:val="0"/>
          <w:sz w:val="32"/>
          <w:szCs w:val="32"/>
          <w:lang w:val="en-US" w:eastAsia="zh-CN"/>
        </w:rPr>
        <w:t>本次决算公开仅包括</w:t>
      </w:r>
      <w:r>
        <w:rPr>
          <w:rFonts w:hint="eastAsia" w:asciiTheme="minorEastAsia" w:hAnsiTheme="minorEastAsia"/>
          <w:bCs/>
          <w:color w:val="auto"/>
          <w:kern w:val="0"/>
          <w:sz w:val="32"/>
          <w:szCs w:val="32"/>
          <w:lang w:val="en-US" w:eastAsia="zh-CN"/>
        </w:rPr>
        <w:t>湖南省食品安全审评认证中心</w:t>
      </w:r>
      <w:r>
        <w:rPr>
          <w:rFonts w:hint="eastAsia" w:asciiTheme="minorEastAsia" w:hAnsiTheme="minorEastAsia"/>
          <w:bCs/>
          <w:color w:val="auto"/>
          <w:kern w:val="0"/>
          <w:sz w:val="32"/>
          <w:szCs w:val="32"/>
        </w:rPr>
        <w:t>本级</w:t>
      </w:r>
      <w:r>
        <w:rPr>
          <w:rFonts w:hint="eastAsia" w:asciiTheme="minorEastAsia" w:hAnsiTheme="minorEastAsia"/>
          <w:bCs/>
          <w:color w:val="auto"/>
          <w:kern w:val="0"/>
          <w:sz w:val="32"/>
          <w:szCs w:val="32"/>
          <w:lang w:val="en-US" w:eastAsia="zh-CN"/>
        </w:rPr>
        <w:t>。</w:t>
      </w:r>
    </w:p>
    <w:p>
      <w:pPr>
        <w:jc w:val="left"/>
        <w:rPr>
          <w:rFonts w:hint="default" w:ascii="仿宋_GB2312" w:eastAsia="仿宋_GB2312" w:hAnsiTheme="minorEastAsia"/>
          <w:color w:val="auto"/>
          <w:sz w:val="28"/>
          <w:szCs w:val="32"/>
          <w:lang w:val="en-US" w:eastAsia="zh-CN"/>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center"/>
        <w:rPr>
          <w:rFonts w:ascii="黑体" w:hAnsi="黑体" w:eastAsia="黑体"/>
          <w:color w:val="auto"/>
          <w:sz w:val="28"/>
          <w:szCs w:val="28"/>
        </w:rPr>
      </w:pPr>
    </w:p>
    <w:p>
      <w:pPr>
        <w:jc w:val="both"/>
        <w:rPr>
          <w:color w:val="auto"/>
          <w:sz w:val="72"/>
          <w:szCs w:val="72"/>
        </w:rPr>
      </w:pPr>
    </w:p>
    <w:p>
      <w:pPr>
        <w:pStyle w:val="2"/>
        <w:rPr>
          <w:color w:val="auto"/>
          <w:sz w:val="72"/>
          <w:szCs w:val="72"/>
        </w:rPr>
      </w:pPr>
    </w:p>
    <w:p>
      <w:pPr>
        <w:pStyle w:val="13"/>
        <w:jc w:val="center"/>
        <w:rPr>
          <w:rFonts w:hint="eastAsia"/>
          <w:color w:val="auto"/>
          <w:sz w:val="72"/>
          <w:szCs w:val="72"/>
        </w:rPr>
      </w:pPr>
    </w:p>
    <w:p>
      <w:pPr>
        <w:pStyle w:val="13"/>
        <w:jc w:val="center"/>
        <w:rPr>
          <w:rFonts w:hint="eastAsia"/>
          <w:color w:val="auto"/>
          <w:sz w:val="72"/>
          <w:szCs w:val="72"/>
        </w:rPr>
      </w:pPr>
      <w:r>
        <w:rPr>
          <w:rFonts w:hint="eastAsia"/>
          <w:color w:val="auto"/>
          <w:sz w:val="72"/>
          <w:szCs w:val="72"/>
        </w:rPr>
        <w:t>第二部分</w:t>
      </w:r>
    </w:p>
    <w:p>
      <w:pPr>
        <w:pStyle w:val="13"/>
        <w:jc w:val="center"/>
        <w:rPr>
          <w:rFonts w:hint="eastAsia"/>
          <w:color w:val="auto"/>
          <w:sz w:val="72"/>
          <w:szCs w:val="72"/>
        </w:rPr>
      </w:pPr>
    </w:p>
    <w:p>
      <w:pPr>
        <w:pStyle w:val="13"/>
        <w:jc w:val="center"/>
        <w:rPr>
          <w:rFonts w:hint="eastAsia"/>
          <w:color w:val="auto"/>
          <w:sz w:val="72"/>
          <w:szCs w:val="72"/>
        </w:rPr>
      </w:pPr>
      <w:r>
        <w:rPr>
          <w:rFonts w:hint="eastAsia"/>
          <w:color w:val="auto"/>
          <w:sz w:val="72"/>
          <w:szCs w:val="72"/>
        </w:rPr>
        <w:t>部门决算表</w:t>
      </w: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center"/>
        <w:rPr>
          <w:color w:val="auto"/>
          <w:sz w:val="72"/>
          <w:szCs w:val="72"/>
        </w:rPr>
      </w:pPr>
    </w:p>
    <w:p>
      <w:pPr>
        <w:jc w:val="left"/>
        <w:rPr>
          <w:color w:val="auto"/>
          <w:sz w:val="32"/>
          <w:szCs w:val="32"/>
        </w:rPr>
      </w:pPr>
    </w:p>
    <w:p>
      <w:pPr>
        <w:jc w:val="left"/>
        <w:rPr>
          <w:rFonts w:asciiTheme="minorEastAsia" w:hAnsiTheme="minorEastAsia"/>
          <w:color w:val="auto"/>
          <w:sz w:val="32"/>
          <w:szCs w:val="32"/>
        </w:rPr>
        <w:sectPr>
          <w:pgSz w:w="11906" w:h="16838"/>
          <w:pgMar w:top="720" w:right="720" w:bottom="720" w:left="720" w:header="851" w:footer="992" w:gutter="0"/>
          <w:cols w:space="425" w:num="1"/>
          <w:docGrid w:type="lines" w:linePitch="312" w:charSpace="0"/>
        </w:sectPr>
      </w:pPr>
    </w:p>
    <w:tbl>
      <w:tblPr>
        <w:tblStyle w:val="8"/>
        <w:tblW w:w="14081" w:type="dxa"/>
        <w:jc w:val="center"/>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jc w:val="center"/>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auto"/>
                <w:kern w:val="0"/>
                <w:sz w:val="32"/>
                <w:szCs w:val="32"/>
              </w:rPr>
            </w:pPr>
            <w:r>
              <w:rPr>
                <w:rFonts w:hint="eastAsia" w:ascii="华文中宋" w:hAnsi="华文中宋" w:eastAsia="华文中宋" w:cs="宋体"/>
                <w:color w:val="auto"/>
                <w:kern w:val="0"/>
                <w:sz w:val="32"/>
                <w:szCs w:val="32"/>
              </w:rPr>
              <w:t>收入支出决算总表</w:t>
            </w:r>
          </w:p>
        </w:tc>
      </w:tr>
      <w:tr>
        <w:tblPrEx>
          <w:tblCellMar>
            <w:top w:w="0" w:type="dxa"/>
            <w:left w:w="108" w:type="dxa"/>
            <w:bottom w:w="0" w:type="dxa"/>
            <w:right w:w="108" w:type="dxa"/>
          </w:tblCellMar>
        </w:tblPrEx>
        <w:trPr>
          <w:trHeight w:val="199" w:hRule="atLeast"/>
          <w:jc w:val="center"/>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公开01表</w:t>
            </w:r>
          </w:p>
        </w:tc>
      </w:tr>
      <w:tr>
        <w:tblPrEx>
          <w:tblCellMar>
            <w:top w:w="0" w:type="dxa"/>
            <w:left w:w="108" w:type="dxa"/>
            <w:bottom w:w="0" w:type="dxa"/>
            <w:right w:w="108" w:type="dxa"/>
          </w:tblCellMar>
        </w:tblPrEx>
        <w:trPr>
          <w:trHeight w:val="300" w:hRule="atLeast"/>
          <w:jc w:val="center"/>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部门：</w:t>
            </w:r>
            <w:r>
              <w:rPr>
                <w:rFonts w:ascii="宋体" w:hAnsi="宋体" w:eastAsia="宋体" w:cs="宋体"/>
                <w:color w:val="auto"/>
                <w:kern w:val="0"/>
                <w:sz w:val="20"/>
                <w:szCs w:val="20"/>
              </w:rPr>
              <w:t xml:space="preserve"> </w:t>
            </w:r>
            <w:r>
              <w:rPr>
                <w:rFonts w:hint="eastAsia" w:ascii="宋体" w:hAnsi="宋体" w:eastAsia="宋体" w:cs="宋体"/>
                <w:color w:val="auto"/>
                <w:kern w:val="0"/>
                <w:sz w:val="20"/>
                <w:szCs w:val="20"/>
                <w:lang w:val="en-US" w:eastAsia="zh-CN"/>
              </w:rPr>
              <w:t>湖南省食品安全审评认证中心</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单位：万元</w:t>
            </w:r>
          </w:p>
        </w:tc>
      </w:tr>
      <w:tr>
        <w:tblPrEx>
          <w:tblCellMar>
            <w:top w:w="0" w:type="dxa"/>
            <w:left w:w="108" w:type="dxa"/>
            <w:bottom w:w="0" w:type="dxa"/>
            <w:right w:w="108" w:type="dxa"/>
          </w:tblCellMar>
        </w:tblPrEx>
        <w:trPr>
          <w:trHeight w:val="340" w:hRule="atLeast"/>
          <w:jc w:val="center"/>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支出</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决算数</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2</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default" w:ascii="宋体" w:hAnsi="宋体" w:eastAsia="宋体" w:cs="宋体"/>
                <w:color w:val="auto"/>
                <w:kern w:val="0"/>
                <w:sz w:val="22"/>
                <w:lang w:val="en-US" w:eastAsia="zh-CN"/>
              </w:rPr>
              <w:t>474.94</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445.30</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七</w:t>
            </w:r>
            <w:r>
              <w:rPr>
                <w:rFonts w:hint="eastAsia" w:ascii="宋体" w:hAnsi="宋体" w:eastAsia="宋体" w:cs="宋体"/>
                <w:color w:val="auto"/>
                <w:kern w:val="0"/>
                <w:sz w:val="24"/>
                <w:szCs w:val="24"/>
              </w:rPr>
              <w:t>、社会保障和就业支出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lang w:val="en-US" w:eastAsia="zh-CN"/>
              </w:rPr>
              <w:t>八</w:t>
            </w:r>
            <w:r>
              <w:rPr>
                <w:rFonts w:hint="eastAsia" w:ascii="宋体" w:hAnsi="宋体" w:eastAsia="宋体" w:cs="宋体"/>
                <w:color w:val="auto"/>
                <w:kern w:val="0"/>
                <w:sz w:val="22"/>
              </w:rPr>
              <w:t>、卫生健康支出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both"/>
              <w:rPr>
                <w:rFonts w:ascii="宋体" w:hAnsi="宋体" w:eastAsia="宋体" w:cs="宋体"/>
                <w:color w:val="auto"/>
                <w:kern w:val="0"/>
                <w:sz w:val="20"/>
                <w:szCs w:val="20"/>
              </w:rPr>
            </w:pPr>
            <w:r>
              <w:rPr>
                <w:rFonts w:hint="eastAsia" w:ascii="宋体" w:hAnsi="宋体" w:eastAsia="宋体" w:cs="宋体"/>
                <w:color w:val="auto"/>
                <w:kern w:val="0"/>
                <w:sz w:val="22"/>
              </w:rPr>
              <w:t>九、住房保障支出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474.94</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524.02</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default" w:ascii="宋体" w:hAnsi="宋体" w:eastAsia="宋体" w:cs="宋体"/>
                <w:color w:val="auto"/>
                <w:kern w:val="0"/>
                <w:sz w:val="22"/>
                <w:lang w:val="en-US" w:eastAsia="zh-CN"/>
              </w:rPr>
              <w:t>78.33</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29.25</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553.27</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553.27</w:t>
            </w:r>
          </w:p>
        </w:tc>
      </w:tr>
      <w:tr>
        <w:tblPrEx>
          <w:tblCellMar>
            <w:top w:w="0" w:type="dxa"/>
            <w:left w:w="108" w:type="dxa"/>
            <w:bottom w:w="0" w:type="dxa"/>
            <w:right w:w="108" w:type="dxa"/>
          </w:tblCellMar>
        </w:tblPrEx>
        <w:trPr>
          <w:trHeight w:val="1020" w:hRule="atLeast"/>
          <w:jc w:val="center"/>
        </w:trPr>
        <w:tc>
          <w:tcPr>
            <w:tcW w:w="14081" w:type="dxa"/>
            <w:gridSpan w:val="11"/>
            <w:tcBorders>
              <w:top w:val="nil"/>
              <w:left w:val="nil"/>
              <w:bottom w:val="nil"/>
              <w:right w:val="nil"/>
            </w:tcBorders>
            <w:shd w:val="clear" w:color="auto" w:fill="auto"/>
            <w:vAlign w:val="center"/>
          </w:tcPr>
          <w:p>
            <w:pPr>
              <w:widowControl/>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注：1.本表反映部门本年度的总收支和年末结转结余情况。</w:t>
            </w:r>
          </w:p>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 2.本套报表金额单位转换时可能存在尾数误差。</w:t>
            </w:r>
          </w:p>
        </w:tc>
      </w:tr>
    </w:tbl>
    <w:p>
      <w:pPr>
        <w:jc w:val="center"/>
        <w:rPr>
          <w:rFonts w:ascii="黑体" w:hAnsi="黑体" w:eastAsia="黑体"/>
          <w:color w:val="auto"/>
          <w:sz w:val="28"/>
          <w:szCs w:val="28"/>
        </w:rPr>
        <w:sectPr>
          <w:pgSz w:w="16838" w:h="11906" w:orient="landscape"/>
          <w:pgMar w:top="1797" w:right="1440" w:bottom="1797" w:left="1440" w:header="851" w:footer="992" w:gutter="0"/>
          <w:cols w:space="425" w:num="1"/>
          <w:docGrid w:type="linesAndChars" w:linePitch="312" w:charSpace="0"/>
        </w:sectPr>
      </w:pPr>
    </w:p>
    <w:tbl>
      <w:tblPr>
        <w:tblStyle w:val="8"/>
        <w:tblW w:w="4906" w:type="pct"/>
        <w:jc w:val="center"/>
        <w:tblLayout w:type="fixed"/>
        <w:tblCellMar>
          <w:top w:w="0" w:type="dxa"/>
          <w:left w:w="0" w:type="dxa"/>
          <w:bottom w:w="0" w:type="dxa"/>
          <w:right w:w="0" w:type="dxa"/>
        </w:tblCellMar>
      </w:tblPr>
      <w:tblGrid>
        <w:gridCol w:w="1177"/>
        <w:gridCol w:w="235"/>
        <w:gridCol w:w="2723"/>
        <w:gridCol w:w="1673"/>
        <w:gridCol w:w="1673"/>
        <w:gridCol w:w="1418"/>
        <w:gridCol w:w="1200"/>
        <w:gridCol w:w="1200"/>
        <w:gridCol w:w="2368"/>
        <w:gridCol w:w="1473"/>
      </w:tblGrid>
      <w:tr>
        <w:tblPrEx>
          <w:tblCellMar>
            <w:top w:w="0" w:type="dxa"/>
            <w:left w:w="0" w:type="dxa"/>
            <w:bottom w:w="0" w:type="dxa"/>
            <w:right w:w="0" w:type="dxa"/>
          </w:tblCellMar>
        </w:tblPrEx>
        <w:trPr>
          <w:trHeight w:val="718" w:hRule="atLeast"/>
          <w:jc w:val="center"/>
        </w:trPr>
        <w:tc>
          <w:tcPr>
            <w:tcW w:w="5000" w:type="pct"/>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auto"/>
                <w:sz w:val="32"/>
                <w:szCs w:val="32"/>
              </w:rPr>
            </w:pPr>
            <w:r>
              <w:rPr>
                <w:rFonts w:hint="eastAsia" w:ascii="华文中宋" w:hAnsi="华文中宋" w:eastAsia="华文中宋"/>
                <w:color w:val="auto"/>
                <w:sz w:val="32"/>
                <w:szCs w:val="32"/>
              </w:rPr>
              <w:t>收入决算表</w:t>
            </w:r>
          </w:p>
        </w:tc>
      </w:tr>
      <w:tr>
        <w:tblPrEx>
          <w:tblCellMar>
            <w:top w:w="0" w:type="dxa"/>
            <w:left w:w="0" w:type="dxa"/>
            <w:bottom w:w="0" w:type="dxa"/>
            <w:right w:w="0" w:type="dxa"/>
          </w:tblCellMar>
        </w:tblPrEx>
        <w:trPr>
          <w:trHeight w:val="375" w:hRule="atLeast"/>
          <w:jc w:val="center"/>
        </w:trPr>
        <w:tc>
          <w:tcPr>
            <w:tcW w:w="388"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77"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899"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552"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552"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468"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396"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396"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782"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486"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0"/>
                <w:szCs w:val="20"/>
              </w:rPr>
            </w:pPr>
            <w:r>
              <w:rPr>
                <w:rFonts w:hint="eastAsia"/>
                <w:color w:val="auto"/>
                <w:sz w:val="20"/>
                <w:szCs w:val="20"/>
              </w:rPr>
              <w:t>公开02表</w:t>
            </w:r>
          </w:p>
        </w:tc>
      </w:tr>
      <w:tr>
        <w:tblPrEx>
          <w:tblCellMar>
            <w:top w:w="0" w:type="dxa"/>
            <w:left w:w="0" w:type="dxa"/>
            <w:bottom w:w="0" w:type="dxa"/>
            <w:right w:w="0" w:type="dxa"/>
          </w:tblCellMar>
        </w:tblPrEx>
        <w:trPr>
          <w:trHeight w:val="375" w:hRule="atLeast"/>
          <w:jc w:val="center"/>
        </w:trPr>
        <w:tc>
          <w:tcPr>
            <w:tcW w:w="466" w:type="pct"/>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auto"/>
                <w:sz w:val="20"/>
                <w:szCs w:val="20"/>
              </w:rPr>
            </w:pPr>
            <w:r>
              <w:rPr>
                <w:rFonts w:hint="eastAsia"/>
                <w:color w:val="auto"/>
                <w:sz w:val="20"/>
                <w:szCs w:val="20"/>
              </w:rPr>
              <w:t>部门：</w:t>
            </w:r>
          </w:p>
        </w:tc>
        <w:tc>
          <w:tcPr>
            <w:tcW w:w="899"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ascii="宋体" w:hAnsi="宋体" w:eastAsia="宋体" w:cs="宋体"/>
                <w:color w:val="auto"/>
                <w:kern w:val="0"/>
                <w:sz w:val="20"/>
                <w:szCs w:val="20"/>
                <w:lang w:val="en-US" w:eastAsia="zh-CN"/>
              </w:rPr>
              <w:t>湖南省食品安全审评认证中心</w:t>
            </w:r>
            <w:r>
              <w:rPr>
                <w:rFonts w:hint="eastAsia"/>
                <w:color w:val="auto"/>
              </w:rPr>
              <w:t>　</w:t>
            </w:r>
          </w:p>
        </w:tc>
        <w:tc>
          <w:tcPr>
            <w:tcW w:w="552"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552"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468" w:type="pct"/>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0"/>
                <w:szCs w:val="20"/>
              </w:rPr>
            </w:pPr>
            <w:r>
              <w:rPr>
                <w:rFonts w:hint="eastAsia"/>
                <w:color w:val="auto"/>
                <w:sz w:val="20"/>
                <w:szCs w:val="20"/>
              </w:rPr>
              <w:t>　</w:t>
            </w:r>
          </w:p>
        </w:tc>
        <w:tc>
          <w:tcPr>
            <w:tcW w:w="396"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396"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782"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4"/>
                <w:szCs w:val="24"/>
              </w:rPr>
            </w:pPr>
            <w:r>
              <w:rPr>
                <w:rFonts w:hint="eastAsia"/>
                <w:color w:val="auto"/>
              </w:rPr>
              <w:t>　</w:t>
            </w:r>
          </w:p>
        </w:tc>
        <w:tc>
          <w:tcPr>
            <w:tcW w:w="486" w:type="pct"/>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auto"/>
                <w:sz w:val="20"/>
                <w:szCs w:val="20"/>
              </w:rPr>
            </w:pPr>
            <w:r>
              <w:rPr>
                <w:rFonts w:hint="eastAsia"/>
                <w:color w:val="auto"/>
                <w:sz w:val="20"/>
                <w:szCs w:val="20"/>
              </w:rPr>
              <w:t>单位：万元</w:t>
            </w:r>
          </w:p>
        </w:tc>
      </w:tr>
      <w:tr>
        <w:tblPrEx>
          <w:tblCellMar>
            <w:top w:w="0" w:type="dxa"/>
            <w:left w:w="0" w:type="dxa"/>
            <w:bottom w:w="0" w:type="dxa"/>
            <w:right w:w="0" w:type="dxa"/>
          </w:tblCellMar>
        </w:tblPrEx>
        <w:trPr>
          <w:trHeight w:val="397" w:hRule="atLeast"/>
          <w:jc w:val="center"/>
        </w:trPr>
        <w:tc>
          <w:tcPr>
            <w:tcW w:w="1365" w:type="pct"/>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项    目</w:t>
            </w:r>
          </w:p>
        </w:tc>
        <w:tc>
          <w:tcPr>
            <w:tcW w:w="552"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本年收入合计</w:t>
            </w:r>
          </w:p>
        </w:tc>
        <w:tc>
          <w:tcPr>
            <w:tcW w:w="5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财政拨款收入</w:t>
            </w:r>
          </w:p>
        </w:tc>
        <w:tc>
          <w:tcPr>
            <w:tcW w:w="468"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上级补助收入</w:t>
            </w:r>
          </w:p>
        </w:tc>
        <w:tc>
          <w:tcPr>
            <w:tcW w:w="396"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事业收入</w:t>
            </w:r>
          </w:p>
        </w:tc>
        <w:tc>
          <w:tcPr>
            <w:tcW w:w="396"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经营收入</w:t>
            </w:r>
          </w:p>
        </w:tc>
        <w:tc>
          <w:tcPr>
            <w:tcW w:w="782"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附属单位上缴收入</w:t>
            </w:r>
          </w:p>
        </w:tc>
        <w:tc>
          <w:tcPr>
            <w:tcW w:w="486" w:type="pct"/>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其他收入</w:t>
            </w:r>
          </w:p>
        </w:tc>
      </w:tr>
      <w:tr>
        <w:tblPrEx>
          <w:tblCellMar>
            <w:top w:w="0" w:type="dxa"/>
            <w:left w:w="0" w:type="dxa"/>
            <w:bottom w:w="0" w:type="dxa"/>
            <w:right w:w="0" w:type="dxa"/>
          </w:tblCellMar>
        </w:tblPrEx>
        <w:trPr>
          <w:trHeight w:val="397" w:hRule="atLeast"/>
          <w:jc w:val="center"/>
        </w:trPr>
        <w:tc>
          <w:tcPr>
            <w:tcW w:w="466" w:type="pct"/>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功能分类科目编码</w:t>
            </w:r>
          </w:p>
        </w:tc>
        <w:tc>
          <w:tcPr>
            <w:tcW w:w="899" w:type="pct"/>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科目名称</w:t>
            </w:r>
          </w:p>
        </w:tc>
        <w:tc>
          <w:tcPr>
            <w:tcW w:w="552"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552"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468"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396"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396"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782"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486"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r>
      <w:tr>
        <w:tblPrEx>
          <w:tblCellMar>
            <w:top w:w="0" w:type="dxa"/>
            <w:left w:w="0" w:type="dxa"/>
            <w:bottom w:w="0" w:type="dxa"/>
            <w:right w:w="0" w:type="dxa"/>
          </w:tblCellMar>
        </w:tblPrEx>
        <w:trPr>
          <w:trHeight w:val="708" w:hRule="atLeast"/>
          <w:jc w:val="center"/>
        </w:trPr>
        <w:tc>
          <w:tcPr>
            <w:tcW w:w="466" w:type="pct"/>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899" w:type="pct"/>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552"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552"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468"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396"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396"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782"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c>
          <w:tcPr>
            <w:tcW w:w="486" w:type="pct"/>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auto"/>
                <w:sz w:val="24"/>
                <w:szCs w:val="24"/>
              </w:rPr>
            </w:pPr>
          </w:p>
        </w:tc>
      </w:tr>
      <w:tr>
        <w:tblPrEx>
          <w:tblCellMar>
            <w:top w:w="0" w:type="dxa"/>
            <w:left w:w="0" w:type="dxa"/>
            <w:bottom w:w="0" w:type="dxa"/>
            <w:right w:w="0" w:type="dxa"/>
          </w:tblCellMar>
        </w:tblPrEx>
        <w:trPr>
          <w:trHeight w:val="397" w:hRule="atLeast"/>
          <w:jc w:val="center"/>
        </w:trPr>
        <w:tc>
          <w:tcPr>
            <w:tcW w:w="1365" w:type="pct"/>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栏次</w:t>
            </w:r>
          </w:p>
        </w:tc>
        <w:tc>
          <w:tcPr>
            <w:tcW w:w="552"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1</w:t>
            </w:r>
          </w:p>
        </w:tc>
        <w:tc>
          <w:tcPr>
            <w:tcW w:w="552"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2</w:t>
            </w:r>
          </w:p>
        </w:tc>
        <w:tc>
          <w:tcPr>
            <w:tcW w:w="468"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3</w:t>
            </w:r>
          </w:p>
        </w:tc>
        <w:tc>
          <w:tcPr>
            <w:tcW w:w="396"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4</w:t>
            </w:r>
          </w:p>
        </w:tc>
        <w:tc>
          <w:tcPr>
            <w:tcW w:w="396"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5</w:t>
            </w:r>
          </w:p>
        </w:tc>
        <w:tc>
          <w:tcPr>
            <w:tcW w:w="782"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6</w:t>
            </w:r>
          </w:p>
        </w:tc>
        <w:tc>
          <w:tcPr>
            <w:tcW w:w="486"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7</w:t>
            </w:r>
          </w:p>
        </w:tc>
      </w:tr>
      <w:tr>
        <w:tblPrEx>
          <w:tblCellMar>
            <w:top w:w="0" w:type="dxa"/>
            <w:left w:w="0" w:type="dxa"/>
            <w:bottom w:w="0" w:type="dxa"/>
            <w:right w:w="0" w:type="dxa"/>
          </w:tblCellMar>
        </w:tblPrEx>
        <w:trPr>
          <w:trHeight w:val="397" w:hRule="atLeast"/>
          <w:jc w:val="center"/>
        </w:trPr>
        <w:tc>
          <w:tcPr>
            <w:tcW w:w="1365" w:type="pct"/>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auto"/>
                <w:sz w:val="24"/>
                <w:szCs w:val="24"/>
              </w:rPr>
            </w:pPr>
            <w:r>
              <w:rPr>
                <w:rFonts w:hint="eastAsia"/>
                <w:color w:val="auto"/>
              </w:rPr>
              <w:t>合计</w:t>
            </w:r>
          </w:p>
        </w:tc>
        <w:tc>
          <w:tcPr>
            <w:tcW w:w="16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474.94</w:t>
            </w:r>
          </w:p>
        </w:tc>
        <w:tc>
          <w:tcPr>
            <w:tcW w:w="16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474.94</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97"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201</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一般公共服务支出</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393.60</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393.60</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97"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20138</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市场监督管理事务</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393.60</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393.60</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97"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2013816</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食品安全监管</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100.00</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100.00</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97"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2013850</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事业运行</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293.60</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293.60</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97"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208</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社会保障和就业支出</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489"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20805</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行政事业单位养老支出</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740"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2080505</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机关事业单位基本养老保险缴费支出</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97"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210</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卫生健康支出</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22.38</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22.38</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97"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21011</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行政事业单位医疗</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22.38</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22.38</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97"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2101102</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事业单位医疗</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22.38</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22.38</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97"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221</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住房保障支出</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30.00</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30.00</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97"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22102</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auto"/>
              </w:rPr>
            </w:pPr>
            <w:r>
              <w:rPr>
                <w:rFonts w:hint="eastAsia" w:ascii="宋体" w:hAnsi="宋体" w:eastAsia="宋体" w:cs="宋体"/>
                <w:i w:val="0"/>
                <w:iCs w:val="0"/>
                <w:color w:val="auto"/>
                <w:kern w:val="0"/>
                <w:sz w:val="22"/>
                <w:szCs w:val="22"/>
                <w:u w:val="none"/>
                <w:lang w:val="en-US" w:eastAsia="zh-CN" w:bidi="ar"/>
              </w:rPr>
              <w:t>住房改革支出</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30.00</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30.00</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97" w:hRule="atLeast"/>
          <w:jc w:val="center"/>
        </w:trPr>
        <w:tc>
          <w:tcPr>
            <w:tcW w:w="466" w:type="pct"/>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2210201</w:t>
            </w:r>
          </w:p>
        </w:tc>
        <w:tc>
          <w:tcPr>
            <w:tcW w:w="899" w:type="pct"/>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auto"/>
                <w:sz w:val="24"/>
                <w:szCs w:val="24"/>
              </w:rPr>
            </w:pPr>
            <w:r>
              <w:rPr>
                <w:rFonts w:hint="eastAsia" w:ascii="宋体" w:hAnsi="宋体" w:eastAsia="宋体" w:cs="宋体"/>
                <w:i w:val="0"/>
                <w:iCs w:val="0"/>
                <w:color w:val="auto"/>
                <w:kern w:val="0"/>
                <w:sz w:val="22"/>
                <w:szCs w:val="22"/>
                <w:u w:val="none"/>
                <w:lang w:val="en-US" w:eastAsia="zh-CN" w:bidi="ar"/>
              </w:rPr>
              <w:t>住房公积金</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30.00</w:t>
            </w:r>
          </w:p>
        </w:tc>
        <w:tc>
          <w:tcPr>
            <w:tcW w:w="552"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30.00</w:t>
            </w:r>
          </w:p>
        </w:tc>
        <w:tc>
          <w:tcPr>
            <w:tcW w:w="468" w:type="pct"/>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0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36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47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0" w:type="dxa"/>
            <w:bottom w:w="0" w:type="dxa"/>
            <w:right w:w="0" w:type="dxa"/>
          </w:tblCellMar>
        </w:tblPrEx>
        <w:trPr>
          <w:trHeight w:val="375" w:hRule="atLeast"/>
          <w:jc w:val="center"/>
        </w:trPr>
        <w:tc>
          <w:tcPr>
            <w:tcW w:w="5000" w:type="pct"/>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color w:val="auto"/>
                <w:sz w:val="24"/>
                <w:szCs w:val="24"/>
              </w:rPr>
            </w:pPr>
            <w:r>
              <w:rPr>
                <w:rFonts w:hint="eastAsia"/>
                <w:color w:val="auto"/>
              </w:rPr>
              <w:t>注：本表反映部门本年度取得的各项收入情况。</w:t>
            </w:r>
          </w:p>
        </w:tc>
      </w:tr>
    </w:tbl>
    <w:p>
      <w:pPr>
        <w:widowControl/>
        <w:jc w:val="left"/>
        <w:rPr>
          <w:rFonts w:ascii="Times New Roman" w:hAnsi="Times New Roman" w:eastAsia="方正小标宋_GBK" w:cs="Times New Roman"/>
          <w:color w:val="auto"/>
          <w:kern w:val="0"/>
          <w:sz w:val="36"/>
          <w:szCs w:val="36"/>
        </w:rPr>
      </w:pPr>
    </w:p>
    <w:tbl>
      <w:tblPr>
        <w:tblStyle w:val="8"/>
        <w:tblW w:w="15521" w:type="dxa"/>
        <w:jc w:val="center"/>
        <w:tblLayout w:type="fixed"/>
        <w:tblCellMar>
          <w:top w:w="0" w:type="dxa"/>
          <w:left w:w="108" w:type="dxa"/>
          <w:bottom w:w="0" w:type="dxa"/>
          <w:right w:w="108" w:type="dxa"/>
        </w:tblCellMar>
      </w:tblPr>
      <w:tblGrid>
        <w:gridCol w:w="624"/>
        <w:gridCol w:w="1118"/>
        <w:gridCol w:w="240"/>
        <w:gridCol w:w="1613"/>
        <w:gridCol w:w="436"/>
        <w:gridCol w:w="843"/>
        <w:gridCol w:w="235"/>
        <w:gridCol w:w="496"/>
        <w:gridCol w:w="938"/>
        <w:gridCol w:w="1312"/>
        <w:gridCol w:w="665"/>
        <w:gridCol w:w="632"/>
        <w:gridCol w:w="16"/>
        <w:gridCol w:w="419"/>
        <w:gridCol w:w="915"/>
        <w:gridCol w:w="658"/>
        <w:gridCol w:w="1146"/>
        <w:gridCol w:w="248"/>
        <w:gridCol w:w="1394"/>
        <w:gridCol w:w="856"/>
        <w:gridCol w:w="717"/>
      </w:tblGrid>
      <w:tr>
        <w:tblPrEx>
          <w:tblCellMar>
            <w:top w:w="0" w:type="dxa"/>
            <w:left w:w="108" w:type="dxa"/>
            <w:bottom w:w="0" w:type="dxa"/>
            <w:right w:w="108" w:type="dxa"/>
          </w:tblCellMar>
        </w:tblPrEx>
        <w:trPr>
          <w:gridBefore w:val="1"/>
          <w:gridAfter w:val="1"/>
          <w:wBefore w:w="624" w:type="dxa"/>
          <w:wAfter w:w="717" w:type="dxa"/>
          <w:trHeight w:val="759" w:hRule="atLeast"/>
          <w:jc w:val="center"/>
        </w:trPr>
        <w:tc>
          <w:tcPr>
            <w:tcW w:w="14180" w:type="dxa"/>
            <w:gridSpan w:val="1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auto"/>
                <w:kern w:val="0"/>
                <w:sz w:val="32"/>
                <w:szCs w:val="32"/>
              </w:rPr>
            </w:pPr>
            <w:r>
              <w:rPr>
                <w:rFonts w:hint="eastAsia" w:ascii="华文中宋" w:hAnsi="华文中宋" w:eastAsia="华文中宋" w:cs="宋体"/>
                <w:color w:val="auto"/>
                <w:kern w:val="0"/>
                <w:sz w:val="32"/>
                <w:szCs w:val="32"/>
              </w:rPr>
              <w:t>支出决算表</w:t>
            </w:r>
          </w:p>
        </w:tc>
      </w:tr>
      <w:tr>
        <w:tblPrEx>
          <w:tblCellMar>
            <w:top w:w="0" w:type="dxa"/>
            <w:left w:w="108" w:type="dxa"/>
            <w:bottom w:w="0" w:type="dxa"/>
            <w:right w:w="108" w:type="dxa"/>
          </w:tblCellMar>
        </w:tblPrEx>
        <w:trPr>
          <w:gridBefore w:val="1"/>
          <w:gridAfter w:val="1"/>
          <w:wBefore w:w="624" w:type="dxa"/>
          <w:wAfter w:w="717" w:type="dxa"/>
          <w:trHeight w:val="379" w:hRule="atLeast"/>
          <w:jc w:val="center"/>
        </w:trPr>
        <w:tc>
          <w:tcPr>
            <w:tcW w:w="1118"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40"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892"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669"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312"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31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33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0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498"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公开03表</w:t>
            </w:r>
          </w:p>
        </w:tc>
      </w:tr>
      <w:tr>
        <w:tblPrEx>
          <w:tblCellMar>
            <w:top w:w="0" w:type="dxa"/>
            <w:left w:w="108" w:type="dxa"/>
            <w:bottom w:w="0" w:type="dxa"/>
            <w:right w:w="108" w:type="dxa"/>
          </w:tblCellMar>
        </w:tblPrEx>
        <w:trPr>
          <w:gridBefore w:val="1"/>
          <w:gridAfter w:val="1"/>
          <w:wBefore w:w="624" w:type="dxa"/>
          <w:wAfter w:w="717" w:type="dxa"/>
          <w:trHeight w:val="379" w:hRule="atLeast"/>
          <w:jc w:val="center"/>
        </w:trPr>
        <w:tc>
          <w:tcPr>
            <w:tcW w:w="1118" w:type="dxa"/>
            <w:tcBorders>
              <w:top w:val="nil"/>
              <w:left w:val="nil"/>
              <w:bottom w:val="nil"/>
              <w:right w:val="nil"/>
            </w:tcBorders>
            <w:shd w:val="clear" w:color="000000" w:fill="FFFFFF"/>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部门：</w:t>
            </w:r>
          </w:p>
        </w:tc>
        <w:tc>
          <w:tcPr>
            <w:tcW w:w="240"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892"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0"/>
                <w:szCs w:val="20"/>
                <w:lang w:val="en-US" w:eastAsia="zh-CN"/>
              </w:rPr>
              <w:t>湖南省食品安全审评认证中心</w:t>
            </w:r>
            <w:r>
              <w:rPr>
                <w:rFonts w:hint="eastAsia" w:ascii="宋体" w:hAnsi="宋体" w:eastAsia="宋体" w:cs="宋体"/>
                <w:color w:val="auto"/>
                <w:kern w:val="0"/>
                <w:sz w:val="24"/>
                <w:szCs w:val="24"/>
              </w:rPr>
              <w:t>　</w:t>
            </w:r>
          </w:p>
        </w:tc>
        <w:tc>
          <w:tcPr>
            <w:tcW w:w="1669"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312"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313" w:type="dxa"/>
            <w:gridSpan w:val="3"/>
            <w:tcBorders>
              <w:top w:val="nil"/>
              <w:left w:val="nil"/>
              <w:bottom w:val="nil"/>
              <w:right w:val="nil"/>
            </w:tcBorders>
            <w:shd w:val="clear" w:color="000000" w:fill="FFFFFF"/>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133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80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498"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单位：万元</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4250" w:type="dxa"/>
            <w:gridSpan w:val="5"/>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    目</w:t>
            </w:r>
          </w:p>
        </w:tc>
        <w:tc>
          <w:tcPr>
            <w:tcW w:w="1669"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本年支出合计</w:t>
            </w:r>
          </w:p>
        </w:tc>
        <w:tc>
          <w:tcPr>
            <w:tcW w:w="1312"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基本支出</w:t>
            </w:r>
          </w:p>
        </w:tc>
        <w:tc>
          <w:tcPr>
            <w:tcW w:w="1313"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项目支出</w:t>
            </w:r>
          </w:p>
        </w:tc>
        <w:tc>
          <w:tcPr>
            <w:tcW w:w="133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上缴上级支出</w:t>
            </w:r>
          </w:p>
        </w:tc>
        <w:tc>
          <w:tcPr>
            <w:tcW w:w="180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经营支出</w:t>
            </w:r>
          </w:p>
        </w:tc>
        <w:tc>
          <w:tcPr>
            <w:tcW w:w="2498"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对附属单位补助支出</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功能分类科目编码</w:t>
            </w:r>
          </w:p>
        </w:tc>
        <w:tc>
          <w:tcPr>
            <w:tcW w:w="2892" w:type="dxa"/>
            <w:gridSpan w:val="3"/>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科目名称</w:t>
            </w:r>
          </w:p>
        </w:tc>
        <w:tc>
          <w:tcPr>
            <w:tcW w:w="166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3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31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3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80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249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2892"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66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3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313"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33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80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249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4250"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栏次</w:t>
            </w:r>
          </w:p>
        </w:tc>
        <w:tc>
          <w:tcPr>
            <w:tcW w:w="1669"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1312"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131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1334"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1804"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5</w:t>
            </w:r>
          </w:p>
        </w:tc>
        <w:tc>
          <w:tcPr>
            <w:tcW w:w="24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6</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4250"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合计</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524.02</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369.17</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154.85</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201</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一般公共服务支出</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445.30</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290.45</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154.85</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20138</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市场监督管理事务</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445.30</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290.45</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154.85</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2013810</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质量基础</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4.98</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4.98</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2013816</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食品安全监管</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149.88</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149.88</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2013850</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事业运行</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290.45</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290.45</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208</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社会保障和就业支出</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20805</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行政事业单位养老支出</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2080505</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机关事业单位基本养老保险缴费支出</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210</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卫生健康支出</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21011</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行政事业单位医疗</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2101102</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事业单位医疗</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221</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住房保障支出</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22102</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住房改革支出</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358"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2210201</w:t>
            </w:r>
          </w:p>
        </w:tc>
        <w:tc>
          <w:tcPr>
            <w:tcW w:w="2892"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auto"/>
                <w:kern w:val="0"/>
                <w:sz w:val="24"/>
                <w:szCs w:val="24"/>
              </w:rPr>
            </w:pPr>
            <w:r>
              <w:rPr>
                <w:rFonts w:hint="eastAsia" w:ascii="宋体" w:hAnsi="宋体" w:eastAsia="宋体" w:cs="宋体"/>
                <w:i w:val="0"/>
                <w:iCs w:val="0"/>
                <w:color w:val="auto"/>
                <w:kern w:val="0"/>
                <w:sz w:val="22"/>
                <w:szCs w:val="22"/>
                <w:u w:val="none"/>
                <w:lang w:val="en-US" w:eastAsia="zh-CN" w:bidi="ar"/>
              </w:rPr>
              <w:t>住房公积金</w:t>
            </w:r>
          </w:p>
        </w:tc>
        <w:tc>
          <w:tcPr>
            <w:tcW w:w="1669"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1312"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131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3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80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24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gridBefore w:val="1"/>
          <w:gridAfter w:val="1"/>
          <w:wBefore w:w="624" w:type="dxa"/>
          <w:wAfter w:w="717" w:type="dxa"/>
          <w:trHeight w:val="391" w:hRule="atLeast"/>
          <w:jc w:val="center"/>
        </w:trPr>
        <w:tc>
          <w:tcPr>
            <w:tcW w:w="14180" w:type="dxa"/>
            <w:gridSpan w:val="19"/>
            <w:tcBorders>
              <w:top w:val="nil"/>
              <w:left w:val="nil"/>
              <w:bottom w:val="nil"/>
              <w:right w:val="nil"/>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注：本表反映部门本年度各项支出情况。</w:t>
            </w:r>
          </w:p>
        </w:tc>
      </w:tr>
      <w:tr>
        <w:tblPrEx>
          <w:tblCellMar>
            <w:top w:w="0" w:type="dxa"/>
            <w:left w:w="108" w:type="dxa"/>
            <w:bottom w:w="0" w:type="dxa"/>
            <w:right w:w="108" w:type="dxa"/>
          </w:tblCellMar>
        </w:tblPrEx>
        <w:trPr>
          <w:trHeight w:val="285" w:hRule="atLeast"/>
          <w:jc w:val="center"/>
        </w:trPr>
        <w:tc>
          <w:tcPr>
            <w:tcW w:w="3595" w:type="dxa"/>
            <w:gridSpan w:val="4"/>
            <w:tcBorders>
              <w:top w:val="nil"/>
              <w:left w:val="nil"/>
              <w:bottom w:val="nil"/>
              <w:right w:val="nil"/>
            </w:tcBorders>
            <w:shd w:val="clear" w:color="auto" w:fill="auto"/>
            <w:noWrap/>
            <w:vAlign w:val="center"/>
          </w:tcPr>
          <w:p>
            <w:pPr>
              <w:widowControl/>
              <w:jc w:val="left"/>
              <w:rPr>
                <w:rFonts w:ascii="黑体" w:hAnsi="黑体" w:eastAsia="黑体" w:cs="宋体"/>
                <w:color w:val="auto"/>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1574" w:type="dxa"/>
            <w:gridSpan w:val="3"/>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3547" w:type="dxa"/>
            <w:gridSpan w:val="4"/>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435"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1573"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1394"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c>
          <w:tcPr>
            <w:tcW w:w="1573"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auto"/>
                <w:kern w:val="0"/>
                <w:sz w:val="24"/>
                <w:szCs w:val="24"/>
              </w:rPr>
            </w:pPr>
          </w:p>
        </w:tc>
      </w:tr>
      <w:tr>
        <w:tblPrEx>
          <w:tblCellMar>
            <w:top w:w="0" w:type="dxa"/>
            <w:left w:w="108" w:type="dxa"/>
            <w:bottom w:w="0" w:type="dxa"/>
            <w:right w:w="108" w:type="dxa"/>
          </w:tblCellMar>
        </w:tblPrEx>
        <w:trPr>
          <w:trHeight w:val="360" w:hRule="atLeast"/>
          <w:jc w:val="center"/>
        </w:trPr>
        <w:tc>
          <w:tcPr>
            <w:tcW w:w="15521" w:type="dxa"/>
            <w:gridSpan w:val="2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auto"/>
                <w:kern w:val="0"/>
                <w:sz w:val="32"/>
                <w:szCs w:val="32"/>
              </w:rPr>
            </w:pPr>
            <w:r>
              <w:rPr>
                <w:rFonts w:hint="eastAsia" w:ascii="华文中宋" w:hAnsi="华文中宋" w:eastAsia="华文中宋" w:cs="宋体"/>
                <w:color w:val="auto"/>
                <w:kern w:val="0"/>
                <w:sz w:val="32"/>
                <w:szCs w:val="32"/>
              </w:rPr>
              <w:t>财政拨款收入支出决算总表</w:t>
            </w:r>
          </w:p>
        </w:tc>
      </w:tr>
      <w:tr>
        <w:tblPrEx>
          <w:tblCellMar>
            <w:top w:w="0" w:type="dxa"/>
            <w:left w:w="108" w:type="dxa"/>
            <w:bottom w:w="0" w:type="dxa"/>
            <w:right w:w="108" w:type="dxa"/>
          </w:tblCellMar>
        </w:tblPrEx>
        <w:trPr>
          <w:trHeight w:val="199" w:hRule="atLeast"/>
          <w:jc w:val="center"/>
        </w:trPr>
        <w:tc>
          <w:tcPr>
            <w:tcW w:w="3595" w:type="dxa"/>
            <w:gridSpan w:val="4"/>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07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043" w:type="dxa"/>
            <w:gridSpan w:val="5"/>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3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57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39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57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公开04表</w:t>
            </w:r>
          </w:p>
        </w:tc>
      </w:tr>
      <w:tr>
        <w:tblPrEx>
          <w:tblCellMar>
            <w:top w:w="0" w:type="dxa"/>
            <w:left w:w="108" w:type="dxa"/>
            <w:bottom w:w="0" w:type="dxa"/>
            <w:right w:w="108" w:type="dxa"/>
          </w:tblCellMar>
        </w:tblPrEx>
        <w:trPr>
          <w:trHeight w:val="300" w:hRule="atLeast"/>
          <w:jc w:val="center"/>
        </w:trPr>
        <w:tc>
          <w:tcPr>
            <w:tcW w:w="3595"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部门：</w:t>
            </w:r>
            <w:r>
              <w:rPr>
                <w:rFonts w:hint="eastAsia" w:ascii="宋体" w:hAnsi="宋体" w:eastAsia="宋体" w:cs="宋体"/>
                <w:color w:val="auto"/>
                <w:kern w:val="0"/>
                <w:sz w:val="20"/>
                <w:szCs w:val="20"/>
                <w:lang w:val="en-US" w:eastAsia="zh-CN"/>
              </w:rPr>
              <w:t>湖南省食品安全审评认证中心</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07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043" w:type="dxa"/>
            <w:gridSpan w:val="5"/>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43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57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394"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57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单位：万元</w:t>
            </w:r>
          </w:p>
        </w:tc>
      </w:tr>
      <w:tr>
        <w:tblPrEx>
          <w:tblCellMar>
            <w:top w:w="0" w:type="dxa"/>
            <w:left w:w="108" w:type="dxa"/>
            <w:bottom w:w="0" w:type="dxa"/>
            <w:right w:w="108" w:type="dxa"/>
          </w:tblCellMar>
        </w:tblPrEx>
        <w:trPr>
          <w:trHeight w:val="402" w:hRule="atLeast"/>
          <w:jc w:val="center"/>
        </w:trPr>
        <w:tc>
          <w:tcPr>
            <w:tcW w:w="5109" w:type="dxa"/>
            <w:gridSpan w:val="7"/>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收入</w:t>
            </w:r>
          </w:p>
        </w:tc>
        <w:tc>
          <w:tcPr>
            <w:tcW w:w="10412" w:type="dxa"/>
            <w:gridSpan w:val="14"/>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支出</w:t>
            </w:r>
          </w:p>
        </w:tc>
      </w:tr>
      <w:tr>
        <w:tblPrEx>
          <w:tblCellMar>
            <w:top w:w="0" w:type="dxa"/>
            <w:left w:w="108" w:type="dxa"/>
            <w:bottom w:w="0" w:type="dxa"/>
            <w:right w:w="108" w:type="dxa"/>
          </w:tblCellMar>
        </w:tblPrEx>
        <w:trPr>
          <w:trHeight w:val="630"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行次</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金额</w:t>
            </w: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    目</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行次</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合计</w:t>
            </w:r>
          </w:p>
        </w:tc>
        <w:tc>
          <w:tcPr>
            <w:tcW w:w="139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政府性基金预算财政拨款</w:t>
            </w:r>
          </w:p>
        </w:tc>
        <w:tc>
          <w:tcPr>
            <w:tcW w:w="157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国有资本经营预算财政拨款</w:t>
            </w: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栏    次</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4</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5</w:t>
            </w: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474.94</w:t>
            </w: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一、一般公共服务支出</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15</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445.30</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445.30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二、外交支出</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16</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3</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三、国防支出</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17</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4</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四、公共安全支出</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18</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5</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五、</w:t>
            </w:r>
            <w:r>
              <w:rPr>
                <w:rFonts w:hint="eastAsia" w:ascii="宋体" w:hAnsi="宋体" w:eastAsia="宋体" w:cs="宋体"/>
                <w:color w:val="auto"/>
                <w:kern w:val="0"/>
                <w:sz w:val="24"/>
                <w:szCs w:val="24"/>
                <w:lang w:val="en-US" w:eastAsia="zh-CN"/>
              </w:rPr>
              <w:t>社会保障和就业支出</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19</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6</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六、卫生健康支出</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20</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7</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val="en-US" w:eastAsia="zh-CN"/>
              </w:rPr>
              <w:t>七、住房保障支出</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21</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8</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auto"/>
                <w:kern w:val="0"/>
                <w:sz w:val="22"/>
                <w:lang w:val="en-US" w:eastAsia="zh-CN"/>
              </w:rPr>
            </w:pP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22</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9</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474.94</w:t>
            </w: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本年支出合计</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23</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524.02</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524.02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10</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78.33</w:t>
            </w: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年末财政拨款结转和结余</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24</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29.25</w:t>
            </w: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29.25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11</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78.33</w:t>
            </w: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25</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12</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26</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13</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3411" w:type="dxa"/>
            <w:gridSpan w:val="4"/>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 w:val="22"/>
              </w:rPr>
            </w:pPr>
            <w:r>
              <w:rPr>
                <w:rFonts w:hint="eastAsia" w:ascii="宋体" w:hAnsi="宋体" w:eastAsia="宋体" w:cs="宋体"/>
                <w:color w:val="auto"/>
                <w:kern w:val="0"/>
                <w:sz w:val="22"/>
              </w:rPr>
              <w:t>　</w:t>
            </w:r>
          </w:p>
        </w:tc>
        <w:tc>
          <w:tcPr>
            <w:tcW w:w="1067"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27</w:t>
            </w: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rPr>
            </w:pPr>
          </w:p>
        </w:tc>
      </w:tr>
      <w:tr>
        <w:tblPrEx>
          <w:tblCellMar>
            <w:top w:w="0" w:type="dxa"/>
            <w:left w:w="108" w:type="dxa"/>
            <w:bottom w:w="0" w:type="dxa"/>
            <w:right w:w="108" w:type="dxa"/>
          </w:tblCellMar>
        </w:tblPrEx>
        <w:trPr>
          <w:trHeight w:val="402" w:hRule="atLeast"/>
          <w:jc w:val="center"/>
        </w:trPr>
        <w:tc>
          <w:tcPr>
            <w:tcW w:w="3595" w:type="dxa"/>
            <w:gridSpan w:val="4"/>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14</w:t>
            </w:r>
          </w:p>
        </w:tc>
        <w:tc>
          <w:tcPr>
            <w:tcW w:w="1078"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553.27</w:t>
            </w:r>
          </w:p>
        </w:tc>
        <w:tc>
          <w:tcPr>
            <w:tcW w:w="3411" w:type="dxa"/>
            <w:gridSpan w:val="4"/>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auto"/>
                <w:kern w:val="0"/>
                <w:sz w:val="22"/>
              </w:rPr>
            </w:pPr>
            <w:r>
              <w:rPr>
                <w:rFonts w:hint="eastAsia" w:ascii="宋体" w:hAnsi="宋体" w:eastAsia="宋体" w:cs="宋体"/>
                <w:b/>
                <w:bCs/>
                <w:color w:val="auto"/>
                <w:kern w:val="0"/>
                <w:sz w:val="22"/>
              </w:rPr>
              <w:t>总计</w:t>
            </w:r>
          </w:p>
        </w:tc>
        <w:tc>
          <w:tcPr>
            <w:tcW w:w="1067"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auto"/>
                <w:kern w:val="0"/>
                <w:sz w:val="22"/>
              </w:rPr>
            </w:pPr>
            <w:r>
              <w:rPr>
                <w:rFonts w:hint="eastAsia" w:ascii="宋体" w:hAnsi="宋体" w:eastAsia="宋体" w:cs="宋体"/>
                <w:color w:val="auto"/>
                <w:kern w:val="0"/>
                <w:sz w:val="22"/>
              </w:rPr>
              <w:t>28</w:t>
            </w:r>
          </w:p>
        </w:tc>
        <w:tc>
          <w:tcPr>
            <w:tcW w:w="1573"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553.27</w:t>
            </w:r>
          </w:p>
        </w:tc>
        <w:tc>
          <w:tcPr>
            <w:tcW w:w="1394"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553.27</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2"/>
              </w:rPr>
            </w:pPr>
          </w:p>
        </w:tc>
        <w:tc>
          <w:tcPr>
            <w:tcW w:w="157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auto"/>
                <w:kern w:val="0"/>
                <w:sz w:val="22"/>
              </w:rPr>
            </w:pPr>
          </w:p>
        </w:tc>
      </w:tr>
      <w:tr>
        <w:tblPrEx>
          <w:tblCellMar>
            <w:top w:w="0" w:type="dxa"/>
            <w:left w:w="108" w:type="dxa"/>
            <w:bottom w:w="0" w:type="dxa"/>
            <w:right w:w="108" w:type="dxa"/>
          </w:tblCellMar>
        </w:tblPrEx>
        <w:trPr>
          <w:trHeight w:val="585" w:hRule="atLeast"/>
          <w:jc w:val="center"/>
        </w:trPr>
        <w:tc>
          <w:tcPr>
            <w:tcW w:w="15521" w:type="dxa"/>
            <w:gridSpan w:val="21"/>
            <w:tcBorders>
              <w:top w:val="nil"/>
              <w:left w:val="nil"/>
              <w:bottom w:val="nil"/>
              <w:right w:val="nil"/>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注：本表反映部门本年度一般公共预算财政拨款、政府性基金预算财政拨款和国有资本经营预算财政拨款的总收支和年末结转结余情况。</w:t>
            </w:r>
          </w:p>
        </w:tc>
      </w:tr>
    </w:tbl>
    <w:p>
      <w:pPr>
        <w:widowControl/>
        <w:jc w:val="both"/>
        <w:rPr>
          <w:rFonts w:ascii="Times New Roman" w:hAnsi="Times New Roman" w:eastAsia="方正小标宋_GBK" w:cs="Times New Roman"/>
          <w:color w:val="auto"/>
          <w:kern w:val="0"/>
          <w:sz w:val="36"/>
          <w:szCs w:val="36"/>
        </w:rPr>
      </w:pPr>
    </w:p>
    <w:p>
      <w:pPr>
        <w:widowControl/>
        <w:jc w:val="center"/>
        <w:rPr>
          <w:rFonts w:ascii="Times New Roman" w:hAnsi="Times New Roman" w:eastAsia="方正小标宋_GBK" w:cs="Times New Roman"/>
          <w:color w:val="auto"/>
          <w:kern w:val="0"/>
          <w:sz w:val="36"/>
          <w:szCs w:val="36"/>
        </w:rPr>
      </w:pPr>
      <w:r>
        <w:rPr>
          <w:rFonts w:ascii="Times New Roman" w:hAnsi="Times New Roman" w:eastAsia="方正小标宋_GBK" w:cs="Times New Roman"/>
          <w:color w:val="auto"/>
          <w:kern w:val="0"/>
          <w:sz w:val="36"/>
          <w:szCs w:val="36"/>
        </w:rPr>
        <w:t>一般公共预算财政拨款支出决算表</w:t>
      </w:r>
      <w:bookmarkEnd w:id="1"/>
    </w:p>
    <w:p>
      <w:pPr>
        <w:widowControl/>
        <w:spacing w:before="156" w:beforeLines="50"/>
        <w:ind w:left="13650" w:hanging="13650" w:hangingChars="6500"/>
        <w:jc w:val="left"/>
        <w:rPr>
          <w:rFonts w:ascii="Times New Roman" w:hAnsi="Times New Roman" w:eastAsia="仿宋_GB2312" w:cs="Times New Roman"/>
          <w:color w:val="auto"/>
          <w:kern w:val="0"/>
          <w:szCs w:val="21"/>
        </w:rPr>
      </w:pPr>
      <w:r>
        <w:rPr>
          <w:rFonts w:hint="eastAsia" w:ascii="Times New Roman" w:hAnsi="Times New Roman" w:eastAsia="仿宋_GB2312" w:cs="Times New Roman"/>
          <w:color w:val="auto"/>
          <w:kern w:val="0"/>
          <w:szCs w:val="21"/>
        </w:rPr>
        <w:t xml:space="preserve">     </w:t>
      </w:r>
      <w:r>
        <w:rPr>
          <w:rFonts w:ascii="Times New Roman" w:hAnsi="Times New Roman" w:eastAsia="仿宋_GB2312" w:cs="Times New Roman"/>
          <w:color w:val="auto"/>
          <w:kern w:val="0"/>
          <w:szCs w:val="21"/>
        </w:rPr>
        <w:t xml:space="preserve">部门： </w:t>
      </w:r>
      <w:r>
        <w:rPr>
          <w:rFonts w:hint="eastAsia" w:ascii="宋体" w:hAnsi="宋体" w:eastAsia="宋体" w:cs="宋体"/>
          <w:color w:val="auto"/>
          <w:kern w:val="0"/>
          <w:sz w:val="20"/>
          <w:szCs w:val="20"/>
          <w:lang w:val="en-US" w:eastAsia="zh-CN"/>
        </w:rPr>
        <w:t>湖南省食品安全审评认证中心</w:t>
      </w:r>
      <w:r>
        <w:rPr>
          <w:rFonts w:ascii="Times New Roman" w:hAnsi="Times New Roman" w:eastAsia="仿宋_GB2312" w:cs="Times New Roman"/>
          <w:color w:val="auto"/>
          <w:kern w:val="0"/>
          <w:szCs w:val="21"/>
        </w:rPr>
        <w:t xml:space="preserve">                   </w:t>
      </w:r>
      <w:r>
        <w:rPr>
          <w:rFonts w:hint="eastAsia" w:ascii="Times New Roman" w:hAnsi="Times New Roman" w:eastAsia="仿宋_GB2312" w:cs="Times New Roman"/>
          <w:color w:val="auto"/>
          <w:kern w:val="0"/>
          <w:szCs w:val="21"/>
        </w:rPr>
        <w:t xml:space="preserve">                                          </w:t>
      </w:r>
      <w:r>
        <w:rPr>
          <w:rFonts w:ascii="Times New Roman" w:hAnsi="Times New Roman" w:eastAsia="仿宋_GB2312" w:cs="Times New Roman"/>
          <w:color w:val="auto"/>
          <w:kern w:val="0"/>
          <w:szCs w:val="21"/>
        </w:rPr>
        <w:t xml:space="preserve">                                                公开05表</w:t>
      </w:r>
    </w:p>
    <w:p>
      <w:pPr>
        <w:widowControl/>
        <w:jc w:val="left"/>
        <w:rPr>
          <w:rFonts w:ascii="Times New Roman" w:hAnsi="Times New Roman" w:eastAsia="宋体" w:cs="Times New Roman"/>
          <w:color w:val="auto"/>
          <w:kern w:val="0"/>
          <w:sz w:val="20"/>
          <w:szCs w:val="20"/>
        </w:rPr>
      </w:pPr>
      <w:r>
        <w:rPr>
          <w:rFonts w:ascii="Times New Roman" w:hAnsi="Times New Roman" w:eastAsia="仿宋_GB2312" w:cs="Times New Roman"/>
          <w:color w:val="auto"/>
          <w:kern w:val="0"/>
          <w:szCs w:val="21"/>
        </w:rPr>
        <w:t xml:space="preserve">                                                                                                                     </w:t>
      </w:r>
      <w:r>
        <w:rPr>
          <w:rFonts w:hint="eastAsia" w:ascii="Times New Roman" w:hAnsi="Times New Roman" w:eastAsia="仿宋_GB2312" w:cs="Times New Roman"/>
          <w:color w:val="auto"/>
          <w:kern w:val="0"/>
          <w:szCs w:val="21"/>
        </w:rPr>
        <w:t xml:space="preserve">      </w:t>
      </w:r>
      <w:r>
        <w:rPr>
          <w:rFonts w:ascii="Times New Roman" w:hAnsi="Times New Roman" w:eastAsia="仿宋_GB2312" w:cs="Times New Roman"/>
          <w:color w:val="auto"/>
          <w:kern w:val="0"/>
          <w:szCs w:val="21"/>
        </w:rPr>
        <w:t xml:space="preserve">       单位：万元</w:t>
      </w:r>
    </w:p>
    <w:tbl>
      <w:tblPr>
        <w:tblStyle w:val="8"/>
        <w:tblW w:w="14659" w:type="dxa"/>
        <w:jc w:val="center"/>
        <w:tblLayout w:type="autofit"/>
        <w:tblCellMar>
          <w:top w:w="0" w:type="dxa"/>
          <w:left w:w="108" w:type="dxa"/>
          <w:bottom w:w="0" w:type="dxa"/>
          <w:right w:w="108" w:type="dxa"/>
        </w:tblCellMar>
      </w:tblPr>
      <w:tblGrid>
        <w:gridCol w:w="1364"/>
        <w:gridCol w:w="3508"/>
        <w:gridCol w:w="3089"/>
        <w:gridCol w:w="3597"/>
        <w:gridCol w:w="3101"/>
      </w:tblGrid>
      <w:tr>
        <w:tblPrEx>
          <w:tblCellMar>
            <w:top w:w="0" w:type="dxa"/>
            <w:left w:w="108" w:type="dxa"/>
            <w:bottom w:w="0" w:type="dxa"/>
            <w:right w:w="108" w:type="dxa"/>
          </w:tblCellMar>
        </w:tblPrEx>
        <w:trPr>
          <w:trHeight w:val="378" w:hRule="atLeast"/>
          <w:jc w:val="center"/>
        </w:trPr>
        <w:tc>
          <w:tcPr>
            <w:tcW w:w="4872"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 xml:space="preserve">项 </w:t>
            </w:r>
            <w:r>
              <w:rPr>
                <w:rFonts w:ascii="Times New Roman" w:hAnsi="Times New Roman" w:eastAsia="仿宋_GB2312" w:cs="Times New Roman"/>
                <w:b/>
                <w:color w:val="auto"/>
                <w:kern w:val="0"/>
                <w:szCs w:val="21"/>
              </w:rPr>
              <w:t xml:space="preserve">   </w:t>
            </w:r>
            <w:r>
              <w:rPr>
                <w:rFonts w:ascii="Times New Roman" w:hAnsi="Times New Roman" w:eastAsia="仿宋_GB2312" w:cs="Times New Roman"/>
                <w:b/>
                <w:color w:val="auto"/>
                <w:kern w:val="0"/>
                <w:szCs w:val="21"/>
              </w:rPr>
              <w:t>目</w:t>
            </w:r>
          </w:p>
        </w:tc>
        <w:tc>
          <w:tcPr>
            <w:tcW w:w="9787"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本年支出</w:t>
            </w:r>
          </w:p>
        </w:tc>
      </w:tr>
      <w:tr>
        <w:tblPrEx>
          <w:tblCellMar>
            <w:top w:w="0" w:type="dxa"/>
            <w:left w:w="108" w:type="dxa"/>
            <w:bottom w:w="0" w:type="dxa"/>
            <w:right w:w="108" w:type="dxa"/>
          </w:tblCellMar>
        </w:tblPrEx>
        <w:trPr>
          <w:trHeight w:val="358" w:hRule="atLeast"/>
          <w:jc w:val="center"/>
        </w:trPr>
        <w:tc>
          <w:tcPr>
            <w:tcW w:w="1364"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功能分类科目编码</w:t>
            </w:r>
          </w:p>
        </w:tc>
        <w:tc>
          <w:tcPr>
            <w:tcW w:w="35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科目名称</w:t>
            </w:r>
          </w:p>
        </w:tc>
        <w:tc>
          <w:tcPr>
            <w:tcW w:w="308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小计</w:t>
            </w:r>
          </w:p>
        </w:tc>
        <w:tc>
          <w:tcPr>
            <w:tcW w:w="359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基本支出</w:t>
            </w:r>
          </w:p>
        </w:tc>
        <w:tc>
          <w:tcPr>
            <w:tcW w:w="3101"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项目支出</w:t>
            </w:r>
          </w:p>
        </w:tc>
      </w:tr>
      <w:tr>
        <w:tblPrEx>
          <w:tblCellMar>
            <w:top w:w="0" w:type="dxa"/>
            <w:left w:w="108" w:type="dxa"/>
            <w:bottom w:w="0" w:type="dxa"/>
            <w:right w:w="108" w:type="dxa"/>
          </w:tblCellMar>
        </w:tblPrEx>
        <w:trPr>
          <w:trHeight w:val="358" w:hRule="atLeast"/>
          <w:jc w:val="center"/>
        </w:trPr>
        <w:tc>
          <w:tcPr>
            <w:tcW w:w="1364"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50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089"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59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101"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auto"/>
                <w:kern w:val="0"/>
                <w:szCs w:val="21"/>
              </w:rPr>
            </w:pPr>
          </w:p>
        </w:tc>
      </w:tr>
      <w:tr>
        <w:tblPrEx>
          <w:tblCellMar>
            <w:top w:w="0" w:type="dxa"/>
            <w:left w:w="108" w:type="dxa"/>
            <w:bottom w:w="0" w:type="dxa"/>
            <w:right w:w="108" w:type="dxa"/>
          </w:tblCellMar>
        </w:tblPrEx>
        <w:trPr>
          <w:trHeight w:val="358" w:hRule="atLeast"/>
          <w:jc w:val="center"/>
        </w:trPr>
        <w:tc>
          <w:tcPr>
            <w:tcW w:w="1364"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508"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089"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597"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3101"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auto"/>
                <w:kern w:val="0"/>
                <w:szCs w:val="21"/>
              </w:rPr>
            </w:pPr>
          </w:p>
        </w:tc>
      </w:tr>
      <w:tr>
        <w:tblPrEx>
          <w:tblCellMar>
            <w:top w:w="0" w:type="dxa"/>
            <w:left w:w="108" w:type="dxa"/>
            <w:bottom w:w="0" w:type="dxa"/>
            <w:right w:w="108" w:type="dxa"/>
          </w:tblCellMar>
        </w:tblPrEx>
        <w:trPr>
          <w:trHeight w:val="358" w:hRule="atLeast"/>
          <w:jc w:val="center"/>
        </w:trPr>
        <w:tc>
          <w:tcPr>
            <w:tcW w:w="4872"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栏次</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2</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3</w:t>
            </w:r>
          </w:p>
        </w:tc>
      </w:tr>
      <w:tr>
        <w:tblPrEx>
          <w:tblCellMar>
            <w:top w:w="0" w:type="dxa"/>
            <w:left w:w="108" w:type="dxa"/>
            <w:bottom w:w="0" w:type="dxa"/>
            <w:right w:w="108" w:type="dxa"/>
          </w:tblCellMar>
        </w:tblPrEx>
        <w:trPr>
          <w:trHeight w:val="358" w:hRule="atLeast"/>
          <w:jc w:val="center"/>
        </w:trPr>
        <w:tc>
          <w:tcPr>
            <w:tcW w:w="4872"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合计</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524.02</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369.17</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154.85</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201</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一般公共服务支出</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445.30</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290.45</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154.85</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20138</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市场监督管理事务</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445.30</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290.45</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154.85</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2013810</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质量基础</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4.98</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4.98</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2013816</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食品安全监管</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149.88</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149.88</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2013850</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事业运行</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290.45</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290.45</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208</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社会保障和就业支出</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20805</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行政事业单位养老支出</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trHeight w:val="695"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2080505</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机关事业单位基本养老保险缴费支出</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28.96</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210</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卫生健康支出</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21011</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行政事业单位医疗</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2101102</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事业单位医疗</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221</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住房保障支出</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22102</w:t>
            </w:r>
          </w:p>
        </w:tc>
        <w:tc>
          <w:tcPr>
            <w:tcW w:w="3508"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住房改革支出</w:t>
            </w:r>
          </w:p>
        </w:tc>
        <w:tc>
          <w:tcPr>
            <w:tcW w:w="308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359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3101" w:type="dxa"/>
            <w:tcBorders>
              <w:top w:val="nil"/>
              <w:left w:val="nil"/>
              <w:bottom w:val="single" w:color="auto" w:sz="4"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trHeight w:val="358" w:hRule="atLeast"/>
          <w:jc w:val="center"/>
        </w:trPr>
        <w:tc>
          <w:tcPr>
            <w:tcW w:w="1364"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2210201</w:t>
            </w:r>
          </w:p>
        </w:tc>
        <w:tc>
          <w:tcPr>
            <w:tcW w:w="3508"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auto"/>
                <w:kern w:val="0"/>
                <w:szCs w:val="21"/>
              </w:rPr>
            </w:pPr>
            <w:r>
              <w:rPr>
                <w:rFonts w:hint="eastAsia" w:ascii="宋体" w:hAnsi="宋体" w:eastAsia="宋体" w:cs="宋体"/>
                <w:i w:val="0"/>
                <w:iCs w:val="0"/>
                <w:color w:val="auto"/>
                <w:kern w:val="0"/>
                <w:sz w:val="22"/>
                <w:szCs w:val="22"/>
                <w:u w:val="none"/>
                <w:lang w:val="en-US" w:eastAsia="zh-CN" w:bidi="ar"/>
              </w:rPr>
              <w:t>住房公积金</w:t>
            </w:r>
          </w:p>
        </w:tc>
        <w:tc>
          <w:tcPr>
            <w:tcW w:w="3089"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3597"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3101" w:type="dxa"/>
            <w:tcBorders>
              <w:top w:val="nil"/>
              <w:left w:val="nil"/>
              <w:bottom w:val="single" w:color="auto" w:sz="8"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r>
      <w:tr>
        <w:tblPrEx>
          <w:tblCellMar>
            <w:top w:w="0" w:type="dxa"/>
            <w:left w:w="108" w:type="dxa"/>
            <w:bottom w:w="0" w:type="dxa"/>
            <w:right w:w="108" w:type="dxa"/>
          </w:tblCellMar>
        </w:tblPrEx>
        <w:trPr>
          <w:trHeight w:val="378" w:hRule="atLeast"/>
          <w:jc w:val="center"/>
        </w:trPr>
        <w:tc>
          <w:tcPr>
            <w:tcW w:w="1465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注：本表反映部门本年度一般公共预算财政拨款支出情况。</w:t>
            </w:r>
          </w:p>
        </w:tc>
      </w:tr>
    </w:tbl>
    <w:p>
      <w:pPr>
        <w:widowControl/>
        <w:jc w:val="left"/>
        <w:rPr>
          <w:rFonts w:ascii="Times New Roman" w:hAnsi="Times New Roman" w:eastAsia="仿宋_GB2312" w:cs="Times New Roman"/>
          <w:bCs/>
          <w:color w:val="auto"/>
          <w:kern w:val="0"/>
          <w:szCs w:val="21"/>
        </w:rPr>
      </w:pPr>
    </w:p>
    <w:p>
      <w:pPr>
        <w:widowControl/>
        <w:jc w:val="left"/>
        <w:rPr>
          <w:rFonts w:ascii="Times New Roman" w:hAnsi="Times New Roman" w:eastAsia="仿宋_GB2312" w:cs="Times New Roman"/>
          <w:bCs/>
          <w:color w:val="auto"/>
          <w:kern w:val="0"/>
          <w:szCs w:val="21"/>
        </w:rPr>
      </w:pPr>
      <w:r>
        <w:rPr>
          <w:rFonts w:ascii="Times New Roman" w:hAnsi="Times New Roman" w:eastAsia="仿宋_GB2312" w:cs="Times New Roman"/>
          <w:bCs/>
          <w:color w:val="auto"/>
          <w:kern w:val="0"/>
          <w:szCs w:val="21"/>
        </w:rPr>
        <w:br w:type="page"/>
      </w:r>
    </w:p>
    <w:tbl>
      <w:tblPr>
        <w:tblStyle w:val="8"/>
        <w:tblW w:w="15760" w:type="dxa"/>
        <w:tblInd w:w="0" w:type="dxa"/>
        <w:tblLayout w:type="fixed"/>
        <w:tblCellMar>
          <w:top w:w="0" w:type="dxa"/>
          <w:left w:w="108" w:type="dxa"/>
          <w:bottom w:w="0" w:type="dxa"/>
          <w:right w:w="108" w:type="dxa"/>
        </w:tblCellMar>
      </w:tblPr>
      <w:tblGrid>
        <w:gridCol w:w="1300"/>
        <w:gridCol w:w="3223"/>
        <w:gridCol w:w="883"/>
        <w:gridCol w:w="1312"/>
        <w:gridCol w:w="2279"/>
        <w:gridCol w:w="776"/>
        <w:gridCol w:w="1312"/>
        <w:gridCol w:w="3706"/>
        <w:gridCol w:w="969"/>
      </w:tblGrid>
      <w:tr>
        <w:tblPrEx>
          <w:tblCellMar>
            <w:top w:w="0" w:type="dxa"/>
            <w:left w:w="108" w:type="dxa"/>
            <w:bottom w:w="0" w:type="dxa"/>
            <w:right w:w="108" w:type="dxa"/>
          </w:tblCellMar>
        </w:tblPrEx>
        <w:trPr>
          <w:trHeight w:val="113" w:hRule="atLeast"/>
        </w:trPr>
        <w:tc>
          <w:tcPr>
            <w:tcW w:w="15760"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auto"/>
                <w:kern w:val="0"/>
                <w:szCs w:val="32"/>
              </w:rPr>
            </w:pPr>
            <w:bookmarkStart w:id="2" w:name="RANGE!A1:I34"/>
            <w:r>
              <w:rPr>
                <w:rFonts w:hint="eastAsia" w:ascii="华文中宋" w:hAnsi="华文中宋" w:eastAsia="华文中宋" w:cs="宋体"/>
                <w:color w:val="auto"/>
                <w:kern w:val="0"/>
                <w:szCs w:val="32"/>
              </w:rPr>
              <w:t>一般公共预算财政拨款基本支出决算明细表</w:t>
            </w:r>
            <w:bookmarkEnd w:id="2"/>
          </w:p>
          <w:p>
            <w:pPr>
              <w:widowControl/>
              <w:wordWrap w:val="0"/>
              <w:jc w:val="right"/>
              <w:rPr>
                <w:rFonts w:ascii="Times New Roman" w:hAnsi="Times New Roman" w:eastAsia="仿宋_GB2312" w:cs="Times New Roman"/>
                <w:color w:val="auto"/>
                <w:kern w:val="0"/>
                <w:szCs w:val="21"/>
              </w:rPr>
            </w:pPr>
            <w:r>
              <w:rPr>
                <w:rFonts w:hint="eastAsia" w:ascii="Times New Roman" w:hAnsi="Times New Roman" w:eastAsia="仿宋_GB2312" w:cs="Times New Roman"/>
                <w:color w:val="auto"/>
                <w:kern w:val="0"/>
                <w:szCs w:val="21"/>
              </w:rPr>
              <w:t xml:space="preserve">  </w:t>
            </w:r>
            <w:r>
              <w:rPr>
                <w:rFonts w:ascii="Times New Roman" w:hAnsi="Times New Roman" w:eastAsia="仿宋_GB2312" w:cs="Times New Roman"/>
                <w:color w:val="auto"/>
                <w:kern w:val="0"/>
                <w:szCs w:val="21"/>
              </w:rPr>
              <w:t>部门：</w:t>
            </w:r>
            <w:r>
              <w:rPr>
                <w:rFonts w:hint="eastAsia" w:ascii="宋体" w:hAnsi="宋体" w:eastAsia="宋体" w:cs="宋体"/>
                <w:color w:val="auto"/>
                <w:kern w:val="0"/>
                <w:sz w:val="20"/>
                <w:szCs w:val="20"/>
                <w:lang w:val="en-US" w:eastAsia="zh-CN"/>
              </w:rPr>
              <w:t>湖南省食品安全审评认证中心</w:t>
            </w:r>
            <w:r>
              <w:rPr>
                <w:rFonts w:ascii="Times New Roman" w:hAnsi="Times New Roman" w:eastAsia="仿宋_GB2312" w:cs="Times New Roman"/>
                <w:color w:val="auto"/>
                <w:kern w:val="0"/>
                <w:szCs w:val="21"/>
              </w:rPr>
              <w:t xml:space="preserve"> </w:t>
            </w:r>
            <w:r>
              <w:rPr>
                <w:rFonts w:hint="eastAsia" w:ascii="Times New Roman" w:hAnsi="Times New Roman" w:eastAsia="仿宋_GB2312" w:cs="Times New Roman"/>
                <w:color w:val="auto"/>
                <w:kern w:val="0"/>
                <w:szCs w:val="21"/>
              </w:rPr>
              <w:t xml:space="preserve">                                                                                                                             </w:t>
            </w:r>
            <w:r>
              <w:rPr>
                <w:rFonts w:ascii="Times New Roman" w:hAnsi="Times New Roman" w:eastAsia="仿宋_GB2312" w:cs="Times New Roman"/>
                <w:color w:val="auto"/>
                <w:kern w:val="0"/>
                <w:szCs w:val="21"/>
              </w:rPr>
              <w:t xml:space="preserve">  </w:t>
            </w:r>
            <w:r>
              <w:rPr>
                <w:rFonts w:hint="eastAsia" w:ascii="Times New Roman" w:hAnsi="Times New Roman" w:eastAsia="仿宋_GB2312" w:cs="Times New Roman"/>
                <w:color w:val="auto"/>
                <w:kern w:val="0"/>
                <w:szCs w:val="21"/>
              </w:rPr>
              <w:t>公开06表</w:t>
            </w:r>
          </w:p>
          <w:p>
            <w:pPr>
              <w:widowControl/>
              <w:jc w:val="right"/>
              <w:rPr>
                <w:rFonts w:ascii="华文中宋" w:hAnsi="华文中宋" w:eastAsia="华文中宋" w:cs="宋体"/>
                <w:color w:val="auto"/>
                <w:kern w:val="0"/>
                <w:szCs w:val="32"/>
              </w:rPr>
            </w:pPr>
            <w:r>
              <w:rPr>
                <w:rFonts w:hint="eastAsia" w:ascii="Times New Roman" w:hAnsi="Times New Roman" w:eastAsia="仿宋_GB2312" w:cs="Times New Roman"/>
                <w:color w:val="auto"/>
                <w:kern w:val="0"/>
                <w:szCs w:val="21"/>
              </w:rPr>
              <w:t>单位：万元</w:t>
            </w:r>
          </w:p>
        </w:tc>
      </w:tr>
      <w:tr>
        <w:tblPrEx>
          <w:tblCellMar>
            <w:top w:w="0" w:type="dxa"/>
            <w:left w:w="108" w:type="dxa"/>
            <w:bottom w:w="0" w:type="dxa"/>
            <w:right w:w="108" w:type="dxa"/>
          </w:tblCellMar>
        </w:tblPrEx>
        <w:trPr>
          <w:trHeight w:val="113" w:hRule="atLeast"/>
        </w:trPr>
        <w:tc>
          <w:tcPr>
            <w:tcW w:w="13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 w:val="20"/>
                <w:szCs w:val="20"/>
              </w:rPr>
              <w:t>经济分类科目编码</w:t>
            </w:r>
          </w:p>
        </w:tc>
        <w:tc>
          <w:tcPr>
            <w:tcW w:w="322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科目名称</w:t>
            </w:r>
          </w:p>
        </w:tc>
        <w:tc>
          <w:tcPr>
            <w:tcW w:w="88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决算数</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经济分类科目编码</w:t>
            </w:r>
          </w:p>
        </w:tc>
        <w:tc>
          <w:tcPr>
            <w:tcW w:w="227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科目名称</w:t>
            </w:r>
          </w:p>
        </w:tc>
        <w:tc>
          <w:tcPr>
            <w:tcW w:w="7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决算数</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经济分类科目编码</w:t>
            </w:r>
          </w:p>
        </w:tc>
        <w:tc>
          <w:tcPr>
            <w:tcW w:w="370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科目名称</w:t>
            </w:r>
          </w:p>
        </w:tc>
        <w:tc>
          <w:tcPr>
            <w:tcW w:w="9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决算数</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工资福利支出</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352.24</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商品和服务支出</w:t>
            </w:r>
          </w:p>
        </w:tc>
        <w:tc>
          <w:tcPr>
            <w:tcW w:w="7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16.78</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307</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债务利息及费用支出</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30101</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基本工资</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84.24</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30201</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办公费</w:t>
            </w:r>
          </w:p>
        </w:tc>
        <w:tc>
          <w:tcPr>
            <w:tcW w:w="7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1.71</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30701</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国内债务付息</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30102</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津贴补贴</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11.97</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30202</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印刷费</w:t>
            </w:r>
          </w:p>
        </w:tc>
        <w:tc>
          <w:tcPr>
            <w:tcW w:w="7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0.34</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30702</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国外债务付息</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30103</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奖金</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58.55</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30203</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咨询费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资本性支出</w:t>
            </w:r>
          </w:p>
        </w:tc>
        <w:tc>
          <w:tcPr>
            <w:tcW w:w="96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0.15</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30106</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伙食补助费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11.87</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30204</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手续费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31001</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房屋建筑物购建</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30107</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绩效工资</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105.74</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30205</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水费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31002</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办公设备购置</w:t>
            </w:r>
          </w:p>
        </w:tc>
        <w:tc>
          <w:tcPr>
            <w:tcW w:w="96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0.15</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30108</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机关事业单位基本养老保险缴费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29.87</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30206</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电费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31003</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专用设备购置</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30109</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职业年金缴费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30207</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邮电费</w:t>
            </w:r>
          </w:p>
        </w:tc>
        <w:tc>
          <w:tcPr>
            <w:tcW w:w="7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0.21</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31005</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基础设施建设</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30110</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职工基本医疗保险缴费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30208</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取暖费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31006</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大型修缮</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30111</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公务员医疗补助缴费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30209</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物业管理费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31007</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信息网络及软件购置更新</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30112</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其他社会保障缴费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30211</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差旅费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31008</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物资储备</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30113</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住房公积金</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28.73</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30212</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因公出国（境）费用</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31009</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土地补偿</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30114</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医疗费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30213</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维修（护）费</w:t>
            </w:r>
          </w:p>
        </w:tc>
        <w:tc>
          <w:tcPr>
            <w:tcW w:w="7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0.19</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31010</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安置补助</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30199</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其他工资福利支出</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0.24</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30214</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租赁费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31011</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地上附着物和青苗补偿</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对个人和家庭的补助</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30215</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会议费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31012</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拆迁补偿</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30301</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离休费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30216</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培训费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31013</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公务用车购置</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30302</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退休费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30217</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公务接待费</w:t>
            </w:r>
          </w:p>
        </w:tc>
        <w:tc>
          <w:tcPr>
            <w:tcW w:w="7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0.60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31019</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其他交通工具购置</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30303</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退职（役）费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30218</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专用材料费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31021</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文物和陈列品购置</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30304</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抚恤金</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30224</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被装购置费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31022</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无形资产购置</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30305</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生活补助</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30225</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专用燃料费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31099</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其他资本性支出</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30306</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救济费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30226</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劳务费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399</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其他支出</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30307</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医疗费补助</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30227</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委托业务费</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39906</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赠与</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30308</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助学金</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30228</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工会经费</w:t>
            </w:r>
          </w:p>
        </w:tc>
        <w:tc>
          <w:tcPr>
            <w:tcW w:w="7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7.05</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39907</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国家赔偿费用支出</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30309</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奖励金</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30229</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福利费</w:t>
            </w:r>
          </w:p>
        </w:tc>
        <w:tc>
          <w:tcPr>
            <w:tcW w:w="7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0.30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39908</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对民间非营利组织和群众性自治组织补贴</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30310</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个人农业生产补贴</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30231</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公务用车运行维护费</w:t>
            </w:r>
          </w:p>
        </w:tc>
        <w:tc>
          <w:tcPr>
            <w:tcW w:w="7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2.03</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39999</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其他支出</w:t>
            </w:r>
          </w:p>
        </w:tc>
        <w:tc>
          <w:tcPr>
            <w:tcW w:w="96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30311</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代缴社会保险费</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30239</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其他交通费用</w:t>
            </w:r>
          </w:p>
        </w:tc>
        <w:tc>
          <w:tcPr>
            <w:tcW w:w="7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0.20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9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0"/>
              </w:rPr>
            </w:pP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30399</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其他对个人和家庭的补助</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30240</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税金及附加费用</w:t>
            </w:r>
          </w:p>
        </w:tc>
        <w:tc>
          <w:tcPr>
            <w:tcW w:w="77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0.00</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9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0"/>
              </w:rPr>
            </w:pPr>
          </w:p>
        </w:tc>
      </w:tr>
      <w:tr>
        <w:tblPrEx>
          <w:tblCellMar>
            <w:top w:w="0" w:type="dxa"/>
            <w:left w:w="108" w:type="dxa"/>
            <w:bottom w:w="0" w:type="dxa"/>
            <w:right w:w="108" w:type="dxa"/>
          </w:tblCellMar>
        </w:tblPrEx>
        <w:trPr>
          <w:trHeight w:val="284" w:hRule="exact"/>
        </w:trPr>
        <w:tc>
          <w:tcPr>
            <w:tcW w:w="130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w:t>
            </w:r>
          </w:p>
        </w:tc>
        <w:tc>
          <w:tcPr>
            <w:tcW w:w="322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30299</w:t>
            </w:r>
          </w:p>
        </w:tc>
        <w:tc>
          <w:tcPr>
            <w:tcW w:w="227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20"/>
              </w:rPr>
            </w:pPr>
            <w:r>
              <w:rPr>
                <w:rFonts w:hint="eastAsia" w:ascii="宋体" w:hAnsi="宋体" w:eastAsia="宋体" w:cs="宋体"/>
                <w:color w:val="auto"/>
                <w:kern w:val="0"/>
                <w:szCs w:val="20"/>
              </w:rPr>
              <w:t xml:space="preserve">  其他商品和服务支出</w:t>
            </w:r>
          </w:p>
        </w:tc>
        <w:tc>
          <w:tcPr>
            <w:tcW w:w="77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auto"/>
                <w:kern w:val="0"/>
                <w:szCs w:val="20"/>
              </w:rPr>
            </w:pPr>
            <w:r>
              <w:rPr>
                <w:rFonts w:hint="eastAsia" w:ascii="宋体" w:hAnsi="宋体" w:eastAsia="宋体" w:cs="宋体"/>
                <w:i w:val="0"/>
                <w:iCs w:val="0"/>
                <w:color w:val="auto"/>
                <w:kern w:val="0"/>
                <w:sz w:val="22"/>
                <w:szCs w:val="22"/>
                <w:u w:val="none"/>
                <w:lang w:val="en-US" w:eastAsia="zh-CN" w:bidi="ar"/>
              </w:rPr>
              <w:t>4.16</w:t>
            </w:r>
          </w:p>
        </w:tc>
        <w:tc>
          <w:tcPr>
            <w:tcW w:w="131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37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auto"/>
                <w:kern w:val="0"/>
                <w:szCs w:val="18"/>
              </w:rPr>
            </w:pPr>
            <w:r>
              <w:rPr>
                <w:rFonts w:hint="eastAsia" w:ascii="宋体" w:hAnsi="宋体" w:eastAsia="宋体" w:cs="宋体"/>
                <w:color w:val="auto"/>
                <w:kern w:val="0"/>
                <w:szCs w:val="18"/>
              </w:rPr>
              <w:t>　</w:t>
            </w:r>
          </w:p>
        </w:tc>
        <w:tc>
          <w:tcPr>
            <w:tcW w:w="96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0"/>
              </w:rPr>
            </w:pPr>
          </w:p>
        </w:tc>
      </w:tr>
      <w:tr>
        <w:tblPrEx>
          <w:tblCellMar>
            <w:top w:w="0" w:type="dxa"/>
            <w:left w:w="108" w:type="dxa"/>
            <w:bottom w:w="0" w:type="dxa"/>
            <w:right w:w="108" w:type="dxa"/>
          </w:tblCellMar>
        </w:tblPrEx>
        <w:trPr>
          <w:trHeight w:val="284" w:hRule="exact"/>
        </w:trPr>
        <w:tc>
          <w:tcPr>
            <w:tcW w:w="452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人员经费合计</w:t>
            </w:r>
          </w:p>
        </w:tc>
        <w:tc>
          <w:tcPr>
            <w:tcW w:w="883"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352.24</w:t>
            </w:r>
          </w:p>
        </w:tc>
        <w:tc>
          <w:tcPr>
            <w:tcW w:w="9385"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Cs w:val="20"/>
              </w:rPr>
            </w:pPr>
            <w:r>
              <w:rPr>
                <w:rFonts w:hint="eastAsia" w:ascii="宋体" w:hAnsi="宋体" w:eastAsia="宋体" w:cs="宋体"/>
                <w:color w:val="auto"/>
                <w:kern w:val="0"/>
                <w:szCs w:val="20"/>
              </w:rPr>
              <w:t>公用经费合计</w:t>
            </w:r>
          </w:p>
        </w:tc>
        <w:tc>
          <w:tcPr>
            <w:tcW w:w="96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16.93</w:t>
            </w:r>
          </w:p>
        </w:tc>
      </w:tr>
      <w:tr>
        <w:tblPrEx>
          <w:tblCellMar>
            <w:top w:w="0" w:type="dxa"/>
            <w:left w:w="108" w:type="dxa"/>
            <w:bottom w:w="0" w:type="dxa"/>
            <w:right w:w="108" w:type="dxa"/>
          </w:tblCellMar>
        </w:tblPrEx>
        <w:trPr>
          <w:trHeight w:val="284" w:hRule="exact"/>
        </w:trPr>
        <w:tc>
          <w:tcPr>
            <w:tcW w:w="15760"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auto"/>
                <w:kern w:val="0"/>
                <w:szCs w:val="24"/>
              </w:rPr>
            </w:pPr>
            <w:r>
              <w:rPr>
                <w:rFonts w:hint="eastAsia" w:ascii="宋体" w:hAnsi="宋体" w:eastAsia="宋体" w:cs="宋体"/>
                <w:color w:val="auto"/>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auto"/>
          <w:kern w:val="0"/>
          <w:sz w:val="36"/>
          <w:szCs w:val="36"/>
        </w:rPr>
      </w:pPr>
      <w:r>
        <w:rPr>
          <w:rFonts w:hint="eastAsia" w:ascii="Times New Roman" w:hAnsi="Times New Roman" w:eastAsia="方正小标宋_GBK" w:cs="Times New Roman"/>
          <w:color w:val="auto"/>
          <w:kern w:val="0"/>
          <w:sz w:val="36"/>
          <w:szCs w:val="36"/>
        </w:rPr>
        <w:t>一般公共预算财政拨款“三公”经费支出决算表</w:t>
      </w:r>
    </w:p>
    <w:p>
      <w:pPr>
        <w:widowControl/>
        <w:ind w:left="14070" w:hanging="14070" w:hangingChars="6700"/>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部门：</w:t>
      </w:r>
      <w:r>
        <w:rPr>
          <w:rFonts w:hint="eastAsia" w:ascii="宋体" w:hAnsi="宋体" w:eastAsia="宋体" w:cs="宋体"/>
          <w:color w:val="auto"/>
          <w:kern w:val="0"/>
          <w:sz w:val="20"/>
          <w:szCs w:val="20"/>
          <w:lang w:val="en-US" w:eastAsia="zh-CN"/>
        </w:rPr>
        <w:t>湖南省食品安全审评认证中心</w:t>
      </w:r>
      <w:r>
        <w:rPr>
          <w:rFonts w:ascii="Times New Roman" w:hAnsi="Times New Roman" w:eastAsia="仿宋_GB2312" w:cs="Times New Roman"/>
          <w:color w:val="auto"/>
          <w:kern w:val="0"/>
          <w:szCs w:val="21"/>
        </w:rPr>
        <w:t xml:space="preserve">                                                                                                               </w:t>
      </w:r>
      <w:r>
        <w:rPr>
          <w:rFonts w:hint="eastAsia" w:ascii="Times New Roman" w:hAnsi="Times New Roman" w:eastAsia="仿宋_GB2312" w:cs="Times New Roman"/>
          <w:color w:val="auto"/>
          <w:kern w:val="0"/>
          <w:szCs w:val="21"/>
        </w:rPr>
        <w:t xml:space="preserve">         </w:t>
      </w:r>
      <w:r>
        <w:rPr>
          <w:rFonts w:ascii="Times New Roman" w:hAnsi="Times New Roman" w:eastAsia="仿宋_GB2312" w:cs="Times New Roman"/>
          <w:color w:val="auto"/>
          <w:kern w:val="0"/>
          <w:szCs w:val="21"/>
        </w:rPr>
        <w:t xml:space="preserve">       公开0</w:t>
      </w:r>
      <w:r>
        <w:rPr>
          <w:rFonts w:hint="eastAsia" w:ascii="Times New Roman" w:hAnsi="Times New Roman" w:eastAsia="仿宋_GB2312" w:cs="Times New Roman"/>
          <w:color w:val="auto"/>
          <w:kern w:val="0"/>
          <w:szCs w:val="21"/>
        </w:rPr>
        <w:t>7</w:t>
      </w:r>
      <w:r>
        <w:rPr>
          <w:rFonts w:ascii="Times New Roman" w:hAnsi="Times New Roman" w:eastAsia="仿宋_GB2312" w:cs="Times New Roman"/>
          <w:color w:val="auto"/>
          <w:kern w:val="0"/>
          <w:szCs w:val="21"/>
        </w:rPr>
        <w:t>表</w:t>
      </w:r>
    </w:p>
    <w:p>
      <w:pPr>
        <w:widowControl/>
        <w:ind w:right="420"/>
        <w:jc w:val="righ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单位：万元</w:t>
      </w:r>
    </w:p>
    <w:tbl>
      <w:tblPr>
        <w:tblStyle w:val="8"/>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公务</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公务</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color w:val="auto"/>
                <w:kern w:val="0"/>
                <w:szCs w:val="21"/>
                <w:lang w:eastAsia="zh-CN"/>
              </w:rPr>
            </w:pPr>
            <w:r>
              <w:rPr>
                <w:rFonts w:ascii="Times New Roman" w:hAnsi="Times New Roman" w:eastAsia="仿宋_GB2312" w:cs="Times New Roman"/>
                <w:color w:val="auto"/>
                <w:kern w:val="0"/>
                <w:szCs w:val="21"/>
              </w:rPr>
              <w:t>公务用车</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color w:val="auto"/>
                <w:kern w:val="0"/>
                <w:szCs w:val="21"/>
                <w:lang w:eastAsia="zh-CN"/>
              </w:rPr>
            </w:pPr>
            <w:r>
              <w:rPr>
                <w:rFonts w:ascii="Times New Roman" w:hAnsi="Times New Roman" w:eastAsia="仿宋_GB2312" w:cs="Times New Roman"/>
                <w:color w:val="auto"/>
                <w:kern w:val="0"/>
                <w:szCs w:val="21"/>
              </w:rPr>
              <w:t>公务用车</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auto"/>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color w:val="auto"/>
                <w:kern w:val="0"/>
                <w:szCs w:val="21"/>
                <w:lang w:eastAsia="zh-CN"/>
              </w:rPr>
            </w:pPr>
            <w:r>
              <w:rPr>
                <w:rFonts w:ascii="Times New Roman" w:hAnsi="Times New Roman" w:eastAsia="仿宋_GB2312" w:cs="Times New Roman"/>
                <w:color w:val="auto"/>
                <w:kern w:val="0"/>
                <w:szCs w:val="21"/>
              </w:rPr>
              <w:t>公务用车</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color w:val="auto"/>
                <w:kern w:val="0"/>
                <w:szCs w:val="21"/>
                <w:lang w:eastAsia="zh-CN"/>
              </w:rPr>
            </w:pPr>
            <w:r>
              <w:rPr>
                <w:rFonts w:ascii="Times New Roman" w:hAnsi="Times New Roman" w:eastAsia="仿宋_GB2312" w:cs="Times New Roman"/>
                <w:color w:val="auto"/>
                <w:kern w:val="0"/>
                <w:szCs w:val="21"/>
              </w:rPr>
              <w:t>公务用车</w:t>
            </w:r>
          </w:p>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auto"/>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3.60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0.60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2.63</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2.03</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0.00</w:t>
            </w:r>
          </w:p>
        </w:tc>
        <w:tc>
          <w:tcPr>
            <w:tcW w:w="1220" w:type="dxa"/>
            <w:tcBorders>
              <w:top w:val="nil"/>
              <w:left w:val="nil"/>
              <w:bottom w:val="single" w:color="auto" w:sz="8" w:space="0"/>
              <w:right w:val="nil"/>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2.03</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0.60</w:t>
            </w:r>
          </w:p>
        </w:tc>
      </w:tr>
    </w:tbl>
    <w:p>
      <w:pPr>
        <w:widowControl/>
        <w:jc w:val="left"/>
        <w:rPr>
          <w:rFonts w:ascii="宋体" w:eastAsia="宋体" w:cs="宋体"/>
          <w:color w:val="auto"/>
          <w:kern w:val="0"/>
          <w:sz w:val="24"/>
          <w:szCs w:val="24"/>
        </w:rPr>
      </w:pPr>
      <w:r>
        <w:rPr>
          <w:rFonts w:hint="eastAsia" w:ascii="宋体" w:eastAsia="宋体" w:cs="宋体"/>
          <w:color w:val="auto"/>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color w:val="auto"/>
          <w:kern w:val="0"/>
          <w:sz w:val="24"/>
          <w:szCs w:val="24"/>
        </w:rPr>
        <w:br w:type="page"/>
      </w:r>
    </w:p>
    <w:p>
      <w:pPr>
        <w:autoSpaceDE w:val="0"/>
        <w:autoSpaceDN w:val="0"/>
        <w:adjustRightInd w:val="0"/>
        <w:ind w:left="315" w:leftChars="150"/>
        <w:jc w:val="left"/>
        <w:rPr>
          <w:rFonts w:ascii="宋体" w:eastAsia="宋体" w:cs="宋体"/>
          <w:color w:val="auto"/>
          <w:kern w:val="0"/>
          <w:sz w:val="24"/>
          <w:szCs w:val="24"/>
        </w:rPr>
      </w:pPr>
    </w:p>
    <w:p>
      <w:pPr>
        <w:widowControl/>
        <w:jc w:val="center"/>
        <w:rPr>
          <w:rFonts w:ascii="Times New Roman" w:hAnsi="Times New Roman" w:eastAsia="方正小标宋_GBK" w:cs="Times New Roman"/>
          <w:color w:val="auto"/>
          <w:kern w:val="0"/>
          <w:sz w:val="36"/>
          <w:szCs w:val="36"/>
        </w:rPr>
      </w:pPr>
      <w:r>
        <w:rPr>
          <w:rFonts w:ascii="Times New Roman" w:hAnsi="Times New Roman" w:eastAsia="方正小标宋_GBK" w:cs="Times New Roman"/>
          <w:color w:val="auto"/>
          <w:kern w:val="0"/>
          <w:sz w:val="36"/>
          <w:szCs w:val="36"/>
        </w:rPr>
        <w:t>政府性基金预算财政拨款收入支出决算表</w:t>
      </w:r>
    </w:p>
    <w:p>
      <w:pPr>
        <w:widowControl/>
        <w:wordWrap w:val="0"/>
        <w:jc w:val="center"/>
        <w:rPr>
          <w:rFonts w:ascii="Times New Roman" w:hAnsi="Times New Roman" w:eastAsia="仿宋_GB2312" w:cs="Times New Roman"/>
          <w:color w:val="auto"/>
          <w:kern w:val="0"/>
          <w:szCs w:val="21"/>
        </w:rPr>
      </w:pPr>
      <w:r>
        <w:rPr>
          <w:rFonts w:hint="eastAsia" w:ascii="Times New Roman" w:hAnsi="Times New Roman" w:eastAsia="仿宋_GB2312" w:cs="Times New Roman"/>
          <w:color w:val="auto"/>
          <w:kern w:val="0"/>
          <w:szCs w:val="21"/>
          <w:lang w:val="en-US" w:eastAsia="zh-CN"/>
        </w:rPr>
        <w:t xml:space="preserve">     </w:t>
      </w:r>
      <w:r>
        <w:rPr>
          <w:rFonts w:ascii="Times New Roman" w:hAnsi="Times New Roman" w:eastAsia="仿宋_GB2312" w:cs="Times New Roman"/>
          <w:color w:val="auto"/>
          <w:kern w:val="0"/>
          <w:szCs w:val="21"/>
        </w:rPr>
        <w:t>部门：</w:t>
      </w:r>
      <w:r>
        <w:rPr>
          <w:rFonts w:hint="eastAsia" w:ascii="宋体" w:hAnsi="宋体" w:eastAsia="宋体" w:cs="宋体"/>
          <w:color w:val="auto"/>
          <w:kern w:val="0"/>
          <w:sz w:val="20"/>
          <w:szCs w:val="20"/>
          <w:lang w:val="en-US" w:eastAsia="zh-CN"/>
        </w:rPr>
        <w:t>湖南省食品安全审评认证中心</w:t>
      </w:r>
      <w:r>
        <w:rPr>
          <w:rFonts w:ascii="Times New Roman" w:hAnsi="Times New Roman" w:eastAsia="仿宋_GB2312" w:cs="Times New Roman"/>
          <w:color w:val="auto"/>
          <w:kern w:val="0"/>
          <w:szCs w:val="21"/>
        </w:rPr>
        <w:t xml:space="preserve">                                                                                                                </w:t>
      </w:r>
      <w:r>
        <w:rPr>
          <w:rFonts w:hint="eastAsia" w:ascii="Times New Roman" w:hAnsi="Times New Roman" w:eastAsia="仿宋_GB2312" w:cs="Times New Roman"/>
          <w:color w:val="auto"/>
          <w:kern w:val="0"/>
          <w:szCs w:val="21"/>
          <w:lang w:val="en-US" w:eastAsia="zh-CN"/>
        </w:rPr>
        <w:t xml:space="preserve">                                           </w:t>
      </w:r>
      <w:r>
        <w:rPr>
          <w:rFonts w:ascii="Times New Roman" w:hAnsi="Times New Roman" w:eastAsia="仿宋_GB2312" w:cs="Times New Roman"/>
          <w:color w:val="auto"/>
          <w:kern w:val="0"/>
          <w:szCs w:val="21"/>
        </w:rPr>
        <w:t xml:space="preserve">    </w:t>
      </w:r>
      <w:r>
        <w:rPr>
          <w:rFonts w:hint="eastAsia" w:ascii="Times New Roman" w:hAnsi="Times New Roman" w:eastAsia="仿宋_GB2312" w:cs="Times New Roman"/>
          <w:color w:val="auto"/>
          <w:kern w:val="0"/>
          <w:szCs w:val="21"/>
          <w:lang w:val="en-US" w:eastAsia="zh-CN"/>
        </w:rPr>
        <w:t xml:space="preserve">                                                                             </w:t>
      </w:r>
      <w:r>
        <w:rPr>
          <w:rFonts w:ascii="Times New Roman" w:hAnsi="Times New Roman" w:eastAsia="仿宋_GB2312" w:cs="Times New Roman"/>
          <w:color w:val="auto"/>
          <w:kern w:val="0"/>
          <w:szCs w:val="21"/>
        </w:rPr>
        <w:t xml:space="preserve"> 公开08表</w:t>
      </w:r>
    </w:p>
    <w:p>
      <w:pPr>
        <w:widowControl/>
        <w:jc w:val="center"/>
        <w:rPr>
          <w:rFonts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lang w:val="en-US"/>
        </w:rPr>
        <w:t xml:space="preserve">                                                                                                                              </w:t>
      </w:r>
      <w:r>
        <w:rPr>
          <w:rFonts w:ascii="Times New Roman" w:hAnsi="Times New Roman" w:eastAsia="仿宋_GB2312" w:cs="Times New Roman"/>
          <w:color w:val="auto"/>
          <w:kern w:val="0"/>
          <w:szCs w:val="21"/>
        </w:rPr>
        <w:t>单位：万元</w:t>
      </w:r>
    </w:p>
    <w:tbl>
      <w:tblPr>
        <w:tblStyle w:val="8"/>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 xml:space="preserve">项 </w:t>
            </w:r>
            <w:r>
              <w:rPr>
                <w:rFonts w:ascii="Times New Roman" w:hAnsi="Times New Roman" w:eastAsia="仿宋_GB2312" w:cs="Times New Roman"/>
                <w:b/>
                <w:color w:val="auto"/>
                <w:kern w:val="0"/>
                <w:szCs w:val="21"/>
              </w:rPr>
              <w:t xml:space="preserve">   </w:t>
            </w:r>
            <w:r>
              <w:rPr>
                <w:rFonts w:ascii="Times New Roman" w:hAnsi="Times New Roman" w:eastAsia="仿宋_GB2312" w:cs="Times New Roman"/>
                <w:b/>
                <w:color w:val="auto"/>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科目名称</w:t>
            </w:r>
          </w:p>
        </w:tc>
        <w:tc>
          <w:tcPr>
            <w:tcW w:w="2000" w:type="dxa"/>
            <w:vMerge w:val="continue"/>
            <w:vAlign w:val="center"/>
          </w:tcPr>
          <w:p>
            <w:pPr>
              <w:widowControl/>
              <w:jc w:val="left"/>
              <w:rPr>
                <w:rFonts w:ascii="Times New Roman" w:hAnsi="Times New Roman" w:eastAsia="仿宋_GB2312" w:cs="Times New Roman"/>
                <w:b/>
                <w:color w:val="auto"/>
                <w:kern w:val="0"/>
                <w:szCs w:val="21"/>
              </w:rPr>
            </w:pPr>
          </w:p>
        </w:tc>
        <w:tc>
          <w:tcPr>
            <w:tcW w:w="2000" w:type="dxa"/>
            <w:vMerge w:val="continue"/>
            <w:vAlign w:val="center"/>
          </w:tcPr>
          <w:p>
            <w:pPr>
              <w:widowControl/>
              <w:jc w:val="left"/>
              <w:rPr>
                <w:rFonts w:ascii="Times New Roman" w:hAnsi="Times New Roman" w:eastAsia="仿宋_GB2312" w:cs="Times New Roman"/>
                <w:b/>
                <w:color w:val="auto"/>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color w:val="auto"/>
                <w:kern w:val="0"/>
                <w:szCs w:val="21"/>
              </w:rPr>
            </w:pPr>
            <w:r>
              <w:rPr>
                <w:rFonts w:ascii="Times New Roman" w:hAnsi="Times New Roman" w:eastAsia="仿宋_GB2312" w:cs="Times New Roman"/>
                <w:b/>
                <w:color w:val="auto"/>
                <w:kern w:val="0"/>
                <w:szCs w:val="21"/>
              </w:rPr>
              <w:t>项目支出</w:t>
            </w:r>
          </w:p>
        </w:tc>
        <w:tc>
          <w:tcPr>
            <w:tcW w:w="2000" w:type="dxa"/>
            <w:vMerge w:val="continue"/>
            <w:vAlign w:val="center"/>
          </w:tcPr>
          <w:p>
            <w:pPr>
              <w:widowControl/>
              <w:jc w:val="left"/>
              <w:rPr>
                <w:rFonts w:ascii="Times New Roman" w:hAnsi="Times New Roman" w:eastAsia="仿宋_GB2312" w:cs="Times New Roman"/>
                <w:b/>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color w:val="auto"/>
                <w:kern w:val="0"/>
                <w:szCs w:val="21"/>
              </w:rPr>
            </w:pPr>
          </w:p>
        </w:tc>
        <w:tc>
          <w:tcPr>
            <w:tcW w:w="132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color w:val="auto"/>
                <w:kern w:val="0"/>
                <w:szCs w:val="21"/>
              </w:rPr>
            </w:pPr>
          </w:p>
        </w:tc>
        <w:tc>
          <w:tcPr>
            <w:tcW w:w="132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c>
          <w:tcPr>
            <w:tcW w:w="2000" w:type="dxa"/>
            <w:vMerge w:val="continue"/>
            <w:vAlign w:val="center"/>
          </w:tcPr>
          <w:p>
            <w:pPr>
              <w:widowControl/>
              <w:jc w:val="left"/>
              <w:rPr>
                <w:rFonts w:ascii="Times New Roman" w:hAnsi="Times New Roman" w:eastAsia="仿宋_GB2312" w:cs="Times New Roman"/>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1</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2</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3</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4</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5</w:t>
            </w:r>
          </w:p>
        </w:tc>
        <w:tc>
          <w:tcPr>
            <w:tcW w:w="200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合计</w:t>
            </w:r>
          </w:p>
        </w:tc>
        <w:tc>
          <w:tcPr>
            <w:tcW w:w="2000" w:type="dxa"/>
            <w:shd w:val="clear" w:color="auto" w:fill="auto"/>
            <w:vAlign w:val="center"/>
          </w:tcPr>
          <w:p>
            <w:pPr>
              <w:widowControl/>
              <w:jc w:val="center"/>
              <w:rPr>
                <w:rFonts w:hint="eastAsia" w:ascii="宋体" w:hAnsi="宋体" w:eastAsia="宋体" w:cs="宋体"/>
                <w:color w:val="auto"/>
                <w:kern w:val="0"/>
                <w:sz w:val="24"/>
                <w:szCs w:val="24"/>
              </w:rPr>
            </w:pPr>
            <w:r>
              <w:rPr>
                <w:rFonts w:ascii="Times New Roman" w:hAnsi="Times New Roman" w:eastAsia="仿宋_GB2312" w:cs="Times New Roman"/>
                <w:color w:val="auto"/>
                <w:kern w:val="0"/>
                <w:szCs w:val="21"/>
              </w:rPr>
              <w:t>无</w:t>
            </w:r>
            <w:r>
              <w:rPr>
                <w:rFonts w:hint="eastAsia" w:ascii="宋体" w:hAnsi="宋体" w:eastAsia="宋体" w:cs="宋体"/>
                <w:color w:val="auto"/>
                <w:kern w:val="0"/>
                <w:sz w:val="24"/>
                <w:szCs w:val="24"/>
              </w:rPr>
              <w:t>　</w:t>
            </w:r>
          </w:p>
        </w:tc>
        <w:tc>
          <w:tcPr>
            <w:tcW w:w="2000" w:type="dxa"/>
            <w:shd w:val="clear" w:color="auto" w:fill="auto"/>
            <w:vAlign w:val="center"/>
          </w:tcPr>
          <w:p>
            <w:pPr>
              <w:widowControl/>
              <w:jc w:val="center"/>
              <w:rPr>
                <w:rFonts w:hint="eastAsia" w:ascii="宋体" w:hAnsi="宋体" w:eastAsia="宋体" w:cs="宋体"/>
                <w:color w:val="auto"/>
                <w:kern w:val="0"/>
                <w:sz w:val="24"/>
                <w:szCs w:val="24"/>
              </w:rPr>
            </w:pPr>
            <w:r>
              <w:rPr>
                <w:rFonts w:ascii="Times New Roman" w:hAnsi="Times New Roman" w:eastAsia="仿宋_GB2312" w:cs="Times New Roman"/>
                <w:color w:val="auto"/>
                <w:kern w:val="0"/>
                <w:szCs w:val="21"/>
              </w:rPr>
              <w:t>无</w:t>
            </w:r>
            <w:r>
              <w:rPr>
                <w:rFonts w:hint="eastAsia" w:ascii="宋体" w:hAnsi="宋体" w:eastAsia="宋体" w:cs="宋体"/>
                <w:color w:val="auto"/>
                <w:kern w:val="0"/>
                <w:sz w:val="24"/>
                <w:szCs w:val="24"/>
              </w:rPr>
              <w:t>　　</w:t>
            </w:r>
          </w:p>
        </w:tc>
        <w:tc>
          <w:tcPr>
            <w:tcW w:w="2000" w:type="dxa"/>
            <w:shd w:val="clear" w:color="auto" w:fill="auto"/>
            <w:vAlign w:val="center"/>
          </w:tcPr>
          <w:p>
            <w:pPr>
              <w:widowControl/>
              <w:jc w:val="center"/>
              <w:rPr>
                <w:rFonts w:hint="eastAsia" w:ascii="宋体" w:hAnsi="宋体" w:eastAsia="宋体" w:cs="宋体"/>
                <w:color w:val="auto"/>
                <w:kern w:val="0"/>
                <w:sz w:val="24"/>
                <w:szCs w:val="24"/>
              </w:rPr>
            </w:pPr>
            <w:r>
              <w:rPr>
                <w:rFonts w:ascii="Times New Roman" w:hAnsi="Times New Roman" w:eastAsia="仿宋_GB2312" w:cs="Times New Roman"/>
                <w:color w:val="auto"/>
                <w:kern w:val="0"/>
                <w:szCs w:val="21"/>
              </w:rPr>
              <w:t>无</w:t>
            </w:r>
            <w:r>
              <w:rPr>
                <w:rFonts w:hint="eastAsia" w:ascii="宋体" w:hAnsi="宋体" w:eastAsia="宋体" w:cs="宋体"/>
                <w:color w:val="auto"/>
                <w:kern w:val="0"/>
                <w:sz w:val="24"/>
                <w:szCs w:val="24"/>
              </w:rPr>
              <w:t>　</w:t>
            </w:r>
          </w:p>
        </w:tc>
        <w:tc>
          <w:tcPr>
            <w:tcW w:w="2000" w:type="dxa"/>
            <w:shd w:val="clear" w:color="auto" w:fill="auto"/>
            <w:vAlign w:val="center"/>
          </w:tcPr>
          <w:p>
            <w:pPr>
              <w:widowControl/>
              <w:jc w:val="center"/>
              <w:rPr>
                <w:rFonts w:hint="eastAsia" w:ascii="宋体" w:hAnsi="宋体" w:eastAsia="宋体" w:cs="宋体"/>
                <w:color w:val="auto"/>
                <w:kern w:val="0"/>
                <w:sz w:val="24"/>
                <w:szCs w:val="24"/>
              </w:rPr>
            </w:pPr>
            <w:r>
              <w:rPr>
                <w:rFonts w:ascii="Times New Roman" w:hAnsi="Times New Roman" w:eastAsia="仿宋_GB2312" w:cs="Times New Roman"/>
                <w:color w:val="auto"/>
                <w:kern w:val="0"/>
                <w:szCs w:val="21"/>
              </w:rPr>
              <w:t>无</w:t>
            </w:r>
            <w:r>
              <w:rPr>
                <w:rFonts w:hint="eastAsia" w:ascii="宋体" w:hAnsi="宋体" w:eastAsia="宋体" w:cs="宋体"/>
                <w:color w:val="auto"/>
                <w:kern w:val="0"/>
                <w:sz w:val="24"/>
                <w:szCs w:val="24"/>
              </w:rPr>
              <w:t>　</w:t>
            </w:r>
          </w:p>
        </w:tc>
        <w:tc>
          <w:tcPr>
            <w:tcW w:w="2000" w:type="dxa"/>
            <w:shd w:val="clear" w:color="auto" w:fill="auto"/>
            <w:vAlign w:val="center"/>
          </w:tcPr>
          <w:p>
            <w:pPr>
              <w:widowControl/>
              <w:jc w:val="center"/>
              <w:rPr>
                <w:rFonts w:hint="eastAsia" w:ascii="宋体" w:hAnsi="宋体" w:eastAsia="宋体" w:cs="宋体"/>
                <w:color w:val="auto"/>
                <w:kern w:val="0"/>
                <w:sz w:val="24"/>
                <w:szCs w:val="24"/>
              </w:rPr>
            </w:pPr>
            <w:r>
              <w:rPr>
                <w:rFonts w:ascii="Times New Roman" w:hAnsi="Times New Roman" w:eastAsia="仿宋_GB2312" w:cs="Times New Roman"/>
                <w:color w:val="auto"/>
                <w:kern w:val="0"/>
                <w:szCs w:val="21"/>
              </w:rPr>
              <w:t>无</w:t>
            </w:r>
            <w:r>
              <w:rPr>
                <w:rFonts w:hint="eastAsia" w:ascii="宋体" w:hAnsi="宋体" w:eastAsia="宋体" w:cs="宋体"/>
                <w:color w:val="auto"/>
                <w:kern w:val="0"/>
                <w:sz w:val="24"/>
                <w:szCs w:val="24"/>
              </w:rPr>
              <w:t>　</w:t>
            </w:r>
          </w:p>
        </w:tc>
        <w:tc>
          <w:tcPr>
            <w:tcW w:w="2000" w:type="dxa"/>
            <w:shd w:val="clear" w:color="auto" w:fill="auto"/>
            <w:vAlign w:val="center"/>
          </w:tcPr>
          <w:p>
            <w:pPr>
              <w:widowControl/>
              <w:jc w:val="center"/>
              <w:rPr>
                <w:rFonts w:hint="eastAsia" w:ascii="宋体" w:hAnsi="宋体" w:eastAsia="宋体" w:cs="宋体"/>
                <w:color w:val="auto"/>
                <w:kern w:val="0"/>
                <w:sz w:val="24"/>
                <w:szCs w:val="24"/>
              </w:rPr>
            </w:pPr>
            <w:r>
              <w:rPr>
                <w:rFonts w:ascii="Times New Roman" w:hAnsi="Times New Roman" w:eastAsia="仿宋_GB2312" w:cs="Times New Roman"/>
                <w:color w:val="auto"/>
                <w:kern w:val="0"/>
                <w:szCs w:val="21"/>
              </w:rPr>
              <w:t>无</w:t>
            </w:r>
            <w:r>
              <w:rPr>
                <w:rFonts w:hint="eastAsia" w:ascii="宋体" w:hAnsi="宋体" w:eastAsia="宋体" w:cs="宋体"/>
                <w:color w:val="auto"/>
                <w:kern w:val="0"/>
                <w:sz w:val="24"/>
                <w:szCs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132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c>
          <w:tcPr>
            <w:tcW w:w="2000" w:type="dxa"/>
            <w:shd w:val="clear" w:color="auto" w:fill="auto"/>
            <w:vAlign w:val="center"/>
          </w:tcPr>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　</w:t>
            </w:r>
          </w:p>
        </w:tc>
      </w:tr>
    </w:tbl>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注：本表反映部门本年度政府性基金预算财政拨款收入、支出及结转和结余情况</w:t>
      </w:r>
    </w:p>
    <w:p>
      <w:pPr>
        <w:widowControl/>
        <w:jc w:val="left"/>
        <w:rPr>
          <w:rFonts w:ascii="Times New Roman" w:hAnsi="Times New Roman" w:eastAsia="仿宋_GB2312" w:cs="Times New Roman"/>
          <w:color w:val="auto"/>
          <w:kern w:val="0"/>
          <w:szCs w:val="21"/>
        </w:rPr>
      </w:pPr>
      <w:r>
        <w:rPr>
          <w:rFonts w:ascii="Times New Roman" w:hAnsi="Times New Roman" w:eastAsia="仿宋_GB2312" w:cs="Times New Roman"/>
          <w:color w:val="auto"/>
          <w:kern w:val="0"/>
          <w:szCs w:val="21"/>
        </w:rPr>
        <w:t>(若本单位无政府性基金收支</w:t>
      </w:r>
      <w:r>
        <w:rPr>
          <w:rFonts w:hint="eastAsia" w:ascii="Times New Roman" w:hAnsi="Times New Roman" w:eastAsia="仿宋_GB2312" w:cs="Times New Roman"/>
          <w:color w:val="auto"/>
          <w:kern w:val="0"/>
          <w:szCs w:val="21"/>
        </w:rPr>
        <w:t>,请说明：</w:t>
      </w:r>
      <w:r>
        <w:rPr>
          <w:rFonts w:hint="eastAsia" w:ascii="Times New Roman" w:hAnsi="Times New Roman" w:eastAsia="仿宋_GB2312" w:cs="Times New Roman"/>
          <w:color w:val="auto"/>
          <w:kern w:val="0"/>
          <w:szCs w:val="21"/>
          <w:lang w:val="en-US" w:eastAsia="zh-CN"/>
        </w:rPr>
        <w:t>湖南省食品安全审评认证中心</w:t>
      </w:r>
      <w:r>
        <w:rPr>
          <w:rFonts w:hint="eastAsia" w:ascii="Times New Roman" w:hAnsi="Times New Roman" w:eastAsia="仿宋_GB2312" w:cs="Times New Roman"/>
          <w:color w:val="auto"/>
          <w:kern w:val="0"/>
          <w:szCs w:val="21"/>
        </w:rPr>
        <w:t>单位没有政府性基金收入，也没有使用政府性基金安排的支出，故本表无数据</w:t>
      </w:r>
      <w:r>
        <w:rPr>
          <w:rFonts w:ascii="Times New Roman" w:hAnsi="Times New Roman" w:eastAsia="仿宋_GB2312" w:cs="Times New Roman"/>
          <w:color w:val="auto"/>
          <w:kern w:val="0"/>
          <w:szCs w:val="21"/>
        </w:rPr>
        <w:t>)。</w:t>
      </w:r>
    </w:p>
    <w:p>
      <w:pPr>
        <w:widowControl/>
        <w:jc w:val="left"/>
        <w:rPr>
          <w:rFonts w:ascii="黑体" w:hAnsi="黑体" w:eastAsia="黑体"/>
          <w:color w:val="auto"/>
          <w:szCs w:val="21"/>
        </w:rPr>
      </w:pPr>
      <w:r>
        <w:rPr>
          <w:rFonts w:ascii="黑体" w:hAnsi="黑体" w:eastAsia="黑体"/>
          <w:color w:val="auto"/>
          <w:szCs w:val="21"/>
        </w:rPr>
        <w:br w:type="page"/>
      </w:r>
    </w:p>
    <w:tbl>
      <w:tblPr>
        <w:tblStyle w:val="8"/>
        <w:tblW w:w="14190" w:type="dxa"/>
        <w:jc w:val="center"/>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jc w:val="center"/>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color w:val="auto"/>
                <w:kern w:val="0"/>
                <w:sz w:val="32"/>
                <w:szCs w:val="32"/>
              </w:rPr>
            </w:pPr>
            <w:r>
              <w:rPr>
                <w:rFonts w:hint="eastAsia" w:ascii="华文中宋" w:hAnsi="华文中宋" w:eastAsia="华文中宋" w:cs="宋体"/>
                <w:color w:val="auto"/>
                <w:kern w:val="0"/>
                <w:sz w:val="32"/>
                <w:szCs w:val="32"/>
              </w:rPr>
              <w:t>国有资本经营预算财政拨款支出决算表</w:t>
            </w:r>
          </w:p>
        </w:tc>
      </w:tr>
      <w:tr>
        <w:tblPrEx>
          <w:tblCellMar>
            <w:top w:w="0" w:type="dxa"/>
            <w:left w:w="108" w:type="dxa"/>
            <w:bottom w:w="0" w:type="dxa"/>
            <w:right w:w="108" w:type="dxa"/>
          </w:tblCellMar>
        </w:tblPrEx>
        <w:trPr>
          <w:trHeight w:val="285" w:hRule="atLeast"/>
          <w:jc w:val="center"/>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公开09表</w:t>
            </w:r>
          </w:p>
        </w:tc>
      </w:tr>
      <w:tr>
        <w:tblPrEx>
          <w:tblCellMar>
            <w:top w:w="0" w:type="dxa"/>
            <w:left w:w="108" w:type="dxa"/>
            <w:bottom w:w="0" w:type="dxa"/>
            <w:right w:w="108" w:type="dxa"/>
          </w:tblCellMar>
        </w:tblPrEx>
        <w:trPr>
          <w:trHeight w:val="285" w:hRule="atLeast"/>
          <w:jc w:val="center"/>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color w:val="auto"/>
                <w:kern w:val="0"/>
                <w:sz w:val="20"/>
                <w:szCs w:val="20"/>
              </w:rPr>
            </w:pPr>
            <w:r>
              <w:rPr>
                <w:rFonts w:hint="eastAsia" w:ascii="宋体" w:hAnsi="宋体" w:eastAsia="宋体" w:cs="宋体"/>
                <w:color w:val="auto"/>
                <w:kern w:val="0"/>
                <w:sz w:val="20"/>
                <w:szCs w:val="20"/>
                <w:lang w:val="en-US" w:eastAsia="zh-CN"/>
              </w:rPr>
              <w:t>湖南省食品安全审评认证中心</w:t>
            </w:r>
            <w:r>
              <w:rPr>
                <w:rFonts w:hint="eastAsia" w:ascii="宋体" w:hAnsi="宋体" w:eastAsia="宋体" w:cs="宋体"/>
                <w:color w:val="auto"/>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auto"/>
                <w:kern w:val="0"/>
                <w:sz w:val="20"/>
                <w:szCs w:val="20"/>
              </w:rPr>
            </w:pPr>
            <w:r>
              <w:rPr>
                <w:rFonts w:hint="eastAsia" w:ascii="宋体" w:hAnsi="宋体" w:eastAsia="宋体" w:cs="宋体"/>
                <w:color w:val="auto"/>
                <w:kern w:val="0"/>
                <w:sz w:val="20"/>
                <w:szCs w:val="20"/>
              </w:rPr>
              <w:t>单位：万元</w:t>
            </w:r>
          </w:p>
        </w:tc>
      </w:tr>
      <w:tr>
        <w:tblPrEx>
          <w:tblCellMar>
            <w:top w:w="0" w:type="dxa"/>
            <w:left w:w="108" w:type="dxa"/>
            <w:bottom w:w="0" w:type="dxa"/>
            <w:right w:w="108" w:type="dxa"/>
          </w:tblCellMar>
        </w:tblPrEx>
        <w:trPr>
          <w:trHeight w:val="402" w:hRule="atLeast"/>
          <w:jc w:val="center"/>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项 </w:t>
            </w:r>
            <w:r>
              <w:rPr>
                <w:rFonts w:hint="eastAsia" w:ascii="宋体" w:hAnsi="宋体" w:eastAsia="宋体" w:cs="宋体"/>
                <w:color w:val="auto"/>
                <w:kern w:val="0"/>
                <w:sz w:val="22"/>
              </w:rPr>
              <w:t xml:space="preserve">   </w:t>
            </w:r>
            <w:r>
              <w:rPr>
                <w:rFonts w:hint="eastAsia" w:ascii="宋体" w:hAnsi="宋体" w:eastAsia="宋体" w:cs="宋体"/>
                <w:color w:val="auto"/>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本年支出</w:t>
            </w:r>
          </w:p>
        </w:tc>
      </w:tr>
      <w:tr>
        <w:tblPrEx>
          <w:tblCellMar>
            <w:top w:w="0" w:type="dxa"/>
            <w:left w:w="108" w:type="dxa"/>
            <w:bottom w:w="0" w:type="dxa"/>
            <w:right w:w="108" w:type="dxa"/>
          </w:tblCellMar>
        </w:tblPrEx>
        <w:trPr>
          <w:trHeight w:val="402" w:hRule="atLeast"/>
          <w:jc w:val="center"/>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项目支出</w:t>
            </w: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4"/>
                <w:szCs w:val="24"/>
              </w:rPr>
            </w:pP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auto"/>
                <w:kern w:val="0"/>
                <w:sz w:val="24"/>
                <w:szCs w:val="24"/>
              </w:rPr>
            </w:pPr>
          </w:p>
        </w:tc>
      </w:tr>
      <w:tr>
        <w:tblPrEx>
          <w:tblCellMar>
            <w:top w:w="0" w:type="dxa"/>
            <w:left w:w="108" w:type="dxa"/>
            <w:bottom w:w="0" w:type="dxa"/>
            <w:right w:w="108" w:type="dxa"/>
          </w:tblCellMar>
        </w:tblPrEx>
        <w:trPr>
          <w:trHeight w:val="402" w:hRule="atLeast"/>
          <w:jc w:val="center"/>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3</w:t>
            </w:r>
          </w:p>
        </w:tc>
      </w:tr>
      <w:tr>
        <w:tblPrEx>
          <w:tblCellMar>
            <w:top w:w="0" w:type="dxa"/>
            <w:left w:w="108" w:type="dxa"/>
            <w:bottom w:w="0" w:type="dxa"/>
            <w:right w:w="108" w:type="dxa"/>
          </w:tblCellMar>
        </w:tblPrEx>
        <w:trPr>
          <w:trHeight w:val="402" w:hRule="atLeast"/>
          <w:jc w:val="center"/>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4"/>
                <w:szCs w:val="24"/>
              </w:rPr>
            </w:pPr>
            <w:r>
              <w:rPr>
                <w:rFonts w:ascii="Times New Roman" w:hAnsi="Times New Roman" w:eastAsia="仿宋_GB2312" w:cs="Times New Roman"/>
                <w:color w:val="auto"/>
                <w:kern w:val="0"/>
                <w:szCs w:val="21"/>
              </w:rPr>
              <w:t>无</w:t>
            </w:r>
            <w:r>
              <w:rPr>
                <w:rFonts w:hint="eastAsia" w:ascii="宋体" w:hAnsi="宋体" w:eastAsia="宋体" w:cs="宋体"/>
                <w:color w:val="auto"/>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4"/>
                <w:szCs w:val="24"/>
              </w:rPr>
            </w:pPr>
            <w:r>
              <w:rPr>
                <w:rFonts w:ascii="Times New Roman" w:hAnsi="Times New Roman" w:eastAsia="仿宋_GB2312" w:cs="Times New Roman"/>
                <w:color w:val="auto"/>
                <w:kern w:val="0"/>
                <w:szCs w:val="21"/>
              </w:rPr>
              <w:t>无</w:t>
            </w:r>
            <w:r>
              <w:rPr>
                <w:rFonts w:hint="eastAsia" w:ascii="宋体" w:hAnsi="宋体" w:eastAsia="宋体" w:cs="宋体"/>
                <w:color w:val="auto"/>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 w:val="24"/>
                <w:szCs w:val="24"/>
              </w:rPr>
            </w:pPr>
            <w:r>
              <w:rPr>
                <w:rFonts w:ascii="Times New Roman" w:hAnsi="Times New Roman" w:eastAsia="仿宋_GB2312" w:cs="Times New Roman"/>
                <w:color w:val="auto"/>
                <w:kern w:val="0"/>
                <w:szCs w:val="21"/>
              </w:rPr>
              <w:t>无</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　</w:t>
            </w:r>
          </w:p>
        </w:tc>
      </w:tr>
      <w:tr>
        <w:tblPrEx>
          <w:tblCellMar>
            <w:top w:w="0" w:type="dxa"/>
            <w:left w:w="108" w:type="dxa"/>
            <w:bottom w:w="0" w:type="dxa"/>
            <w:right w:w="108" w:type="dxa"/>
          </w:tblCellMar>
        </w:tblPrEx>
        <w:trPr>
          <w:trHeight w:val="720" w:hRule="atLeast"/>
          <w:jc w:val="center"/>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color w:val="auto"/>
                <w:kern w:val="0"/>
                <w:sz w:val="24"/>
                <w:szCs w:val="24"/>
              </w:rPr>
            </w:pPr>
            <w:r>
              <w:rPr>
                <w:rFonts w:hint="eastAsia" w:ascii="宋体" w:hAnsi="宋体" w:eastAsia="宋体" w:cs="宋体"/>
                <w:color w:val="auto"/>
                <w:kern w:val="0"/>
                <w:sz w:val="24"/>
                <w:szCs w:val="24"/>
              </w:rPr>
              <w:t>注：本表反映部门本年度国有资本经营预算财政拨款支出情况。</w:t>
            </w:r>
          </w:p>
        </w:tc>
      </w:tr>
    </w:tbl>
    <w:p>
      <w:pPr>
        <w:pStyle w:val="13"/>
        <w:rPr>
          <w:color w:val="auto"/>
          <w:sz w:val="72"/>
          <w:szCs w:val="72"/>
        </w:rPr>
        <w:sectPr>
          <w:pgSz w:w="16838" w:h="11906" w:orient="landscape"/>
          <w:pgMar w:top="720" w:right="720" w:bottom="720" w:left="720" w:header="851" w:footer="992" w:gutter="0"/>
          <w:cols w:space="425" w:num="1"/>
          <w:docGrid w:type="lines" w:linePitch="312" w:charSpace="0"/>
        </w:sectPr>
      </w:pPr>
    </w:p>
    <w:p>
      <w:pPr>
        <w:pStyle w:val="13"/>
        <w:rPr>
          <w:color w:val="auto"/>
          <w:sz w:val="72"/>
          <w:szCs w:val="72"/>
        </w:rPr>
      </w:pPr>
    </w:p>
    <w:p>
      <w:pPr>
        <w:pStyle w:val="13"/>
        <w:rPr>
          <w:color w:val="auto"/>
          <w:sz w:val="72"/>
          <w:szCs w:val="72"/>
        </w:rPr>
      </w:pPr>
    </w:p>
    <w:p>
      <w:pPr>
        <w:pStyle w:val="13"/>
        <w:rPr>
          <w:color w:val="auto"/>
          <w:sz w:val="72"/>
          <w:szCs w:val="72"/>
        </w:rPr>
      </w:pPr>
    </w:p>
    <w:p>
      <w:pPr>
        <w:pStyle w:val="13"/>
        <w:jc w:val="center"/>
        <w:rPr>
          <w:color w:val="auto"/>
          <w:sz w:val="72"/>
          <w:szCs w:val="72"/>
        </w:rPr>
      </w:pPr>
    </w:p>
    <w:p>
      <w:pPr>
        <w:pStyle w:val="13"/>
        <w:jc w:val="center"/>
        <w:rPr>
          <w:rFonts w:hint="eastAsia"/>
          <w:color w:val="auto"/>
          <w:sz w:val="72"/>
          <w:szCs w:val="72"/>
        </w:rPr>
      </w:pPr>
    </w:p>
    <w:p>
      <w:pPr>
        <w:pStyle w:val="13"/>
        <w:jc w:val="center"/>
        <w:rPr>
          <w:rFonts w:hint="eastAsia"/>
          <w:color w:val="auto"/>
          <w:sz w:val="72"/>
          <w:szCs w:val="72"/>
        </w:rPr>
      </w:pPr>
      <w:r>
        <w:rPr>
          <w:rFonts w:hint="eastAsia"/>
          <w:color w:val="auto"/>
          <w:sz w:val="72"/>
          <w:szCs w:val="72"/>
        </w:rPr>
        <w:t>第三部分</w:t>
      </w:r>
    </w:p>
    <w:p>
      <w:pPr>
        <w:pStyle w:val="13"/>
        <w:jc w:val="center"/>
        <w:rPr>
          <w:rFonts w:hint="eastAsia"/>
          <w:color w:val="auto"/>
          <w:sz w:val="72"/>
          <w:szCs w:val="72"/>
        </w:rPr>
      </w:pPr>
    </w:p>
    <w:p>
      <w:pPr>
        <w:pStyle w:val="13"/>
        <w:jc w:val="center"/>
        <w:rPr>
          <w:rFonts w:hint="eastAsia"/>
          <w:color w:val="auto"/>
          <w:sz w:val="72"/>
          <w:szCs w:val="72"/>
        </w:rPr>
      </w:pPr>
      <w:r>
        <w:rPr>
          <w:rFonts w:hint="eastAsia"/>
          <w:color w:val="auto"/>
          <w:sz w:val="72"/>
          <w:szCs w:val="72"/>
        </w:rPr>
        <w:t>2021年度部门决算情况说明</w:t>
      </w:r>
    </w:p>
    <w:p>
      <w:pPr>
        <w:widowControl/>
        <w:jc w:val="left"/>
        <w:rPr>
          <w:rFonts w:ascii="黑体" w:eastAsia="黑体" w:cs="黑体"/>
          <w:color w:val="auto"/>
          <w:kern w:val="0"/>
          <w:sz w:val="70"/>
          <w:szCs w:val="70"/>
        </w:rPr>
      </w:pPr>
      <w:r>
        <w:rPr>
          <w:color w:val="auto"/>
          <w:sz w:val="70"/>
          <w:szCs w:val="70"/>
        </w:rPr>
        <w:br w:type="page"/>
      </w:r>
    </w:p>
    <w:p>
      <w:pPr>
        <w:pStyle w:val="13"/>
        <w:rPr>
          <w:rFonts w:asciiTheme="minorEastAsia" w:hAnsiTheme="minorEastAsia" w:eastAsiaTheme="minorEastAsia"/>
          <w:color w:val="auto"/>
          <w:sz w:val="32"/>
          <w:szCs w:val="32"/>
        </w:rPr>
      </w:pPr>
    </w:p>
    <w:p>
      <w:pPr>
        <w:pStyle w:val="13"/>
        <w:rPr>
          <w:rFonts w:hAnsi="黑体"/>
          <w:b/>
          <w:color w:val="auto"/>
          <w:sz w:val="32"/>
          <w:szCs w:val="32"/>
        </w:rPr>
      </w:pPr>
      <w:r>
        <w:rPr>
          <w:rFonts w:hint="eastAsia" w:hAnsi="黑体"/>
          <w:b/>
          <w:color w:val="auto"/>
          <w:sz w:val="32"/>
          <w:szCs w:val="32"/>
        </w:rPr>
        <w:t>一、收入支出决算总体情况说明</w:t>
      </w:r>
    </w:p>
    <w:p>
      <w:pPr>
        <w:pStyle w:val="13"/>
        <w:ind w:firstLine="640"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2021年度收、支总计553.27万元。与上年相比，减少</w:t>
      </w:r>
      <w:r>
        <w:rPr>
          <w:rFonts w:hint="eastAsia" w:asciiTheme="minorEastAsia" w:hAnsiTheme="minorEastAsia" w:eastAsiaTheme="minorEastAsia"/>
          <w:color w:val="auto"/>
          <w:sz w:val="32"/>
          <w:szCs w:val="32"/>
          <w:lang w:val="en-US" w:eastAsia="zh-CN"/>
        </w:rPr>
        <w:t>106.66</w:t>
      </w:r>
      <w:r>
        <w:rPr>
          <w:rFonts w:hint="eastAsia" w:asciiTheme="minorEastAsia" w:hAnsiTheme="minorEastAsia" w:eastAsiaTheme="minorEastAsia"/>
          <w:color w:val="auto"/>
          <w:sz w:val="32"/>
          <w:szCs w:val="32"/>
        </w:rPr>
        <w:t>万元，减少</w:t>
      </w:r>
      <w:r>
        <w:rPr>
          <w:rFonts w:hint="eastAsia" w:asciiTheme="minorEastAsia" w:hAnsiTheme="minorEastAsia" w:eastAsiaTheme="minorEastAsia"/>
          <w:color w:val="auto"/>
          <w:sz w:val="32"/>
          <w:szCs w:val="32"/>
          <w:lang w:val="en-US" w:eastAsia="zh-CN"/>
        </w:rPr>
        <w:t>16.10</w:t>
      </w:r>
      <w:r>
        <w:rPr>
          <w:rFonts w:hint="eastAsia" w:asciiTheme="minorEastAsia" w:hAnsiTheme="minorEastAsia" w:eastAsiaTheme="minorEastAsia"/>
          <w:color w:val="auto"/>
          <w:sz w:val="32"/>
          <w:szCs w:val="32"/>
        </w:rPr>
        <w:t>%，主要是因为</w:t>
      </w:r>
      <w:r>
        <w:rPr>
          <w:rFonts w:hint="eastAsia" w:asciiTheme="minorEastAsia" w:hAnsiTheme="minorEastAsia" w:eastAsiaTheme="minorEastAsia"/>
          <w:color w:val="auto"/>
          <w:sz w:val="32"/>
          <w:szCs w:val="32"/>
          <w:lang w:val="en-US" w:eastAsia="zh-CN"/>
        </w:rPr>
        <w:t>一般公共预算财政拨款收入减少。</w:t>
      </w:r>
    </w:p>
    <w:p>
      <w:pPr>
        <w:pStyle w:val="13"/>
        <w:rPr>
          <w:rFonts w:hAnsi="黑体"/>
          <w:b/>
          <w:color w:val="auto"/>
          <w:sz w:val="32"/>
          <w:szCs w:val="32"/>
        </w:rPr>
      </w:pPr>
      <w:r>
        <w:rPr>
          <w:rFonts w:hint="eastAsia" w:hAnsi="黑体"/>
          <w:b/>
          <w:color w:val="auto"/>
          <w:sz w:val="32"/>
          <w:szCs w:val="32"/>
        </w:rPr>
        <w:t>二、收入决算情况说明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2021年度收入合计474.94万元，其中：财政拨款收入474.94万元，占</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%；上级补助收入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由于决算数为0，无法计算百分比</w:t>
      </w:r>
      <w:r>
        <w:rPr>
          <w:rFonts w:hint="eastAsia" w:asciiTheme="minorEastAsia" w:hAnsiTheme="minorEastAsia" w:eastAsiaTheme="minorEastAsia"/>
          <w:color w:val="auto"/>
          <w:sz w:val="32"/>
          <w:szCs w:val="32"/>
        </w:rPr>
        <w:t>；事业收入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由于决算数为0，无法计算百分比</w:t>
      </w:r>
      <w:r>
        <w:rPr>
          <w:rFonts w:hint="eastAsia" w:asciiTheme="minorEastAsia" w:hAnsiTheme="minorEastAsia" w:eastAsiaTheme="minorEastAsia"/>
          <w:color w:val="auto"/>
          <w:sz w:val="32"/>
          <w:szCs w:val="32"/>
        </w:rPr>
        <w:t>；经营收入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由于决算数为0，无法计算百分比</w:t>
      </w:r>
      <w:r>
        <w:rPr>
          <w:rFonts w:hint="eastAsia" w:asciiTheme="minorEastAsia" w:hAnsiTheme="minorEastAsia" w:eastAsiaTheme="minorEastAsia"/>
          <w:color w:val="auto"/>
          <w:sz w:val="32"/>
          <w:szCs w:val="32"/>
        </w:rPr>
        <w:t>；附属单位上缴收入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由于决算数为0，无法计算百分比</w:t>
      </w:r>
      <w:r>
        <w:rPr>
          <w:rFonts w:hint="eastAsia" w:asciiTheme="minorEastAsia" w:hAnsiTheme="minorEastAsia" w:eastAsiaTheme="minorEastAsia"/>
          <w:color w:val="auto"/>
          <w:sz w:val="32"/>
          <w:szCs w:val="32"/>
        </w:rPr>
        <w:t>；其他收入</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由于决算数为0，无法计算百分比</w:t>
      </w:r>
      <w:r>
        <w:rPr>
          <w:rFonts w:hint="eastAsia" w:asciiTheme="minorEastAsia" w:hAnsiTheme="minorEastAsia" w:eastAsiaTheme="minorEastAsia"/>
          <w:color w:val="auto"/>
          <w:sz w:val="32"/>
          <w:szCs w:val="32"/>
        </w:rPr>
        <w:t>。</w:t>
      </w:r>
    </w:p>
    <w:p>
      <w:pPr>
        <w:pStyle w:val="13"/>
        <w:rPr>
          <w:rFonts w:hAnsi="黑体"/>
          <w:b/>
          <w:color w:val="auto"/>
          <w:sz w:val="32"/>
          <w:szCs w:val="32"/>
        </w:rPr>
      </w:pPr>
      <w:r>
        <w:rPr>
          <w:rFonts w:hint="eastAsia" w:hAnsi="黑体"/>
          <w:b/>
          <w:color w:val="auto"/>
          <w:sz w:val="32"/>
          <w:szCs w:val="32"/>
        </w:rPr>
        <w:t>三、支出决算情况说明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2021年度支出合计524.02万元，其中：基本支出</w:t>
      </w:r>
      <w:r>
        <w:rPr>
          <w:rFonts w:hint="eastAsia" w:asciiTheme="minorEastAsia" w:hAnsiTheme="minorEastAsia" w:eastAsiaTheme="minorEastAsia"/>
          <w:color w:val="auto"/>
          <w:sz w:val="32"/>
          <w:szCs w:val="32"/>
          <w:lang w:val="en-US" w:eastAsia="zh-CN"/>
        </w:rPr>
        <w:t>369.17</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70.45</w:t>
      </w:r>
      <w:r>
        <w:rPr>
          <w:rFonts w:hint="eastAsia" w:asciiTheme="minorEastAsia" w:hAnsiTheme="minorEastAsia" w:eastAsiaTheme="minorEastAsia"/>
          <w:color w:val="auto"/>
          <w:sz w:val="32"/>
          <w:szCs w:val="32"/>
        </w:rPr>
        <w:t>%；项目支出</w:t>
      </w:r>
      <w:r>
        <w:rPr>
          <w:rFonts w:hint="eastAsia" w:asciiTheme="minorEastAsia" w:hAnsiTheme="minorEastAsia" w:eastAsiaTheme="minorEastAsia"/>
          <w:color w:val="auto"/>
          <w:sz w:val="32"/>
          <w:szCs w:val="32"/>
          <w:lang w:val="en-US" w:eastAsia="zh-CN"/>
        </w:rPr>
        <w:t>154.85</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29.55</w:t>
      </w:r>
      <w:r>
        <w:rPr>
          <w:rFonts w:hint="eastAsia" w:asciiTheme="minorEastAsia" w:hAnsiTheme="minorEastAsia" w:eastAsiaTheme="minorEastAsia"/>
          <w:color w:val="auto"/>
          <w:sz w:val="32"/>
          <w:szCs w:val="32"/>
        </w:rPr>
        <w:t>%；上缴上级支出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由于决算数为0，无法计算百分比</w:t>
      </w:r>
      <w:r>
        <w:rPr>
          <w:rFonts w:hint="eastAsia" w:asciiTheme="minorEastAsia" w:hAnsiTheme="minorEastAsia" w:eastAsiaTheme="minorEastAsia"/>
          <w:color w:val="auto"/>
          <w:sz w:val="32"/>
          <w:szCs w:val="32"/>
        </w:rPr>
        <w:t>；经营支出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由于决算数为0，无法计算百分比</w:t>
      </w:r>
      <w:r>
        <w:rPr>
          <w:rFonts w:hint="eastAsia" w:asciiTheme="minorEastAsia" w:hAnsiTheme="minorEastAsia" w:eastAsiaTheme="minorEastAsia"/>
          <w:color w:val="auto"/>
          <w:sz w:val="32"/>
          <w:szCs w:val="32"/>
        </w:rPr>
        <w:t>；对附属单位补助支出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由于决算数为0，无法计算百分比</w:t>
      </w:r>
      <w:r>
        <w:rPr>
          <w:rFonts w:hint="eastAsia" w:asciiTheme="minorEastAsia" w:hAnsiTheme="minorEastAsia" w:eastAsiaTheme="minorEastAsia"/>
          <w:color w:val="auto"/>
          <w:sz w:val="32"/>
          <w:szCs w:val="32"/>
        </w:rPr>
        <w:t>。</w:t>
      </w:r>
    </w:p>
    <w:p>
      <w:pPr>
        <w:pStyle w:val="13"/>
        <w:rPr>
          <w:rFonts w:hAnsi="黑体"/>
          <w:b/>
          <w:color w:val="auto"/>
          <w:sz w:val="32"/>
          <w:szCs w:val="32"/>
        </w:rPr>
      </w:pPr>
      <w:r>
        <w:rPr>
          <w:rFonts w:hint="eastAsia" w:hAnsi="黑体"/>
          <w:b/>
          <w:color w:val="auto"/>
          <w:sz w:val="32"/>
          <w:szCs w:val="32"/>
        </w:rPr>
        <w:t>四、财政拨款收入支出决算总体情况说明</w:t>
      </w:r>
    </w:p>
    <w:p>
      <w:pPr>
        <w:pStyle w:val="13"/>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2021年度财政拨款收、支总计</w:t>
      </w:r>
      <w:r>
        <w:rPr>
          <w:rFonts w:hint="eastAsia" w:asciiTheme="minorEastAsia" w:hAnsiTheme="minorEastAsia" w:eastAsiaTheme="minorEastAsia"/>
          <w:color w:val="auto"/>
          <w:sz w:val="32"/>
          <w:szCs w:val="32"/>
          <w:lang w:val="en-US" w:eastAsia="zh-CN"/>
        </w:rPr>
        <w:t>998.96</w:t>
      </w:r>
      <w:r>
        <w:rPr>
          <w:rFonts w:hint="eastAsia" w:asciiTheme="minorEastAsia" w:hAnsiTheme="minorEastAsia" w:eastAsiaTheme="minorEastAsia"/>
          <w:color w:val="auto"/>
          <w:sz w:val="32"/>
          <w:szCs w:val="32"/>
        </w:rPr>
        <w:t>万元，与上年相比，减少</w:t>
      </w:r>
      <w:r>
        <w:rPr>
          <w:rFonts w:hint="eastAsia" w:asciiTheme="minorEastAsia" w:hAnsiTheme="minorEastAsia" w:eastAsiaTheme="minorEastAsia"/>
          <w:color w:val="auto"/>
          <w:sz w:val="32"/>
          <w:szCs w:val="32"/>
          <w:lang w:val="en-US" w:eastAsia="zh-CN"/>
        </w:rPr>
        <w:t>53.97</w:t>
      </w:r>
      <w:r>
        <w:rPr>
          <w:rFonts w:hint="eastAsia" w:asciiTheme="minorEastAsia" w:hAnsiTheme="minorEastAsia" w:eastAsiaTheme="minorEastAsia"/>
          <w:color w:val="auto"/>
          <w:sz w:val="32"/>
          <w:szCs w:val="32"/>
        </w:rPr>
        <w:t>万元,减</w:t>
      </w:r>
      <w:r>
        <w:rPr>
          <w:rFonts w:hint="eastAsia" w:asciiTheme="minorEastAsia" w:hAnsiTheme="minorEastAsia" w:eastAsiaTheme="minorEastAsia"/>
          <w:color w:val="auto"/>
          <w:sz w:val="32"/>
          <w:szCs w:val="32"/>
          <w:lang w:val="en-US" w:eastAsia="zh-CN"/>
        </w:rPr>
        <w:t>少5.13</w:t>
      </w:r>
      <w:r>
        <w:rPr>
          <w:rFonts w:hint="eastAsia" w:asciiTheme="minorEastAsia" w:hAnsiTheme="minorEastAsia" w:eastAsiaTheme="minorEastAsia"/>
          <w:color w:val="auto"/>
          <w:sz w:val="32"/>
          <w:szCs w:val="32"/>
        </w:rPr>
        <w:t>%，主要是因为</w:t>
      </w:r>
      <w:r>
        <w:rPr>
          <w:rFonts w:hint="eastAsia" w:asciiTheme="minorEastAsia" w:hAnsiTheme="minorEastAsia" w:eastAsiaTheme="minorEastAsia"/>
          <w:color w:val="auto"/>
          <w:sz w:val="32"/>
          <w:szCs w:val="32"/>
          <w:lang w:val="en-US" w:eastAsia="zh-CN"/>
        </w:rPr>
        <w:t>一般公共预算财政拨款收入减少。</w:t>
      </w:r>
    </w:p>
    <w:p>
      <w:pPr>
        <w:pStyle w:val="13"/>
        <w:rPr>
          <w:rFonts w:hAnsi="黑体"/>
          <w:b/>
          <w:color w:val="auto"/>
          <w:sz w:val="32"/>
          <w:szCs w:val="32"/>
        </w:rPr>
      </w:pPr>
      <w:r>
        <w:rPr>
          <w:rFonts w:hint="eastAsia" w:hAnsi="黑体"/>
          <w:b/>
          <w:color w:val="auto"/>
          <w:sz w:val="32"/>
          <w:szCs w:val="32"/>
        </w:rPr>
        <w:t>五、一般公共预算财政拨款支出决算情况说明</w:t>
      </w:r>
    </w:p>
    <w:p>
      <w:pPr>
        <w:pStyle w:val="13"/>
        <w:ind w:firstLine="643"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（一）财政拨款支出决算总体情况</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2021年度财政拨款支出</w:t>
      </w:r>
      <w:r>
        <w:rPr>
          <w:rFonts w:hint="eastAsia" w:asciiTheme="minorEastAsia" w:hAnsiTheme="minorEastAsia" w:eastAsiaTheme="minorEastAsia"/>
          <w:color w:val="auto"/>
          <w:sz w:val="32"/>
          <w:szCs w:val="32"/>
          <w:lang w:val="en-US" w:eastAsia="zh-CN"/>
        </w:rPr>
        <w:t>524.02</w:t>
      </w:r>
      <w:r>
        <w:rPr>
          <w:rFonts w:hint="eastAsia" w:asciiTheme="minorEastAsia" w:hAnsiTheme="minorEastAsia" w:eastAsiaTheme="minorEastAsia"/>
          <w:color w:val="auto"/>
          <w:sz w:val="32"/>
          <w:szCs w:val="32"/>
        </w:rPr>
        <w:t>万元，占本年支出合计的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%，与上年相比，财政拨款支出增加</w:t>
      </w:r>
      <w:r>
        <w:rPr>
          <w:rFonts w:hint="eastAsia" w:asciiTheme="minorEastAsia" w:hAnsiTheme="minorEastAsia" w:eastAsiaTheme="minorEastAsia"/>
          <w:color w:val="auto"/>
          <w:sz w:val="32"/>
          <w:szCs w:val="32"/>
          <w:lang w:val="en-US" w:eastAsia="zh-CN"/>
        </w:rPr>
        <w:t>21.86</w:t>
      </w:r>
      <w:r>
        <w:rPr>
          <w:rFonts w:hint="eastAsia" w:asciiTheme="minorEastAsia" w:hAnsiTheme="minorEastAsia" w:eastAsiaTheme="minorEastAsia"/>
          <w:color w:val="auto"/>
          <w:sz w:val="32"/>
          <w:szCs w:val="32"/>
        </w:rPr>
        <w:t>万元，增长</w:t>
      </w:r>
      <w:r>
        <w:rPr>
          <w:rFonts w:hint="eastAsia" w:asciiTheme="minorEastAsia" w:hAnsiTheme="minorEastAsia" w:eastAsiaTheme="minorEastAsia"/>
          <w:color w:val="auto"/>
          <w:sz w:val="32"/>
          <w:szCs w:val="32"/>
          <w:lang w:val="en-US" w:eastAsia="zh-CN"/>
        </w:rPr>
        <w:t>4.35</w:t>
      </w:r>
      <w:r>
        <w:rPr>
          <w:rFonts w:hint="eastAsia" w:asciiTheme="minorEastAsia" w:hAnsiTheme="minorEastAsia" w:eastAsiaTheme="minorEastAsia"/>
          <w:color w:val="auto"/>
          <w:sz w:val="32"/>
          <w:szCs w:val="32"/>
        </w:rPr>
        <w:t>%，主要是因为202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年受疫情影响，2021年工作正常开展的项目经费支出</w:t>
      </w:r>
      <w:r>
        <w:rPr>
          <w:rFonts w:hint="eastAsia" w:asciiTheme="minorEastAsia" w:hAnsiTheme="minorEastAsia" w:eastAsiaTheme="minorEastAsia"/>
          <w:color w:val="auto"/>
          <w:sz w:val="32"/>
          <w:szCs w:val="32"/>
          <w:lang w:eastAsia="zh-CN"/>
        </w:rPr>
        <w:t>。</w:t>
      </w:r>
    </w:p>
    <w:p>
      <w:pPr>
        <w:pStyle w:val="13"/>
        <w:ind w:firstLine="482" w:firstLineChars="1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（二）财政拨款支出决算结构情况</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w:t>
      </w:r>
      <w:r>
        <w:rPr>
          <w:rFonts w:hint="eastAsia" w:asciiTheme="minorEastAsia" w:hAnsiTheme="minorEastAsia" w:eastAsiaTheme="minorEastAsia"/>
          <w:color w:val="auto"/>
          <w:sz w:val="32"/>
          <w:szCs w:val="32"/>
          <w:lang w:val="en-US" w:eastAsia="zh-CN"/>
        </w:rPr>
        <w:t>524.02</w:t>
      </w:r>
      <w:r>
        <w:rPr>
          <w:rFonts w:hint="eastAsia" w:asciiTheme="minorEastAsia" w:hAnsiTheme="minorEastAsia" w:eastAsiaTheme="minorEastAsia"/>
          <w:color w:val="auto"/>
          <w:sz w:val="32"/>
          <w:szCs w:val="32"/>
        </w:rPr>
        <w:t>万元，主要用于以下方面：一般公共服务（类）支出445.3</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84.98</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社会保障和就业</w:t>
      </w:r>
      <w:r>
        <w:rPr>
          <w:rFonts w:hint="eastAsia" w:asciiTheme="minorEastAsia" w:hAnsiTheme="minorEastAsia" w:eastAsiaTheme="minorEastAsia"/>
          <w:color w:val="auto"/>
          <w:sz w:val="32"/>
          <w:szCs w:val="32"/>
        </w:rPr>
        <w:t>支出28.96万元，占</w:t>
      </w:r>
      <w:r>
        <w:rPr>
          <w:rFonts w:hint="eastAsia" w:asciiTheme="minorEastAsia" w:hAnsiTheme="minorEastAsia" w:eastAsiaTheme="minorEastAsia"/>
          <w:color w:val="auto"/>
          <w:sz w:val="32"/>
          <w:szCs w:val="32"/>
          <w:lang w:val="en-US" w:eastAsia="zh-CN"/>
        </w:rPr>
        <w:t>5.53</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val="en-US" w:eastAsia="zh-CN"/>
        </w:rPr>
        <w:t>卫生健康支出21.02万元，占4.01%；住房保障支出28.73万元，占5.48%。</w:t>
      </w:r>
    </w:p>
    <w:p>
      <w:pPr>
        <w:pStyle w:val="13"/>
        <w:ind w:firstLine="803" w:firstLineChars="25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2021年度财政拨款支出年初预算数为</w:t>
      </w:r>
      <w:r>
        <w:rPr>
          <w:rFonts w:hint="eastAsia" w:asciiTheme="minorEastAsia" w:hAnsiTheme="minorEastAsia" w:eastAsiaTheme="minorEastAsia"/>
          <w:color w:val="auto"/>
          <w:sz w:val="32"/>
          <w:szCs w:val="32"/>
          <w:lang w:val="en-US" w:eastAsia="zh-CN"/>
        </w:rPr>
        <w:t>553.34</w:t>
      </w:r>
      <w:r>
        <w:rPr>
          <w:rFonts w:hint="eastAsia" w:asciiTheme="minorEastAsia" w:hAnsiTheme="minorEastAsia" w:eastAsiaTheme="minorEastAsia"/>
          <w:color w:val="auto"/>
          <w:sz w:val="32"/>
          <w:szCs w:val="32"/>
        </w:rPr>
        <w:t>万元，支出决算数为</w:t>
      </w:r>
      <w:r>
        <w:rPr>
          <w:rFonts w:hint="eastAsia" w:asciiTheme="minorEastAsia" w:hAnsiTheme="minorEastAsia" w:eastAsiaTheme="minorEastAsia"/>
          <w:color w:val="auto"/>
          <w:sz w:val="32"/>
          <w:szCs w:val="32"/>
          <w:lang w:val="en-US" w:eastAsia="zh-CN"/>
        </w:rPr>
        <w:t>524.02</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94.70</w:t>
      </w:r>
      <w:r>
        <w:rPr>
          <w:rFonts w:hint="eastAsia" w:asciiTheme="minorEastAsia" w:hAnsiTheme="minorEastAsia" w:eastAsiaTheme="minorEastAsia"/>
          <w:color w:val="auto"/>
          <w:sz w:val="32"/>
          <w:szCs w:val="32"/>
        </w:rPr>
        <w:t>%，其中：</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1、一般公共服务支出（类）市场监督管理事务（款）质量基础（项）。</w:t>
      </w:r>
    </w:p>
    <w:p>
      <w:pPr>
        <w:pStyle w:val="13"/>
        <w:ind w:firstLine="800" w:firstLineChars="25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5</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4.98</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99.60</w:t>
      </w:r>
      <w:r>
        <w:rPr>
          <w:rFonts w:hint="eastAsia" w:asciiTheme="minorEastAsia" w:hAnsiTheme="minorEastAsia" w:eastAsiaTheme="minorEastAsia"/>
          <w:color w:val="auto"/>
          <w:sz w:val="32"/>
          <w:szCs w:val="32"/>
        </w:rPr>
        <w:t>%，决算数与年初预算数</w:t>
      </w:r>
      <w:r>
        <w:rPr>
          <w:rFonts w:hint="eastAsia" w:asciiTheme="minorEastAsia" w:hAnsiTheme="minorEastAsia" w:eastAsiaTheme="minorEastAsia"/>
          <w:color w:val="auto"/>
          <w:sz w:val="32"/>
          <w:szCs w:val="32"/>
          <w:lang w:val="en-US" w:eastAsia="zh-CN"/>
        </w:rPr>
        <w:t>基本</w:t>
      </w:r>
      <w:r>
        <w:rPr>
          <w:rFonts w:hint="eastAsia" w:asciiTheme="minorEastAsia" w:hAnsiTheme="minorEastAsia" w:eastAsiaTheme="minorEastAsia"/>
          <w:color w:val="auto"/>
          <w:sz w:val="32"/>
          <w:szCs w:val="32"/>
        </w:rPr>
        <w:t>持平。</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2、一般公共服务支出（类）市场监督管理事务（款）食品安全监管（项）。</w:t>
      </w:r>
    </w:p>
    <w:p>
      <w:pPr>
        <w:pStyle w:val="13"/>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173.4</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149.88</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86.44</w:t>
      </w:r>
      <w:r>
        <w:rPr>
          <w:rFonts w:hint="eastAsia" w:asciiTheme="minorEastAsia" w:hAnsiTheme="minorEastAsia" w:eastAsiaTheme="minorEastAsia"/>
          <w:color w:val="auto"/>
          <w:sz w:val="32"/>
          <w:szCs w:val="32"/>
        </w:rPr>
        <w:t>%，决算数小于年初预算数的主要原因是202</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年度新冠疫情的原因，影响专项业务开展。</w:t>
      </w:r>
    </w:p>
    <w:p>
      <w:pPr>
        <w:pStyle w:val="13"/>
        <w:numPr>
          <w:ilvl w:val="0"/>
          <w:numId w:val="2"/>
        </w:numPr>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一般公共服务支出（类）市场监督管理事务（款）事业运行（项）。</w:t>
      </w:r>
    </w:p>
    <w:p>
      <w:pPr>
        <w:pStyle w:val="13"/>
        <w:ind w:firstLine="800" w:firstLineChars="25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293.6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290.45</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98.93</w:t>
      </w:r>
      <w:r>
        <w:rPr>
          <w:rFonts w:hint="eastAsia" w:asciiTheme="minorEastAsia" w:hAnsiTheme="minorEastAsia" w:eastAsiaTheme="minorEastAsia"/>
          <w:color w:val="auto"/>
          <w:sz w:val="32"/>
          <w:szCs w:val="32"/>
        </w:rPr>
        <w:t>%，决算数与年初预算数</w:t>
      </w:r>
      <w:r>
        <w:rPr>
          <w:rFonts w:hint="eastAsia" w:asciiTheme="minorEastAsia" w:hAnsiTheme="minorEastAsia" w:eastAsiaTheme="minorEastAsia"/>
          <w:color w:val="auto"/>
          <w:sz w:val="32"/>
          <w:szCs w:val="32"/>
          <w:lang w:val="en-US" w:eastAsia="zh-CN"/>
        </w:rPr>
        <w:t>基本</w:t>
      </w:r>
      <w:r>
        <w:rPr>
          <w:rFonts w:hint="eastAsia" w:asciiTheme="minorEastAsia" w:hAnsiTheme="minorEastAsia" w:eastAsiaTheme="minorEastAsia"/>
          <w:color w:val="auto"/>
          <w:sz w:val="32"/>
          <w:szCs w:val="32"/>
        </w:rPr>
        <w:t>持平</w:t>
      </w:r>
      <w:r>
        <w:rPr>
          <w:rFonts w:hint="eastAsia" w:asciiTheme="minorEastAsia" w:hAnsiTheme="minorEastAsia" w:eastAsiaTheme="minorEastAsia"/>
          <w:color w:val="auto"/>
          <w:sz w:val="32"/>
          <w:szCs w:val="32"/>
          <w:lang w:val="en-US" w:eastAsia="zh-CN"/>
        </w:rPr>
        <w:t>。</w:t>
      </w:r>
    </w:p>
    <w:p>
      <w:pPr>
        <w:pStyle w:val="13"/>
        <w:numPr>
          <w:ilvl w:val="0"/>
          <w:numId w:val="2"/>
        </w:numPr>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社会保障和就业支出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lang w:eastAsia="zh-CN"/>
        </w:rPr>
        <w:t>）行政事业单位养老支出（</w:t>
      </w:r>
      <w:r>
        <w:rPr>
          <w:rFonts w:hint="eastAsia" w:asciiTheme="minorEastAsia" w:hAnsiTheme="minorEastAsia" w:eastAsiaTheme="minorEastAsia"/>
          <w:color w:val="auto"/>
          <w:sz w:val="32"/>
          <w:szCs w:val="32"/>
          <w:lang w:val="en-US" w:eastAsia="zh-CN"/>
        </w:rPr>
        <w:t>款</w:t>
      </w:r>
      <w:r>
        <w:rPr>
          <w:rFonts w:hint="eastAsia" w:asciiTheme="minorEastAsia" w:hAnsiTheme="minorEastAsia" w:eastAsiaTheme="minorEastAsia"/>
          <w:color w:val="auto"/>
          <w:sz w:val="32"/>
          <w:szCs w:val="32"/>
          <w:lang w:eastAsia="zh-CN"/>
        </w:rPr>
        <w:t>）机关事业单位基本养老保险缴费支出（</w:t>
      </w:r>
      <w:r>
        <w:rPr>
          <w:rFonts w:hint="eastAsia" w:asciiTheme="minorEastAsia" w:hAnsiTheme="minorEastAsia" w:eastAsiaTheme="minorEastAsia"/>
          <w:color w:val="auto"/>
          <w:sz w:val="32"/>
          <w:szCs w:val="32"/>
          <w:lang w:val="en-US" w:eastAsia="zh-CN"/>
        </w:rPr>
        <w:t>项）。</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28.96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28.96</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决算数与年初预算数持平</w:t>
      </w:r>
      <w:r>
        <w:rPr>
          <w:rFonts w:hint="eastAsia" w:asciiTheme="minorEastAsia" w:hAnsiTheme="minorEastAsia" w:eastAsiaTheme="minorEastAsia"/>
          <w:color w:val="auto"/>
          <w:sz w:val="32"/>
          <w:szCs w:val="32"/>
          <w:lang w:eastAsia="zh-CN"/>
        </w:rPr>
        <w:t>。</w:t>
      </w:r>
    </w:p>
    <w:p>
      <w:pPr>
        <w:pStyle w:val="13"/>
        <w:numPr>
          <w:ilvl w:val="0"/>
          <w:numId w:val="2"/>
        </w:numPr>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卫生健康支出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lang w:eastAsia="zh-CN"/>
        </w:rPr>
        <w:t>）行政事业单位医疗（</w:t>
      </w:r>
      <w:r>
        <w:rPr>
          <w:rFonts w:hint="eastAsia" w:asciiTheme="minorEastAsia" w:hAnsiTheme="minorEastAsia" w:eastAsiaTheme="minorEastAsia"/>
          <w:color w:val="auto"/>
          <w:sz w:val="32"/>
          <w:szCs w:val="32"/>
          <w:lang w:val="en-US" w:eastAsia="zh-CN"/>
        </w:rPr>
        <w:t>款</w:t>
      </w:r>
      <w:r>
        <w:rPr>
          <w:rFonts w:hint="eastAsia" w:asciiTheme="minorEastAsia" w:hAnsiTheme="minorEastAsia" w:eastAsiaTheme="minorEastAsia"/>
          <w:color w:val="auto"/>
          <w:sz w:val="32"/>
          <w:szCs w:val="32"/>
          <w:lang w:eastAsia="zh-CN"/>
        </w:rPr>
        <w:t>）事业单位医疗（</w:t>
      </w:r>
      <w:r>
        <w:rPr>
          <w:rFonts w:hint="eastAsia" w:asciiTheme="minorEastAsia" w:hAnsiTheme="minorEastAsia" w:eastAsiaTheme="minorEastAsia"/>
          <w:color w:val="auto"/>
          <w:sz w:val="32"/>
          <w:szCs w:val="32"/>
          <w:lang w:val="en-US" w:eastAsia="zh-CN"/>
        </w:rPr>
        <w:t>项</w:t>
      </w:r>
      <w:r>
        <w:rPr>
          <w:rFonts w:hint="eastAsia" w:asciiTheme="minorEastAsia" w:hAnsiTheme="minorEastAsia" w:eastAsiaTheme="minorEastAsia"/>
          <w:color w:val="auto"/>
          <w:sz w:val="32"/>
          <w:szCs w:val="32"/>
          <w:lang w:eastAsia="zh-CN"/>
        </w:rPr>
        <w:t>）。</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22.38</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21.02</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93.93</w:t>
      </w:r>
      <w:r>
        <w:rPr>
          <w:rFonts w:hint="eastAsia" w:asciiTheme="minorEastAsia" w:hAnsiTheme="minorEastAsia" w:eastAsiaTheme="minorEastAsia"/>
          <w:color w:val="auto"/>
          <w:sz w:val="32"/>
          <w:szCs w:val="32"/>
        </w:rPr>
        <w:t>%，决算数小于年初预算数的主要原因是单位2人机构改革调入召回中心</w:t>
      </w:r>
      <w:r>
        <w:rPr>
          <w:rFonts w:hint="eastAsia" w:asciiTheme="minorEastAsia" w:hAnsiTheme="minorEastAsia" w:eastAsiaTheme="minorEastAsia"/>
          <w:color w:val="auto"/>
          <w:sz w:val="32"/>
          <w:szCs w:val="32"/>
          <w:lang w:eastAsia="zh-CN"/>
        </w:rPr>
        <w:t>。</w:t>
      </w:r>
    </w:p>
    <w:p>
      <w:pPr>
        <w:pStyle w:val="13"/>
        <w:numPr>
          <w:ilvl w:val="0"/>
          <w:numId w:val="2"/>
        </w:numPr>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住房保障支出</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类</w:t>
      </w:r>
      <w:r>
        <w:rPr>
          <w:rFonts w:hint="eastAsia" w:asciiTheme="minorEastAsia" w:hAnsiTheme="minorEastAsia" w:eastAsiaTheme="minorEastAsia"/>
          <w:color w:val="auto"/>
          <w:sz w:val="32"/>
          <w:szCs w:val="32"/>
          <w:lang w:eastAsia="zh-CN"/>
        </w:rPr>
        <w:t>）住房改革支出（</w:t>
      </w:r>
      <w:r>
        <w:rPr>
          <w:rFonts w:hint="eastAsia" w:asciiTheme="minorEastAsia" w:hAnsiTheme="minorEastAsia" w:eastAsiaTheme="minorEastAsia"/>
          <w:color w:val="auto"/>
          <w:sz w:val="32"/>
          <w:szCs w:val="32"/>
          <w:lang w:val="en-US" w:eastAsia="zh-CN"/>
        </w:rPr>
        <w:t>款</w:t>
      </w:r>
      <w:r>
        <w:rPr>
          <w:rFonts w:hint="eastAsia" w:asciiTheme="minorEastAsia" w:hAnsiTheme="minorEastAsia" w:eastAsiaTheme="minorEastAsia"/>
          <w:color w:val="auto"/>
          <w:sz w:val="32"/>
          <w:szCs w:val="32"/>
          <w:lang w:eastAsia="zh-CN"/>
        </w:rPr>
        <w:t>）住房公积金（</w:t>
      </w:r>
      <w:r>
        <w:rPr>
          <w:rFonts w:hint="eastAsia" w:asciiTheme="minorEastAsia" w:hAnsiTheme="minorEastAsia" w:eastAsiaTheme="minorEastAsia"/>
          <w:color w:val="auto"/>
          <w:sz w:val="32"/>
          <w:szCs w:val="32"/>
          <w:lang w:val="en-US" w:eastAsia="zh-CN"/>
        </w:rPr>
        <w:t>项</w:t>
      </w:r>
      <w:r>
        <w:rPr>
          <w:rFonts w:hint="eastAsia" w:asciiTheme="minorEastAsia" w:hAnsiTheme="minorEastAsia" w:eastAsiaTheme="minorEastAsia"/>
          <w:color w:val="auto"/>
          <w:sz w:val="32"/>
          <w:szCs w:val="32"/>
          <w:lang w:eastAsia="zh-CN"/>
        </w:rPr>
        <w:t>）。</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年初预算为</w:t>
      </w:r>
      <w:r>
        <w:rPr>
          <w:rFonts w:hint="eastAsia" w:asciiTheme="minorEastAsia" w:hAnsiTheme="minorEastAsia" w:eastAsiaTheme="minorEastAsia"/>
          <w:color w:val="auto"/>
          <w:sz w:val="32"/>
          <w:szCs w:val="32"/>
          <w:lang w:val="en-US" w:eastAsia="zh-CN"/>
        </w:rPr>
        <w:t>30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28.73</w:t>
      </w:r>
      <w:r>
        <w:rPr>
          <w:rFonts w:hint="eastAsia" w:asciiTheme="minorEastAsia" w:hAnsiTheme="minorEastAsia" w:eastAsiaTheme="minorEastAsia"/>
          <w:color w:val="auto"/>
          <w:sz w:val="32"/>
          <w:szCs w:val="32"/>
        </w:rPr>
        <w:t>万元，完成年初预算的</w:t>
      </w:r>
      <w:r>
        <w:rPr>
          <w:rFonts w:hint="eastAsia" w:asciiTheme="minorEastAsia" w:hAnsiTheme="minorEastAsia" w:eastAsiaTheme="minorEastAsia"/>
          <w:color w:val="auto"/>
          <w:sz w:val="32"/>
          <w:szCs w:val="32"/>
          <w:lang w:val="en-US" w:eastAsia="zh-CN"/>
        </w:rPr>
        <w:t>95.77</w:t>
      </w:r>
      <w:r>
        <w:rPr>
          <w:rFonts w:hint="eastAsia" w:asciiTheme="minorEastAsia" w:hAnsiTheme="minorEastAsia" w:eastAsiaTheme="minorEastAsia"/>
          <w:color w:val="auto"/>
          <w:sz w:val="32"/>
          <w:szCs w:val="32"/>
        </w:rPr>
        <w:t>%，决算数小于年初预算数的主要原因是单位2人机构改革调入召回中心</w:t>
      </w:r>
      <w:r>
        <w:rPr>
          <w:rFonts w:hint="eastAsia" w:asciiTheme="minorEastAsia" w:hAnsiTheme="minorEastAsia" w:eastAsiaTheme="minorEastAsia"/>
          <w:color w:val="auto"/>
          <w:sz w:val="32"/>
          <w:szCs w:val="32"/>
          <w:lang w:eastAsia="zh-CN"/>
        </w:rPr>
        <w:t>。</w:t>
      </w:r>
    </w:p>
    <w:p>
      <w:pPr>
        <w:pStyle w:val="13"/>
        <w:rPr>
          <w:rFonts w:hAnsi="黑体"/>
          <w:b/>
          <w:color w:val="auto"/>
          <w:sz w:val="32"/>
          <w:szCs w:val="32"/>
        </w:rPr>
      </w:pPr>
      <w:r>
        <w:rPr>
          <w:rFonts w:hint="eastAsia" w:hAnsi="黑体"/>
          <w:b/>
          <w:color w:val="auto"/>
          <w:sz w:val="32"/>
          <w:szCs w:val="32"/>
        </w:rPr>
        <w:t>六、一般公共预算财政拨款基本支出决算情况说明</w:t>
      </w:r>
    </w:p>
    <w:p>
      <w:pPr>
        <w:pStyle w:val="13"/>
        <w:ind w:firstLine="640" w:firstLineChars="200"/>
        <w:rPr>
          <w:rFonts w:asciiTheme="minorEastAsia" w:hAnsiTheme="minorEastAsia" w:eastAsiaTheme="minorEastAsia"/>
          <w:i/>
          <w:color w:val="auto"/>
          <w:sz w:val="32"/>
          <w:szCs w:val="32"/>
        </w:rPr>
      </w:pPr>
      <w:r>
        <w:rPr>
          <w:rFonts w:hint="eastAsia" w:asciiTheme="minorEastAsia" w:hAnsiTheme="minorEastAsia" w:eastAsiaTheme="minorEastAsia"/>
          <w:color w:val="auto"/>
          <w:sz w:val="32"/>
          <w:szCs w:val="32"/>
        </w:rPr>
        <w:t>2021年度财政拨款基本支出</w:t>
      </w:r>
      <w:r>
        <w:rPr>
          <w:rFonts w:hint="eastAsia" w:asciiTheme="minorEastAsia" w:hAnsiTheme="minorEastAsia" w:eastAsiaTheme="minorEastAsia"/>
          <w:color w:val="auto"/>
          <w:sz w:val="32"/>
          <w:szCs w:val="32"/>
          <w:lang w:val="en-US" w:eastAsia="zh-CN"/>
        </w:rPr>
        <w:t>369.17</w:t>
      </w:r>
      <w:r>
        <w:rPr>
          <w:rFonts w:hint="eastAsia" w:asciiTheme="minorEastAsia" w:hAnsiTheme="minorEastAsia" w:eastAsiaTheme="minorEastAsia"/>
          <w:color w:val="auto"/>
          <w:sz w:val="32"/>
          <w:szCs w:val="32"/>
        </w:rPr>
        <w:t>万元，其中：人员经费</w:t>
      </w:r>
      <w:r>
        <w:rPr>
          <w:rFonts w:hint="eastAsia" w:asciiTheme="minorEastAsia" w:hAnsiTheme="minorEastAsia" w:eastAsiaTheme="minorEastAsia"/>
          <w:color w:val="auto"/>
          <w:sz w:val="32"/>
          <w:szCs w:val="32"/>
          <w:lang w:val="en-US" w:eastAsia="zh-CN"/>
        </w:rPr>
        <w:t>352.24</w:t>
      </w:r>
      <w:r>
        <w:rPr>
          <w:rFonts w:hint="eastAsia" w:asciiTheme="minorEastAsia" w:hAnsiTheme="minorEastAsia" w:eastAsiaTheme="minorEastAsia"/>
          <w:color w:val="auto"/>
          <w:sz w:val="32"/>
          <w:szCs w:val="32"/>
        </w:rPr>
        <w:t>万元，占基本支出的</w:t>
      </w:r>
      <w:r>
        <w:rPr>
          <w:rFonts w:hint="eastAsia" w:asciiTheme="minorEastAsia" w:hAnsiTheme="minorEastAsia" w:eastAsiaTheme="minorEastAsia"/>
          <w:color w:val="auto"/>
          <w:sz w:val="32"/>
          <w:szCs w:val="32"/>
          <w:lang w:val="en-US" w:eastAsia="zh-CN"/>
        </w:rPr>
        <w:t>95.41</w:t>
      </w:r>
      <w:r>
        <w:rPr>
          <w:rFonts w:hint="eastAsia" w:asciiTheme="minorEastAsia" w:hAnsiTheme="minorEastAsia" w:eastAsiaTheme="minorEastAsia"/>
          <w:color w:val="auto"/>
          <w:sz w:val="32"/>
          <w:szCs w:val="32"/>
        </w:rPr>
        <w:t>%,主要包括基本工资、津贴补贴、奖金、伙食补助费</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lang w:val="en-US" w:eastAsia="zh-CN"/>
        </w:rPr>
        <w:t>绩效工资、机关事业单位基本养老保险缴费、职工基本医疗保险缴费、住房公积金、其他工资福利支出</w:t>
      </w:r>
      <w:r>
        <w:rPr>
          <w:rFonts w:hint="eastAsia" w:asciiTheme="minorEastAsia" w:hAnsiTheme="minorEastAsia" w:eastAsiaTheme="minorEastAsia"/>
          <w:color w:val="auto"/>
          <w:sz w:val="32"/>
          <w:szCs w:val="32"/>
        </w:rPr>
        <w:t>；公用经费</w:t>
      </w:r>
      <w:r>
        <w:rPr>
          <w:rFonts w:hint="eastAsia" w:asciiTheme="minorEastAsia" w:hAnsiTheme="minorEastAsia" w:eastAsiaTheme="minorEastAsia"/>
          <w:color w:val="auto"/>
          <w:sz w:val="32"/>
          <w:szCs w:val="32"/>
          <w:lang w:val="en-US" w:eastAsia="zh-CN"/>
        </w:rPr>
        <w:t>16.93</w:t>
      </w:r>
      <w:r>
        <w:rPr>
          <w:rFonts w:hint="eastAsia" w:asciiTheme="minorEastAsia" w:hAnsiTheme="minorEastAsia" w:eastAsiaTheme="minorEastAsia"/>
          <w:color w:val="auto"/>
          <w:sz w:val="32"/>
          <w:szCs w:val="32"/>
        </w:rPr>
        <w:t>万元，占基本支出的</w:t>
      </w:r>
      <w:r>
        <w:rPr>
          <w:rFonts w:hint="eastAsia" w:asciiTheme="minorEastAsia" w:hAnsiTheme="minorEastAsia" w:eastAsiaTheme="minorEastAsia"/>
          <w:color w:val="auto"/>
          <w:sz w:val="32"/>
          <w:szCs w:val="32"/>
          <w:lang w:val="en-US" w:eastAsia="zh-CN"/>
        </w:rPr>
        <w:t>4.59</w:t>
      </w:r>
      <w:r>
        <w:rPr>
          <w:rFonts w:hint="eastAsia" w:asciiTheme="minorEastAsia" w:hAnsiTheme="minorEastAsia" w:eastAsiaTheme="minorEastAsia"/>
          <w:color w:val="auto"/>
          <w:sz w:val="32"/>
          <w:szCs w:val="32"/>
        </w:rPr>
        <w:t>%，主要包括办公费、印刷费、咨询费、邮电费</w:t>
      </w:r>
      <w:r>
        <w:rPr>
          <w:rFonts w:hint="eastAsia" w:asciiTheme="minorEastAsia" w:hAnsiTheme="minorEastAsia" w:eastAsiaTheme="minorEastAsia"/>
          <w:color w:val="auto"/>
          <w:sz w:val="32"/>
          <w:szCs w:val="32"/>
          <w:lang w:eastAsia="zh-CN"/>
        </w:rPr>
        <w:t>、维修（护）费、公务接待费、工会经费、福利费、公务用车运行维护费、其他交通费用、其他商品和服务支出、办公设备购置</w:t>
      </w:r>
      <w:r>
        <w:rPr>
          <w:rFonts w:hint="eastAsia" w:asciiTheme="minorEastAsia" w:hAnsiTheme="minorEastAsia" w:eastAsiaTheme="minorEastAsia"/>
          <w:color w:val="auto"/>
          <w:sz w:val="32"/>
          <w:szCs w:val="32"/>
        </w:rPr>
        <w:t>。</w:t>
      </w:r>
    </w:p>
    <w:p>
      <w:pPr>
        <w:pStyle w:val="13"/>
        <w:rPr>
          <w:rFonts w:hAnsi="黑体"/>
          <w:b/>
          <w:color w:val="auto"/>
          <w:sz w:val="32"/>
          <w:szCs w:val="32"/>
        </w:rPr>
      </w:pPr>
      <w:r>
        <w:rPr>
          <w:rFonts w:hint="eastAsia" w:hAnsi="黑体"/>
          <w:b/>
          <w:color w:val="auto"/>
          <w:sz w:val="32"/>
          <w:szCs w:val="32"/>
        </w:rPr>
        <w:t>七、一般公共预算财政拨款“三公”经费支出决算情况说明</w:t>
      </w:r>
    </w:p>
    <w:p>
      <w:pPr>
        <w:pStyle w:val="13"/>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（一）“三公”经费财政拨款支出决算总体情况说明</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2021年度“三公”经费财政拨款支出预算为</w:t>
      </w:r>
      <w:r>
        <w:rPr>
          <w:rFonts w:hint="eastAsia" w:asciiTheme="minorEastAsia" w:hAnsiTheme="minorEastAsia" w:eastAsiaTheme="minorEastAsia"/>
          <w:color w:val="auto"/>
          <w:sz w:val="32"/>
          <w:szCs w:val="32"/>
          <w:lang w:val="en-US" w:eastAsia="zh-CN"/>
        </w:rPr>
        <w:t>3.06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2.63</w:t>
      </w:r>
      <w:r>
        <w:rPr>
          <w:rFonts w:hint="eastAsia" w:asciiTheme="minorEastAsia" w:hAnsiTheme="minorEastAsia" w:eastAsiaTheme="minorEastAsia"/>
          <w:color w:val="auto"/>
          <w:sz w:val="32"/>
          <w:szCs w:val="32"/>
        </w:rPr>
        <w:t>万元，完成预算的</w:t>
      </w:r>
      <w:r>
        <w:rPr>
          <w:rFonts w:hint="eastAsia" w:asciiTheme="minorEastAsia" w:hAnsiTheme="minorEastAsia" w:eastAsiaTheme="minorEastAsia"/>
          <w:color w:val="auto"/>
          <w:sz w:val="32"/>
          <w:szCs w:val="32"/>
          <w:lang w:val="en-US" w:eastAsia="zh-CN"/>
        </w:rPr>
        <w:t>85.95</w:t>
      </w:r>
      <w:r>
        <w:rPr>
          <w:rFonts w:hint="eastAsia" w:asciiTheme="minorEastAsia" w:hAnsiTheme="minorEastAsia" w:eastAsiaTheme="minorEastAsia"/>
          <w:color w:val="auto"/>
          <w:sz w:val="32"/>
          <w:szCs w:val="32"/>
        </w:rPr>
        <w:t>%，其中：</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因公出国（境）费支出预算为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val="en-US" w:eastAsia="zh-CN"/>
        </w:rPr>
        <w:t>由于预算数为0，无法计算百分比</w:t>
      </w:r>
      <w:r>
        <w:rPr>
          <w:rFonts w:hint="eastAsia" w:asciiTheme="minorEastAsia" w:hAnsiTheme="minorEastAsia" w:eastAsiaTheme="minorEastAsia"/>
          <w:color w:val="auto"/>
          <w:sz w:val="32"/>
          <w:szCs w:val="32"/>
          <w:lang w:eastAsia="zh-CN"/>
        </w:rPr>
        <w:t>。</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公务接待费支出预算为</w:t>
      </w:r>
      <w:r>
        <w:rPr>
          <w:rFonts w:hint="eastAsia" w:asciiTheme="minorEastAsia" w:hAnsiTheme="minorEastAsia" w:eastAsiaTheme="minorEastAsia"/>
          <w:color w:val="auto"/>
          <w:sz w:val="32"/>
          <w:szCs w:val="32"/>
          <w:lang w:val="en-US" w:eastAsia="zh-CN"/>
        </w:rPr>
        <w:t>0.6</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0.6</w:t>
      </w:r>
      <w:r>
        <w:rPr>
          <w:rFonts w:hint="eastAsia" w:asciiTheme="minorEastAsia" w:hAnsiTheme="minorEastAsia" w:eastAsiaTheme="minorEastAsia"/>
          <w:color w:val="auto"/>
          <w:sz w:val="32"/>
          <w:szCs w:val="32"/>
        </w:rPr>
        <w:t>万元，完成预算的</w:t>
      </w:r>
      <w:r>
        <w:rPr>
          <w:rFonts w:hint="eastAsia" w:asciiTheme="minorEastAsia" w:hAnsiTheme="minorEastAsia" w:eastAsiaTheme="minorEastAsia"/>
          <w:color w:val="auto"/>
          <w:sz w:val="32"/>
          <w:szCs w:val="32"/>
          <w:lang w:val="en-US" w:eastAsia="zh-CN"/>
        </w:rPr>
        <w:t>100</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w:t>
      </w:r>
    </w:p>
    <w:p>
      <w:pPr>
        <w:pStyle w:val="13"/>
        <w:ind w:firstLine="800" w:firstLineChars="25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公务用车购置费支出预算为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万元，支出决算为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val="en-US" w:eastAsia="zh-CN"/>
        </w:rPr>
        <w:t>由于预算数为0，无法计算百分比</w:t>
      </w:r>
      <w:r>
        <w:rPr>
          <w:rFonts w:hint="eastAsia" w:asciiTheme="minorEastAsia" w:hAnsiTheme="minorEastAsia" w:eastAsiaTheme="minorEastAsia"/>
          <w:color w:val="auto"/>
          <w:sz w:val="32"/>
          <w:szCs w:val="32"/>
        </w:rPr>
        <w:t>。</w:t>
      </w:r>
    </w:p>
    <w:p>
      <w:pPr>
        <w:pStyle w:val="13"/>
        <w:ind w:firstLine="800" w:firstLineChars="25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公务用车运行维护费支出预算为</w:t>
      </w:r>
      <w:r>
        <w:rPr>
          <w:rFonts w:hint="eastAsia" w:asciiTheme="minorEastAsia" w:hAnsiTheme="minorEastAsia" w:eastAsiaTheme="minorEastAsia"/>
          <w:color w:val="auto"/>
          <w:sz w:val="32"/>
          <w:szCs w:val="32"/>
          <w:lang w:val="en-US" w:eastAsia="zh-CN"/>
        </w:rPr>
        <w:t>3</w:t>
      </w:r>
      <w:r>
        <w:rPr>
          <w:rFonts w:hint="eastAsia" w:asciiTheme="minorEastAsia" w:hAnsiTheme="minorEastAsia" w:eastAsiaTheme="minorEastAsia"/>
          <w:color w:val="auto"/>
          <w:sz w:val="32"/>
          <w:szCs w:val="32"/>
        </w:rPr>
        <w:t>元，支出决算为</w:t>
      </w:r>
      <w:r>
        <w:rPr>
          <w:rFonts w:hint="eastAsia" w:asciiTheme="minorEastAsia" w:hAnsiTheme="minorEastAsia" w:eastAsiaTheme="minorEastAsia"/>
          <w:color w:val="auto"/>
          <w:sz w:val="32"/>
          <w:szCs w:val="32"/>
          <w:lang w:val="en-US" w:eastAsia="zh-CN"/>
        </w:rPr>
        <w:t>2.03</w:t>
      </w:r>
      <w:r>
        <w:rPr>
          <w:rFonts w:hint="eastAsia" w:asciiTheme="minorEastAsia" w:hAnsiTheme="minorEastAsia" w:eastAsiaTheme="minorEastAsia"/>
          <w:color w:val="auto"/>
          <w:sz w:val="32"/>
          <w:szCs w:val="32"/>
        </w:rPr>
        <w:t>万元，完成预算的</w:t>
      </w:r>
      <w:r>
        <w:rPr>
          <w:rFonts w:hint="eastAsia" w:asciiTheme="minorEastAsia" w:hAnsiTheme="minorEastAsia" w:eastAsiaTheme="minorEastAsia"/>
          <w:color w:val="auto"/>
          <w:sz w:val="32"/>
          <w:szCs w:val="32"/>
          <w:lang w:val="en-US" w:eastAsia="zh-CN"/>
        </w:rPr>
        <w:t>67.67</w:t>
      </w:r>
      <w:r>
        <w:rPr>
          <w:rFonts w:hint="eastAsia" w:asciiTheme="minorEastAsia" w:hAnsiTheme="minorEastAsia" w:eastAsiaTheme="minorEastAsia"/>
          <w:color w:val="auto"/>
          <w:sz w:val="32"/>
          <w:szCs w:val="32"/>
        </w:rPr>
        <w:t>%，决算数小于预算数的主要原因是市内公务活动开展减少，业务开展使用租赁公司租车</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与上年相比减少</w:t>
      </w:r>
      <w:r>
        <w:rPr>
          <w:rFonts w:hint="eastAsia" w:asciiTheme="minorEastAsia" w:hAnsiTheme="minorEastAsia" w:eastAsiaTheme="minorEastAsia"/>
          <w:color w:val="auto"/>
          <w:sz w:val="32"/>
          <w:szCs w:val="32"/>
          <w:lang w:val="en-US" w:eastAsia="zh-CN"/>
        </w:rPr>
        <w:t>0.51</w:t>
      </w:r>
      <w:r>
        <w:rPr>
          <w:rFonts w:hint="eastAsia" w:asciiTheme="minorEastAsia" w:hAnsiTheme="minorEastAsia" w:eastAsiaTheme="minorEastAsia"/>
          <w:color w:val="auto"/>
          <w:sz w:val="32"/>
          <w:szCs w:val="32"/>
        </w:rPr>
        <w:t>万元，减少</w:t>
      </w:r>
      <w:r>
        <w:rPr>
          <w:rFonts w:hint="eastAsia" w:asciiTheme="minorEastAsia" w:hAnsiTheme="minorEastAsia" w:eastAsiaTheme="minorEastAsia"/>
          <w:color w:val="auto"/>
          <w:sz w:val="32"/>
          <w:szCs w:val="32"/>
          <w:lang w:val="en-US" w:eastAsia="zh-CN"/>
        </w:rPr>
        <w:t>20.07</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减少的主要原因是市内公务活动开展减少，业务开展使用租赁公司租车。</w:t>
      </w:r>
    </w:p>
    <w:p>
      <w:pPr>
        <w:pStyle w:val="13"/>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（二）“三公”经费财政拨款支出决算具体情况说明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2021年度“三公”经费财政拨款支出决算中，公务接待费支出决算</w:t>
      </w:r>
      <w:r>
        <w:rPr>
          <w:rFonts w:hint="eastAsia" w:asciiTheme="minorEastAsia" w:hAnsiTheme="minorEastAsia" w:eastAsiaTheme="minorEastAsia"/>
          <w:color w:val="auto"/>
          <w:sz w:val="32"/>
          <w:szCs w:val="32"/>
          <w:lang w:val="en-US" w:eastAsia="zh-CN"/>
        </w:rPr>
        <w:t>0.6</w:t>
      </w:r>
      <w:r>
        <w:rPr>
          <w:rFonts w:hint="eastAsia" w:asciiTheme="minorEastAsia" w:hAnsiTheme="minorEastAsia" w:eastAsiaTheme="minorEastAsia"/>
          <w:color w:val="auto"/>
          <w:sz w:val="32"/>
          <w:szCs w:val="32"/>
        </w:rPr>
        <w:t>万元，占</w:t>
      </w:r>
      <w:r>
        <w:rPr>
          <w:rFonts w:hint="eastAsia" w:asciiTheme="minorEastAsia" w:hAnsiTheme="minorEastAsia" w:eastAsiaTheme="minorEastAsia"/>
          <w:color w:val="auto"/>
          <w:sz w:val="32"/>
          <w:szCs w:val="32"/>
          <w:lang w:val="en-US" w:eastAsia="zh-CN"/>
        </w:rPr>
        <w:t>22.81</w:t>
      </w:r>
      <w:r>
        <w:rPr>
          <w:rFonts w:hint="eastAsia" w:asciiTheme="minorEastAsia" w:hAnsiTheme="minorEastAsia" w:eastAsiaTheme="minorEastAsia"/>
          <w:color w:val="auto"/>
          <w:sz w:val="32"/>
          <w:szCs w:val="32"/>
        </w:rPr>
        <w:t>%,因公出国（境）费支出决算</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由于决算数为0，无法计算百分比</w:t>
      </w:r>
      <w:r>
        <w:rPr>
          <w:rFonts w:hint="eastAsia" w:asciiTheme="minorEastAsia" w:hAnsiTheme="minorEastAsia" w:eastAsiaTheme="minorEastAsia"/>
          <w:color w:val="auto"/>
          <w:sz w:val="32"/>
          <w:szCs w:val="32"/>
        </w:rPr>
        <w:t>,公务用车购置费及运行维护费支出决算</w:t>
      </w:r>
      <w:r>
        <w:rPr>
          <w:rFonts w:hint="eastAsia" w:asciiTheme="minorEastAsia" w:hAnsiTheme="minorEastAsia" w:eastAsiaTheme="minorEastAsia"/>
          <w:color w:val="auto"/>
          <w:sz w:val="32"/>
          <w:szCs w:val="32"/>
          <w:lang w:val="en-US" w:eastAsia="zh-CN"/>
        </w:rPr>
        <w:t>2.03万</w:t>
      </w:r>
      <w:r>
        <w:rPr>
          <w:rFonts w:hint="eastAsia" w:asciiTheme="minorEastAsia" w:hAnsiTheme="minorEastAsia" w:eastAsiaTheme="minorEastAsia"/>
          <w:color w:val="auto"/>
          <w:sz w:val="32"/>
          <w:szCs w:val="32"/>
        </w:rPr>
        <w:t>元，占</w:t>
      </w:r>
      <w:r>
        <w:rPr>
          <w:rFonts w:hint="eastAsia" w:asciiTheme="minorEastAsia" w:hAnsiTheme="minorEastAsia" w:eastAsiaTheme="minorEastAsia"/>
          <w:color w:val="auto"/>
          <w:sz w:val="32"/>
          <w:szCs w:val="32"/>
          <w:lang w:val="en-US" w:eastAsia="zh-CN"/>
        </w:rPr>
        <w:t>77.19</w:t>
      </w:r>
      <w:r>
        <w:rPr>
          <w:rFonts w:hint="eastAsia" w:asciiTheme="minorEastAsia" w:hAnsiTheme="minorEastAsia" w:eastAsiaTheme="minorEastAsia"/>
          <w:color w:val="auto"/>
          <w:sz w:val="32"/>
          <w:szCs w:val="32"/>
        </w:rPr>
        <w:t>%。其中：</w:t>
      </w:r>
    </w:p>
    <w:p>
      <w:pPr>
        <w:pStyle w:val="13"/>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1、因公出国（境）费支出决算为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万元，全年安排因公出国（境）团组</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，累计</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人次</w:t>
      </w:r>
      <w:r>
        <w:rPr>
          <w:rFonts w:hint="eastAsia" w:asciiTheme="minorEastAsia" w:hAnsiTheme="minorEastAsia" w:eastAsiaTheme="minorEastAsia"/>
          <w:color w:val="auto"/>
          <w:sz w:val="32"/>
          <w:szCs w:val="32"/>
          <w:lang w:eastAsia="zh-CN"/>
        </w:rPr>
        <w:t>。</w:t>
      </w:r>
    </w:p>
    <w:p>
      <w:pPr>
        <w:pStyle w:val="13"/>
        <w:ind w:firstLine="800" w:firstLineChars="250"/>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cstheme="minorBidi"/>
          <w:color w:val="auto"/>
          <w:kern w:val="2"/>
          <w:sz w:val="32"/>
          <w:szCs w:val="32"/>
          <w:lang w:val="en-US" w:eastAsia="zh-CN" w:bidi="ar-SA"/>
        </w:rPr>
        <w:t>2、公务接待费支出决算为0.6万元，全年共接待来访团组11个、来宾72人次，主要是食品安全检查相关业务往来发生的接待支出。</w:t>
      </w:r>
    </w:p>
    <w:p>
      <w:pPr>
        <w:ind w:firstLine="800" w:firstLineChars="250"/>
        <w:rPr>
          <w:rFonts w:cs="黑体" w:asciiTheme="minorEastAsia" w:hAnsiTheme="minorEastAsia"/>
          <w:color w:val="auto"/>
          <w:kern w:val="0"/>
          <w:sz w:val="32"/>
          <w:szCs w:val="32"/>
        </w:rPr>
      </w:pPr>
      <w:r>
        <w:rPr>
          <w:rFonts w:hint="eastAsia" w:asciiTheme="minorEastAsia" w:hAnsiTheme="minorEastAsia"/>
          <w:color w:val="auto"/>
          <w:sz w:val="32"/>
          <w:szCs w:val="32"/>
        </w:rPr>
        <w:t>3、公务用车购置费及运行维护费支出决算为</w:t>
      </w:r>
      <w:r>
        <w:rPr>
          <w:rFonts w:hint="eastAsia" w:asciiTheme="minorEastAsia" w:hAnsiTheme="minorEastAsia"/>
          <w:color w:val="auto"/>
          <w:sz w:val="32"/>
          <w:szCs w:val="32"/>
          <w:lang w:val="en-US" w:eastAsia="zh-CN"/>
        </w:rPr>
        <w:t>2.03</w:t>
      </w:r>
      <w:r>
        <w:rPr>
          <w:rFonts w:hint="eastAsia" w:asciiTheme="minorEastAsia" w:hAnsiTheme="minorEastAsia"/>
          <w:color w:val="auto"/>
          <w:sz w:val="32"/>
          <w:szCs w:val="32"/>
        </w:rPr>
        <w:t>万元，其中：公务用车购置费</w:t>
      </w:r>
      <w:r>
        <w:rPr>
          <w:rFonts w:hint="eastAsia" w:asciiTheme="minorEastAsia" w:hAnsiTheme="minorEastAsia"/>
          <w:color w:val="auto"/>
          <w:sz w:val="32"/>
          <w:szCs w:val="32"/>
          <w:lang w:val="en-US" w:eastAsia="zh-CN"/>
        </w:rPr>
        <w:t>0</w:t>
      </w:r>
      <w:r>
        <w:rPr>
          <w:rFonts w:hint="eastAsia" w:asciiTheme="minorEastAsia" w:hAnsiTheme="minorEastAsia"/>
          <w:color w:val="auto"/>
          <w:sz w:val="32"/>
          <w:szCs w:val="32"/>
        </w:rPr>
        <w:t>万元，</w:t>
      </w:r>
      <w:r>
        <w:rPr>
          <w:rFonts w:hint="eastAsia" w:asciiTheme="minorEastAsia" w:hAnsiTheme="minorEastAsia"/>
          <w:color w:val="auto"/>
          <w:sz w:val="32"/>
          <w:szCs w:val="32"/>
          <w:lang w:val="en-US" w:eastAsia="zh-CN"/>
        </w:rPr>
        <w:t>2021年公务用车购置数为0辆，</w:t>
      </w:r>
      <w:r>
        <w:rPr>
          <w:rFonts w:hint="eastAsia" w:asciiTheme="minorEastAsia" w:hAnsiTheme="minorEastAsia"/>
          <w:color w:val="auto"/>
          <w:sz w:val="32"/>
          <w:szCs w:val="32"/>
        </w:rPr>
        <w:t>公务用车运行维护费</w:t>
      </w:r>
      <w:r>
        <w:rPr>
          <w:rFonts w:hint="eastAsia" w:asciiTheme="minorEastAsia" w:hAnsiTheme="minorEastAsia"/>
          <w:color w:val="auto"/>
          <w:sz w:val="32"/>
          <w:szCs w:val="32"/>
          <w:lang w:val="en-US" w:eastAsia="zh-CN"/>
        </w:rPr>
        <w:t>2.03</w:t>
      </w:r>
      <w:r>
        <w:rPr>
          <w:rFonts w:hint="eastAsia" w:asciiTheme="minorEastAsia" w:hAnsiTheme="minorEastAsia"/>
          <w:color w:val="auto"/>
          <w:sz w:val="32"/>
          <w:szCs w:val="32"/>
        </w:rPr>
        <w:t>万元，主要是公务车辆保险、加油、过路费支出，截止202</w:t>
      </w:r>
      <w:r>
        <w:rPr>
          <w:rFonts w:hint="eastAsia" w:asciiTheme="minorEastAsia" w:hAnsiTheme="minorEastAsia"/>
          <w:color w:val="auto"/>
          <w:sz w:val="32"/>
          <w:szCs w:val="32"/>
          <w:lang w:val="en-US" w:eastAsia="zh-CN"/>
        </w:rPr>
        <w:t>1</w:t>
      </w:r>
      <w:r>
        <w:rPr>
          <w:rFonts w:hint="eastAsia" w:asciiTheme="minorEastAsia" w:hAnsiTheme="minorEastAsia"/>
          <w:color w:val="auto"/>
          <w:sz w:val="32"/>
          <w:szCs w:val="32"/>
        </w:rPr>
        <w:t>年12月31日，我单位开支财政拨款的公务用车保有量为1辆。</w:t>
      </w:r>
    </w:p>
    <w:p>
      <w:pPr>
        <w:pStyle w:val="13"/>
        <w:rPr>
          <w:rFonts w:hAnsi="黑体"/>
          <w:b/>
          <w:color w:val="auto"/>
          <w:sz w:val="32"/>
          <w:szCs w:val="32"/>
        </w:rPr>
      </w:pPr>
      <w:r>
        <w:rPr>
          <w:rFonts w:hint="eastAsia" w:hAnsi="黑体"/>
          <w:b/>
          <w:color w:val="auto"/>
          <w:sz w:val="32"/>
          <w:szCs w:val="32"/>
        </w:rPr>
        <w:t>八、政府性基金预算收入支出决算情况</w:t>
      </w:r>
    </w:p>
    <w:p>
      <w:pPr>
        <w:pStyle w:val="13"/>
        <w:ind w:firstLine="640" w:firstLineChars="200"/>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cstheme="minorBidi"/>
          <w:color w:val="auto"/>
          <w:kern w:val="2"/>
          <w:sz w:val="32"/>
          <w:szCs w:val="32"/>
          <w:lang w:val="en-US" w:eastAsia="zh-CN" w:bidi="ar-SA"/>
        </w:rPr>
        <w:t>湖南省食品安全审评认证中心2021年没有政府性基金收入，也没有使用政府性基金安排的支出。</w:t>
      </w:r>
    </w:p>
    <w:p>
      <w:pPr>
        <w:pStyle w:val="13"/>
        <w:rPr>
          <w:rFonts w:hAnsi="黑体"/>
          <w:b/>
          <w:color w:val="auto"/>
          <w:sz w:val="32"/>
          <w:szCs w:val="32"/>
        </w:rPr>
      </w:pPr>
      <w:r>
        <w:rPr>
          <w:rFonts w:hint="eastAsia" w:hAnsi="黑体"/>
          <w:b/>
          <w:color w:val="auto"/>
          <w:sz w:val="32"/>
          <w:szCs w:val="32"/>
        </w:rPr>
        <w:t>九、机关运行经费支出说明</w:t>
      </w:r>
    </w:p>
    <w:p>
      <w:pPr>
        <w:pStyle w:val="13"/>
        <w:ind w:firstLine="640" w:firstLineChars="200"/>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cstheme="minorBidi"/>
          <w:color w:val="auto"/>
          <w:kern w:val="2"/>
          <w:sz w:val="32"/>
          <w:szCs w:val="32"/>
          <w:lang w:val="en-US" w:eastAsia="zh-CN" w:bidi="ar-SA"/>
        </w:rPr>
        <w:t>湖南省食品安全审评认证中心2021年度机关运行经费支出16.93万元，比上年决算数减少4.67万元，降低21.61%。主要原因是2021年受疫情影响，2021年工作正常开展的公用经费支出。</w:t>
      </w:r>
    </w:p>
    <w:p>
      <w:pPr>
        <w:pStyle w:val="13"/>
        <w:rPr>
          <w:rFonts w:hAnsi="黑体"/>
          <w:b/>
          <w:color w:val="auto"/>
          <w:sz w:val="32"/>
          <w:szCs w:val="32"/>
        </w:rPr>
      </w:pPr>
      <w:r>
        <w:rPr>
          <w:rFonts w:hint="eastAsia" w:hAnsi="黑体"/>
          <w:b/>
          <w:color w:val="auto"/>
          <w:sz w:val="32"/>
          <w:szCs w:val="32"/>
        </w:rPr>
        <w:t>十、一般性支出情况说明</w:t>
      </w:r>
    </w:p>
    <w:p>
      <w:pPr>
        <w:pStyle w:val="13"/>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color w:val="auto"/>
          <w:sz w:val="32"/>
          <w:szCs w:val="32"/>
        </w:rPr>
        <w:t>2021年本部门开支会议费</w:t>
      </w:r>
      <w:r>
        <w:rPr>
          <w:rFonts w:hint="eastAsia" w:asciiTheme="minorEastAsia" w:hAnsiTheme="minorEastAsia" w:eastAsiaTheme="minorEastAsia"/>
          <w:color w:val="auto"/>
          <w:sz w:val="32"/>
          <w:szCs w:val="32"/>
          <w:lang w:val="en-US" w:eastAsia="zh-CN"/>
        </w:rPr>
        <w:t>0.47</w:t>
      </w:r>
      <w:r>
        <w:rPr>
          <w:rFonts w:hint="eastAsia" w:asciiTheme="minorEastAsia" w:hAnsiTheme="minorEastAsia" w:eastAsiaTheme="minorEastAsia"/>
          <w:color w:val="auto"/>
          <w:sz w:val="32"/>
          <w:szCs w:val="32"/>
        </w:rPr>
        <w:t>万元，用于召开</w:t>
      </w:r>
      <w:r>
        <w:rPr>
          <w:rFonts w:hint="eastAsia" w:asciiTheme="minorEastAsia" w:hAnsiTheme="minorEastAsia" w:eastAsiaTheme="minorEastAsia"/>
          <w:color w:val="auto"/>
          <w:sz w:val="32"/>
          <w:szCs w:val="32"/>
          <w:lang w:val="en-US" w:eastAsia="zh-CN"/>
        </w:rPr>
        <w:t>省保健食品生产企业负责人暨体系检查情况通报会、湘酒市场现状分析暨产业发展与示范研究项目验收会议、学校食堂建设和食品安全规范会</w:t>
      </w:r>
      <w:r>
        <w:rPr>
          <w:rFonts w:hint="eastAsia" w:asciiTheme="minorEastAsia" w:hAnsiTheme="minorEastAsia" w:eastAsiaTheme="minorEastAsia"/>
          <w:color w:val="auto"/>
          <w:sz w:val="32"/>
          <w:szCs w:val="32"/>
        </w:rPr>
        <w:t>，人数</w:t>
      </w:r>
      <w:r>
        <w:rPr>
          <w:rFonts w:hint="eastAsia" w:asciiTheme="minorEastAsia" w:hAnsiTheme="minorEastAsia" w:eastAsiaTheme="minorEastAsia"/>
          <w:color w:val="auto"/>
          <w:sz w:val="32"/>
          <w:szCs w:val="32"/>
          <w:lang w:val="en-US" w:eastAsia="zh-CN"/>
        </w:rPr>
        <w:t>79</w:t>
      </w:r>
      <w:r>
        <w:rPr>
          <w:rFonts w:hint="eastAsia" w:asciiTheme="minorEastAsia" w:hAnsiTheme="minorEastAsia" w:eastAsiaTheme="minorEastAsia"/>
          <w:color w:val="auto"/>
          <w:sz w:val="32"/>
          <w:szCs w:val="32"/>
        </w:rPr>
        <w:t>人，内容为食品安全标准及检查相关会议；开支培训费</w:t>
      </w:r>
      <w:r>
        <w:rPr>
          <w:rFonts w:hint="eastAsia" w:asciiTheme="minorEastAsia" w:hAnsiTheme="minorEastAsia" w:eastAsiaTheme="minorEastAsia"/>
          <w:color w:val="auto"/>
          <w:sz w:val="32"/>
          <w:szCs w:val="32"/>
          <w:lang w:val="en-US" w:eastAsia="zh-CN"/>
        </w:rPr>
        <w:t>32.95</w:t>
      </w:r>
      <w:r>
        <w:rPr>
          <w:rFonts w:hint="eastAsia" w:asciiTheme="minorEastAsia" w:hAnsiTheme="minorEastAsia" w:eastAsiaTheme="minorEastAsia"/>
          <w:color w:val="auto"/>
          <w:sz w:val="32"/>
          <w:szCs w:val="32"/>
        </w:rPr>
        <w:t>万元，用于开展湖南省特殊食品及食盐业务、全省食品生产许可现场核查业务培训，人数</w:t>
      </w:r>
      <w:r>
        <w:rPr>
          <w:rFonts w:hint="eastAsia" w:asciiTheme="minorEastAsia" w:hAnsiTheme="minorEastAsia" w:eastAsiaTheme="minorEastAsia"/>
          <w:color w:val="auto"/>
          <w:sz w:val="32"/>
          <w:szCs w:val="32"/>
          <w:lang w:val="en-US" w:eastAsia="zh-CN"/>
        </w:rPr>
        <w:t>334</w:t>
      </w:r>
      <w:r>
        <w:rPr>
          <w:rFonts w:hint="eastAsia" w:asciiTheme="minorEastAsia" w:hAnsiTheme="minorEastAsia" w:eastAsiaTheme="minorEastAsia"/>
          <w:color w:val="auto"/>
          <w:sz w:val="32"/>
          <w:szCs w:val="32"/>
        </w:rPr>
        <w:t>人，内容为食品生产许可现场核查及特殊食品业务检查人员培训</w:t>
      </w:r>
      <w:r>
        <w:rPr>
          <w:rFonts w:hint="eastAsia" w:asciiTheme="minorEastAsia" w:hAnsiTheme="minorEastAsia" w:eastAsiaTheme="minorEastAsia"/>
          <w:color w:val="auto"/>
          <w:sz w:val="32"/>
          <w:szCs w:val="32"/>
          <w:lang w:eastAsia="zh-CN"/>
        </w:rPr>
        <w:t>。</w:t>
      </w:r>
    </w:p>
    <w:p>
      <w:pPr>
        <w:pStyle w:val="13"/>
        <w:rPr>
          <w:rFonts w:hAnsi="黑体"/>
          <w:b/>
          <w:color w:val="auto"/>
          <w:sz w:val="32"/>
          <w:szCs w:val="32"/>
        </w:rPr>
      </w:pPr>
      <w:r>
        <w:rPr>
          <w:rFonts w:hint="eastAsia" w:hAnsi="黑体"/>
          <w:b/>
          <w:color w:val="auto"/>
          <w:sz w:val="32"/>
          <w:szCs w:val="32"/>
        </w:rPr>
        <w:t>十一、政府采购支出说明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2021年度政府采购支出总额</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万元，其中：政府采购货物支出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万元、政府采购工程支出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万元、政府采购服务支出</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万元。授予中小企业合同金额</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万元，占政府采购支出总额的</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%，其中：授予小微企业合同金额</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万元，占授予中小企业合同金额的</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%；货物采购授予中小企业合同金额占货物支出金额的</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%，工程采购授予中小企业合同金额占工程支出金额的</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%，服务采购授予中小企业合同金额占服务支出金额的</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w:t>
      </w:r>
    </w:p>
    <w:p>
      <w:pPr>
        <w:pStyle w:val="13"/>
        <w:rPr>
          <w:rFonts w:hAnsi="黑体"/>
          <w:b/>
          <w:color w:val="auto"/>
          <w:sz w:val="32"/>
          <w:szCs w:val="32"/>
        </w:rPr>
      </w:pPr>
      <w:r>
        <w:rPr>
          <w:rFonts w:hint="eastAsia" w:hAnsi="黑体"/>
          <w:b/>
          <w:color w:val="auto"/>
          <w:sz w:val="32"/>
          <w:szCs w:val="32"/>
        </w:rPr>
        <w:t>十二、国有资产占用情况说明</w:t>
      </w:r>
    </w:p>
    <w:p>
      <w:pPr>
        <w:pStyle w:val="13"/>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截至2021年12月31日，</w:t>
      </w:r>
      <w:r>
        <w:rPr>
          <w:rFonts w:hint="eastAsia" w:asciiTheme="minorEastAsia" w:hAnsiTheme="minorEastAsia" w:eastAsiaTheme="minorEastAsia"/>
          <w:color w:val="auto"/>
          <w:sz w:val="32"/>
          <w:szCs w:val="32"/>
          <w:lang w:val="en-US" w:eastAsia="zh-CN"/>
        </w:rPr>
        <w:t>本</w:t>
      </w:r>
      <w:r>
        <w:rPr>
          <w:rFonts w:hint="eastAsia" w:asciiTheme="minorEastAsia" w:hAnsiTheme="minorEastAsia" w:eastAsiaTheme="minorEastAsia"/>
          <w:color w:val="auto"/>
          <w:sz w:val="32"/>
          <w:szCs w:val="32"/>
        </w:rPr>
        <w:t>单位共有车辆</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辆，其中，主要领导干部用车</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辆，机要通信用车</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辆、应急保障用车</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辆、执法执勤用车</w:t>
      </w:r>
      <w:r>
        <w:rPr>
          <w:rFonts w:hint="eastAsia" w:asciiTheme="minorEastAsia" w:hAnsiTheme="minorEastAsia" w:eastAsiaTheme="minorEastAsia"/>
          <w:color w:val="auto"/>
          <w:sz w:val="32"/>
          <w:szCs w:val="32"/>
          <w:lang w:val="en-US" w:eastAsia="zh-CN"/>
        </w:rPr>
        <w:t>1</w:t>
      </w:r>
      <w:r>
        <w:rPr>
          <w:rFonts w:hint="eastAsia" w:asciiTheme="minorEastAsia" w:hAnsiTheme="minorEastAsia" w:eastAsiaTheme="minorEastAsia"/>
          <w:color w:val="auto"/>
          <w:sz w:val="32"/>
          <w:szCs w:val="32"/>
        </w:rPr>
        <w:t>辆、特种专业技术用车</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辆、其他用车</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辆，单位价值50万元以上通用设备</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台（套）</w:t>
      </w:r>
      <w:r>
        <w:rPr>
          <w:rFonts w:hint="eastAsia" w:asciiTheme="minorEastAsia" w:hAnsiTheme="minorEastAsia" w:eastAsiaTheme="minorEastAsia"/>
          <w:color w:val="auto"/>
          <w:sz w:val="32"/>
          <w:szCs w:val="32"/>
          <w:lang w:eastAsia="zh-CN"/>
        </w:rPr>
        <w:t>；</w:t>
      </w:r>
      <w:r>
        <w:rPr>
          <w:rFonts w:hint="eastAsia" w:asciiTheme="minorEastAsia" w:hAnsiTheme="minorEastAsia" w:eastAsiaTheme="minorEastAsia"/>
          <w:color w:val="auto"/>
          <w:sz w:val="32"/>
          <w:szCs w:val="32"/>
        </w:rPr>
        <w:t>单位价值100万元以上专用设备</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台（套）。</w:t>
      </w:r>
    </w:p>
    <w:p>
      <w:pPr>
        <w:pStyle w:val="13"/>
        <w:rPr>
          <w:rFonts w:hAnsi="黑体"/>
          <w:b/>
          <w:color w:val="auto"/>
          <w:sz w:val="32"/>
          <w:szCs w:val="32"/>
        </w:rPr>
      </w:pPr>
      <w:r>
        <w:rPr>
          <w:rFonts w:hint="eastAsia" w:hAnsi="黑体"/>
          <w:b/>
          <w:color w:val="auto"/>
          <w:sz w:val="32"/>
          <w:szCs w:val="32"/>
        </w:rPr>
        <w:t>十三、2021年度预算绩效情况说明</w:t>
      </w:r>
    </w:p>
    <w:p>
      <w:pPr>
        <w:pStyle w:val="13"/>
        <w:ind w:firstLine="640" w:firstLineChars="20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rPr>
        <w:t>本部门预算绩效管理开展情况、绩效目标和绩效评价报告等，详见附件《</w:t>
      </w:r>
      <w:r>
        <w:rPr>
          <w:rFonts w:hint="eastAsia" w:asciiTheme="minorEastAsia" w:hAnsiTheme="minorEastAsia" w:eastAsiaTheme="minorEastAsia"/>
          <w:color w:val="auto"/>
          <w:sz w:val="32"/>
          <w:szCs w:val="32"/>
          <w:lang w:val="en-US" w:eastAsia="zh-CN"/>
        </w:rPr>
        <w:t>2021年度湖南省食品安全审评认证中心单位整体支出绩效自评报告》。 </w:t>
      </w: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rPr>
          <w:color w:val="auto"/>
          <w:sz w:val="72"/>
          <w:szCs w:val="72"/>
        </w:rPr>
      </w:pPr>
    </w:p>
    <w:p>
      <w:pPr>
        <w:pStyle w:val="13"/>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center"/>
        <w:rPr>
          <w:rFonts w:hint="eastAsia"/>
          <w:color w:val="auto"/>
          <w:sz w:val="72"/>
          <w:szCs w:val="72"/>
        </w:rPr>
      </w:pPr>
    </w:p>
    <w:p>
      <w:pPr>
        <w:pStyle w:val="13"/>
        <w:jc w:val="center"/>
        <w:rPr>
          <w:rFonts w:hint="eastAsia"/>
          <w:color w:val="auto"/>
          <w:sz w:val="72"/>
          <w:szCs w:val="72"/>
        </w:rPr>
      </w:pPr>
    </w:p>
    <w:p>
      <w:pPr>
        <w:pStyle w:val="13"/>
        <w:jc w:val="center"/>
        <w:rPr>
          <w:rFonts w:hint="eastAsia"/>
          <w:color w:val="auto"/>
          <w:sz w:val="72"/>
          <w:szCs w:val="72"/>
        </w:rPr>
      </w:pPr>
    </w:p>
    <w:p>
      <w:pPr>
        <w:pStyle w:val="13"/>
        <w:jc w:val="center"/>
        <w:rPr>
          <w:rFonts w:hint="eastAsia"/>
          <w:color w:val="auto"/>
          <w:sz w:val="72"/>
          <w:szCs w:val="72"/>
        </w:rPr>
      </w:pPr>
    </w:p>
    <w:p>
      <w:pPr>
        <w:pStyle w:val="13"/>
        <w:jc w:val="center"/>
        <w:rPr>
          <w:rFonts w:hint="eastAsia"/>
          <w:color w:val="auto"/>
          <w:sz w:val="72"/>
          <w:szCs w:val="72"/>
        </w:rPr>
      </w:pPr>
    </w:p>
    <w:p>
      <w:pPr>
        <w:pStyle w:val="13"/>
        <w:jc w:val="center"/>
        <w:rPr>
          <w:rFonts w:hint="eastAsia"/>
          <w:color w:val="auto"/>
          <w:sz w:val="72"/>
          <w:szCs w:val="72"/>
        </w:rPr>
      </w:pPr>
    </w:p>
    <w:p>
      <w:pPr>
        <w:pStyle w:val="13"/>
        <w:jc w:val="both"/>
        <w:rPr>
          <w:rFonts w:hint="eastAsia"/>
          <w:color w:val="auto"/>
          <w:sz w:val="72"/>
          <w:szCs w:val="72"/>
        </w:rPr>
      </w:pPr>
    </w:p>
    <w:p>
      <w:pPr>
        <w:pStyle w:val="13"/>
        <w:jc w:val="center"/>
        <w:rPr>
          <w:rFonts w:hint="eastAsia"/>
          <w:color w:val="auto"/>
          <w:sz w:val="72"/>
          <w:szCs w:val="72"/>
        </w:rPr>
      </w:pPr>
    </w:p>
    <w:p>
      <w:pPr>
        <w:pStyle w:val="13"/>
        <w:jc w:val="center"/>
        <w:rPr>
          <w:rFonts w:hint="eastAsia"/>
          <w:color w:val="auto"/>
          <w:sz w:val="72"/>
          <w:szCs w:val="72"/>
        </w:rPr>
      </w:pPr>
      <w:r>
        <w:rPr>
          <w:rFonts w:hint="eastAsia"/>
          <w:color w:val="auto"/>
          <w:sz w:val="72"/>
          <w:szCs w:val="72"/>
        </w:rPr>
        <w:t>第四部分</w:t>
      </w:r>
    </w:p>
    <w:p>
      <w:pPr>
        <w:pStyle w:val="13"/>
        <w:jc w:val="center"/>
        <w:rPr>
          <w:rFonts w:hint="eastAsia"/>
          <w:color w:val="auto"/>
          <w:sz w:val="72"/>
          <w:szCs w:val="72"/>
        </w:rPr>
      </w:pPr>
    </w:p>
    <w:p>
      <w:pPr>
        <w:pStyle w:val="13"/>
        <w:jc w:val="center"/>
        <w:rPr>
          <w:rFonts w:hint="eastAsia"/>
          <w:color w:val="auto"/>
          <w:sz w:val="72"/>
          <w:szCs w:val="72"/>
        </w:rPr>
      </w:pPr>
      <w:r>
        <w:rPr>
          <w:rFonts w:hint="eastAsia"/>
          <w:color w:val="auto"/>
          <w:sz w:val="72"/>
          <w:szCs w:val="72"/>
        </w:rPr>
        <w:t>名词解释</w:t>
      </w:r>
    </w:p>
    <w:p>
      <w:pPr>
        <w:widowControl/>
        <w:jc w:val="left"/>
        <w:rPr>
          <w:rFonts w:hint="eastAsia" w:cs="黑体" w:asciiTheme="minorEastAsia" w:hAnsiTheme="minorEastAsia"/>
          <w:color w:val="auto"/>
          <w:kern w:val="0"/>
          <w:sz w:val="32"/>
          <w:szCs w:val="32"/>
        </w:rPr>
      </w:pPr>
      <w:r>
        <w:rPr>
          <w:rFonts w:ascii="黑体" w:eastAsia="黑体" w:cs="黑体"/>
          <w:color w:val="auto"/>
          <w:kern w:val="0"/>
          <w:sz w:val="70"/>
          <w:szCs w:val="70"/>
        </w:rPr>
        <w:br w:type="page"/>
      </w:r>
    </w:p>
    <w:p>
      <w:pPr>
        <w:numPr>
          <w:ilvl w:val="0"/>
          <w:numId w:val="3"/>
        </w:numPr>
        <w:autoSpaceDE w:val="0"/>
        <w:autoSpaceDN w:val="0"/>
        <w:adjustRightInd w:val="0"/>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 xml:space="preserve">财政拨款收入：指中央财政当年拨付的资金。 </w:t>
      </w:r>
    </w:p>
    <w:p>
      <w:pPr>
        <w:numPr>
          <w:ilvl w:val="0"/>
          <w:numId w:val="3"/>
        </w:numPr>
        <w:autoSpaceDE w:val="0"/>
        <w:autoSpaceDN w:val="0"/>
        <w:adjustRightInd w:val="0"/>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其他收入：指除“财政拨款收入”、“事业收入”、“经营收入”等以外的收入。主要是按规定动用的售房收入、存款利息收入等。</w:t>
      </w:r>
    </w:p>
    <w:p>
      <w:pPr>
        <w:numPr>
          <w:ilvl w:val="0"/>
          <w:numId w:val="3"/>
        </w:numPr>
        <w:autoSpaceDE w:val="0"/>
        <w:autoSpaceDN w:val="0"/>
        <w:adjustRightInd w:val="0"/>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基本支出：指为保障机构正常运转、完成日常工作任务而发生的人员支出和公用支出。</w:t>
      </w:r>
    </w:p>
    <w:p>
      <w:pPr>
        <w:numPr>
          <w:ilvl w:val="0"/>
          <w:numId w:val="3"/>
        </w:numPr>
        <w:autoSpaceDE w:val="0"/>
        <w:autoSpaceDN w:val="0"/>
        <w:adjustRightInd w:val="0"/>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项目支出：指在基本支出之外为完成特定行政任务和事业发展目标所发生的支出。</w:t>
      </w:r>
    </w:p>
    <w:p>
      <w:pPr>
        <w:numPr>
          <w:ilvl w:val="0"/>
          <w:numId w:val="3"/>
        </w:numPr>
        <w:autoSpaceDE w:val="0"/>
        <w:autoSpaceDN w:val="0"/>
        <w:adjustRightInd w:val="0"/>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 xml:space="preserve">“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桥过路费、保险费、安全奖励费用等支出；公务接待费反映单位按规定开支的各类公务接待（含外宾接待）支出。 </w:t>
      </w:r>
    </w:p>
    <w:p>
      <w:pPr>
        <w:numPr>
          <w:ilvl w:val="0"/>
          <w:numId w:val="3"/>
        </w:numPr>
        <w:autoSpaceDE w:val="0"/>
        <w:autoSpaceDN w:val="0"/>
        <w:adjustRightInd w:val="0"/>
        <w:ind w:firstLine="640" w:firstLineChars="200"/>
        <w:jc w:val="left"/>
        <w:rPr>
          <w:rFonts w:hint="eastAsia" w:cs="黑体" w:asciiTheme="minorEastAsia" w:hAnsiTheme="minorEastAsia"/>
          <w:color w:val="auto"/>
          <w:kern w:val="0"/>
          <w:sz w:val="32"/>
          <w:szCs w:val="32"/>
        </w:rPr>
      </w:pPr>
      <w:r>
        <w:rPr>
          <w:rFonts w:hint="eastAsia" w:cs="黑体" w:asciiTheme="minorEastAsia" w:hAnsiTheme="minorEastAsia"/>
          <w:color w:val="auto"/>
          <w:kern w:val="0"/>
          <w:sz w:val="32"/>
          <w:szCs w:val="32"/>
        </w:rPr>
        <w:t>机关运行经费：为保障行政单位（含参照公务员法管理的的事业单位）运行用于购买货物和服务的各项资金，包括办公费、印刷费、邮电费、差旅费、会议费、福利费、日常维修费、专用材料费、一般设备购置费、水电费、取暖费、公务用车运行维护费以及其他费用。</w:t>
      </w:r>
    </w:p>
    <w:p>
      <w:pPr>
        <w:pStyle w:val="13"/>
        <w:jc w:val="center"/>
        <w:rPr>
          <w:color w:val="auto"/>
          <w:sz w:val="72"/>
          <w:szCs w:val="72"/>
        </w:rPr>
      </w:pPr>
    </w:p>
    <w:p>
      <w:pPr>
        <w:pStyle w:val="13"/>
        <w:jc w:val="center"/>
        <w:rPr>
          <w:color w:val="auto"/>
          <w:sz w:val="72"/>
          <w:szCs w:val="72"/>
        </w:rPr>
      </w:pPr>
    </w:p>
    <w:p>
      <w:pPr>
        <w:pStyle w:val="13"/>
        <w:jc w:val="center"/>
        <w:rPr>
          <w:color w:val="auto"/>
          <w:sz w:val="72"/>
          <w:szCs w:val="72"/>
        </w:rPr>
      </w:pPr>
    </w:p>
    <w:p>
      <w:pPr>
        <w:pStyle w:val="13"/>
        <w:jc w:val="both"/>
        <w:rPr>
          <w:rFonts w:hint="eastAsia"/>
          <w:color w:val="auto"/>
          <w:sz w:val="72"/>
          <w:szCs w:val="72"/>
        </w:rPr>
      </w:pPr>
    </w:p>
    <w:p>
      <w:pPr>
        <w:pStyle w:val="13"/>
        <w:jc w:val="center"/>
        <w:rPr>
          <w:rFonts w:hint="eastAsia"/>
          <w:color w:val="auto"/>
          <w:sz w:val="72"/>
          <w:szCs w:val="72"/>
        </w:rPr>
      </w:pPr>
    </w:p>
    <w:p>
      <w:pPr>
        <w:pStyle w:val="13"/>
        <w:jc w:val="center"/>
        <w:rPr>
          <w:rFonts w:hint="eastAsia"/>
          <w:color w:val="auto"/>
          <w:sz w:val="72"/>
          <w:szCs w:val="72"/>
        </w:rPr>
      </w:pPr>
      <w:r>
        <w:rPr>
          <w:rFonts w:hint="eastAsia"/>
          <w:color w:val="auto"/>
          <w:sz w:val="72"/>
          <w:szCs w:val="72"/>
        </w:rPr>
        <w:t>第五部分</w:t>
      </w:r>
    </w:p>
    <w:p>
      <w:pPr>
        <w:pStyle w:val="13"/>
        <w:jc w:val="center"/>
        <w:rPr>
          <w:rFonts w:hint="eastAsia"/>
          <w:color w:val="auto"/>
          <w:sz w:val="72"/>
          <w:szCs w:val="72"/>
        </w:rPr>
      </w:pPr>
    </w:p>
    <w:p>
      <w:pPr>
        <w:pStyle w:val="13"/>
        <w:jc w:val="center"/>
        <w:rPr>
          <w:rFonts w:hint="eastAsia"/>
          <w:color w:val="auto"/>
          <w:sz w:val="72"/>
          <w:szCs w:val="72"/>
        </w:rPr>
      </w:pPr>
      <w:r>
        <w:rPr>
          <w:rFonts w:hint="eastAsia"/>
          <w:color w:val="auto"/>
          <w:sz w:val="72"/>
          <w:szCs w:val="72"/>
        </w:rPr>
        <w:t>附件</w:t>
      </w:r>
    </w:p>
    <w:p>
      <w:pPr>
        <w:widowControl/>
        <w:jc w:val="left"/>
        <w:rPr>
          <w:rFonts w:ascii="黑体" w:eastAsia="黑体" w:cs="黑体"/>
          <w:color w:val="auto"/>
          <w:kern w:val="0"/>
          <w:sz w:val="70"/>
          <w:szCs w:val="70"/>
        </w:rPr>
      </w:pPr>
      <w:r>
        <w:rPr>
          <w:rFonts w:ascii="黑体" w:eastAsia="黑体" w:cs="黑体"/>
          <w:color w:val="auto"/>
          <w:kern w:val="0"/>
          <w:sz w:val="70"/>
          <w:szCs w:val="70"/>
        </w:rPr>
        <w:br w:type="page"/>
      </w:r>
    </w:p>
    <w:p>
      <w:pPr>
        <w:spacing w:line="600" w:lineRule="exact"/>
        <w:rPr>
          <w:rFonts w:hint="eastAsia" w:eastAsia="黑体"/>
          <w:color w:val="auto"/>
          <w:kern w:val="0"/>
          <w:sz w:val="32"/>
          <w:szCs w:val="32"/>
        </w:rPr>
      </w:pPr>
      <w:r>
        <w:rPr>
          <w:rFonts w:eastAsia="黑体"/>
          <w:color w:val="auto"/>
          <w:kern w:val="0"/>
          <w:sz w:val="32"/>
          <w:szCs w:val="32"/>
        </w:rPr>
        <w:t>附件</w:t>
      </w:r>
      <w:r>
        <w:rPr>
          <w:rFonts w:hint="eastAsia" w:eastAsia="黑体"/>
          <w:color w:val="auto"/>
          <w:kern w:val="0"/>
          <w:sz w:val="32"/>
          <w:szCs w:val="32"/>
        </w:rPr>
        <w:t>1</w:t>
      </w:r>
    </w:p>
    <w:p>
      <w:pPr>
        <w:spacing w:line="600" w:lineRule="exact"/>
        <w:rPr>
          <w:rFonts w:eastAsia="黑体"/>
          <w:color w:val="auto"/>
          <w:kern w:val="0"/>
          <w:sz w:val="32"/>
          <w:szCs w:val="32"/>
        </w:rPr>
      </w:pPr>
    </w:p>
    <w:p>
      <w:pPr>
        <w:spacing w:line="600" w:lineRule="exact"/>
        <w:rPr>
          <w:rFonts w:eastAsia="黑体"/>
          <w:color w:val="auto"/>
          <w:kern w:val="0"/>
          <w:sz w:val="32"/>
          <w:szCs w:val="32"/>
        </w:rPr>
      </w:pPr>
    </w:p>
    <w:p>
      <w:pPr>
        <w:jc w:val="center"/>
        <w:rPr>
          <w:rFonts w:hint="eastAsia" w:ascii="方正小标宋_GBK" w:eastAsia="方正小标宋_GBK"/>
          <w:color w:val="auto"/>
          <w:sz w:val="44"/>
          <w:szCs w:val="44"/>
          <w:lang w:eastAsia="zh-CN"/>
        </w:rPr>
      </w:pPr>
      <w:r>
        <w:rPr>
          <w:rFonts w:hint="eastAsia" w:ascii="方正小标宋_GBK" w:eastAsia="方正小标宋_GBK"/>
          <w:color w:val="auto"/>
          <w:sz w:val="44"/>
          <w:szCs w:val="44"/>
          <w:lang w:val="en-US" w:eastAsia="zh-CN"/>
        </w:rPr>
        <w:t>2021</w:t>
      </w:r>
      <w:r>
        <w:rPr>
          <w:rFonts w:hint="eastAsia" w:ascii="方正小标宋_GBK" w:eastAsia="方正小标宋_GBK"/>
          <w:color w:val="auto"/>
          <w:sz w:val="44"/>
          <w:szCs w:val="44"/>
        </w:rPr>
        <w:t>年度</w:t>
      </w:r>
      <w:r>
        <w:rPr>
          <w:rFonts w:hint="eastAsia" w:ascii="方正小标宋_GBK" w:eastAsia="方正小标宋_GBK"/>
          <w:color w:val="auto"/>
          <w:sz w:val="44"/>
          <w:szCs w:val="44"/>
          <w:lang w:eastAsia="zh-CN"/>
        </w:rPr>
        <w:t>湖南省食品安全审评认证中心</w:t>
      </w:r>
    </w:p>
    <w:p>
      <w:pPr>
        <w:jc w:val="center"/>
        <w:rPr>
          <w:rFonts w:ascii="方正小标宋_GBK" w:eastAsia="方正小标宋_GBK"/>
          <w:color w:val="auto"/>
          <w:sz w:val="44"/>
          <w:szCs w:val="44"/>
        </w:rPr>
      </w:pPr>
      <w:r>
        <w:rPr>
          <w:rFonts w:hint="eastAsia" w:ascii="方正小标宋_GBK" w:eastAsia="方正小标宋_GBK"/>
          <w:color w:val="auto"/>
          <w:sz w:val="44"/>
          <w:szCs w:val="44"/>
        </w:rPr>
        <w:t>单位整体支出绩效自评报告</w:t>
      </w:r>
    </w:p>
    <w:p>
      <w:pPr>
        <w:jc w:val="center"/>
        <w:rPr>
          <w:rFonts w:ascii="方正小标宋_GBK" w:eastAsia="方正小标宋_GBK"/>
          <w:b/>
          <w:color w:val="auto"/>
          <w:sz w:val="52"/>
          <w:szCs w:val="52"/>
        </w:rPr>
      </w:pPr>
    </w:p>
    <w:p>
      <w:pPr>
        <w:jc w:val="center"/>
        <w:rPr>
          <w:rFonts w:eastAsia="楷体_GB2312"/>
          <w:b/>
          <w:color w:val="auto"/>
          <w:sz w:val="32"/>
          <w:szCs w:val="32"/>
        </w:rPr>
      </w:pPr>
    </w:p>
    <w:p>
      <w:pPr>
        <w:jc w:val="center"/>
        <w:rPr>
          <w:rFonts w:eastAsia="楷体_GB2312"/>
          <w:b/>
          <w:color w:val="auto"/>
          <w:sz w:val="32"/>
          <w:szCs w:val="32"/>
        </w:rPr>
      </w:pPr>
    </w:p>
    <w:p>
      <w:pPr>
        <w:jc w:val="center"/>
        <w:rPr>
          <w:rFonts w:eastAsia="楷体_GB2312"/>
          <w:b/>
          <w:color w:val="auto"/>
          <w:sz w:val="32"/>
          <w:szCs w:val="32"/>
        </w:rPr>
      </w:pPr>
    </w:p>
    <w:p>
      <w:pPr>
        <w:jc w:val="center"/>
        <w:rPr>
          <w:rFonts w:eastAsia="楷体_GB2312"/>
          <w:b/>
          <w:color w:val="auto"/>
          <w:sz w:val="32"/>
          <w:szCs w:val="32"/>
        </w:rPr>
      </w:pPr>
    </w:p>
    <w:p>
      <w:pPr>
        <w:jc w:val="center"/>
        <w:rPr>
          <w:rFonts w:eastAsia="黑体"/>
          <w:color w:val="auto"/>
          <w:sz w:val="32"/>
          <w:szCs w:val="32"/>
        </w:rPr>
      </w:pPr>
    </w:p>
    <w:p>
      <w:pPr>
        <w:rPr>
          <w:rFonts w:eastAsia="黑体"/>
          <w:color w:val="auto"/>
          <w:sz w:val="32"/>
          <w:szCs w:val="32"/>
        </w:rPr>
      </w:pPr>
    </w:p>
    <w:p>
      <w:pPr>
        <w:jc w:val="center"/>
        <w:rPr>
          <w:rFonts w:eastAsia="黑体"/>
          <w:color w:val="auto"/>
          <w:sz w:val="32"/>
          <w:szCs w:val="32"/>
        </w:rPr>
      </w:pPr>
    </w:p>
    <w:p>
      <w:pPr>
        <w:jc w:val="center"/>
        <w:rPr>
          <w:rFonts w:eastAsia="黑体"/>
          <w:color w:val="auto"/>
          <w:sz w:val="32"/>
          <w:szCs w:val="32"/>
        </w:rPr>
      </w:pPr>
    </w:p>
    <w:p>
      <w:pPr>
        <w:jc w:val="center"/>
        <w:rPr>
          <w:rFonts w:eastAsia="黑体"/>
          <w:color w:val="auto"/>
          <w:sz w:val="32"/>
          <w:szCs w:val="32"/>
        </w:rPr>
      </w:pPr>
    </w:p>
    <w:p>
      <w:pPr>
        <w:jc w:val="center"/>
        <w:rPr>
          <w:rFonts w:eastAsia="黑体"/>
          <w:color w:val="auto"/>
          <w:sz w:val="32"/>
          <w:szCs w:val="32"/>
        </w:rPr>
      </w:pPr>
    </w:p>
    <w:p>
      <w:pPr>
        <w:spacing w:line="600" w:lineRule="exact"/>
        <w:ind w:firstLine="640" w:firstLineChars="200"/>
        <w:jc w:val="center"/>
        <w:rPr>
          <w:rFonts w:hint="default" w:ascii="方正仿宋_GBK" w:eastAsia="方正仿宋_GBK"/>
          <w:color w:val="auto"/>
          <w:sz w:val="32"/>
          <w:szCs w:val="32"/>
          <w:u w:val="single"/>
          <w:lang w:val="en-US" w:eastAsia="zh-CN"/>
        </w:rPr>
      </w:pPr>
      <w:r>
        <w:rPr>
          <w:rFonts w:hint="eastAsia" w:ascii="方正仿宋_GBK" w:eastAsia="方正仿宋_GBK"/>
          <w:color w:val="auto"/>
          <w:sz w:val="32"/>
          <w:szCs w:val="32"/>
        </w:rPr>
        <w:t>单位名称：</w:t>
      </w:r>
      <w:r>
        <w:rPr>
          <w:rFonts w:hint="eastAsia" w:ascii="方正仿宋_GBK" w:eastAsia="方正仿宋_GBK"/>
          <w:color w:val="auto"/>
          <w:sz w:val="32"/>
          <w:szCs w:val="32"/>
          <w:u w:val="single"/>
          <w:lang w:val="en-US" w:eastAsia="zh-CN"/>
        </w:rPr>
        <w:t>湖南省食品安全审评认证中心</w:t>
      </w:r>
    </w:p>
    <w:p>
      <w:pPr>
        <w:spacing w:line="600" w:lineRule="exact"/>
        <w:ind w:firstLine="640" w:firstLineChars="200"/>
        <w:jc w:val="center"/>
        <w:rPr>
          <w:rFonts w:hint="eastAsia" w:ascii="方正仿宋_GBK" w:eastAsia="方正仿宋_GBK"/>
          <w:color w:val="auto"/>
          <w:sz w:val="32"/>
          <w:szCs w:val="32"/>
        </w:rPr>
      </w:pPr>
      <w:r>
        <w:rPr>
          <w:rFonts w:hint="eastAsia" w:ascii="方正仿宋_GBK" w:eastAsia="方正仿宋_GBK"/>
          <w:color w:val="auto"/>
          <w:sz w:val="32"/>
          <w:szCs w:val="32"/>
          <w:lang w:val="en-US" w:eastAsia="zh-CN"/>
        </w:rPr>
        <w:t>2022</w:t>
      </w:r>
      <w:r>
        <w:rPr>
          <w:rFonts w:hint="eastAsia" w:ascii="方正仿宋_GBK" w:eastAsia="方正仿宋_GBK"/>
          <w:color w:val="auto"/>
          <w:sz w:val="32"/>
          <w:szCs w:val="32"/>
        </w:rPr>
        <w:t xml:space="preserve">年 </w:t>
      </w:r>
      <w:r>
        <w:rPr>
          <w:rFonts w:hint="eastAsia" w:ascii="方正仿宋_GBK" w:eastAsia="方正仿宋_GBK"/>
          <w:color w:val="auto"/>
          <w:sz w:val="32"/>
          <w:szCs w:val="32"/>
          <w:lang w:val="en-US" w:eastAsia="zh-CN"/>
        </w:rPr>
        <w:t>4</w:t>
      </w:r>
      <w:r>
        <w:rPr>
          <w:rFonts w:hint="eastAsia" w:ascii="方正仿宋_GBK" w:eastAsia="方正仿宋_GBK"/>
          <w:color w:val="auto"/>
          <w:sz w:val="32"/>
          <w:szCs w:val="32"/>
        </w:rPr>
        <w:t xml:space="preserve"> 月 </w:t>
      </w:r>
      <w:r>
        <w:rPr>
          <w:rFonts w:hint="eastAsia" w:ascii="方正仿宋_GBK" w:eastAsia="方正仿宋_GBK"/>
          <w:color w:val="auto"/>
          <w:sz w:val="32"/>
          <w:szCs w:val="32"/>
          <w:lang w:val="en-US" w:eastAsia="zh-CN"/>
        </w:rPr>
        <w:t>28</w:t>
      </w:r>
      <w:r>
        <w:rPr>
          <w:rFonts w:hint="eastAsia" w:ascii="方正仿宋_GBK" w:eastAsia="方正仿宋_GBK"/>
          <w:color w:val="auto"/>
          <w:sz w:val="32"/>
          <w:szCs w:val="32"/>
        </w:rPr>
        <w:t>日</w:t>
      </w:r>
    </w:p>
    <w:p>
      <w:pPr>
        <w:jc w:val="center"/>
        <w:rPr>
          <w:rFonts w:hint="eastAsia" w:ascii="方正仿宋_GBK" w:eastAsia="方正仿宋_GBK"/>
          <w:color w:val="auto"/>
          <w:sz w:val="32"/>
          <w:szCs w:val="32"/>
        </w:rPr>
      </w:pPr>
    </w:p>
    <w:p>
      <w:pPr>
        <w:jc w:val="center"/>
        <w:rPr>
          <w:rFonts w:hint="eastAsia" w:ascii="方正仿宋_GBK" w:eastAsia="方正仿宋_GBK"/>
          <w:color w:val="auto"/>
          <w:sz w:val="32"/>
          <w:szCs w:val="32"/>
        </w:rPr>
      </w:pPr>
      <w:r>
        <w:rPr>
          <w:rFonts w:hint="eastAsia" w:ascii="方正仿宋_GBK" w:eastAsia="方正仿宋_GBK"/>
          <w:color w:val="auto"/>
          <w:sz w:val="32"/>
          <w:szCs w:val="32"/>
        </w:rPr>
        <w:t>（此页为封面）</w:t>
      </w:r>
    </w:p>
    <w:p>
      <w:pPr>
        <w:numPr>
          <w:ilvl w:val="0"/>
          <w:numId w:val="4"/>
        </w:numPr>
        <w:spacing w:line="600" w:lineRule="exact"/>
        <w:ind w:firstLine="640" w:firstLineChars="200"/>
        <w:rPr>
          <w:rFonts w:hint="eastAsia" w:ascii="方正黑体_GBK" w:eastAsia="方正黑体_GBK"/>
          <w:color w:val="auto"/>
          <w:sz w:val="32"/>
          <w:szCs w:val="32"/>
        </w:rPr>
      </w:pPr>
      <w:r>
        <w:rPr>
          <w:rFonts w:hint="eastAsia" w:ascii="方正黑体_GBK" w:eastAsia="方正黑体_GBK"/>
          <w:color w:val="auto"/>
          <w:sz w:val="32"/>
          <w:szCs w:val="32"/>
        </w:rPr>
        <w:t>单位基本情况</w:t>
      </w:r>
    </w:p>
    <w:p>
      <w:pPr>
        <w:spacing w:line="560" w:lineRule="exact"/>
        <w:ind w:firstLine="640"/>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（一）单位概况</w:t>
      </w:r>
    </w:p>
    <w:p>
      <w:pPr>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湖南省食品安全审评认证中心</w:t>
      </w:r>
      <w:r>
        <w:rPr>
          <w:rFonts w:hint="eastAsia" w:ascii="方正仿宋_GBK" w:hAnsi="方正仿宋_GBK" w:eastAsia="方正仿宋_GBK" w:cs="方正仿宋_GBK"/>
          <w:color w:val="auto"/>
          <w:sz w:val="32"/>
          <w:szCs w:val="32"/>
          <w:lang w:eastAsia="zh-CN"/>
        </w:rPr>
        <w:t>是湖南省市场监管局直属正处级事业单位</w:t>
      </w:r>
      <w:r>
        <w:rPr>
          <w:rFonts w:hint="eastAsia" w:ascii="方正仿宋_GBK" w:hAnsi="方正仿宋_GBK" w:eastAsia="方正仿宋_GBK" w:cs="方正仿宋_GBK"/>
          <w:color w:val="auto"/>
          <w:sz w:val="32"/>
          <w:szCs w:val="32"/>
        </w:rPr>
        <w:t>，</w:t>
      </w:r>
      <w:r>
        <w:rPr>
          <w:rFonts w:hint="eastAsia" w:ascii="方正仿宋_GBK" w:hAnsi="方正仿宋_GBK" w:eastAsia="方正仿宋_GBK" w:cs="方正仿宋_GBK"/>
          <w:color w:val="auto"/>
          <w:sz w:val="32"/>
          <w:szCs w:val="32"/>
          <w:lang w:eastAsia="zh-CN"/>
        </w:rPr>
        <w:t>核定编制</w:t>
      </w:r>
      <w:r>
        <w:rPr>
          <w:rFonts w:hint="eastAsia" w:ascii="方正仿宋_GBK" w:hAnsi="方正仿宋_GBK" w:eastAsia="方正仿宋_GBK" w:cs="方正仿宋_GBK"/>
          <w:color w:val="auto"/>
          <w:sz w:val="32"/>
          <w:szCs w:val="32"/>
          <w:lang w:val="en-US" w:eastAsia="zh-CN"/>
        </w:rPr>
        <w:t>19名，现有在编人员16名，领导职数1正2 副，下设5 个科室。主要职能是：</w:t>
      </w:r>
      <w:r>
        <w:rPr>
          <w:rFonts w:hint="eastAsia" w:ascii="方正仿宋_GBK" w:hAnsi="方正仿宋_GBK" w:eastAsia="方正仿宋_GBK" w:cs="方正仿宋_GBK"/>
          <w:color w:val="auto"/>
          <w:sz w:val="32"/>
          <w:szCs w:val="32"/>
          <w:lang w:eastAsia="zh-CN"/>
        </w:rPr>
        <w:t>负责</w:t>
      </w:r>
      <w:r>
        <w:rPr>
          <w:rFonts w:hint="eastAsia" w:ascii="方正仿宋_GBK" w:hAnsi="方正仿宋_GBK" w:eastAsia="方正仿宋_GBK" w:cs="方正仿宋_GBK"/>
          <w:color w:val="auto"/>
          <w:sz w:val="32"/>
          <w:szCs w:val="32"/>
        </w:rPr>
        <w:t>食品</w:t>
      </w:r>
      <w:r>
        <w:rPr>
          <w:rFonts w:hint="eastAsia" w:ascii="方正仿宋_GBK" w:hAnsi="方正仿宋_GBK" w:eastAsia="方正仿宋_GBK" w:cs="方正仿宋_GBK"/>
          <w:color w:val="auto"/>
          <w:sz w:val="32"/>
          <w:szCs w:val="32"/>
          <w:lang w:eastAsia="zh-CN"/>
        </w:rPr>
        <w:t>、特殊食品</w:t>
      </w:r>
      <w:r>
        <w:rPr>
          <w:rFonts w:hint="eastAsia" w:ascii="方正仿宋_GBK" w:hAnsi="方正仿宋_GBK" w:eastAsia="方正仿宋_GBK" w:cs="方正仿宋_GBK"/>
          <w:color w:val="auto"/>
          <w:sz w:val="32"/>
          <w:szCs w:val="32"/>
        </w:rPr>
        <w:t>生产</w:t>
      </w:r>
      <w:r>
        <w:rPr>
          <w:rFonts w:hint="eastAsia" w:ascii="方正仿宋_GBK" w:hAnsi="方正仿宋_GBK" w:eastAsia="方正仿宋_GBK" w:cs="方正仿宋_GBK"/>
          <w:color w:val="auto"/>
          <w:sz w:val="32"/>
          <w:szCs w:val="32"/>
          <w:lang w:eastAsia="zh-CN"/>
        </w:rPr>
        <w:t>企业</w:t>
      </w:r>
      <w:r>
        <w:rPr>
          <w:rFonts w:hint="eastAsia" w:ascii="方正仿宋_GBK" w:hAnsi="方正仿宋_GBK" w:eastAsia="方正仿宋_GBK" w:cs="方正仿宋_GBK"/>
          <w:color w:val="auto"/>
          <w:sz w:val="32"/>
          <w:szCs w:val="32"/>
        </w:rPr>
        <w:t>许可现场核查</w:t>
      </w:r>
      <w:r>
        <w:rPr>
          <w:rFonts w:hint="eastAsia" w:ascii="方正仿宋_GBK" w:hAnsi="方正仿宋_GBK" w:eastAsia="方正仿宋_GBK" w:cs="方正仿宋_GBK"/>
          <w:color w:val="auto"/>
          <w:sz w:val="32"/>
          <w:szCs w:val="32"/>
          <w:lang w:eastAsia="zh-CN"/>
        </w:rPr>
        <w:t>、受省局委托开展食品、特殊食品专项检查、</w:t>
      </w:r>
      <w:r>
        <w:rPr>
          <w:rFonts w:hint="eastAsia" w:ascii="方正仿宋_GBK" w:hAnsi="方正仿宋_GBK" w:eastAsia="方正仿宋_GBK" w:cs="方正仿宋_GBK"/>
          <w:color w:val="auto"/>
          <w:sz w:val="32"/>
          <w:szCs w:val="32"/>
        </w:rPr>
        <w:t>飞行检</w:t>
      </w:r>
      <w:r>
        <w:rPr>
          <w:rFonts w:hint="eastAsia" w:ascii="方正仿宋_GBK" w:hAnsi="方正仿宋_GBK" w:eastAsia="方正仿宋_GBK" w:cs="方正仿宋_GBK"/>
          <w:color w:val="auto"/>
          <w:sz w:val="32"/>
          <w:szCs w:val="32"/>
          <w:lang w:eastAsia="zh-CN"/>
        </w:rPr>
        <w:t>查、体系检查等各类监督检查工作。</w:t>
      </w:r>
      <w:r>
        <w:rPr>
          <w:rFonts w:hint="eastAsia" w:ascii="方正仿宋_GBK" w:hAnsi="方正仿宋_GBK" w:eastAsia="方正仿宋_GBK" w:cs="方正仿宋_GBK"/>
          <w:color w:val="auto"/>
          <w:sz w:val="32"/>
          <w:szCs w:val="32"/>
        </w:rPr>
        <w:t>为</w:t>
      </w:r>
      <w:r>
        <w:rPr>
          <w:rFonts w:hint="eastAsia" w:ascii="方正仿宋_GBK" w:hAnsi="方正仿宋_GBK" w:eastAsia="方正仿宋_GBK" w:cs="方正仿宋_GBK"/>
          <w:color w:val="auto"/>
          <w:sz w:val="32"/>
          <w:szCs w:val="32"/>
          <w:lang w:eastAsia="zh-CN"/>
        </w:rPr>
        <w:t>省</w:t>
      </w:r>
      <w:r>
        <w:rPr>
          <w:rFonts w:hint="eastAsia" w:ascii="方正仿宋_GBK" w:hAnsi="方正仿宋_GBK" w:eastAsia="方正仿宋_GBK" w:cs="方正仿宋_GBK"/>
          <w:color w:val="auto"/>
          <w:sz w:val="32"/>
          <w:szCs w:val="32"/>
        </w:rPr>
        <w:t>局食品</w:t>
      </w:r>
      <w:r>
        <w:rPr>
          <w:rFonts w:hint="eastAsia" w:ascii="方正仿宋_GBK" w:hAnsi="方正仿宋_GBK" w:eastAsia="方正仿宋_GBK" w:cs="方正仿宋_GBK"/>
          <w:color w:val="auto"/>
          <w:sz w:val="32"/>
          <w:szCs w:val="32"/>
          <w:lang w:eastAsia="zh-CN"/>
        </w:rPr>
        <w:t>安全</w:t>
      </w:r>
      <w:r>
        <w:rPr>
          <w:rFonts w:hint="eastAsia" w:ascii="方正仿宋_GBK" w:hAnsi="方正仿宋_GBK" w:eastAsia="方正仿宋_GBK" w:cs="方正仿宋_GBK"/>
          <w:color w:val="auto"/>
          <w:sz w:val="32"/>
          <w:szCs w:val="32"/>
        </w:rPr>
        <w:t>监管工作的重要撑</w:t>
      </w:r>
      <w:r>
        <w:rPr>
          <w:rFonts w:hint="eastAsia" w:ascii="方正仿宋_GBK" w:hAnsi="方正仿宋_GBK" w:eastAsia="方正仿宋_GBK" w:cs="方正仿宋_GBK"/>
          <w:color w:val="auto"/>
          <w:sz w:val="32"/>
          <w:szCs w:val="32"/>
          <w:lang w:eastAsia="zh-CN"/>
        </w:rPr>
        <w:t>部门</w:t>
      </w:r>
      <w:r>
        <w:rPr>
          <w:rFonts w:hint="eastAsia" w:ascii="方正仿宋_GBK" w:hAnsi="方正仿宋_GBK" w:eastAsia="方正仿宋_GBK" w:cs="方正仿宋_GBK"/>
          <w:color w:val="auto"/>
          <w:sz w:val="32"/>
          <w:szCs w:val="32"/>
        </w:rPr>
        <w:t>。</w:t>
      </w:r>
    </w:p>
    <w:p>
      <w:pPr>
        <w:numPr>
          <w:ilvl w:val="0"/>
          <w:numId w:val="0"/>
        </w:numPr>
        <w:spacing w:line="560" w:lineRule="exact"/>
        <w:ind w:firstLine="640"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外加劳务派遣工作人员2 名，</w:t>
      </w:r>
      <w:r>
        <w:rPr>
          <w:rFonts w:hint="eastAsia" w:ascii="方正仿宋_GBK" w:hAnsi="方正仿宋_GBK" w:eastAsia="方正仿宋_GBK" w:cs="方正仿宋_GBK"/>
          <w:color w:val="auto"/>
          <w:sz w:val="32"/>
          <w:szCs w:val="32"/>
          <w:lang w:eastAsia="zh-CN"/>
        </w:rPr>
        <w:t>我</w:t>
      </w:r>
      <w:r>
        <w:rPr>
          <w:rFonts w:hint="eastAsia" w:ascii="方正仿宋_GBK" w:hAnsi="方正仿宋_GBK" w:eastAsia="方正仿宋_GBK" w:cs="方正仿宋_GBK"/>
          <w:color w:val="auto"/>
          <w:sz w:val="32"/>
          <w:szCs w:val="32"/>
        </w:rPr>
        <w:t>中心</w:t>
      </w:r>
      <w:r>
        <w:rPr>
          <w:rFonts w:hint="eastAsia" w:ascii="方正仿宋_GBK" w:hAnsi="方正仿宋_GBK" w:eastAsia="方正仿宋_GBK" w:cs="方正仿宋_GBK"/>
          <w:color w:val="auto"/>
          <w:sz w:val="32"/>
          <w:szCs w:val="32"/>
          <w:lang w:eastAsia="zh-CN"/>
        </w:rPr>
        <w:t>共</w:t>
      </w:r>
      <w:r>
        <w:rPr>
          <w:rFonts w:hint="eastAsia" w:ascii="方正仿宋_GBK" w:hAnsi="方正仿宋_GBK" w:eastAsia="方正仿宋_GBK" w:cs="方正仿宋_GBK"/>
          <w:color w:val="auto"/>
          <w:sz w:val="32"/>
          <w:szCs w:val="32"/>
        </w:rPr>
        <w:t>管理科和审评认证一科、二科、三科等3个业务科。</w:t>
      </w:r>
    </w:p>
    <w:p>
      <w:pPr>
        <w:spacing w:line="560" w:lineRule="exact"/>
        <w:ind w:firstLine="640"/>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w:t>
      </w:r>
      <w:r>
        <w:rPr>
          <w:rFonts w:hint="eastAsia" w:ascii="方正仿宋_GBK" w:hAnsi="方正仿宋_GBK" w:eastAsia="方正仿宋_GBK" w:cs="方正仿宋_GBK"/>
          <w:b/>
          <w:bCs/>
          <w:color w:val="auto"/>
          <w:sz w:val="32"/>
          <w:szCs w:val="32"/>
          <w:lang w:eastAsia="zh-CN"/>
        </w:rPr>
        <w:t>二</w:t>
      </w:r>
      <w:r>
        <w:rPr>
          <w:rFonts w:hint="eastAsia" w:ascii="方正仿宋_GBK" w:hAnsi="方正仿宋_GBK" w:eastAsia="方正仿宋_GBK" w:cs="方正仿宋_GBK"/>
          <w:b/>
          <w:bCs/>
          <w:color w:val="auto"/>
          <w:sz w:val="32"/>
          <w:szCs w:val="32"/>
        </w:rPr>
        <w:t>）部门资金基本情况</w:t>
      </w:r>
    </w:p>
    <w:p>
      <w:pPr>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2021</w:t>
      </w:r>
      <w:r>
        <w:rPr>
          <w:rFonts w:hint="eastAsia" w:ascii="方正仿宋_GBK" w:hAnsi="方正仿宋_GBK" w:eastAsia="方正仿宋_GBK" w:cs="方正仿宋_GBK"/>
          <w:color w:val="auto"/>
          <w:sz w:val="32"/>
          <w:szCs w:val="32"/>
        </w:rPr>
        <w:t>年收入预算总额</w:t>
      </w:r>
      <w:r>
        <w:rPr>
          <w:rFonts w:hint="eastAsia" w:ascii="方正仿宋_GBK" w:hAnsi="方正仿宋_GBK" w:eastAsia="方正仿宋_GBK" w:cs="方正仿宋_GBK"/>
          <w:color w:val="auto"/>
          <w:sz w:val="32"/>
          <w:szCs w:val="32"/>
          <w:lang w:val="en-US" w:eastAsia="zh-CN"/>
        </w:rPr>
        <w:t>474.94</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val="en-US" w:eastAsia="zh-CN"/>
        </w:rPr>
        <w:t>2020年结转和结余78.33万元，共计553.27万元。</w:t>
      </w:r>
      <w:r>
        <w:rPr>
          <w:rFonts w:hint="eastAsia" w:ascii="方正仿宋_GBK" w:hAnsi="方正仿宋_GBK" w:eastAsia="方正仿宋_GBK" w:cs="方正仿宋_GBK"/>
          <w:color w:val="auto"/>
          <w:sz w:val="32"/>
          <w:szCs w:val="32"/>
        </w:rPr>
        <w:t>其中公共财政拔款55</w:t>
      </w:r>
      <w:r>
        <w:rPr>
          <w:rFonts w:hint="eastAsia" w:ascii="方正仿宋_GBK" w:hAnsi="方正仿宋_GBK" w:eastAsia="方正仿宋_GBK" w:cs="方正仿宋_GBK"/>
          <w:color w:val="auto"/>
          <w:sz w:val="32"/>
          <w:szCs w:val="32"/>
          <w:lang w:val="en-US" w:eastAsia="zh-CN"/>
        </w:rPr>
        <w:t>3.27</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val="en-US" w:eastAsia="zh-CN"/>
        </w:rPr>
        <w:t>2021</w:t>
      </w:r>
      <w:r>
        <w:rPr>
          <w:rFonts w:hint="eastAsia" w:ascii="方正仿宋_GBK" w:hAnsi="方正仿宋_GBK" w:eastAsia="方正仿宋_GBK" w:cs="方正仿宋_GBK"/>
          <w:color w:val="auto"/>
          <w:sz w:val="32"/>
          <w:szCs w:val="32"/>
        </w:rPr>
        <w:t>年支出预算总额</w:t>
      </w:r>
      <w:r>
        <w:rPr>
          <w:rFonts w:hint="eastAsia" w:ascii="方正仿宋_GBK" w:hAnsi="方正仿宋_GBK" w:eastAsia="方正仿宋_GBK" w:cs="方正仿宋_GBK"/>
          <w:color w:val="auto"/>
          <w:sz w:val="32"/>
          <w:szCs w:val="32"/>
          <w:lang w:val="en-US" w:eastAsia="zh-CN"/>
        </w:rPr>
        <w:t>524.02</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val="en-US" w:eastAsia="zh-CN"/>
        </w:rPr>
        <w:t>执行率94.71%。</w:t>
      </w:r>
      <w:r>
        <w:rPr>
          <w:rFonts w:hint="eastAsia" w:ascii="方正仿宋_GBK" w:hAnsi="方正仿宋_GBK" w:eastAsia="方正仿宋_GBK" w:cs="方正仿宋_GBK"/>
          <w:color w:val="auto"/>
          <w:sz w:val="32"/>
          <w:szCs w:val="32"/>
        </w:rPr>
        <w:t>其中基本支出</w:t>
      </w:r>
      <w:r>
        <w:rPr>
          <w:rFonts w:hint="eastAsia" w:ascii="方正仿宋_GBK" w:hAnsi="方正仿宋_GBK" w:eastAsia="方正仿宋_GBK" w:cs="方正仿宋_GBK"/>
          <w:color w:val="auto"/>
          <w:sz w:val="32"/>
          <w:szCs w:val="32"/>
          <w:lang w:val="en-US" w:eastAsia="zh-CN"/>
        </w:rPr>
        <w:t>369.17</w:t>
      </w:r>
      <w:r>
        <w:rPr>
          <w:rFonts w:hint="eastAsia" w:ascii="方正仿宋_GBK" w:hAnsi="方正仿宋_GBK" w:eastAsia="方正仿宋_GBK" w:cs="方正仿宋_GBK"/>
          <w:color w:val="auto"/>
          <w:sz w:val="32"/>
          <w:szCs w:val="32"/>
        </w:rPr>
        <w:t>万元（人员经费支出</w:t>
      </w:r>
      <w:r>
        <w:rPr>
          <w:rFonts w:hint="eastAsia" w:ascii="方正仿宋_GBK" w:hAnsi="方正仿宋_GBK" w:eastAsia="方正仿宋_GBK" w:cs="方正仿宋_GBK"/>
          <w:color w:val="auto"/>
          <w:sz w:val="32"/>
          <w:szCs w:val="32"/>
          <w:lang w:val="en-US" w:eastAsia="zh-CN"/>
        </w:rPr>
        <w:t>352.24</w:t>
      </w:r>
      <w:r>
        <w:rPr>
          <w:rFonts w:hint="eastAsia" w:ascii="方正仿宋_GBK" w:hAnsi="方正仿宋_GBK" w:eastAsia="方正仿宋_GBK" w:cs="方正仿宋_GBK"/>
          <w:color w:val="auto"/>
          <w:sz w:val="32"/>
          <w:szCs w:val="32"/>
        </w:rPr>
        <w:t>万元，日常公用经费</w:t>
      </w:r>
      <w:r>
        <w:rPr>
          <w:rFonts w:hint="eastAsia" w:ascii="方正仿宋_GBK" w:hAnsi="方正仿宋_GBK" w:eastAsia="方正仿宋_GBK" w:cs="方正仿宋_GBK"/>
          <w:color w:val="auto"/>
          <w:sz w:val="32"/>
          <w:szCs w:val="32"/>
          <w:lang w:val="en-US" w:eastAsia="zh-CN"/>
        </w:rPr>
        <w:t>16.93</w:t>
      </w:r>
      <w:r>
        <w:rPr>
          <w:rFonts w:hint="eastAsia" w:ascii="方正仿宋_GBK" w:hAnsi="方正仿宋_GBK" w:eastAsia="方正仿宋_GBK" w:cs="方正仿宋_GBK"/>
          <w:color w:val="auto"/>
          <w:sz w:val="32"/>
          <w:szCs w:val="32"/>
        </w:rPr>
        <w:t>万元），项目支出</w:t>
      </w:r>
      <w:r>
        <w:rPr>
          <w:rFonts w:hint="eastAsia" w:ascii="方正仿宋_GBK" w:hAnsi="方正仿宋_GBK" w:eastAsia="方正仿宋_GBK" w:cs="方正仿宋_GBK"/>
          <w:color w:val="auto"/>
          <w:sz w:val="32"/>
          <w:szCs w:val="32"/>
          <w:lang w:val="en-US" w:eastAsia="zh-CN"/>
        </w:rPr>
        <w:t>154.85</w:t>
      </w:r>
      <w:r>
        <w:rPr>
          <w:rFonts w:hint="eastAsia" w:ascii="方正仿宋_GBK" w:hAnsi="方正仿宋_GBK" w:eastAsia="方正仿宋_GBK" w:cs="方正仿宋_GBK"/>
          <w:color w:val="auto"/>
          <w:sz w:val="32"/>
          <w:szCs w:val="32"/>
        </w:rPr>
        <w:t>万元。</w:t>
      </w:r>
    </w:p>
    <w:p>
      <w:pPr>
        <w:spacing w:line="560" w:lineRule="exact"/>
        <w:ind w:firstLine="640"/>
        <w:rPr>
          <w:rFonts w:hint="eastAsia" w:ascii="方正仿宋_GBK" w:hAnsi="方正仿宋_GBK" w:eastAsia="方正仿宋_GBK" w:cs="方正仿宋_GBK"/>
          <w:b/>
          <w:bCs/>
          <w:color w:val="auto"/>
          <w:sz w:val="32"/>
          <w:szCs w:val="32"/>
          <w:highlight w:val="none"/>
        </w:rPr>
      </w:pPr>
      <w:r>
        <w:rPr>
          <w:rFonts w:hint="eastAsia" w:ascii="方正仿宋_GBK" w:hAnsi="方正仿宋_GBK" w:eastAsia="方正仿宋_GBK" w:cs="方正仿宋_GBK"/>
          <w:b/>
          <w:bCs/>
          <w:color w:val="auto"/>
          <w:sz w:val="32"/>
          <w:szCs w:val="32"/>
          <w:highlight w:val="none"/>
        </w:rPr>
        <w:t>（</w:t>
      </w:r>
      <w:r>
        <w:rPr>
          <w:rFonts w:hint="eastAsia" w:ascii="方正仿宋_GBK" w:hAnsi="方正仿宋_GBK" w:eastAsia="方正仿宋_GBK" w:cs="方正仿宋_GBK"/>
          <w:b/>
          <w:bCs/>
          <w:color w:val="auto"/>
          <w:sz w:val="32"/>
          <w:szCs w:val="32"/>
          <w:highlight w:val="none"/>
          <w:lang w:eastAsia="zh-CN"/>
        </w:rPr>
        <w:t>三</w:t>
      </w:r>
      <w:r>
        <w:rPr>
          <w:rFonts w:hint="eastAsia" w:ascii="方正仿宋_GBK" w:hAnsi="方正仿宋_GBK" w:eastAsia="方正仿宋_GBK" w:cs="方正仿宋_GBK"/>
          <w:b/>
          <w:bCs/>
          <w:color w:val="auto"/>
          <w:sz w:val="32"/>
          <w:szCs w:val="32"/>
          <w:highlight w:val="none"/>
        </w:rPr>
        <w:t>）部门整体支出绩效目标</w:t>
      </w:r>
    </w:p>
    <w:p>
      <w:pPr>
        <w:spacing w:line="560" w:lineRule="exact"/>
        <w:ind w:firstLine="640"/>
        <w:rPr>
          <w:rFonts w:hint="eastAsia" w:ascii="方正仿宋_GBK" w:hAnsi="方正仿宋_GBK" w:eastAsia="方正仿宋_GBK" w:cs="方正仿宋_GBK"/>
          <w:color w:val="auto"/>
          <w:sz w:val="32"/>
          <w:szCs w:val="32"/>
          <w:highlight w:val="none"/>
          <w:lang w:val="en-US" w:eastAsia="zh-CN"/>
        </w:rPr>
      </w:pPr>
      <w:r>
        <w:rPr>
          <w:rFonts w:hint="eastAsia" w:ascii="方正仿宋_GBK" w:hAnsi="方正仿宋_GBK" w:eastAsia="方正仿宋_GBK" w:cs="方正仿宋_GBK"/>
          <w:color w:val="auto"/>
          <w:sz w:val="32"/>
          <w:szCs w:val="32"/>
          <w:highlight w:val="none"/>
        </w:rPr>
        <w:t>根据上级部门下达的工作任务及本中心的发展规划，使用预算资金达到产出和效果，</w:t>
      </w:r>
      <w:r>
        <w:rPr>
          <w:rFonts w:hint="eastAsia" w:ascii="方正仿宋_GBK" w:hAnsi="方正仿宋_GBK" w:eastAsia="方正仿宋_GBK" w:cs="方正仿宋_GBK"/>
          <w:color w:val="auto"/>
          <w:sz w:val="32"/>
          <w:szCs w:val="32"/>
          <w:highlight w:val="none"/>
          <w:lang w:val="en-US" w:eastAsia="zh-CN"/>
        </w:rPr>
        <w:t>确保资金使用严格按照预算执行。</w:t>
      </w:r>
    </w:p>
    <w:p>
      <w:pPr>
        <w:widowControl/>
        <w:spacing w:line="600" w:lineRule="exact"/>
        <w:ind w:firstLine="640" w:firstLineChars="200"/>
        <w:rPr>
          <w:rFonts w:hint="eastAsia" w:ascii="方正黑体_GBK" w:eastAsia="方正黑体_GBK"/>
          <w:color w:val="auto"/>
          <w:sz w:val="32"/>
          <w:szCs w:val="32"/>
        </w:rPr>
      </w:pPr>
      <w:r>
        <w:rPr>
          <w:rFonts w:hint="eastAsia" w:ascii="方正黑体_GBK" w:eastAsia="方正黑体_GBK"/>
          <w:color w:val="auto"/>
          <w:sz w:val="32"/>
          <w:szCs w:val="32"/>
        </w:rPr>
        <w:t>二、一般公共预算支出情况</w:t>
      </w:r>
    </w:p>
    <w:p>
      <w:pPr>
        <w:spacing w:line="560" w:lineRule="exact"/>
        <w:ind w:firstLine="640"/>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（一）基本支出情况</w:t>
      </w:r>
    </w:p>
    <w:p>
      <w:pPr>
        <w:spacing w:line="560" w:lineRule="exact"/>
        <w:ind w:firstLine="640"/>
        <w:rPr>
          <w:rFonts w:hint="eastAsia" w:ascii="方正仿宋_GBK" w:hAnsi="方正仿宋_GBK" w:eastAsia="方正仿宋_GBK" w:cs="方正仿宋_GBK"/>
          <w:bCs/>
          <w:color w:val="auto"/>
          <w:sz w:val="32"/>
          <w:szCs w:val="32"/>
        </w:rPr>
      </w:pPr>
      <w:r>
        <w:rPr>
          <w:rFonts w:hint="eastAsia" w:ascii="方正仿宋_GBK" w:hAnsi="方正仿宋_GBK" w:eastAsia="方正仿宋_GBK" w:cs="方正仿宋_GBK"/>
          <w:color w:val="auto"/>
          <w:sz w:val="32"/>
          <w:szCs w:val="32"/>
          <w:lang w:val="en-US" w:eastAsia="zh-CN"/>
        </w:rPr>
        <w:t>2021</w:t>
      </w:r>
      <w:r>
        <w:rPr>
          <w:rFonts w:hint="eastAsia" w:ascii="方正仿宋_GBK" w:hAnsi="方正仿宋_GBK" w:eastAsia="方正仿宋_GBK" w:cs="方正仿宋_GBK"/>
          <w:color w:val="auto"/>
          <w:sz w:val="32"/>
          <w:szCs w:val="32"/>
        </w:rPr>
        <w:t>年年初预算批复的基本支出为</w:t>
      </w:r>
      <w:r>
        <w:rPr>
          <w:rFonts w:hint="eastAsia" w:ascii="方正仿宋_GBK" w:hAnsi="方正仿宋_GBK" w:eastAsia="方正仿宋_GBK" w:cs="方正仿宋_GBK"/>
          <w:color w:val="auto"/>
          <w:sz w:val="32"/>
          <w:szCs w:val="32"/>
          <w:lang w:val="en-US" w:eastAsia="zh-CN"/>
        </w:rPr>
        <w:t>374.94</w:t>
      </w:r>
      <w:r>
        <w:rPr>
          <w:rFonts w:hint="eastAsia" w:ascii="方正仿宋_GBK" w:hAnsi="方正仿宋_GBK" w:eastAsia="方正仿宋_GBK" w:cs="方正仿宋_GBK"/>
          <w:color w:val="auto"/>
          <w:sz w:val="32"/>
          <w:szCs w:val="32"/>
        </w:rPr>
        <w:t>万元，其中按经济科目分类：工资福利支出</w:t>
      </w:r>
      <w:r>
        <w:rPr>
          <w:rFonts w:hint="eastAsia" w:ascii="方正仿宋_GBK" w:hAnsi="方正仿宋_GBK" w:eastAsia="方正仿宋_GBK" w:cs="方正仿宋_GBK"/>
          <w:color w:val="auto"/>
          <w:sz w:val="32"/>
          <w:szCs w:val="32"/>
          <w:lang w:val="en-US" w:eastAsia="zh-CN"/>
        </w:rPr>
        <w:t>355.59</w:t>
      </w:r>
      <w:r>
        <w:rPr>
          <w:rFonts w:hint="eastAsia" w:ascii="方正仿宋_GBK" w:hAnsi="方正仿宋_GBK" w:eastAsia="方正仿宋_GBK" w:cs="方正仿宋_GBK"/>
          <w:color w:val="auto"/>
          <w:sz w:val="32"/>
          <w:szCs w:val="32"/>
        </w:rPr>
        <w:t>万元，一般商品和服务支出</w:t>
      </w:r>
      <w:r>
        <w:rPr>
          <w:rFonts w:hint="eastAsia" w:ascii="方正仿宋_GBK" w:hAnsi="方正仿宋_GBK" w:eastAsia="方正仿宋_GBK" w:cs="方正仿宋_GBK"/>
          <w:color w:val="auto"/>
          <w:sz w:val="32"/>
          <w:szCs w:val="32"/>
          <w:lang w:val="en-US" w:eastAsia="zh-CN"/>
        </w:rPr>
        <w:t>19.35</w:t>
      </w:r>
      <w:r>
        <w:rPr>
          <w:rFonts w:hint="eastAsia" w:ascii="方正仿宋_GBK" w:hAnsi="方正仿宋_GBK" w:eastAsia="方正仿宋_GBK" w:cs="方正仿宋_GBK"/>
          <w:color w:val="auto"/>
          <w:sz w:val="32"/>
          <w:szCs w:val="32"/>
        </w:rPr>
        <w:t xml:space="preserve">万元。 </w:t>
      </w:r>
    </w:p>
    <w:p>
      <w:pPr>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2021</w:t>
      </w:r>
      <w:r>
        <w:rPr>
          <w:rFonts w:hint="eastAsia" w:ascii="方正仿宋_GBK" w:hAnsi="方正仿宋_GBK" w:eastAsia="方正仿宋_GBK" w:cs="方正仿宋_GBK"/>
          <w:color w:val="auto"/>
          <w:sz w:val="32"/>
          <w:szCs w:val="32"/>
        </w:rPr>
        <w:t>年决算基本支出</w:t>
      </w:r>
      <w:r>
        <w:rPr>
          <w:rFonts w:hint="eastAsia" w:ascii="方正仿宋_GBK" w:hAnsi="方正仿宋_GBK" w:eastAsia="方正仿宋_GBK" w:cs="方正仿宋_GBK"/>
          <w:color w:val="auto"/>
          <w:sz w:val="32"/>
          <w:szCs w:val="32"/>
          <w:lang w:val="en-US" w:eastAsia="zh-CN"/>
        </w:rPr>
        <w:t>369.17</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val="en-US" w:eastAsia="zh-CN"/>
        </w:rPr>
        <w:t>执行率98.46%。</w:t>
      </w:r>
      <w:r>
        <w:rPr>
          <w:rFonts w:hint="eastAsia" w:ascii="方正仿宋_GBK" w:hAnsi="方正仿宋_GBK" w:eastAsia="方正仿宋_GBK" w:cs="方正仿宋_GBK"/>
          <w:color w:val="auto"/>
          <w:sz w:val="32"/>
          <w:szCs w:val="32"/>
        </w:rPr>
        <w:t>其中按经济科目分：工资福利支出</w:t>
      </w:r>
      <w:r>
        <w:rPr>
          <w:rFonts w:hint="eastAsia" w:ascii="方正仿宋_GBK" w:hAnsi="方正仿宋_GBK" w:eastAsia="方正仿宋_GBK" w:cs="方正仿宋_GBK"/>
          <w:color w:val="auto"/>
          <w:sz w:val="32"/>
          <w:szCs w:val="32"/>
          <w:lang w:val="en-US" w:eastAsia="zh-CN"/>
        </w:rPr>
        <w:t>355.24</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执行率99.9%</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rPr>
        <w:t>商品和服务支出</w:t>
      </w:r>
      <w:r>
        <w:rPr>
          <w:rFonts w:hint="eastAsia" w:ascii="方正仿宋_GBK" w:hAnsi="方正仿宋_GBK" w:eastAsia="方正仿宋_GBK" w:cs="方正仿宋_GBK"/>
          <w:color w:val="auto"/>
          <w:sz w:val="32"/>
          <w:szCs w:val="32"/>
          <w:lang w:val="en-US" w:eastAsia="zh-CN"/>
        </w:rPr>
        <w:t>16.93</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color w:val="auto"/>
          <w:sz w:val="32"/>
          <w:szCs w:val="32"/>
          <w:lang w:val="en-US" w:eastAsia="zh-CN"/>
        </w:rPr>
        <w:t>执行率87.49%</w:t>
      </w:r>
      <w:r>
        <w:rPr>
          <w:rFonts w:hint="eastAsia" w:ascii="方正仿宋_GBK" w:hAnsi="方正仿宋_GBK" w:eastAsia="方正仿宋_GBK" w:cs="方正仿宋_GBK"/>
          <w:color w:val="auto"/>
          <w:sz w:val="32"/>
          <w:szCs w:val="32"/>
        </w:rPr>
        <w:t xml:space="preserve">。 </w:t>
      </w:r>
    </w:p>
    <w:p>
      <w:pPr>
        <w:spacing w:line="560" w:lineRule="exact"/>
        <w:ind w:firstLine="640"/>
        <w:rPr>
          <w:rFonts w:hint="eastAsia" w:ascii="宋体" w:hAnsi="宋体" w:eastAsia="宋体" w:cs="宋体"/>
          <w:color w:val="auto"/>
          <w:sz w:val="30"/>
          <w:szCs w:val="30"/>
        </w:rPr>
      </w:pPr>
      <w:r>
        <w:rPr>
          <w:rFonts w:hint="eastAsia" w:ascii="方正仿宋_GBK" w:hAnsi="方正仿宋_GBK" w:eastAsia="方正仿宋_GBK" w:cs="方正仿宋_GBK"/>
          <w:color w:val="auto"/>
          <w:sz w:val="32"/>
          <w:szCs w:val="32"/>
        </w:rPr>
        <w:t>基本支出主要是保障我中心正常运转、完成日常性工作而产生的各项支出，包括基本工资、绩效工资、奖金、津贴补贴、职工基本医疗保险缴费、其他工资福利支出、公务接待费、工会经费、福利费、公务用车运行维护费、机关事业单位基本养老保险缴费、住房公积金。</w:t>
      </w:r>
    </w:p>
    <w:p>
      <w:pPr>
        <w:widowControl/>
        <w:numPr>
          <w:ilvl w:val="0"/>
          <w:numId w:val="5"/>
        </w:numPr>
        <w:spacing w:line="600" w:lineRule="exact"/>
        <w:ind w:firstLine="643" w:firstLineChars="200"/>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bCs/>
          <w:color w:val="auto"/>
          <w:sz w:val="32"/>
          <w:szCs w:val="32"/>
        </w:rPr>
        <w:t>项目支出情况</w:t>
      </w:r>
    </w:p>
    <w:p>
      <w:pPr>
        <w:spacing w:line="560" w:lineRule="exact"/>
        <w:ind w:firstLine="640"/>
        <w:rPr>
          <w:rFonts w:hint="eastAsia" w:ascii="方正仿宋_GBK" w:hAnsi="方正仿宋_GBK" w:eastAsia="方正仿宋_GBK" w:cs="方正仿宋_GBK"/>
          <w:color w:val="auto"/>
          <w:sz w:val="32"/>
          <w:szCs w:val="32"/>
          <w:lang w:eastAsia="zh-CN"/>
        </w:rPr>
      </w:pPr>
      <w:r>
        <w:rPr>
          <w:rFonts w:hint="eastAsia" w:ascii="方正仿宋_GBK" w:hAnsi="方正仿宋_GBK" w:eastAsia="方正仿宋_GBK" w:cs="方正仿宋_GBK"/>
          <w:color w:val="auto"/>
          <w:sz w:val="32"/>
          <w:szCs w:val="32"/>
          <w:lang w:val="en-US" w:eastAsia="zh-CN"/>
        </w:rPr>
        <w:t>2021</w:t>
      </w:r>
      <w:r>
        <w:rPr>
          <w:rFonts w:hint="eastAsia" w:ascii="方正仿宋_GBK" w:hAnsi="方正仿宋_GBK" w:eastAsia="方正仿宋_GBK" w:cs="方正仿宋_GBK"/>
          <w:color w:val="auto"/>
          <w:sz w:val="32"/>
          <w:szCs w:val="32"/>
        </w:rPr>
        <w:t>年</w:t>
      </w:r>
      <w:r>
        <w:rPr>
          <w:rFonts w:hint="eastAsia" w:ascii="方正仿宋_GBK" w:hAnsi="方正仿宋_GBK" w:eastAsia="方正仿宋_GBK" w:cs="方正仿宋_GBK"/>
          <w:color w:val="auto"/>
          <w:sz w:val="32"/>
          <w:szCs w:val="32"/>
          <w:highlight w:val="none"/>
        </w:rPr>
        <w:t>我</w:t>
      </w:r>
      <w:r>
        <w:rPr>
          <w:rFonts w:hint="eastAsia" w:ascii="方正仿宋_GBK" w:hAnsi="方正仿宋_GBK" w:eastAsia="方正仿宋_GBK" w:cs="方正仿宋_GBK"/>
          <w:color w:val="auto"/>
          <w:sz w:val="32"/>
          <w:szCs w:val="32"/>
          <w:highlight w:val="none"/>
          <w:lang w:val="en-US" w:eastAsia="zh-CN"/>
        </w:rPr>
        <w:t>中心项目</w:t>
      </w:r>
      <w:r>
        <w:rPr>
          <w:rFonts w:hint="eastAsia" w:ascii="方正仿宋_GBK" w:hAnsi="方正仿宋_GBK" w:eastAsia="方正仿宋_GBK" w:cs="方正仿宋_GBK"/>
          <w:color w:val="auto"/>
          <w:sz w:val="32"/>
          <w:szCs w:val="32"/>
        </w:rPr>
        <w:t>资金预算</w:t>
      </w:r>
      <w:r>
        <w:rPr>
          <w:rFonts w:hint="eastAsia" w:ascii="方正仿宋_GBK" w:hAnsi="方正仿宋_GBK" w:eastAsia="方正仿宋_GBK" w:cs="方正仿宋_GBK"/>
          <w:color w:val="auto"/>
          <w:sz w:val="32"/>
          <w:szCs w:val="32"/>
          <w:lang w:val="en-US" w:eastAsia="zh-CN"/>
        </w:rPr>
        <w:t>收入100</w:t>
      </w:r>
      <w:r>
        <w:rPr>
          <w:rFonts w:hint="eastAsia" w:ascii="方正仿宋_GBK" w:hAnsi="方正仿宋_GBK" w:eastAsia="方正仿宋_GBK" w:cs="方正仿宋_GBK"/>
          <w:color w:val="auto"/>
          <w:sz w:val="32"/>
          <w:szCs w:val="32"/>
        </w:rPr>
        <w:t>万元，</w:t>
      </w:r>
      <w:r>
        <w:rPr>
          <w:rFonts w:hint="eastAsia" w:ascii="方正仿宋_GBK" w:hAnsi="方正仿宋_GBK" w:eastAsia="方正仿宋_GBK" w:cs="方正仿宋_GBK"/>
          <w:color w:val="auto"/>
          <w:sz w:val="32"/>
          <w:szCs w:val="32"/>
          <w:lang w:val="en-US" w:eastAsia="zh-CN"/>
        </w:rPr>
        <w:t>2020年结转和结余78.33万元，共计178.33万元，</w:t>
      </w:r>
      <w:r>
        <w:rPr>
          <w:rFonts w:hint="eastAsia" w:ascii="方正仿宋_GBK" w:hAnsi="方正仿宋_GBK" w:eastAsia="方正仿宋_GBK" w:cs="方正仿宋_GBK"/>
          <w:color w:val="auto"/>
          <w:sz w:val="32"/>
          <w:szCs w:val="32"/>
          <w:lang w:eastAsia="zh-CN"/>
        </w:rPr>
        <w:t>明细如下：</w:t>
      </w:r>
    </w:p>
    <w:p>
      <w:pPr>
        <w:spacing w:line="560" w:lineRule="exact"/>
        <w:ind w:firstLine="64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1、2021年项目预算收入支出情况</w:t>
      </w:r>
    </w:p>
    <w:p>
      <w:pPr>
        <w:spacing w:line="560" w:lineRule="exact"/>
        <w:ind w:firstLine="64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2021年食品安全监管项目预算收入100万元，实际支出89.08万元，项目预算执行率为89.08%。其中支出主要包括用于项目开支所需的办公费、差旅费、劳务费、培训费、其他交通费用、其他商品和服务支出、租赁费等费用。</w:t>
      </w:r>
    </w:p>
    <w:p>
      <w:pPr>
        <w:spacing w:line="560" w:lineRule="exact"/>
        <w:ind w:firstLine="640"/>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2、2020年结转和结余项目资金支出情况</w:t>
      </w:r>
    </w:p>
    <w:p>
      <w:pPr>
        <w:spacing w:line="560" w:lineRule="exact"/>
        <w:ind w:firstLine="64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2020年结转和结余项目资金共计78.33万元，实际支出65.77万元，执行率为83.97%。其中支出主要包括办公费、差旅费、会议费、劳务费、培训费、其他商品和服务支出、维修（护）费、委托业务费、印刷费、咨询费、租赁费等费用。</w:t>
      </w:r>
    </w:p>
    <w:p>
      <w:pPr>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在项目管理上，</w:t>
      </w:r>
      <w:r>
        <w:rPr>
          <w:rFonts w:hint="eastAsia" w:ascii="方正仿宋_GBK" w:hAnsi="方正仿宋_GBK" w:eastAsia="方正仿宋_GBK" w:cs="方正仿宋_GBK"/>
          <w:color w:val="auto"/>
          <w:sz w:val="32"/>
          <w:szCs w:val="32"/>
          <w:lang w:val="en-US" w:eastAsia="zh-CN"/>
        </w:rPr>
        <w:t>2021</w:t>
      </w:r>
      <w:r>
        <w:rPr>
          <w:rFonts w:hint="eastAsia" w:ascii="方正仿宋_GBK" w:hAnsi="方正仿宋_GBK" w:eastAsia="方正仿宋_GBK" w:cs="方正仿宋_GBK"/>
          <w:color w:val="auto"/>
          <w:sz w:val="32"/>
          <w:szCs w:val="32"/>
        </w:rPr>
        <w:t xml:space="preserve">年我中心以强化内控管理为抓手，逐步对项目经费建立管理有制度、支出有预算、绩效有评价的规范化的全方位管理模式。 </w:t>
      </w:r>
    </w:p>
    <w:p>
      <w:pPr>
        <w:spacing w:line="560" w:lineRule="exact"/>
        <w:ind w:firstLine="64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2021</w:t>
      </w:r>
      <w:r>
        <w:rPr>
          <w:rFonts w:hint="eastAsia" w:ascii="方正仿宋_GBK" w:hAnsi="方正仿宋_GBK" w:eastAsia="方正仿宋_GBK" w:cs="方正仿宋_GBK"/>
          <w:color w:val="auto"/>
          <w:sz w:val="32"/>
          <w:szCs w:val="32"/>
        </w:rPr>
        <w:t>年项目资金主要用于：</w:t>
      </w:r>
      <w:r>
        <w:rPr>
          <w:rFonts w:hint="eastAsia" w:ascii="方正仿宋_GBK" w:hAnsi="方正仿宋_GBK" w:eastAsia="方正仿宋_GBK" w:cs="方正仿宋_GBK"/>
          <w:color w:val="auto"/>
          <w:sz w:val="32"/>
          <w:szCs w:val="32"/>
          <w:lang w:eastAsia="zh-CN"/>
        </w:rPr>
        <w:t>劳务费</w:t>
      </w:r>
      <w:r>
        <w:rPr>
          <w:rFonts w:hint="eastAsia" w:ascii="方正仿宋_GBK" w:hAnsi="方正仿宋_GBK" w:eastAsia="方正仿宋_GBK" w:cs="方正仿宋_GBK"/>
          <w:color w:val="auto"/>
          <w:sz w:val="32"/>
          <w:szCs w:val="32"/>
        </w:rPr>
        <w:t>、办公费、</w:t>
      </w:r>
      <w:r>
        <w:rPr>
          <w:rFonts w:hint="eastAsia" w:ascii="方正仿宋_GBK" w:hAnsi="方正仿宋_GBK" w:eastAsia="方正仿宋_GBK" w:cs="方正仿宋_GBK"/>
          <w:color w:val="auto"/>
          <w:sz w:val="32"/>
          <w:szCs w:val="32"/>
          <w:lang w:eastAsia="zh-CN"/>
        </w:rPr>
        <w:t>委托业务费</w:t>
      </w:r>
      <w:r>
        <w:rPr>
          <w:rFonts w:hint="eastAsia" w:ascii="方正仿宋_GBK" w:hAnsi="方正仿宋_GBK" w:eastAsia="方正仿宋_GBK" w:cs="方正仿宋_GBK"/>
          <w:color w:val="auto"/>
          <w:sz w:val="32"/>
          <w:szCs w:val="32"/>
        </w:rPr>
        <w:t>、培训费、</w:t>
      </w:r>
      <w:r>
        <w:rPr>
          <w:rFonts w:hint="eastAsia" w:ascii="方正仿宋_GBK" w:hAnsi="方正仿宋_GBK" w:eastAsia="方正仿宋_GBK" w:cs="方正仿宋_GBK"/>
          <w:color w:val="auto"/>
          <w:sz w:val="32"/>
          <w:szCs w:val="32"/>
          <w:lang w:eastAsia="zh-CN"/>
        </w:rPr>
        <w:t>租赁费、差旅费等</w:t>
      </w:r>
      <w:r>
        <w:rPr>
          <w:rFonts w:hint="eastAsia" w:ascii="方正仿宋_GBK" w:hAnsi="方正仿宋_GBK" w:eastAsia="方正仿宋_GBK" w:cs="方正仿宋_GBK"/>
          <w:color w:val="auto"/>
          <w:sz w:val="32"/>
          <w:szCs w:val="32"/>
        </w:rPr>
        <w:t>。</w:t>
      </w:r>
    </w:p>
    <w:p>
      <w:pPr>
        <w:spacing w:line="560" w:lineRule="exact"/>
        <w:ind w:firstLine="640"/>
        <w:rPr>
          <w:rFonts w:hint="eastAsia" w:ascii="方正仿宋_GBK" w:hAnsi="方正仿宋_GBK" w:eastAsia="方正仿宋_GBK" w:cs="方正仿宋_GBK"/>
          <w:color w:val="auto"/>
          <w:sz w:val="32"/>
          <w:szCs w:val="32"/>
          <w:shd w:val="clear" w:color="auto" w:fill="FFFFFF"/>
        </w:rPr>
      </w:pPr>
      <w:r>
        <w:rPr>
          <w:rFonts w:hint="eastAsia" w:ascii="方正仿宋_GBK" w:hAnsi="方正仿宋_GBK" w:eastAsia="方正仿宋_GBK" w:cs="方正仿宋_GBK"/>
          <w:color w:val="auto"/>
          <w:sz w:val="32"/>
          <w:szCs w:val="32"/>
          <w:shd w:val="clear" w:color="auto" w:fill="FFFFFF"/>
        </w:rPr>
        <w:t>各项目资金落实到位，实施过程中，管理制度健全，执行有效。各项支出按制度逐层审批把关，项目按要求完成目标，达到预期效果。</w:t>
      </w:r>
    </w:p>
    <w:p>
      <w:pPr>
        <w:spacing w:line="600" w:lineRule="exact"/>
        <w:ind w:firstLine="640" w:firstLineChars="200"/>
        <w:rPr>
          <w:rFonts w:ascii="方正黑体_GBK" w:eastAsia="方正黑体_GBK"/>
          <w:color w:val="auto"/>
          <w:sz w:val="32"/>
          <w:szCs w:val="32"/>
        </w:rPr>
      </w:pPr>
      <w:r>
        <w:rPr>
          <w:rFonts w:hint="eastAsia" w:ascii="方正黑体_GBK" w:eastAsia="方正黑体_GBK"/>
          <w:color w:val="auto"/>
          <w:sz w:val="32"/>
          <w:szCs w:val="32"/>
          <w:lang w:val="en-US" w:eastAsia="zh-CN"/>
        </w:rPr>
        <w:t>三</w:t>
      </w:r>
      <w:r>
        <w:rPr>
          <w:rFonts w:ascii="方正黑体_GBK" w:eastAsia="方正黑体_GBK"/>
          <w:color w:val="auto"/>
          <w:sz w:val="32"/>
          <w:szCs w:val="32"/>
        </w:rPr>
        <w:t>、部门整体支出绩效情况</w:t>
      </w:r>
    </w:p>
    <w:p>
      <w:pPr>
        <w:spacing w:line="560" w:lineRule="exact"/>
        <w:ind w:firstLine="640" w:firstLineChars="200"/>
        <w:rPr>
          <w:rFonts w:hint="eastAsia" w:ascii="方正仿宋_GBK" w:hAnsi="方正仿宋_GBK" w:eastAsia="方正仿宋_GBK" w:cs="方正仿宋_GBK"/>
          <w:b w:val="0"/>
          <w:bCs w:val="0"/>
          <w:color w:val="auto"/>
          <w:sz w:val="32"/>
          <w:szCs w:val="32"/>
          <w:shd w:val="solid" w:color="FFFFFF" w:fill="auto"/>
          <w:lang w:eastAsia="zh-CN"/>
        </w:rPr>
      </w:pPr>
      <w:r>
        <w:rPr>
          <w:rFonts w:hint="eastAsia" w:ascii="方正仿宋_GBK" w:hAnsi="方正仿宋_GBK" w:eastAsia="方正仿宋_GBK" w:cs="方正仿宋_GBK"/>
          <w:b w:val="0"/>
          <w:bCs w:val="0"/>
          <w:color w:val="auto"/>
          <w:sz w:val="32"/>
          <w:szCs w:val="32"/>
          <w:shd w:val="solid" w:color="FFFFFF" w:fill="auto"/>
          <w:lang w:val="en-US" w:eastAsia="zh-CN"/>
        </w:rPr>
        <w:t>（一）</w:t>
      </w:r>
      <w:r>
        <w:rPr>
          <w:rFonts w:hint="eastAsia" w:ascii="方正仿宋_GBK" w:hAnsi="方正仿宋_GBK" w:eastAsia="方正仿宋_GBK" w:cs="方正仿宋_GBK"/>
          <w:b w:val="0"/>
          <w:bCs w:val="0"/>
          <w:color w:val="auto"/>
          <w:sz w:val="32"/>
          <w:szCs w:val="32"/>
          <w:shd w:val="solid" w:color="FFFFFF" w:fill="auto"/>
          <w:lang w:eastAsia="zh-CN"/>
        </w:rPr>
        <w:t>认真编制并执行食品生产许可现场核查计划。在规定的</w:t>
      </w:r>
      <w:r>
        <w:rPr>
          <w:rFonts w:hint="eastAsia" w:ascii="方正仿宋_GBK" w:hAnsi="方正仿宋_GBK" w:eastAsia="方正仿宋_GBK" w:cs="方正仿宋_GBK"/>
          <w:b w:val="0"/>
          <w:bCs w:val="0"/>
          <w:color w:val="auto"/>
          <w:sz w:val="32"/>
          <w:szCs w:val="32"/>
          <w:shd w:val="solid" w:color="FFFFFF" w:fill="auto"/>
          <w:lang w:val="en-US" w:eastAsia="zh-CN"/>
        </w:rPr>
        <w:t>5个工作日内</w:t>
      </w:r>
      <w:r>
        <w:rPr>
          <w:rFonts w:hint="eastAsia" w:ascii="方正仿宋_GBK" w:hAnsi="方正仿宋_GBK" w:eastAsia="方正仿宋_GBK" w:cs="方正仿宋_GBK"/>
          <w:b w:val="0"/>
          <w:bCs w:val="0"/>
          <w:color w:val="auto"/>
          <w:sz w:val="32"/>
          <w:szCs w:val="32"/>
          <w:shd w:val="solid" w:color="FFFFFF" w:fill="auto"/>
          <w:lang w:eastAsia="zh-CN"/>
        </w:rPr>
        <w:t>完成食品生产许可现场核查，</w:t>
      </w:r>
      <w:r>
        <w:rPr>
          <w:rFonts w:hint="eastAsia" w:ascii="方正仿宋_GBK" w:hAnsi="方正仿宋_GBK" w:eastAsia="方正仿宋_GBK" w:cs="方正仿宋_GBK"/>
          <w:b w:val="0"/>
          <w:bCs w:val="0"/>
          <w:color w:val="auto"/>
          <w:sz w:val="32"/>
          <w:szCs w:val="32"/>
        </w:rPr>
        <w:t>截止2021年1</w:t>
      </w:r>
      <w:r>
        <w:rPr>
          <w:rFonts w:hint="eastAsia" w:ascii="方正仿宋_GBK" w:hAnsi="方正仿宋_GBK" w:eastAsia="方正仿宋_GBK" w:cs="方正仿宋_GBK"/>
          <w:b w:val="0"/>
          <w:bCs w:val="0"/>
          <w:color w:val="auto"/>
          <w:sz w:val="32"/>
          <w:szCs w:val="32"/>
          <w:lang w:val="en-US" w:eastAsia="zh-CN"/>
        </w:rPr>
        <w:t>2</w:t>
      </w:r>
      <w:r>
        <w:rPr>
          <w:rFonts w:hint="eastAsia" w:ascii="方正仿宋_GBK" w:hAnsi="方正仿宋_GBK" w:eastAsia="方正仿宋_GBK" w:cs="方正仿宋_GBK"/>
          <w:b w:val="0"/>
          <w:bCs w:val="0"/>
          <w:color w:val="auto"/>
          <w:sz w:val="32"/>
          <w:szCs w:val="32"/>
        </w:rPr>
        <w:t>月,中心共收到食品生产安全监管处转来318家食品生产企业的已受理申报材料，共编制食品生产许可现场核查计划42批，派出核查人员647人次，现场核查完毕310家</w:t>
      </w:r>
      <w:r>
        <w:rPr>
          <w:rFonts w:hint="eastAsia" w:ascii="方正仿宋_GBK" w:hAnsi="方正仿宋_GBK" w:eastAsia="方正仿宋_GBK" w:cs="方正仿宋_GBK"/>
          <w:b w:val="0"/>
          <w:bCs w:val="0"/>
          <w:color w:val="auto"/>
          <w:sz w:val="32"/>
          <w:szCs w:val="32"/>
          <w:lang w:eastAsia="zh-CN"/>
        </w:rPr>
        <w:t>，</w:t>
      </w:r>
      <w:r>
        <w:rPr>
          <w:rFonts w:hint="eastAsia" w:ascii="方正仿宋_GBK" w:hAnsi="方正仿宋_GBK" w:eastAsia="方正仿宋_GBK" w:cs="方正仿宋_GBK"/>
          <w:b w:val="0"/>
          <w:bCs w:val="0"/>
          <w:color w:val="auto"/>
          <w:sz w:val="32"/>
          <w:szCs w:val="32"/>
        </w:rPr>
        <w:t>现场核查未通过的食品生产企业44家</w:t>
      </w:r>
      <w:r>
        <w:rPr>
          <w:rFonts w:hint="eastAsia" w:ascii="方正仿宋_GBK" w:hAnsi="方正仿宋_GBK" w:eastAsia="方正仿宋_GBK" w:cs="方正仿宋_GBK"/>
          <w:b w:val="0"/>
          <w:bCs w:val="0"/>
          <w:color w:val="auto"/>
          <w:sz w:val="32"/>
          <w:szCs w:val="32"/>
          <w:lang w:eastAsia="zh-CN"/>
        </w:rPr>
        <w:t>；</w:t>
      </w:r>
      <w:r>
        <w:rPr>
          <w:rFonts w:hint="eastAsia" w:ascii="方正仿宋_GBK" w:hAnsi="方正仿宋_GBK" w:eastAsia="方正仿宋_GBK" w:cs="方正仿宋_GBK"/>
          <w:b w:val="0"/>
          <w:bCs w:val="0"/>
          <w:color w:val="auto"/>
          <w:sz w:val="32"/>
          <w:szCs w:val="32"/>
          <w:shd w:val="solid" w:color="FFFFFF" w:fill="auto"/>
        </w:rPr>
        <w:t>完成特殊食品现场核查共22家，其中保健食品书面审查13家、现场核查技术审查12家（含1家新办），婴配企业变更、延续现场核查7家，食盐生产企业现场核查3家</w:t>
      </w:r>
      <w:r>
        <w:rPr>
          <w:rFonts w:hint="eastAsia" w:ascii="方正仿宋_GBK" w:hAnsi="方正仿宋_GBK" w:eastAsia="方正仿宋_GBK" w:cs="方正仿宋_GBK"/>
          <w:b w:val="0"/>
          <w:bCs w:val="0"/>
          <w:color w:val="auto"/>
          <w:sz w:val="32"/>
          <w:szCs w:val="32"/>
          <w:shd w:val="solid" w:color="FFFFFF" w:fill="auto"/>
          <w:lang w:eastAsia="zh-CN"/>
        </w:rPr>
        <w:t>；</w:t>
      </w:r>
      <w:r>
        <w:rPr>
          <w:rFonts w:hint="eastAsia" w:ascii="方正仿宋_GBK" w:hAnsi="方正仿宋_GBK" w:eastAsia="方正仿宋_GBK" w:cs="方正仿宋_GBK"/>
          <w:b w:val="0"/>
          <w:bCs w:val="0"/>
          <w:color w:val="auto"/>
          <w:sz w:val="32"/>
          <w:szCs w:val="32"/>
          <w:shd w:val="solid" w:color="FFFFFF" w:fill="auto"/>
        </w:rPr>
        <w:t>完成国家总局食品审评中心委托保健食品注册品种复核4个</w:t>
      </w:r>
      <w:r>
        <w:rPr>
          <w:rFonts w:hint="eastAsia" w:ascii="方正仿宋_GBK" w:hAnsi="方正仿宋_GBK" w:eastAsia="方正仿宋_GBK" w:cs="方正仿宋_GBK"/>
          <w:b w:val="0"/>
          <w:bCs w:val="0"/>
          <w:color w:val="auto"/>
          <w:sz w:val="32"/>
          <w:szCs w:val="32"/>
          <w:shd w:val="solid" w:color="FFFFFF" w:fill="auto"/>
          <w:lang w:eastAsia="zh-CN"/>
        </w:rPr>
        <w:t>。</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autoSpaceDN/>
        <w:bidi w:val="0"/>
        <w:adjustRightInd/>
        <w:snapToGrid/>
        <w:spacing w:line="620" w:lineRule="exact"/>
        <w:ind w:firstLine="640" w:firstLineChars="200"/>
        <w:jc w:val="both"/>
        <w:textAlignment w:val="auto"/>
        <w:rPr>
          <w:rFonts w:hint="eastAsia" w:ascii="方正仿宋_GBK" w:hAnsi="方正仿宋_GBK" w:eastAsia="方正仿宋_GBK" w:cs="方正仿宋_GBK"/>
          <w:b w:val="0"/>
          <w:bCs w:val="0"/>
          <w:color w:val="auto"/>
          <w:sz w:val="32"/>
          <w:szCs w:val="32"/>
          <w:lang w:eastAsia="zh-CN"/>
        </w:rPr>
      </w:pPr>
      <w:r>
        <w:rPr>
          <w:rFonts w:hint="eastAsia" w:ascii="方正仿宋_GBK" w:hAnsi="方正仿宋_GBK" w:eastAsia="方正仿宋_GBK" w:cs="方正仿宋_GBK"/>
          <w:b w:val="0"/>
          <w:bCs w:val="0"/>
          <w:color w:val="auto"/>
          <w:sz w:val="32"/>
          <w:szCs w:val="32"/>
          <w:shd w:val="solid" w:color="FFFFFF" w:fill="auto"/>
          <w:lang w:val="en-US" w:eastAsia="zh-CN"/>
        </w:rPr>
        <w:t>（二）</w:t>
      </w:r>
      <w:r>
        <w:rPr>
          <w:rFonts w:hint="eastAsia" w:ascii="方正仿宋_GBK" w:hAnsi="方正仿宋_GBK" w:eastAsia="方正仿宋_GBK" w:cs="方正仿宋_GBK"/>
          <w:b w:val="0"/>
          <w:bCs w:val="0"/>
          <w:color w:val="auto"/>
          <w:sz w:val="32"/>
          <w:szCs w:val="32"/>
          <w:shd w:val="solid" w:color="FFFFFF" w:fill="auto"/>
          <w:lang w:eastAsia="zh-CN"/>
        </w:rPr>
        <w:t>组织开展食品生产许可现场核查跟踪检查和业务指导工作。</w:t>
      </w:r>
      <w:r>
        <w:rPr>
          <w:rFonts w:hint="eastAsia" w:ascii="方正仿宋_GBK" w:hAnsi="方正仿宋_GBK" w:eastAsia="方正仿宋_GBK" w:cs="方正仿宋_GBK"/>
          <w:b w:val="0"/>
          <w:bCs w:val="0"/>
          <w:color w:val="auto"/>
          <w:sz w:val="32"/>
          <w:szCs w:val="32"/>
        </w:rPr>
        <w:t>中心联合食安监处、省局监察室和机关党委每年组织开展了对食品生产企业的许可审查跟踪检查，已制订跟踪检查工作方案，目前已</w:t>
      </w:r>
      <w:r>
        <w:rPr>
          <w:rFonts w:hint="eastAsia" w:ascii="方正仿宋_GBK" w:hAnsi="方正仿宋_GBK" w:eastAsia="方正仿宋_GBK" w:cs="方正仿宋_GBK"/>
          <w:b w:val="0"/>
          <w:bCs w:val="0"/>
          <w:color w:val="auto"/>
          <w:sz w:val="32"/>
          <w:szCs w:val="32"/>
          <w:lang w:eastAsia="zh-CN"/>
        </w:rPr>
        <w:t>对</w:t>
      </w:r>
      <w:r>
        <w:rPr>
          <w:rFonts w:hint="eastAsia" w:ascii="方正仿宋_GBK" w:hAnsi="方正仿宋_GBK" w:eastAsia="方正仿宋_GBK" w:cs="方正仿宋_GBK"/>
          <w:b w:val="0"/>
          <w:bCs w:val="0"/>
          <w:color w:val="auto"/>
          <w:sz w:val="32"/>
          <w:szCs w:val="32"/>
        </w:rPr>
        <w:t>12家食品生产企业开展食品生产许可现场核查跟踪检查和业务指导工作。没有发现违法违规等行为，许可审查人员廉政纪律整体情况较好。</w:t>
      </w:r>
      <w:r>
        <w:rPr>
          <w:rFonts w:hint="eastAsia" w:ascii="方正仿宋_GBK" w:hAnsi="方正仿宋_GBK" w:eastAsia="方正仿宋_GBK" w:cs="方正仿宋_GBK"/>
          <w:b w:val="0"/>
          <w:bCs w:val="0"/>
          <w:color w:val="auto"/>
          <w:sz w:val="32"/>
          <w:szCs w:val="32"/>
          <w:lang w:eastAsia="zh-CN"/>
        </w:rPr>
        <w:t>中心派出黄雄伟、易翠薇等同志分别</w:t>
      </w:r>
      <w:r>
        <w:rPr>
          <w:rFonts w:hint="eastAsia" w:ascii="方正仿宋_GBK" w:hAnsi="方正仿宋_GBK" w:eastAsia="方正仿宋_GBK" w:cs="方正仿宋_GBK"/>
          <w:b w:val="0"/>
          <w:bCs w:val="0"/>
          <w:color w:val="auto"/>
          <w:sz w:val="32"/>
          <w:szCs w:val="32"/>
        </w:rPr>
        <w:t>对长沙市望城经开区、宁乡经开区、开福区食品生产监管人员和企业的食品安全管理员授课培训</w:t>
      </w:r>
      <w:r>
        <w:rPr>
          <w:rFonts w:hint="eastAsia" w:ascii="方正仿宋_GBK" w:hAnsi="方正仿宋_GBK" w:eastAsia="方正仿宋_GBK" w:cs="方正仿宋_GBK"/>
          <w:b w:val="0"/>
          <w:bCs w:val="0"/>
          <w:color w:val="auto"/>
          <w:sz w:val="32"/>
          <w:szCs w:val="32"/>
          <w:lang w:eastAsia="zh-CN"/>
        </w:rPr>
        <w:t>。</w:t>
      </w:r>
      <w:r>
        <w:rPr>
          <w:rFonts w:hint="eastAsia" w:ascii="方正仿宋_GBK" w:hAnsi="方正仿宋_GBK" w:eastAsia="方正仿宋_GBK" w:cs="方正仿宋_GBK"/>
          <w:b w:val="0"/>
          <w:bCs w:val="0"/>
          <w:color w:val="auto"/>
          <w:sz w:val="32"/>
          <w:szCs w:val="32"/>
        </w:rPr>
        <w:t>对湖南粮食集团和湖南武陵酒有限公司食品生产从业人员进行食品安全知识及专业技能培训，提升食品安全管理水平。</w:t>
      </w:r>
      <w:r>
        <w:rPr>
          <w:rFonts w:hint="eastAsia" w:ascii="方正仿宋_GBK" w:hAnsi="方正仿宋_GBK" w:eastAsia="方正仿宋_GBK" w:cs="方正仿宋_GBK"/>
          <w:b w:val="0"/>
          <w:bCs w:val="0"/>
          <w:color w:val="auto"/>
          <w:sz w:val="32"/>
          <w:szCs w:val="32"/>
          <w:lang w:eastAsia="zh-CN"/>
        </w:rPr>
        <w:t>安排相关专家</w:t>
      </w:r>
      <w:r>
        <w:rPr>
          <w:rFonts w:hint="eastAsia" w:ascii="方正仿宋_GBK" w:hAnsi="方正仿宋_GBK" w:eastAsia="方正仿宋_GBK" w:cs="方正仿宋_GBK"/>
          <w:b w:val="0"/>
          <w:bCs w:val="0"/>
          <w:color w:val="auto"/>
          <w:sz w:val="32"/>
          <w:szCs w:val="32"/>
        </w:rPr>
        <w:t>对怀化</w:t>
      </w:r>
      <w:r>
        <w:rPr>
          <w:rFonts w:hint="eastAsia" w:ascii="方正仿宋_GBK" w:hAnsi="方正仿宋_GBK" w:eastAsia="方正仿宋_GBK" w:cs="方正仿宋_GBK"/>
          <w:b w:val="0"/>
          <w:bCs w:val="0"/>
          <w:color w:val="auto"/>
          <w:sz w:val="32"/>
          <w:szCs w:val="32"/>
          <w:lang w:eastAsia="zh-CN"/>
        </w:rPr>
        <w:t>麻阳长寿谷食品加工有限公司</w:t>
      </w:r>
      <w:r>
        <w:rPr>
          <w:rFonts w:hint="eastAsia" w:ascii="方正仿宋_GBK" w:hAnsi="方正仿宋_GBK" w:eastAsia="方正仿宋_GBK" w:cs="方正仿宋_GBK"/>
          <w:b w:val="0"/>
          <w:bCs w:val="0"/>
          <w:color w:val="auto"/>
          <w:sz w:val="32"/>
          <w:szCs w:val="32"/>
        </w:rPr>
        <w:t>进行生产许可方面技术指导。</w:t>
      </w:r>
      <w:r>
        <w:rPr>
          <w:rFonts w:hint="eastAsia" w:ascii="方正仿宋_GBK" w:hAnsi="方正仿宋_GBK" w:eastAsia="方正仿宋_GBK" w:cs="方正仿宋_GBK"/>
          <w:b w:val="0"/>
          <w:bCs w:val="0"/>
          <w:color w:val="auto"/>
          <w:sz w:val="32"/>
          <w:szCs w:val="32"/>
          <w:lang w:eastAsia="zh-CN"/>
        </w:rPr>
        <w:t>对澳优乳业审评业务难题提前做出风险预警和指导，对企业关键生产过程和控制要点提出建议和解决方案，对症下药，治标治本，企业对我们这种形式的帮扶工作非常赞赏，也取得了一定的实效。通过帮助澳优乳业抓好产品研发、工艺设计与产品配方申报注册等种种帮扶举措，让企业在确保生产经营合规的基础上，不断提升企业的专业管理水平。</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autoSpaceDN/>
        <w:bidi w:val="0"/>
        <w:adjustRightInd/>
        <w:snapToGrid/>
        <w:spacing w:line="620" w:lineRule="exact"/>
        <w:ind w:firstLine="640" w:firstLineChars="200"/>
        <w:jc w:val="both"/>
        <w:textAlignment w:val="auto"/>
        <w:rPr>
          <w:rFonts w:hint="eastAsia" w:ascii="方正仿宋_GBK" w:hAnsi="方正仿宋_GBK" w:eastAsia="方正仿宋_GBK" w:cs="方正仿宋_GBK"/>
          <w:b w:val="0"/>
          <w:bCs w:val="0"/>
          <w:color w:val="auto"/>
          <w:sz w:val="32"/>
          <w:szCs w:val="32"/>
          <w:lang w:eastAsia="zh-CN"/>
        </w:rPr>
      </w:pPr>
      <w:r>
        <w:rPr>
          <w:rFonts w:hint="eastAsia" w:ascii="方正仿宋_GBK" w:hAnsi="方正仿宋_GBK" w:eastAsia="方正仿宋_GBK" w:cs="方正仿宋_GBK"/>
          <w:b w:val="0"/>
          <w:bCs w:val="0"/>
          <w:color w:val="auto"/>
          <w:sz w:val="32"/>
          <w:szCs w:val="32"/>
          <w:shd w:val="solid" w:color="FFFFFF" w:fill="auto"/>
          <w:lang w:val="en-US" w:eastAsia="zh-CN"/>
        </w:rPr>
        <w:t>（三）</w:t>
      </w:r>
      <w:r>
        <w:rPr>
          <w:rFonts w:hint="eastAsia" w:ascii="方正仿宋_GBK" w:hAnsi="方正仿宋_GBK" w:eastAsia="方正仿宋_GBK" w:cs="方正仿宋_GBK"/>
          <w:b w:val="0"/>
          <w:bCs w:val="0"/>
          <w:color w:val="auto"/>
          <w:sz w:val="32"/>
          <w:szCs w:val="32"/>
          <w:shd w:val="solid" w:color="FFFFFF" w:fill="auto"/>
          <w:lang w:eastAsia="zh-CN"/>
        </w:rPr>
        <w:t>完成省局“双随机一公开”飞行检查、评价验收等工作。</w:t>
      </w:r>
      <w:r>
        <w:rPr>
          <w:rFonts w:hint="eastAsia" w:ascii="方正仿宋_GBK" w:hAnsi="方正仿宋_GBK" w:eastAsia="方正仿宋_GBK" w:cs="方正仿宋_GBK"/>
          <w:b w:val="0"/>
          <w:bCs w:val="0"/>
          <w:color w:val="auto"/>
          <w:sz w:val="32"/>
          <w:szCs w:val="32"/>
          <w:lang w:val="en-US" w:eastAsia="zh-CN"/>
        </w:rPr>
        <w:t>按照省局</w:t>
      </w:r>
      <w:r>
        <w:rPr>
          <w:rFonts w:hint="eastAsia" w:ascii="方正仿宋_GBK" w:hAnsi="方正仿宋_GBK" w:eastAsia="方正仿宋_GBK" w:cs="方正仿宋_GBK"/>
          <w:b w:val="0"/>
          <w:bCs w:val="0"/>
          <w:color w:val="auto"/>
          <w:sz w:val="32"/>
          <w:szCs w:val="32"/>
        </w:rPr>
        <w:t>“双随机一公开”</w:t>
      </w:r>
      <w:r>
        <w:rPr>
          <w:rFonts w:hint="eastAsia" w:ascii="方正仿宋_GBK" w:hAnsi="方正仿宋_GBK" w:eastAsia="方正仿宋_GBK" w:cs="方正仿宋_GBK"/>
          <w:b w:val="0"/>
          <w:bCs w:val="0"/>
          <w:color w:val="auto"/>
          <w:sz w:val="32"/>
          <w:szCs w:val="32"/>
          <w:lang w:val="en-US" w:eastAsia="zh-CN"/>
        </w:rPr>
        <w:t>要求，</w:t>
      </w:r>
      <w:r>
        <w:rPr>
          <w:rFonts w:hint="eastAsia" w:ascii="方正仿宋_GBK" w:hAnsi="方正仿宋_GBK" w:eastAsia="方正仿宋_GBK" w:cs="方正仿宋_GBK"/>
          <w:b w:val="0"/>
          <w:bCs w:val="0"/>
          <w:color w:val="auto"/>
          <w:sz w:val="32"/>
          <w:szCs w:val="32"/>
        </w:rPr>
        <w:t>共组织检查人员60多人次完成了对17家食品生产企业的飞行检查，</w:t>
      </w:r>
      <w:r>
        <w:rPr>
          <w:rFonts w:hint="eastAsia" w:ascii="方正仿宋_GBK" w:hAnsi="方正仿宋_GBK" w:eastAsia="方正仿宋_GBK" w:cs="方正仿宋_GBK"/>
          <w:b w:val="0"/>
          <w:bCs w:val="0"/>
          <w:color w:val="auto"/>
          <w:sz w:val="32"/>
          <w:szCs w:val="32"/>
          <w:lang w:val="en-US" w:eastAsia="zh-CN"/>
        </w:rPr>
        <w:t>并将每家企业检查情况形成书面检查报告。</w:t>
      </w:r>
      <w:r>
        <w:rPr>
          <w:rFonts w:hint="eastAsia" w:ascii="方正仿宋_GBK" w:hAnsi="方正仿宋_GBK" w:eastAsia="方正仿宋_GBK" w:cs="方正仿宋_GBK"/>
          <w:b w:val="0"/>
          <w:bCs w:val="0"/>
          <w:color w:val="auto"/>
          <w:kern w:val="0"/>
          <w:sz w:val="32"/>
          <w:szCs w:val="32"/>
        </w:rPr>
        <w:t>根据省食安办的部署安排，</w:t>
      </w:r>
      <w:r>
        <w:rPr>
          <w:rFonts w:hint="eastAsia" w:ascii="方正仿宋_GBK" w:hAnsi="方正仿宋_GBK" w:eastAsia="方正仿宋_GBK" w:cs="方正仿宋_GBK"/>
          <w:b w:val="0"/>
          <w:bCs w:val="0"/>
          <w:color w:val="auto"/>
          <w:sz w:val="32"/>
          <w:szCs w:val="32"/>
        </w:rPr>
        <w:t>对天心区、南岳区、资兴市、韶山市、娄星区、花垣县和新晃县7个县级市开展湖南省食品安全示范县市区省级评价验收；对长沙市创建国家食品安全示范城市开展初评资料审查和明查暗访工作，派人参加省食品安全示范城市验收的资料审核和现场验收工作，共完成13个区县的资料审核，7个区县的现场验收工作。</w:t>
      </w:r>
      <w:r>
        <w:rPr>
          <w:rFonts w:hint="eastAsia" w:ascii="方正仿宋_GBK" w:hAnsi="方正仿宋_GBK" w:eastAsia="方正仿宋_GBK" w:cs="方正仿宋_GBK"/>
          <w:b w:val="0"/>
          <w:bCs w:val="0"/>
          <w:color w:val="auto"/>
          <w:sz w:val="32"/>
          <w:szCs w:val="32"/>
          <w:lang w:eastAsia="zh-CN"/>
        </w:rPr>
        <w:t>中心</w:t>
      </w:r>
      <w:r>
        <w:rPr>
          <w:rFonts w:hint="eastAsia" w:ascii="方正仿宋_GBK" w:hAnsi="方正仿宋_GBK" w:eastAsia="方正仿宋_GBK" w:cs="方正仿宋_GBK"/>
          <w:b w:val="0"/>
          <w:bCs w:val="0"/>
          <w:color w:val="auto"/>
          <w:sz w:val="32"/>
          <w:szCs w:val="32"/>
        </w:rPr>
        <w:t>根据“百优食堂、幸福职工”为民办实事竞赛创优活动，对《竞赛考核评分表》提出修改意见，</w:t>
      </w:r>
      <w:r>
        <w:rPr>
          <w:rFonts w:hint="eastAsia" w:ascii="方正仿宋_GBK" w:hAnsi="方正仿宋_GBK" w:eastAsia="方正仿宋_GBK" w:cs="方正仿宋_GBK"/>
          <w:b w:val="0"/>
          <w:bCs w:val="0"/>
          <w:color w:val="auto"/>
          <w:sz w:val="32"/>
          <w:szCs w:val="32"/>
          <w:lang w:eastAsia="zh-CN"/>
        </w:rPr>
        <w:t>并安排专家参加评比工作。</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autoSpaceDN/>
        <w:bidi w:val="0"/>
        <w:adjustRightInd/>
        <w:snapToGrid/>
        <w:spacing w:line="620" w:lineRule="exact"/>
        <w:ind w:firstLine="640" w:firstLineChars="200"/>
        <w:jc w:val="both"/>
        <w:textAlignment w:val="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lang w:val="en-US" w:eastAsia="zh-CN"/>
        </w:rPr>
        <w:t>（四）</w:t>
      </w:r>
      <w:r>
        <w:rPr>
          <w:rFonts w:hint="eastAsia" w:ascii="方正仿宋_GBK" w:hAnsi="方正仿宋_GBK" w:eastAsia="方正仿宋_GBK" w:cs="方正仿宋_GBK"/>
          <w:b w:val="0"/>
          <w:bCs w:val="0"/>
          <w:color w:val="auto"/>
          <w:sz w:val="32"/>
          <w:szCs w:val="32"/>
        </w:rPr>
        <w:t>完成学校食品安全暗访</w:t>
      </w:r>
      <w:r>
        <w:rPr>
          <w:rFonts w:hint="eastAsia" w:ascii="方正仿宋_GBK" w:hAnsi="方正仿宋_GBK" w:eastAsia="方正仿宋_GBK" w:cs="方正仿宋_GBK"/>
          <w:b w:val="0"/>
          <w:bCs w:val="0"/>
          <w:color w:val="auto"/>
          <w:sz w:val="32"/>
          <w:szCs w:val="32"/>
          <w:lang w:eastAsia="zh-CN"/>
        </w:rPr>
        <w:t>及食品经营环节培训</w:t>
      </w:r>
      <w:r>
        <w:rPr>
          <w:rFonts w:hint="eastAsia" w:ascii="方正仿宋_GBK" w:hAnsi="方正仿宋_GBK" w:eastAsia="方正仿宋_GBK" w:cs="方正仿宋_GBK"/>
          <w:b w:val="0"/>
          <w:bCs w:val="0"/>
          <w:color w:val="auto"/>
          <w:sz w:val="32"/>
          <w:szCs w:val="32"/>
        </w:rPr>
        <w:t>工作。参加由省市场监督管理、省教育厅、省卫生健康委员会以及省住房和城乡建设局联合组织的“春季学校食品安全省级联合督查”和“秋季学校食品安全省级联合督查”工作，并完成督查报告，全年共督查学校140所学校，其中高校、高中、初中、小学、幼儿园各28所。完成《学校食堂建设和食品安全管理规范》标准的制定</w:t>
      </w:r>
      <w:r>
        <w:rPr>
          <w:rFonts w:hint="eastAsia" w:ascii="方正仿宋_GBK" w:hAnsi="方正仿宋_GBK" w:eastAsia="方正仿宋_GBK" w:cs="方正仿宋_GBK"/>
          <w:b w:val="0"/>
          <w:bCs w:val="0"/>
          <w:color w:val="auto"/>
          <w:sz w:val="32"/>
          <w:szCs w:val="32"/>
          <w:lang w:eastAsia="zh-CN"/>
        </w:rPr>
        <w:t>和宣贯</w:t>
      </w:r>
      <w:r>
        <w:rPr>
          <w:rFonts w:hint="eastAsia" w:ascii="方正仿宋_GBK" w:hAnsi="方正仿宋_GBK" w:eastAsia="方正仿宋_GBK" w:cs="方正仿宋_GBK"/>
          <w:b w:val="0"/>
          <w:bCs w:val="0"/>
          <w:color w:val="auto"/>
          <w:sz w:val="32"/>
          <w:szCs w:val="32"/>
        </w:rPr>
        <w:t>工作，</w:t>
      </w:r>
      <w:r>
        <w:rPr>
          <w:rFonts w:hint="eastAsia" w:ascii="方正仿宋_GBK" w:hAnsi="方正仿宋_GBK" w:eastAsia="方正仿宋_GBK" w:cs="方正仿宋_GBK"/>
          <w:b w:val="0"/>
          <w:bCs w:val="0"/>
          <w:color w:val="auto"/>
          <w:sz w:val="32"/>
          <w:szCs w:val="32"/>
          <w:lang w:eastAsia="zh-CN"/>
        </w:rPr>
        <w:t>宣贯会得到了</w:t>
      </w:r>
      <w:r>
        <w:rPr>
          <w:rFonts w:hint="eastAsia" w:ascii="方正仿宋_GBK" w:hAnsi="方正仿宋_GBK" w:eastAsia="方正仿宋_GBK" w:cs="方正仿宋_GBK"/>
          <w:b w:val="0"/>
          <w:bCs w:val="0"/>
          <w:color w:val="auto"/>
          <w:sz w:val="32"/>
          <w:szCs w:val="32"/>
        </w:rPr>
        <w:t>湖南日报、三湘都市报、红网、潇湘晨报、新湖南等多家媒体进行专题报道</w:t>
      </w:r>
      <w:r>
        <w:rPr>
          <w:rFonts w:hint="eastAsia" w:ascii="方正仿宋_GBK" w:hAnsi="方正仿宋_GBK" w:eastAsia="方正仿宋_GBK" w:cs="方正仿宋_GBK"/>
          <w:b w:val="0"/>
          <w:bCs w:val="0"/>
          <w:color w:val="auto"/>
          <w:sz w:val="32"/>
          <w:szCs w:val="32"/>
          <w:lang w:eastAsia="zh-CN"/>
        </w:rPr>
        <w:t>。组织</w:t>
      </w:r>
      <w:r>
        <w:rPr>
          <w:rFonts w:hint="eastAsia" w:ascii="方正仿宋_GBK" w:hAnsi="方正仿宋_GBK" w:eastAsia="方正仿宋_GBK" w:cs="方正仿宋_GBK"/>
          <w:b w:val="0"/>
          <w:bCs w:val="0"/>
          <w:color w:val="auto"/>
          <w:sz w:val="32"/>
          <w:szCs w:val="32"/>
        </w:rPr>
        <w:t>举办了《全省重点餐饮单位食品安全管理员》的培训班</w:t>
      </w:r>
      <w:r>
        <w:rPr>
          <w:rFonts w:hint="eastAsia" w:ascii="方正仿宋_GBK" w:hAnsi="方正仿宋_GBK" w:eastAsia="方正仿宋_GBK" w:cs="方正仿宋_GBK"/>
          <w:b w:val="0"/>
          <w:bCs w:val="0"/>
          <w:color w:val="auto"/>
          <w:sz w:val="32"/>
          <w:szCs w:val="32"/>
          <w:lang w:eastAsia="zh-CN"/>
        </w:rPr>
        <w:t>，</w:t>
      </w:r>
      <w:r>
        <w:rPr>
          <w:rFonts w:hint="eastAsia" w:ascii="方正仿宋_GBK" w:hAnsi="方正仿宋_GBK" w:eastAsia="方正仿宋_GBK" w:cs="方正仿宋_GBK"/>
          <w:b w:val="0"/>
          <w:bCs w:val="0"/>
          <w:color w:val="auto"/>
          <w:sz w:val="32"/>
          <w:szCs w:val="32"/>
        </w:rPr>
        <w:t>共计190人参加</w:t>
      </w:r>
      <w:r>
        <w:rPr>
          <w:rFonts w:hint="eastAsia" w:ascii="方正仿宋_GBK" w:hAnsi="方正仿宋_GBK" w:eastAsia="方正仿宋_GBK" w:cs="方正仿宋_GBK"/>
          <w:b w:val="0"/>
          <w:bCs w:val="0"/>
          <w:color w:val="auto"/>
          <w:sz w:val="32"/>
          <w:szCs w:val="32"/>
          <w:lang w:val="en-US" w:eastAsia="zh-CN"/>
        </w:rPr>
        <w:t>培训，举办了《全省保健食品审查员和保健食品生产企业负责人培训班》，共培训110人</w:t>
      </w:r>
      <w:r>
        <w:rPr>
          <w:rFonts w:hint="eastAsia" w:ascii="方正仿宋_GBK" w:hAnsi="方正仿宋_GBK" w:eastAsia="方正仿宋_GBK" w:cs="方正仿宋_GBK"/>
          <w:b w:val="0"/>
          <w:bCs w:val="0"/>
          <w:color w:val="auto"/>
          <w:sz w:val="32"/>
          <w:szCs w:val="32"/>
          <w:lang w:eastAsia="zh-CN"/>
        </w:rPr>
        <w:t>。</w:t>
      </w:r>
      <w:r>
        <w:rPr>
          <w:rFonts w:hint="eastAsia" w:ascii="方正仿宋_GBK" w:hAnsi="方正仿宋_GBK" w:eastAsia="方正仿宋_GBK" w:cs="方正仿宋_GBK"/>
          <w:b w:val="0"/>
          <w:bCs w:val="0"/>
          <w:color w:val="auto"/>
          <w:sz w:val="32"/>
          <w:szCs w:val="32"/>
        </w:rPr>
        <w:t>重点解读了学校食堂建设管理标准，中央厨房和集中用餐配送单位经营许可相关工作经验介绍，邀请省疾控中心的专家讲解了食品安全事故应急管理知识等，</w:t>
      </w:r>
      <w:r>
        <w:rPr>
          <w:rFonts w:hint="eastAsia" w:ascii="方正仿宋_GBK" w:hAnsi="方正仿宋_GBK" w:eastAsia="方正仿宋_GBK" w:cs="方正仿宋_GBK"/>
          <w:b w:val="0"/>
          <w:bCs w:val="0"/>
          <w:color w:val="auto"/>
          <w:sz w:val="32"/>
          <w:szCs w:val="32"/>
          <w:lang w:eastAsia="zh-CN"/>
        </w:rPr>
        <w:t>取得了良好</w:t>
      </w:r>
      <w:r>
        <w:rPr>
          <w:rFonts w:hint="eastAsia" w:ascii="方正仿宋_GBK" w:hAnsi="方正仿宋_GBK" w:eastAsia="方正仿宋_GBK" w:cs="方正仿宋_GBK"/>
          <w:b w:val="0"/>
          <w:bCs w:val="0"/>
          <w:color w:val="auto"/>
          <w:sz w:val="32"/>
          <w:szCs w:val="32"/>
        </w:rPr>
        <w:t>效果。</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autoSpaceDN/>
        <w:bidi w:val="0"/>
        <w:adjustRightInd/>
        <w:snapToGrid/>
        <w:spacing w:line="620" w:lineRule="exact"/>
        <w:ind w:firstLine="640" w:firstLineChars="200"/>
        <w:jc w:val="both"/>
        <w:textAlignment w:val="auto"/>
        <w:rPr>
          <w:rFonts w:ascii="方正黑体_GBK" w:eastAsia="方正黑体_GBK"/>
          <w:color w:val="auto"/>
          <w:sz w:val="32"/>
          <w:szCs w:val="32"/>
        </w:rPr>
      </w:pPr>
      <w:r>
        <w:rPr>
          <w:rFonts w:hint="eastAsia" w:ascii="方正黑体_GBK" w:eastAsia="方正黑体_GBK"/>
          <w:color w:val="auto"/>
          <w:sz w:val="32"/>
          <w:szCs w:val="32"/>
          <w:lang w:val="en-US" w:eastAsia="zh-CN"/>
        </w:rPr>
        <w:t>四</w:t>
      </w:r>
      <w:r>
        <w:rPr>
          <w:rFonts w:ascii="方正黑体_GBK" w:eastAsia="方正黑体_GBK"/>
          <w:color w:val="auto"/>
          <w:sz w:val="32"/>
          <w:szCs w:val="32"/>
        </w:rPr>
        <w:t>、存在的问题及原因分析</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autoSpaceDN/>
        <w:bidi w:val="0"/>
        <w:adjustRightInd/>
        <w:snapToGrid/>
        <w:spacing w:line="620" w:lineRule="exact"/>
        <w:ind w:firstLine="640" w:firstLineChars="20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（一）由于疫情影响，我中心项目资金培训有部分尚未开展，培训费有部分尚未开支，以后将加大预算控制，按照实际情况制定预算。</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autoSpaceDN/>
        <w:bidi w:val="0"/>
        <w:adjustRightInd/>
        <w:snapToGrid/>
        <w:spacing w:line="620" w:lineRule="exact"/>
        <w:ind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（二）</w:t>
      </w:r>
      <w:r>
        <w:rPr>
          <w:rFonts w:hint="eastAsia" w:ascii="方正仿宋_GBK" w:hAnsi="方正仿宋_GBK" w:eastAsia="方正仿宋_GBK" w:cs="方正仿宋_GBK"/>
          <w:color w:val="auto"/>
          <w:sz w:val="32"/>
          <w:szCs w:val="32"/>
        </w:rPr>
        <w:t>绩效意识有待加强，绩效考核不够完善。随着财政改革推进，绩效管理在财政改革中的地位越来越重要，而当前绩效管理稳步推进中，人员绩效意识还需不断加强，加强专业知识学习和培训。我中心需加强绩效管理工作，完善本单位绩效制度，绩效目标不断细化、量化，加强绩效考核。</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autoSpaceDN/>
        <w:bidi w:val="0"/>
        <w:adjustRightInd/>
        <w:snapToGrid/>
        <w:spacing w:line="620" w:lineRule="exact"/>
        <w:ind w:firstLine="640" w:firstLineChars="200"/>
        <w:jc w:val="both"/>
        <w:textAlignment w:val="auto"/>
        <w:rPr>
          <w:rFonts w:ascii="方正黑体_GBK" w:eastAsia="方正黑体_GBK"/>
          <w:color w:val="auto"/>
          <w:sz w:val="32"/>
          <w:szCs w:val="32"/>
        </w:rPr>
      </w:pPr>
      <w:r>
        <w:rPr>
          <w:rFonts w:hint="eastAsia" w:ascii="方正黑体_GBK" w:eastAsia="方正黑体_GBK"/>
          <w:color w:val="auto"/>
          <w:sz w:val="32"/>
          <w:szCs w:val="32"/>
          <w:lang w:val="en-US" w:eastAsia="zh-CN"/>
        </w:rPr>
        <w:t>五、</w:t>
      </w:r>
      <w:r>
        <w:rPr>
          <w:rFonts w:ascii="方正黑体_GBK" w:eastAsia="方正黑体_GBK"/>
          <w:color w:val="auto"/>
          <w:sz w:val="32"/>
          <w:szCs w:val="32"/>
        </w:rPr>
        <w:t>下一步改进措施</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autoSpaceDN/>
        <w:bidi w:val="0"/>
        <w:adjustRightInd/>
        <w:snapToGrid/>
        <w:spacing w:line="620" w:lineRule="exact"/>
        <w:ind w:firstLine="640" w:firstLineChars="200"/>
        <w:jc w:val="both"/>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rPr>
        <w:t>我中心结合此次绩效自评结果，对存在的问题及时整改，完善绩效考核制度，加强自身绩效意识，逐步完善本中心绩效自评制度，提高财政资金使用效益。</w:t>
      </w:r>
    </w:p>
    <w:p>
      <w:pPr>
        <w:keepNext w:val="0"/>
        <w:keepLines w:val="0"/>
        <w:pageBreakBefore w:val="0"/>
        <w:widowControl w:val="0"/>
        <w:numPr>
          <w:ilvl w:val="0"/>
          <w:numId w:val="6"/>
        </w:numPr>
        <w:pBdr>
          <w:bottom w:val="single" w:color="FFFFFF" w:sz="4" w:space="31"/>
        </w:pBdr>
        <w:tabs>
          <w:tab w:val="left" w:pos="1440"/>
        </w:tabs>
        <w:kinsoku/>
        <w:wordWrap/>
        <w:overflowPunct w:val="0"/>
        <w:topLinePunct w:val="0"/>
        <w:autoSpaceDE/>
        <w:autoSpaceDN/>
        <w:bidi w:val="0"/>
        <w:adjustRightInd/>
        <w:snapToGrid/>
        <w:spacing w:line="620" w:lineRule="exact"/>
        <w:ind w:firstLine="640" w:firstLineChars="200"/>
        <w:jc w:val="both"/>
        <w:textAlignment w:val="auto"/>
        <w:rPr>
          <w:rFonts w:ascii="方正黑体_GBK" w:eastAsia="方正黑体_GBK"/>
          <w:color w:val="auto"/>
          <w:sz w:val="32"/>
          <w:szCs w:val="32"/>
        </w:rPr>
      </w:pPr>
      <w:r>
        <w:rPr>
          <w:rFonts w:ascii="方正黑体_GBK" w:eastAsia="方正黑体_GBK"/>
          <w:color w:val="auto"/>
          <w:sz w:val="32"/>
          <w:szCs w:val="32"/>
        </w:rPr>
        <w:t>单位整体支出绩效自评结果拟应用和公开情况</w:t>
      </w:r>
    </w:p>
    <w:p>
      <w:pPr>
        <w:keepNext w:val="0"/>
        <w:keepLines w:val="0"/>
        <w:pageBreakBefore w:val="0"/>
        <w:widowControl w:val="0"/>
        <w:numPr>
          <w:ilvl w:val="0"/>
          <w:numId w:val="0"/>
        </w:numPr>
        <w:pBdr>
          <w:bottom w:val="single" w:color="FFFFFF" w:sz="4" w:space="31"/>
        </w:pBdr>
        <w:tabs>
          <w:tab w:val="left" w:pos="1440"/>
        </w:tabs>
        <w:kinsoku/>
        <w:wordWrap/>
        <w:overflowPunct w:val="0"/>
        <w:topLinePunct w:val="0"/>
        <w:autoSpaceDE/>
        <w:autoSpaceDN/>
        <w:bidi w:val="0"/>
        <w:adjustRightInd/>
        <w:snapToGrid/>
        <w:spacing w:line="620" w:lineRule="exact"/>
        <w:ind w:firstLine="643" w:firstLineChars="200"/>
        <w:jc w:val="both"/>
        <w:textAlignment w:val="auto"/>
        <w:rPr>
          <w:rFonts w:eastAsia="方正仿宋_GBK"/>
          <w:b/>
          <w:color w:val="auto"/>
          <w:sz w:val="32"/>
          <w:szCs w:val="32"/>
        </w:rPr>
      </w:pPr>
      <w:r>
        <w:rPr>
          <w:rFonts w:eastAsia="方正仿宋_GBK"/>
          <w:b/>
          <w:color w:val="auto"/>
          <w:sz w:val="32"/>
          <w:szCs w:val="32"/>
        </w:rPr>
        <w:t>其他需要说明的情况</w:t>
      </w:r>
    </w:p>
    <w:p>
      <w:pPr>
        <w:widowControl/>
        <w:spacing w:line="600" w:lineRule="exact"/>
        <w:ind w:firstLine="640" w:firstLineChars="200"/>
        <w:rPr>
          <w:rFonts w:eastAsia="方正仿宋_GBK"/>
          <w:color w:val="auto"/>
          <w:sz w:val="32"/>
          <w:szCs w:val="32"/>
        </w:rPr>
      </w:pPr>
      <w:r>
        <w:rPr>
          <w:rFonts w:eastAsia="方正仿宋_GBK"/>
          <w:color w:val="auto"/>
          <w:sz w:val="32"/>
          <w:szCs w:val="32"/>
        </w:rPr>
        <w:t>报告需要以下附件：</w:t>
      </w:r>
    </w:p>
    <w:p>
      <w:pPr>
        <w:widowControl/>
        <w:numPr>
          <w:ilvl w:val="0"/>
          <w:numId w:val="7"/>
        </w:numPr>
        <w:spacing w:line="600" w:lineRule="exact"/>
        <w:ind w:firstLine="640" w:firstLineChars="200"/>
        <w:rPr>
          <w:rFonts w:hint="eastAsia" w:eastAsia="方正仿宋_GBK" w:cs="仿宋"/>
          <w:color w:val="auto"/>
          <w:sz w:val="32"/>
          <w:szCs w:val="32"/>
        </w:rPr>
      </w:pPr>
      <w:r>
        <w:rPr>
          <w:rFonts w:hint="eastAsia" w:eastAsia="方正仿宋_GBK" w:cs="仿宋"/>
          <w:color w:val="auto"/>
          <w:sz w:val="32"/>
          <w:szCs w:val="32"/>
        </w:rPr>
        <w:t>2021年度单位整体支出绩效评价基础数据表</w:t>
      </w:r>
    </w:p>
    <w:p>
      <w:pPr>
        <w:widowControl/>
        <w:numPr>
          <w:ilvl w:val="0"/>
          <w:numId w:val="8"/>
        </w:numPr>
        <w:spacing w:line="600" w:lineRule="exact"/>
        <w:ind w:firstLine="640" w:firstLineChars="200"/>
        <w:rPr>
          <w:rFonts w:hint="eastAsia" w:eastAsia="方正仿宋_GBK" w:cs="仿宋"/>
          <w:color w:val="auto"/>
          <w:sz w:val="32"/>
          <w:szCs w:val="32"/>
        </w:rPr>
      </w:pPr>
      <w:r>
        <w:rPr>
          <w:rFonts w:hint="eastAsia" w:eastAsia="方正仿宋_GBK" w:cs="仿宋"/>
          <w:color w:val="auto"/>
          <w:sz w:val="32"/>
          <w:szCs w:val="32"/>
        </w:rPr>
        <w:t>2021年度单位整体支出绩效自评表</w:t>
      </w:r>
    </w:p>
    <w:p>
      <w:pPr>
        <w:widowControl/>
        <w:numPr>
          <w:ilvl w:val="0"/>
          <w:numId w:val="8"/>
        </w:numPr>
        <w:spacing w:line="600" w:lineRule="exact"/>
        <w:ind w:left="0" w:leftChars="0" w:firstLine="640" w:firstLineChars="200"/>
        <w:rPr>
          <w:rFonts w:hint="eastAsia" w:eastAsia="方正仿宋_GBK" w:cs="仿宋"/>
          <w:color w:val="auto"/>
          <w:sz w:val="32"/>
          <w:szCs w:val="32"/>
        </w:rPr>
      </w:pPr>
      <w:r>
        <w:rPr>
          <w:rFonts w:hint="eastAsia" w:eastAsia="方正仿宋_GBK" w:cs="仿宋"/>
          <w:color w:val="auto"/>
          <w:sz w:val="32"/>
          <w:szCs w:val="32"/>
        </w:rPr>
        <w:t>2021年度项目支出绩效自评表（业务工作经费）</w:t>
      </w:r>
    </w:p>
    <w:p>
      <w:pPr>
        <w:widowControl/>
        <w:numPr>
          <w:ilvl w:val="0"/>
          <w:numId w:val="8"/>
        </w:numPr>
        <w:spacing w:line="600" w:lineRule="exact"/>
        <w:ind w:left="0" w:leftChars="0" w:firstLine="640" w:firstLineChars="200"/>
        <w:rPr>
          <w:rFonts w:hint="eastAsia" w:eastAsia="方正仿宋_GBK" w:cs="仿宋"/>
          <w:color w:val="auto"/>
          <w:sz w:val="32"/>
          <w:szCs w:val="32"/>
        </w:rPr>
      </w:pPr>
      <w:r>
        <w:rPr>
          <w:rFonts w:hint="eastAsia" w:eastAsia="方正仿宋_GBK" w:cs="仿宋"/>
          <w:color w:val="auto"/>
          <w:sz w:val="32"/>
          <w:szCs w:val="32"/>
        </w:rPr>
        <w:t>2021年度项目支出绩效自评表（运行维护费）</w:t>
      </w:r>
    </w:p>
    <w:p>
      <w:pPr>
        <w:widowControl/>
        <w:spacing w:line="600" w:lineRule="exact"/>
        <w:jc w:val="left"/>
        <w:rPr>
          <w:rFonts w:hint="eastAsia" w:eastAsia="仿宋_GB2312"/>
          <w:color w:val="auto"/>
          <w:sz w:val="32"/>
          <w:szCs w:val="32"/>
        </w:rPr>
      </w:pPr>
    </w:p>
    <w:p>
      <w:pPr>
        <w:widowControl/>
        <w:spacing w:line="600" w:lineRule="exact"/>
        <w:jc w:val="left"/>
        <w:rPr>
          <w:rFonts w:hint="eastAsia" w:eastAsia="仿宋_GB2312"/>
          <w:color w:val="auto"/>
          <w:sz w:val="32"/>
          <w:szCs w:val="32"/>
        </w:rPr>
      </w:pPr>
    </w:p>
    <w:p>
      <w:pPr>
        <w:widowControl/>
        <w:spacing w:before="156" w:beforeLines="50" w:after="156" w:afterLines="50"/>
        <w:jc w:val="left"/>
        <w:outlineLvl w:val="0"/>
        <w:rPr>
          <w:rFonts w:eastAsia="方正黑体_GBK"/>
          <w:color w:val="auto"/>
          <w:sz w:val="32"/>
          <w:szCs w:val="32"/>
        </w:rPr>
      </w:pPr>
      <w:r>
        <w:rPr>
          <w:rFonts w:eastAsia="仿宋_GB2312"/>
          <w:color w:val="auto"/>
          <w:kern w:val="0"/>
          <w:sz w:val="22"/>
        </w:rPr>
        <w:br w:type="page"/>
      </w:r>
      <w:r>
        <w:rPr>
          <w:rFonts w:eastAsia="方正黑体_GBK"/>
          <w:color w:val="auto"/>
          <w:sz w:val="32"/>
          <w:szCs w:val="32"/>
        </w:rPr>
        <w:t>附件2</w:t>
      </w:r>
    </w:p>
    <w:p>
      <w:pPr>
        <w:widowControl/>
        <w:spacing w:before="156" w:beforeLines="50" w:after="156" w:afterLines="50" w:line="600" w:lineRule="exact"/>
        <w:jc w:val="center"/>
        <w:rPr>
          <w:rFonts w:hint="eastAsia" w:ascii="方正小标宋_GBK" w:hAnsi="微软雅黑" w:eastAsia="方正小标宋_GBK" w:cs="微软雅黑"/>
          <w:color w:val="auto"/>
          <w:kern w:val="0"/>
          <w:sz w:val="44"/>
          <w:szCs w:val="44"/>
        </w:rPr>
      </w:pPr>
      <w:r>
        <w:rPr>
          <w:rFonts w:hint="eastAsia" w:ascii="方正小标宋_GBK" w:hAnsi="微软雅黑" w:eastAsia="方正小标宋_GBK" w:cs="微软雅黑"/>
          <w:color w:val="auto"/>
          <w:kern w:val="0"/>
          <w:sz w:val="44"/>
          <w:szCs w:val="44"/>
        </w:rPr>
        <w:t>2021年度单位整体支出绩效评价基础数据表</w:t>
      </w:r>
    </w:p>
    <w:tbl>
      <w:tblPr>
        <w:tblStyle w:val="8"/>
        <w:tblW w:w="500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3193"/>
        <w:gridCol w:w="1124"/>
        <w:gridCol w:w="812"/>
        <w:gridCol w:w="1066"/>
        <w:gridCol w:w="1061"/>
        <w:gridCol w:w="920"/>
        <w:gridCol w:w="8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28" w:hRule="atLeast"/>
          <w:jc w:val="center"/>
        </w:trPr>
        <w:tc>
          <w:tcPr>
            <w:tcW w:w="1770" w:type="pct"/>
            <w:vMerge w:val="restart"/>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财政供养人员情况（人）</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编制数</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2021年实际在职人数</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vMerge w:val="continue"/>
            <w:noWrap w:val="0"/>
            <w:vAlign w:val="center"/>
          </w:tcPr>
          <w:p>
            <w:pPr>
              <w:widowControl/>
              <w:jc w:val="left"/>
              <w:rPr>
                <w:rFonts w:hint="eastAsia" w:ascii="仿宋" w:hAnsi="仿宋" w:eastAsia="仿宋" w:cs="仿宋"/>
                <w:color w:val="auto"/>
                <w:kern w:val="0"/>
                <w:szCs w:val="21"/>
              </w:rPr>
            </w:pPr>
          </w:p>
        </w:tc>
        <w:tc>
          <w:tcPr>
            <w:tcW w:w="1073"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19</w:t>
            </w:r>
          </w:p>
        </w:tc>
        <w:tc>
          <w:tcPr>
            <w:tcW w:w="1179"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16</w:t>
            </w:r>
          </w:p>
        </w:tc>
        <w:tc>
          <w:tcPr>
            <w:tcW w:w="976"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84.21%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经费控制情况（万元）</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2020年决算数</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2021年预算数</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2021年决算数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三公经费</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3.66</w:t>
            </w:r>
            <w:r>
              <w:rPr>
                <w:rFonts w:hint="eastAsia" w:ascii="仿宋" w:hAnsi="仿宋" w:eastAsia="仿宋" w:cs="仿宋"/>
                <w:color w:val="auto"/>
                <w:kern w:val="0"/>
                <w:szCs w:val="21"/>
              </w:rPr>
              <w:t>　</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5</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2.63</w:t>
            </w: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   1、公务用车购置和维护经费</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2.54</w:t>
            </w:r>
            <w:r>
              <w:rPr>
                <w:rFonts w:hint="eastAsia" w:ascii="仿宋" w:hAnsi="仿宋" w:eastAsia="仿宋" w:cs="仿宋"/>
                <w:color w:val="auto"/>
                <w:kern w:val="0"/>
                <w:szCs w:val="21"/>
              </w:rPr>
              <w:t>　</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3</w:t>
            </w: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2.03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       其中：公车购置</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0</w:t>
            </w:r>
            <w:r>
              <w:rPr>
                <w:rFonts w:hint="eastAsia" w:ascii="仿宋" w:hAnsi="仿宋" w:eastAsia="仿宋" w:cs="仿宋"/>
                <w:color w:val="auto"/>
                <w:kern w:val="0"/>
                <w:szCs w:val="21"/>
              </w:rPr>
              <w:t>　</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0</w:t>
            </w: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             公车运行维护</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2.54</w:t>
            </w:r>
            <w:r>
              <w:rPr>
                <w:rFonts w:hint="eastAsia" w:ascii="仿宋" w:hAnsi="仿宋" w:eastAsia="仿宋" w:cs="仿宋"/>
                <w:color w:val="auto"/>
                <w:kern w:val="0"/>
                <w:szCs w:val="21"/>
              </w:rPr>
              <w:t>　</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3</w:t>
            </w: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2.03</w:t>
            </w: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   2、出国经费</w:t>
            </w:r>
          </w:p>
        </w:tc>
        <w:tc>
          <w:tcPr>
            <w:tcW w:w="1073" w:type="pct"/>
            <w:gridSpan w:val="2"/>
            <w:noWrap w:val="0"/>
            <w:vAlign w:val="center"/>
          </w:tcPr>
          <w:p>
            <w:pPr>
              <w:widowControl/>
              <w:jc w:val="center"/>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0</w:t>
            </w: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   3、公务接待</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1.12</w:t>
            </w:r>
            <w:r>
              <w:rPr>
                <w:rFonts w:hint="eastAsia" w:ascii="仿宋" w:hAnsi="仿宋" w:eastAsia="仿宋" w:cs="仿宋"/>
                <w:color w:val="auto"/>
                <w:kern w:val="0"/>
                <w:szCs w:val="21"/>
              </w:rPr>
              <w:t>　</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2</w:t>
            </w: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项目支出：</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    1、业务工作经费</w:t>
            </w:r>
          </w:p>
        </w:tc>
        <w:tc>
          <w:tcPr>
            <w:tcW w:w="1073"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0.16</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29.4</w:t>
            </w: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24.8</w:t>
            </w: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    2、运行维护经费</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3、省级专项资金（一个专项一行）</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食品安全监管</w:t>
            </w:r>
          </w:p>
        </w:tc>
        <w:tc>
          <w:tcPr>
            <w:tcW w:w="1073"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76.05</w:t>
            </w:r>
          </w:p>
        </w:tc>
        <w:tc>
          <w:tcPr>
            <w:tcW w:w="1179"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100</w:t>
            </w:r>
          </w:p>
        </w:tc>
        <w:tc>
          <w:tcPr>
            <w:tcW w:w="976"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89.08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市场监督管理专项</w:t>
            </w:r>
          </w:p>
        </w:tc>
        <w:tc>
          <w:tcPr>
            <w:tcW w:w="1073"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37.1</w:t>
            </w:r>
          </w:p>
        </w:tc>
        <w:tc>
          <w:tcPr>
            <w:tcW w:w="1179"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43.95</w:t>
            </w:r>
          </w:p>
        </w:tc>
        <w:tc>
          <w:tcPr>
            <w:tcW w:w="976"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35.99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市场监督管理专项（市县）</w:t>
            </w:r>
          </w:p>
        </w:tc>
        <w:tc>
          <w:tcPr>
            <w:tcW w:w="1073"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38.37</w:t>
            </w:r>
          </w:p>
        </w:tc>
        <w:tc>
          <w:tcPr>
            <w:tcW w:w="1179"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4.98</w:t>
            </w:r>
          </w:p>
        </w:tc>
        <w:tc>
          <w:tcPr>
            <w:tcW w:w="976"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4.98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公用经费</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    其中：办公经费</w:t>
            </w:r>
          </w:p>
        </w:tc>
        <w:tc>
          <w:tcPr>
            <w:tcW w:w="1073"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2.81</w:t>
            </w:r>
          </w:p>
        </w:tc>
        <w:tc>
          <w:tcPr>
            <w:tcW w:w="1179" w:type="pct"/>
            <w:gridSpan w:val="2"/>
            <w:noWrap w:val="0"/>
            <w:vAlign w:val="center"/>
          </w:tcPr>
          <w:p>
            <w:pPr>
              <w:widowControl/>
              <w:jc w:val="center"/>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2</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1.71</w:t>
            </w: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          水费、电费、差旅费</w:t>
            </w:r>
          </w:p>
        </w:tc>
        <w:tc>
          <w:tcPr>
            <w:tcW w:w="1073"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0.84</w:t>
            </w:r>
          </w:p>
        </w:tc>
        <w:tc>
          <w:tcPr>
            <w:tcW w:w="1179" w:type="pct"/>
            <w:gridSpan w:val="2"/>
            <w:noWrap w:val="0"/>
            <w:vAlign w:val="center"/>
          </w:tcPr>
          <w:p>
            <w:pPr>
              <w:widowControl/>
              <w:jc w:val="center"/>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w:t>
            </w:r>
          </w:p>
        </w:tc>
        <w:tc>
          <w:tcPr>
            <w:tcW w:w="976"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          会议费、培训费</w:t>
            </w:r>
          </w:p>
        </w:tc>
        <w:tc>
          <w:tcPr>
            <w:tcW w:w="1073" w:type="pct"/>
            <w:gridSpan w:val="2"/>
            <w:noWrap w:val="0"/>
            <w:vAlign w:val="center"/>
          </w:tcPr>
          <w:p>
            <w:pPr>
              <w:widowControl/>
              <w:jc w:val="center"/>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0</w:t>
            </w:r>
          </w:p>
        </w:tc>
        <w:tc>
          <w:tcPr>
            <w:tcW w:w="1179" w:type="pct"/>
            <w:gridSpan w:val="2"/>
            <w:noWrap w:val="0"/>
            <w:vAlign w:val="center"/>
          </w:tcPr>
          <w:p>
            <w:pPr>
              <w:widowControl/>
              <w:jc w:val="center"/>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 xml:space="preserve"> 0</w:t>
            </w: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政府采购金额</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0.4</w:t>
            </w: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0.4</w:t>
            </w: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noWrap w:val="0"/>
            <w:vAlign w:val="center"/>
          </w:tcPr>
          <w:p>
            <w:pPr>
              <w:widowControl/>
              <w:jc w:val="left"/>
              <w:rPr>
                <w:rFonts w:hint="eastAsia" w:ascii="仿宋" w:hAnsi="仿宋" w:eastAsia="仿宋" w:cs="仿宋"/>
                <w:color w:val="auto"/>
                <w:kern w:val="0"/>
                <w:szCs w:val="21"/>
              </w:rPr>
            </w:pPr>
            <w:r>
              <w:rPr>
                <w:rFonts w:hint="eastAsia" w:ascii="仿宋" w:hAnsi="仿宋" w:eastAsia="仿宋" w:cs="仿宋"/>
                <w:color w:val="auto"/>
                <w:kern w:val="0"/>
                <w:szCs w:val="21"/>
              </w:rPr>
              <w:t xml:space="preserve">单位基本支出预算调整 </w:t>
            </w:r>
          </w:p>
        </w:tc>
        <w:tc>
          <w:tcPr>
            <w:tcW w:w="1073"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w:t>
            </w:r>
          </w:p>
        </w:tc>
        <w:tc>
          <w:tcPr>
            <w:tcW w:w="1179"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c>
          <w:tcPr>
            <w:tcW w:w="976"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94" w:hRule="atLeast"/>
          <w:jc w:val="center"/>
        </w:trPr>
        <w:tc>
          <w:tcPr>
            <w:tcW w:w="1770" w:type="pct"/>
            <w:vMerge w:val="restart"/>
            <w:noWrap w:val="0"/>
            <w:vAlign w:val="center"/>
          </w:tcPr>
          <w:p>
            <w:pPr>
              <w:widowControl/>
              <w:jc w:val="center"/>
              <w:rPr>
                <w:rFonts w:hint="eastAsia" w:ascii="仿宋" w:hAnsi="仿宋" w:eastAsia="仿宋" w:cs="仿宋"/>
                <w:color w:val="auto"/>
                <w:kern w:val="0"/>
                <w:szCs w:val="21"/>
                <w:lang w:eastAsia="zh-CN"/>
              </w:rPr>
            </w:pPr>
            <w:r>
              <w:rPr>
                <w:rFonts w:hint="eastAsia" w:ascii="仿宋" w:hAnsi="仿宋" w:eastAsia="仿宋" w:cs="仿宋"/>
                <w:color w:val="auto"/>
                <w:kern w:val="0"/>
                <w:szCs w:val="21"/>
              </w:rPr>
              <w:t>楼堂馆所控制情况</w:t>
            </w:r>
          </w:p>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（2021年完工项目）</w:t>
            </w:r>
          </w:p>
        </w:tc>
        <w:tc>
          <w:tcPr>
            <w:tcW w:w="623" w:type="pct"/>
            <w:noWrap w:val="0"/>
            <w:vAlign w:val="center"/>
          </w:tcPr>
          <w:p>
            <w:pPr>
              <w:widowControl/>
              <w:spacing w:line="240" w:lineRule="exact"/>
              <w:jc w:val="center"/>
              <w:rPr>
                <w:rFonts w:hint="eastAsia" w:ascii="仿宋" w:hAnsi="仿宋" w:eastAsia="仿宋" w:cs="仿宋"/>
                <w:bCs/>
                <w:color w:val="auto"/>
                <w:kern w:val="0"/>
                <w:szCs w:val="21"/>
                <w:lang w:eastAsia="zh-CN"/>
              </w:rPr>
            </w:pPr>
            <w:r>
              <w:rPr>
                <w:rFonts w:hint="eastAsia" w:ascii="仿宋" w:hAnsi="仿宋" w:eastAsia="仿宋" w:cs="仿宋"/>
                <w:bCs/>
                <w:color w:val="auto"/>
                <w:kern w:val="0"/>
                <w:szCs w:val="21"/>
              </w:rPr>
              <w:t>批复规模</w:t>
            </w:r>
          </w:p>
          <w:p>
            <w:pPr>
              <w:widowControl/>
              <w:spacing w:line="240" w:lineRule="exact"/>
              <w:jc w:val="center"/>
              <w:rPr>
                <w:rFonts w:hint="eastAsia" w:ascii="仿宋" w:hAnsi="仿宋" w:eastAsia="仿宋" w:cs="仿宋"/>
                <w:bCs/>
                <w:color w:val="auto"/>
                <w:kern w:val="0"/>
                <w:szCs w:val="21"/>
              </w:rPr>
            </w:pPr>
            <w:r>
              <w:rPr>
                <w:rFonts w:hint="eastAsia" w:ascii="仿宋" w:hAnsi="仿宋" w:eastAsia="仿宋" w:cs="仿宋"/>
                <w:bCs/>
                <w:color w:val="auto"/>
                <w:kern w:val="0"/>
                <w:szCs w:val="21"/>
              </w:rPr>
              <w:t>（㎡）</w:t>
            </w:r>
          </w:p>
        </w:tc>
        <w:tc>
          <w:tcPr>
            <w:tcW w:w="450" w:type="pct"/>
            <w:noWrap w:val="0"/>
            <w:vAlign w:val="center"/>
          </w:tcPr>
          <w:p>
            <w:pPr>
              <w:widowControl/>
              <w:spacing w:line="240" w:lineRule="exact"/>
              <w:jc w:val="center"/>
              <w:rPr>
                <w:rFonts w:hint="eastAsia" w:ascii="仿宋" w:hAnsi="仿宋" w:eastAsia="仿宋" w:cs="仿宋"/>
                <w:bCs/>
                <w:color w:val="auto"/>
                <w:kern w:val="0"/>
                <w:szCs w:val="21"/>
              </w:rPr>
            </w:pPr>
            <w:r>
              <w:rPr>
                <w:rFonts w:hint="eastAsia" w:ascii="仿宋" w:hAnsi="仿宋" w:eastAsia="仿宋" w:cs="仿宋"/>
                <w:bCs/>
                <w:color w:val="auto"/>
                <w:kern w:val="0"/>
                <w:szCs w:val="21"/>
              </w:rPr>
              <w:t>实际规模（㎡）</w:t>
            </w:r>
          </w:p>
        </w:tc>
        <w:tc>
          <w:tcPr>
            <w:tcW w:w="591" w:type="pct"/>
            <w:noWrap w:val="0"/>
            <w:vAlign w:val="center"/>
          </w:tcPr>
          <w:p>
            <w:pPr>
              <w:widowControl/>
              <w:spacing w:line="240" w:lineRule="exact"/>
              <w:jc w:val="center"/>
              <w:rPr>
                <w:rFonts w:hint="eastAsia" w:ascii="仿宋" w:hAnsi="仿宋" w:eastAsia="仿宋" w:cs="仿宋"/>
                <w:bCs/>
                <w:color w:val="auto"/>
                <w:kern w:val="0"/>
                <w:szCs w:val="21"/>
              </w:rPr>
            </w:pPr>
            <w:r>
              <w:rPr>
                <w:rFonts w:hint="eastAsia" w:ascii="仿宋" w:hAnsi="仿宋" w:eastAsia="仿宋" w:cs="仿宋"/>
                <w:bCs/>
                <w:color w:val="auto"/>
                <w:kern w:val="0"/>
                <w:szCs w:val="21"/>
              </w:rPr>
              <w:t>规模控制率</w:t>
            </w:r>
          </w:p>
        </w:tc>
        <w:tc>
          <w:tcPr>
            <w:tcW w:w="588" w:type="pct"/>
            <w:noWrap w:val="0"/>
            <w:vAlign w:val="center"/>
          </w:tcPr>
          <w:p>
            <w:pPr>
              <w:widowControl/>
              <w:spacing w:line="240" w:lineRule="exact"/>
              <w:jc w:val="center"/>
              <w:rPr>
                <w:rFonts w:hint="eastAsia" w:ascii="仿宋" w:hAnsi="仿宋" w:eastAsia="仿宋" w:cs="仿宋"/>
                <w:bCs/>
                <w:color w:val="auto"/>
                <w:kern w:val="0"/>
                <w:szCs w:val="21"/>
              </w:rPr>
            </w:pPr>
            <w:r>
              <w:rPr>
                <w:rFonts w:hint="eastAsia" w:ascii="仿宋" w:hAnsi="仿宋" w:eastAsia="仿宋" w:cs="仿宋"/>
                <w:bCs/>
                <w:color w:val="auto"/>
                <w:kern w:val="0"/>
                <w:szCs w:val="21"/>
              </w:rPr>
              <w:t>预算投资（万元）</w:t>
            </w:r>
          </w:p>
        </w:tc>
        <w:tc>
          <w:tcPr>
            <w:tcW w:w="510" w:type="pct"/>
            <w:noWrap w:val="0"/>
            <w:vAlign w:val="center"/>
          </w:tcPr>
          <w:p>
            <w:pPr>
              <w:widowControl/>
              <w:spacing w:line="240" w:lineRule="exact"/>
              <w:jc w:val="center"/>
              <w:rPr>
                <w:rFonts w:hint="eastAsia" w:ascii="仿宋" w:hAnsi="仿宋" w:eastAsia="仿宋" w:cs="仿宋"/>
                <w:bCs/>
                <w:color w:val="auto"/>
                <w:kern w:val="0"/>
                <w:szCs w:val="21"/>
              </w:rPr>
            </w:pPr>
            <w:r>
              <w:rPr>
                <w:rFonts w:hint="eastAsia" w:ascii="仿宋" w:hAnsi="仿宋" w:eastAsia="仿宋" w:cs="仿宋"/>
                <w:bCs/>
                <w:color w:val="auto"/>
                <w:kern w:val="0"/>
                <w:szCs w:val="21"/>
              </w:rPr>
              <w:t>实际投资（万元）</w:t>
            </w:r>
          </w:p>
        </w:tc>
        <w:tc>
          <w:tcPr>
            <w:tcW w:w="466" w:type="pct"/>
            <w:noWrap w:val="0"/>
            <w:vAlign w:val="center"/>
          </w:tcPr>
          <w:p>
            <w:pPr>
              <w:widowControl/>
              <w:spacing w:line="240" w:lineRule="exact"/>
              <w:jc w:val="center"/>
              <w:rPr>
                <w:rFonts w:hint="eastAsia" w:ascii="仿宋" w:hAnsi="仿宋" w:eastAsia="仿宋" w:cs="仿宋"/>
                <w:bCs/>
                <w:color w:val="auto"/>
                <w:kern w:val="0"/>
                <w:szCs w:val="21"/>
              </w:rPr>
            </w:pPr>
            <w:r>
              <w:rPr>
                <w:rFonts w:hint="eastAsia" w:ascii="仿宋" w:hAnsi="仿宋" w:eastAsia="仿宋" w:cs="仿宋"/>
                <w:bCs/>
                <w:color w:val="auto"/>
                <w:kern w:val="0"/>
                <w:szCs w:val="21"/>
              </w:rPr>
              <w:t>投资概算控制率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3" w:hRule="atLeast"/>
          <w:jc w:val="center"/>
        </w:trPr>
        <w:tc>
          <w:tcPr>
            <w:tcW w:w="1770" w:type="pct"/>
            <w:vMerge w:val="continue"/>
            <w:noWrap w:val="0"/>
            <w:vAlign w:val="center"/>
          </w:tcPr>
          <w:p>
            <w:pPr>
              <w:widowControl/>
              <w:jc w:val="left"/>
              <w:rPr>
                <w:rFonts w:hint="eastAsia" w:ascii="仿宋" w:hAnsi="仿宋" w:eastAsia="仿宋" w:cs="仿宋"/>
                <w:color w:val="auto"/>
                <w:kern w:val="0"/>
                <w:szCs w:val="21"/>
              </w:rPr>
            </w:pPr>
          </w:p>
        </w:tc>
        <w:tc>
          <w:tcPr>
            <w:tcW w:w="623" w:type="pct"/>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0</w:t>
            </w:r>
            <w:r>
              <w:rPr>
                <w:rFonts w:hint="eastAsia" w:ascii="仿宋" w:hAnsi="仿宋" w:eastAsia="仿宋" w:cs="仿宋"/>
                <w:color w:val="auto"/>
                <w:kern w:val="0"/>
                <w:szCs w:val="21"/>
              </w:rPr>
              <w:t>　</w:t>
            </w:r>
          </w:p>
        </w:tc>
        <w:tc>
          <w:tcPr>
            <w:tcW w:w="450" w:type="pct"/>
            <w:noWrap w:val="0"/>
            <w:vAlign w:val="center"/>
          </w:tcPr>
          <w:p>
            <w:pPr>
              <w:widowControl/>
              <w:jc w:val="left"/>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w:t>
            </w:r>
          </w:p>
        </w:tc>
        <w:tc>
          <w:tcPr>
            <w:tcW w:w="591" w:type="pct"/>
            <w:noWrap w:val="0"/>
            <w:vAlign w:val="center"/>
          </w:tcPr>
          <w:p>
            <w:pPr>
              <w:widowControl/>
              <w:jc w:val="left"/>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w:t>
            </w:r>
          </w:p>
        </w:tc>
        <w:tc>
          <w:tcPr>
            <w:tcW w:w="588" w:type="pct"/>
            <w:noWrap w:val="0"/>
            <w:vAlign w:val="center"/>
          </w:tcPr>
          <w:p>
            <w:pPr>
              <w:widowControl/>
              <w:jc w:val="left"/>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w:t>
            </w:r>
          </w:p>
        </w:tc>
        <w:tc>
          <w:tcPr>
            <w:tcW w:w="510" w:type="pct"/>
            <w:noWrap w:val="0"/>
            <w:vAlign w:val="center"/>
          </w:tcPr>
          <w:p>
            <w:pPr>
              <w:widowControl/>
              <w:jc w:val="left"/>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w:t>
            </w:r>
          </w:p>
        </w:tc>
        <w:tc>
          <w:tcPr>
            <w:tcW w:w="466" w:type="pct"/>
            <w:noWrap w:val="0"/>
            <w:vAlign w:val="center"/>
          </w:tcPr>
          <w:p>
            <w:pPr>
              <w:widowControl/>
              <w:jc w:val="left"/>
              <w:rPr>
                <w:rFonts w:hint="eastAsia" w:ascii="仿宋" w:hAnsi="仿宋" w:eastAsia="仿宋" w:cs="仿宋"/>
                <w:color w:val="auto"/>
                <w:kern w:val="0"/>
                <w:szCs w:val="21"/>
                <w:lang w:val="en-US" w:eastAsia="zh-CN"/>
              </w:rPr>
            </w:pPr>
            <w:r>
              <w:rPr>
                <w:rFonts w:hint="eastAsia" w:ascii="仿宋" w:hAnsi="仿宋" w:eastAsia="仿宋" w:cs="仿宋"/>
                <w:color w:val="auto"/>
                <w:kern w:val="0"/>
                <w:szCs w:val="21"/>
              </w:rPr>
              <w:t>　</w:t>
            </w:r>
            <w:r>
              <w:rPr>
                <w:rFonts w:hint="eastAsia" w:ascii="仿宋" w:hAnsi="仿宋" w:eastAsia="仿宋" w:cs="仿宋"/>
                <w:color w:val="auto"/>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66" w:hRule="atLeast"/>
          <w:jc w:val="center"/>
        </w:trPr>
        <w:tc>
          <w:tcPr>
            <w:tcW w:w="1770" w:type="pct"/>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厉行节约保障措施</w:t>
            </w:r>
          </w:p>
        </w:tc>
        <w:tc>
          <w:tcPr>
            <w:tcW w:w="3229" w:type="pct"/>
            <w:gridSpan w:val="6"/>
            <w:noWrap w:val="0"/>
            <w:vAlign w:val="center"/>
          </w:tcPr>
          <w:p>
            <w:pPr>
              <w:widowControl/>
              <w:jc w:val="center"/>
              <w:rPr>
                <w:rFonts w:hint="eastAsia" w:ascii="仿宋" w:hAnsi="仿宋" w:eastAsia="仿宋" w:cs="仿宋"/>
                <w:color w:val="auto"/>
                <w:kern w:val="0"/>
                <w:szCs w:val="21"/>
              </w:rPr>
            </w:pPr>
            <w:r>
              <w:rPr>
                <w:rFonts w:hint="eastAsia" w:eastAsia="方正仿宋_GBK"/>
                <w:color w:val="auto"/>
                <w:kern w:val="0"/>
                <w:szCs w:val="21"/>
              </w:rPr>
              <w:t>按文件规定执行</w:t>
            </w:r>
            <w:r>
              <w:rPr>
                <w:rFonts w:hint="eastAsia" w:ascii="仿宋" w:hAnsi="仿宋" w:eastAsia="仿宋" w:cs="仿宋"/>
                <w:color w:val="auto"/>
                <w:kern w:val="0"/>
                <w:szCs w:val="21"/>
              </w:rPr>
              <w:t>　</w:t>
            </w:r>
          </w:p>
        </w:tc>
      </w:tr>
    </w:tbl>
    <w:p>
      <w:pPr>
        <w:rPr>
          <w:rFonts w:hint="eastAsia" w:ascii="仿宋" w:hAnsi="仿宋" w:eastAsia="仿宋" w:cs="仿宋"/>
          <w:color w:val="auto"/>
        </w:rPr>
      </w:pPr>
      <w:r>
        <w:rPr>
          <w:rFonts w:hint="eastAsia" w:ascii="仿宋" w:hAnsi="仿宋" w:eastAsia="仿宋" w:cs="仿宋"/>
          <w:color w:val="auto"/>
        </w:rPr>
        <w:t>说明：“项目支出”需要填报基本支出以外的所有项目支出情况，“公用经费”填报基本支出中的一般商品和服务支出。</w:t>
      </w:r>
    </w:p>
    <w:p>
      <w:pPr>
        <w:widowControl/>
        <w:spacing w:after="156" w:afterLines="50" w:line="400" w:lineRule="exact"/>
        <w:jc w:val="left"/>
        <w:rPr>
          <w:rFonts w:hint="eastAsia" w:ascii="方正黑体_GBK" w:eastAsia="方正黑体_GBK"/>
          <w:color w:val="auto"/>
          <w:kern w:val="0"/>
          <w:szCs w:val="21"/>
        </w:rPr>
        <w:sectPr>
          <w:pgSz w:w="11906" w:h="16838"/>
          <w:pgMar w:top="1985" w:right="1474" w:bottom="1474" w:left="1474" w:header="851" w:footer="1134" w:gutter="0"/>
          <w:cols w:space="720" w:num="1"/>
          <w:docGrid w:type="lines" w:linePitch="312" w:charSpace="0"/>
        </w:sectPr>
      </w:pPr>
      <w:r>
        <w:rPr>
          <w:rFonts w:hint="eastAsia" w:ascii="方正黑体_GBK" w:eastAsia="方正黑体_GBK"/>
          <w:color w:val="auto"/>
          <w:kern w:val="0"/>
          <w:szCs w:val="21"/>
        </w:rPr>
        <w:t>填表人：</w:t>
      </w:r>
      <w:r>
        <w:rPr>
          <w:rFonts w:hint="eastAsia" w:ascii="方正黑体_GBK" w:eastAsia="方正黑体_GBK"/>
          <w:color w:val="auto"/>
          <w:kern w:val="0"/>
          <w:szCs w:val="21"/>
          <w:lang w:val="en-US" w:eastAsia="zh-CN"/>
        </w:rPr>
        <w:t>杨泓</w:t>
      </w:r>
      <w:r>
        <w:rPr>
          <w:rFonts w:hint="eastAsia" w:ascii="方正黑体_GBK" w:eastAsia="方正黑体_GBK"/>
          <w:color w:val="auto"/>
          <w:kern w:val="0"/>
          <w:szCs w:val="21"/>
        </w:rPr>
        <w:t xml:space="preserve">    填报日期：</w:t>
      </w:r>
      <w:r>
        <w:rPr>
          <w:rFonts w:hint="eastAsia" w:ascii="方正黑体_GBK" w:eastAsia="方正黑体_GBK"/>
          <w:color w:val="auto"/>
          <w:kern w:val="0"/>
          <w:szCs w:val="21"/>
          <w:lang w:val="en-US" w:eastAsia="zh-CN"/>
        </w:rPr>
        <w:t>2022.4.28</w:t>
      </w:r>
      <w:r>
        <w:rPr>
          <w:rFonts w:hint="eastAsia" w:ascii="方正黑体_GBK" w:eastAsia="方正黑体_GBK"/>
          <w:color w:val="auto"/>
          <w:kern w:val="0"/>
          <w:szCs w:val="21"/>
        </w:rPr>
        <w:t xml:space="preserve">     联系电话：</w:t>
      </w:r>
      <w:r>
        <w:rPr>
          <w:rFonts w:hint="eastAsia" w:ascii="方正黑体_GBK" w:eastAsia="方正黑体_GBK"/>
          <w:color w:val="auto"/>
          <w:kern w:val="0"/>
          <w:szCs w:val="21"/>
          <w:lang w:val="en-US" w:eastAsia="zh-CN"/>
        </w:rPr>
        <w:t>0731-85693711</w:t>
      </w:r>
      <w:r>
        <w:rPr>
          <w:rFonts w:hint="eastAsia" w:ascii="方正黑体_GBK" w:eastAsia="方正黑体_GBK"/>
          <w:color w:val="auto"/>
          <w:kern w:val="0"/>
          <w:szCs w:val="21"/>
        </w:rPr>
        <w:t xml:space="preserve"> 单位负责人签字：</w:t>
      </w:r>
    </w:p>
    <w:p>
      <w:pPr>
        <w:widowControl/>
        <w:spacing w:after="156" w:afterLines="50" w:line="400" w:lineRule="exact"/>
        <w:jc w:val="left"/>
        <w:rPr>
          <w:rFonts w:hint="eastAsia" w:eastAsia="方正黑体_GBK"/>
          <w:color w:val="auto"/>
          <w:sz w:val="32"/>
          <w:szCs w:val="32"/>
        </w:rPr>
      </w:pPr>
      <w:r>
        <w:rPr>
          <w:rFonts w:hint="eastAsia" w:eastAsia="方正黑体_GBK"/>
          <w:color w:val="auto"/>
          <w:sz w:val="32"/>
          <w:szCs w:val="32"/>
        </w:rPr>
        <w:t>附件3</w:t>
      </w:r>
    </w:p>
    <w:p>
      <w:pPr>
        <w:widowControl/>
        <w:spacing w:before="156" w:beforeLines="50" w:after="156" w:afterLines="50" w:line="600" w:lineRule="exact"/>
        <w:jc w:val="center"/>
        <w:rPr>
          <w:rFonts w:ascii="方正小标宋_GBK" w:hAnsi="宋体" w:eastAsia="方正小标宋_GBK" w:cs="宋体"/>
          <w:color w:val="auto"/>
          <w:kern w:val="0"/>
          <w:sz w:val="36"/>
          <w:szCs w:val="36"/>
        </w:rPr>
      </w:pPr>
      <w:r>
        <w:rPr>
          <w:rFonts w:ascii="方正小标宋_GBK" w:hAnsi="宋体" w:eastAsia="方正小标宋_GBK" w:cs="宋体"/>
          <w:color w:val="auto"/>
          <w:kern w:val="0"/>
          <w:sz w:val="36"/>
          <w:szCs w:val="36"/>
        </w:rPr>
        <w:t>202</w:t>
      </w:r>
      <w:r>
        <w:rPr>
          <w:rFonts w:hint="eastAsia" w:ascii="方正小标宋_GBK" w:hAnsi="宋体" w:eastAsia="方正小标宋_GBK" w:cs="宋体"/>
          <w:color w:val="auto"/>
          <w:kern w:val="0"/>
          <w:sz w:val="36"/>
          <w:szCs w:val="36"/>
          <w:lang w:val="en-US" w:eastAsia="zh-CN"/>
        </w:rPr>
        <w:t>1</w:t>
      </w:r>
      <w:r>
        <w:rPr>
          <w:rFonts w:ascii="方正小标宋_GBK" w:hAnsi="宋体" w:eastAsia="方正小标宋_GBK" w:cs="宋体"/>
          <w:color w:val="auto"/>
          <w:kern w:val="0"/>
          <w:sz w:val="36"/>
          <w:szCs w:val="36"/>
        </w:rPr>
        <w:t>年度</w:t>
      </w:r>
      <w:r>
        <w:rPr>
          <w:rFonts w:hint="eastAsia" w:ascii="方正小标宋_GBK" w:hAnsi="宋体" w:eastAsia="方正小标宋_GBK" w:cs="宋体"/>
          <w:color w:val="auto"/>
          <w:kern w:val="0"/>
          <w:sz w:val="36"/>
          <w:szCs w:val="36"/>
        </w:rPr>
        <w:t>单位</w:t>
      </w:r>
      <w:r>
        <w:rPr>
          <w:rFonts w:ascii="方正小标宋_GBK" w:hAnsi="宋体" w:eastAsia="方正小标宋_GBK" w:cs="宋体"/>
          <w:color w:val="auto"/>
          <w:kern w:val="0"/>
          <w:sz w:val="36"/>
          <w:szCs w:val="36"/>
        </w:rPr>
        <w:t>整体支出绩效自评表</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74"/>
        <w:gridCol w:w="974"/>
        <w:gridCol w:w="860"/>
        <w:gridCol w:w="1132"/>
        <w:gridCol w:w="87"/>
        <w:gridCol w:w="1083"/>
        <w:gridCol w:w="1150"/>
        <w:gridCol w:w="640"/>
        <w:gridCol w:w="894"/>
        <w:gridCol w:w="12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省级预算部门名称</w:t>
            </w:r>
          </w:p>
        </w:tc>
        <w:tc>
          <w:tcPr>
            <w:tcW w:w="8040" w:type="dxa"/>
            <w:gridSpan w:val="9"/>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lang w:val="en-US" w:eastAsia="zh-CN"/>
              </w:rPr>
              <w:t>湖南省食品安全审评认证中心</w:t>
            </w: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restart"/>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年度预</w:t>
            </w:r>
          </w:p>
          <w:p>
            <w:pPr>
              <w:widowControl/>
              <w:spacing w:line="240" w:lineRule="exact"/>
              <w:jc w:val="center"/>
              <w:rPr>
                <w:rFonts w:hint="eastAsia" w:eastAsia="方正仿宋_GBK"/>
                <w:color w:val="auto"/>
                <w:kern w:val="0"/>
                <w:szCs w:val="21"/>
                <w:lang w:eastAsia="zh-CN"/>
              </w:rPr>
            </w:pPr>
            <w:r>
              <w:rPr>
                <w:rFonts w:hint="eastAsia" w:eastAsia="方正仿宋_GBK"/>
                <w:color w:val="auto"/>
                <w:kern w:val="0"/>
                <w:szCs w:val="21"/>
              </w:rPr>
              <w:t>算申请</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（万元）</w:t>
            </w:r>
          </w:p>
        </w:tc>
        <w:tc>
          <w:tcPr>
            <w:tcW w:w="1834" w:type="dxa"/>
            <w:gridSpan w:val="2"/>
            <w:noWrap w:val="0"/>
            <w:vAlign w:val="center"/>
          </w:tcPr>
          <w:p>
            <w:pPr>
              <w:spacing w:line="240" w:lineRule="exact"/>
              <w:jc w:val="center"/>
              <w:rPr>
                <w:rFonts w:hint="eastAsia" w:eastAsia="方正仿宋_GBK"/>
                <w:color w:val="auto"/>
                <w:szCs w:val="21"/>
              </w:rPr>
            </w:pPr>
          </w:p>
        </w:tc>
        <w:tc>
          <w:tcPr>
            <w:tcW w:w="1132" w:type="dxa"/>
            <w:noWrap w:val="0"/>
            <w:vAlign w:val="center"/>
          </w:tcPr>
          <w:p>
            <w:pPr>
              <w:spacing w:line="240" w:lineRule="exact"/>
              <w:jc w:val="center"/>
              <w:rPr>
                <w:rFonts w:hint="eastAsia" w:eastAsia="方正仿宋_GBK"/>
                <w:color w:val="auto"/>
                <w:szCs w:val="21"/>
              </w:rPr>
            </w:pPr>
            <w:r>
              <w:rPr>
                <w:rFonts w:hint="eastAsia" w:eastAsia="方正仿宋_GBK"/>
                <w:color w:val="auto"/>
                <w:szCs w:val="21"/>
              </w:rPr>
              <w:t>年初</w:t>
            </w:r>
          </w:p>
          <w:p>
            <w:pPr>
              <w:spacing w:line="240" w:lineRule="exact"/>
              <w:jc w:val="center"/>
              <w:rPr>
                <w:rFonts w:hint="eastAsia" w:eastAsia="方正仿宋_GBK"/>
                <w:color w:val="auto"/>
                <w:szCs w:val="21"/>
              </w:rPr>
            </w:pPr>
            <w:r>
              <w:rPr>
                <w:rFonts w:hint="eastAsia" w:eastAsia="方正仿宋_GBK"/>
                <w:color w:val="auto"/>
                <w:szCs w:val="21"/>
              </w:rPr>
              <w:t>预算数</w:t>
            </w:r>
          </w:p>
        </w:tc>
        <w:tc>
          <w:tcPr>
            <w:tcW w:w="1170" w:type="dxa"/>
            <w:gridSpan w:val="2"/>
            <w:noWrap w:val="0"/>
            <w:vAlign w:val="center"/>
          </w:tcPr>
          <w:p>
            <w:pPr>
              <w:spacing w:line="240" w:lineRule="exact"/>
              <w:jc w:val="center"/>
              <w:rPr>
                <w:rFonts w:hint="eastAsia" w:eastAsia="方正仿宋_GBK"/>
                <w:color w:val="auto"/>
                <w:szCs w:val="21"/>
              </w:rPr>
            </w:pPr>
            <w:r>
              <w:rPr>
                <w:rFonts w:hint="eastAsia" w:eastAsia="方正仿宋_GBK"/>
                <w:color w:val="auto"/>
                <w:szCs w:val="21"/>
              </w:rPr>
              <w:t>全年预算数</w:t>
            </w:r>
          </w:p>
        </w:tc>
        <w:tc>
          <w:tcPr>
            <w:tcW w:w="1150" w:type="dxa"/>
            <w:noWrap w:val="0"/>
            <w:vAlign w:val="center"/>
          </w:tcPr>
          <w:p>
            <w:pPr>
              <w:spacing w:line="240" w:lineRule="exact"/>
              <w:jc w:val="center"/>
              <w:rPr>
                <w:rFonts w:hint="eastAsia" w:eastAsia="方正仿宋_GBK"/>
                <w:color w:val="auto"/>
                <w:szCs w:val="21"/>
              </w:rPr>
            </w:pPr>
            <w:r>
              <w:rPr>
                <w:rFonts w:hint="eastAsia" w:eastAsia="方正仿宋_GBK"/>
                <w:color w:val="auto"/>
                <w:szCs w:val="21"/>
              </w:rPr>
              <w:t>全年执行数</w:t>
            </w:r>
          </w:p>
        </w:tc>
        <w:tc>
          <w:tcPr>
            <w:tcW w:w="640" w:type="dxa"/>
            <w:noWrap w:val="0"/>
            <w:vAlign w:val="center"/>
          </w:tcPr>
          <w:p>
            <w:pPr>
              <w:spacing w:line="240" w:lineRule="exact"/>
              <w:jc w:val="center"/>
              <w:rPr>
                <w:rFonts w:hint="eastAsia" w:eastAsia="方正仿宋_GBK"/>
                <w:color w:val="auto"/>
                <w:szCs w:val="21"/>
              </w:rPr>
            </w:pPr>
            <w:r>
              <w:rPr>
                <w:rFonts w:hint="eastAsia" w:eastAsia="方正仿宋_GBK"/>
                <w:color w:val="auto"/>
                <w:szCs w:val="21"/>
              </w:rPr>
              <w:t>分值</w:t>
            </w:r>
          </w:p>
        </w:tc>
        <w:tc>
          <w:tcPr>
            <w:tcW w:w="894" w:type="dxa"/>
            <w:noWrap w:val="0"/>
            <w:vAlign w:val="center"/>
          </w:tcPr>
          <w:p>
            <w:pPr>
              <w:spacing w:line="240" w:lineRule="exact"/>
              <w:jc w:val="center"/>
              <w:rPr>
                <w:rFonts w:hint="eastAsia" w:eastAsia="方正仿宋_GBK"/>
                <w:color w:val="auto"/>
                <w:szCs w:val="21"/>
              </w:rPr>
            </w:pPr>
            <w:r>
              <w:rPr>
                <w:rFonts w:hint="eastAsia" w:eastAsia="方正仿宋_GBK"/>
                <w:color w:val="auto"/>
                <w:szCs w:val="21"/>
              </w:rPr>
              <w:t>执行率</w:t>
            </w:r>
          </w:p>
        </w:tc>
        <w:tc>
          <w:tcPr>
            <w:tcW w:w="1220" w:type="dxa"/>
            <w:noWrap w:val="0"/>
            <w:vAlign w:val="center"/>
          </w:tcPr>
          <w:p>
            <w:pPr>
              <w:spacing w:line="240" w:lineRule="exact"/>
              <w:jc w:val="center"/>
              <w:rPr>
                <w:rFonts w:hint="eastAsia" w:eastAsia="方正仿宋_GBK"/>
                <w:color w:val="auto"/>
                <w:szCs w:val="21"/>
              </w:rPr>
            </w:pPr>
            <w:r>
              <w:rPr>
                <w:rFonts w:hint="eastAsia" w:eastAsia="方正仿宋_GBK"/>
                <w:color w:val="auto"/>
                <w:szCs w:val="21"/>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widowControl/>
              <w:spacing w:line="240" w:lineRule="exact"/>
              <w:jc w:val="center"/>
              <w:rPr>
                <w:rFonts w:hint="eastAsia" w:eastAsia="方正仿宋_GBK"/>
                <w:color w:val="auto"/>
                <w:kern w:val="0"/>
                <w:szCs w:val="21"/>
              </w:rPr>
            </w:pPr>
          </w:p>
        </w:tc>
        <w:tc>
          <w:tcPr>
            <w:tcW w:w="1834" w:type="dxa"/>
            <w:gridSpan w:val="2"/>
            <w:noWrap w:val="0"/>
            <w:vAlign w:val="center"/>
          </w:tcPr>
          <w:p>
            <w:pPr>
              <w:spacing w:line="240" w:lineRule="exact"/>
              <w:jc w:val="center"/>
              <w:rPr>
                <w:rFonts w:hint="eastAsia" w:eastAsia="方正仿宋_GBK"/>
                <w:color w:val="auto"/>
                <w:szCs w:val="21"/>
              </w:rPr>
            </w:pPr>
            <w:r>
              <w:rPr>
                <w:rFonts w:hint="eastAsia" w:eastAsia="方正仿宋_GBK"/>
                <w:color w:val="auto"/>
                <w:kern w:val="0"/>
                <w:szCs w:val="21"/>
              </w:rPr>
              <w:t>年度资金总额</w:t>
            </w:r>
          </w:p>
        </w:tc>
        <w:tc>
          <w:tcPr>
            <w:tcW w:w="1132" w:type="dxa"/>
            <w:noWrap w:val="0"/>
            <w:vAlign w:val="center"/>
          </w:tcPr>
          <w:p>
            <w:pPr>
              <w:spacing w:line="240" w:lineRule="exact"/>
              <w:jc w:val="center"/>
              <w:rPr>
                <w:rFonts w:hint="default" w:eastAsia="方正仿宋_GBK"/>
                <w:color w:val="auto"/>
                <w:szCs w:val="21"/>
                <w:lang w:val="en-US" w:eastAsia="zh-CN"/>
              </w:rPr>
            </w:pPr>
            <w:r>
              <w:rPr>
                <w:rFonts w:hint="eastAsia" w:eastAsia="方正仿宋_GBK"/>
                <w:color w:val="auto"/>
                <w:szCs w:val="21"/>
                <w:lang w:val="en-US" w:eastAsia="zh-CN"/>
              </w:rPr>
              <w:t>553.27</w:t>
            </w:r>
          </w:p>
        </w:tc>
        <w:tc>
          <w:tcPr>
            <w:tcW w:w="1170" w:type="dxa"/>
            <w:gridSpan w:val="2"/>
            <w:noWrap w:val="0"/>
            <w:vAlign w:val="center"/>
          </w:tcPr>
          <w:p>
            <w:pPr>
              <w:spacing w:line="240" w:lineRule="exact"/>
              <w:jc w:val="center"/>
              <w:rPr>
                <w:rFonts w:hint="default" w:eastAsia="方正仿宋_GBK"/>
                <w:color w:val="auto"/>
                <w:szCs w:val="21"/>
                <w:lang w:val="en-US" w:eastAsia="zh-CN"/>
              </w:rPr>
            </w:pPr>
            <w:r>
              <w:rPr>
                <w:rFonts w:hint="eastAsia" w:eastAsia="方正仿宋_GBK"/>
                <w:color w:val="auto"/>
                <w:szCs w:val="21"/>
                <w:lang w:val="en-US" w:eastAsia="zh-CN"/>
              </w:rPr>
              <w:t>553.27</w:t>
            </w:r>
          </w:p>
        </w:tc>
        <w:tc>
          <w:tcPr>
            <w:tcW w:w="1150" w:type="dxa"/>
            <w:noWrap w:val="0"/>
            <w:vAlign w:val="center"/>
          </w:tcPr>
          <w:p>
            <w:pPr>
              <w:spacing w:line="240" w:lineRule="exact"/>
              <w:jc w:val="center"/>
              <w:rPr>
                <w:rFonts w:hint="default" w:eastAsia="方正仿宋_GBK"/>
                <w:color w:val="auto"/>
                <w:szCs w:val="21"/>
                <w:lang w:val="en-US" w:eastAsia="zh-CN"/>
              </w:rPr>
            </w:pPr>
            <w:r>
              <w:rPr>
                <w:rFonts w:hint="eastAsia" w:eastAsia="方正仿宋_GBK"/>
                <w:color w:val="auto"/>
                <w:szCs w:val="21"/>
                <w:lang w:val="en-US" w:eastAsia="zh-CN"/>
              </w:rPr>
              <w:t>524.02</w:t>
            </w:r>
          </w:p>
        </w:tc>
        <w:tc>
          <w:tcPr>
            <w:tcW w:w="640" w:type="dxa"/>
            <w:noWrap w:val="0"/>
            <w:vAlign w:val="center"/>
          </w:tcPr>
          <w:p>
            <w:pPr>
              <w:spacing w:line="240" w:lineRule="exact"/>
              <w:jc w:val="center"/>
              <w:rPr>
                <w:rFonts w:hint="eastAsia" w:eastAsia="方正仿宋_GBK"/>
                <w:color w:val="auto"/>
                <w:szCs w:val="21"/>
              </w:rPr>
            </w:pPr>
            <w:r>
              <w:rPr>
                <w:rFonts w:hint="eastAsia" w:eastAsia="方正仿宋_GBK"/>
                <w:color w:val="auto"/>
                <w:szCs w:val="21"/>
              </w:rPr>
              <w:t>10</w:t>
            </w:r>
          </w:p>
        </w:tc>
        <w:tc>
          <w:tcPr>
            <w:tcW w:w="894" w:type="dxa"/>
            <w:noWrap w:val="0"/>
            <w:vAlign w:val="center"/>
          </w:tcPr>
          <w:p>
            <w:pPr>
              <w:spacing w:line="240" w:lineRule="exact"/>
              <w:jc w:val="center"/>
              <w:rPr>
                <w:rFonts w:hint="eastAsia" w:eastAsia="方正仿宋_GBK"/>
                <w:color w:val="auto"/>
                <w:szCs w:val="21"/>
                <w:lang w:val="en-US" w:eastAsia="zh-CN"/>
              </w:rPr>
            </w:pPr>
            <w:r>
              <w:rPr>
                <w:rFonts w:hint="eastAsia" w:eastAsia="方正仿宋_GBK"/>
                <w:color w:val="auto"/>
                <w:szCs w:val="21"/>
                <w:lang w:val="en-US" w:eastAsia="zh-CN"/>
              </w:rPr>
              <w:t>94.71%</w:t>
            </w:r>
          </w:p>
        </w:tc>
        <w:tc>
          <w:tcPr>
            <w:tcW w:w="1220" w:type="dxa"/>
            <w:noWrap w:val="0"/>
            <w:vAlign w:val="center"/>
          </w:tcPr>
          <w:p>
            <w:pPr>
              <w:spacing w:line="240" w:lineRule="exact"/>
              <w:jc w:val="center"/>
              <w:rPr>
                <w:rFonts w:hint="default" w:eastAsia="方正仿宋_GBK"/>
                <w:color w:val="auto"/>
                <w:szCs w:val="21"/>
                <w:lang w:val="en-US" w:eastAsia="zh-CN"/>
              </w:rPr>
            </w:pPr>
            <w:r>
              <w:rPr>
                <w:rFonts w:hint="eastAsia" w:eastAsia="方正仿宋_GBK"/>
                <w:color w:val="auto"/>
                <w:szCs w:val="21"/>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widowControl/>
              <w:spacing w:line="240" w:lineRule="exact"/>
              <w:jc w:val="left"/>
              <w:rPr>
                <w:rFonts w:hint="eastAsia" w:eastAsia="方正仿宋_GBK"/>
                <w:color w:val="auto"/>
                <w:kern w:val="0"/>
                <w:szCs w:val="21"/>
              </w:rPr>
            </w:pPr>
          </w:p>
        </w:tc>
        <w:tc>
          <w:tcPr>
            <w:tcW w:w="4136" w:type="dxa"/>
            <w:gridSpan w:val="5"/>
            <w:noWrap w:val="0"/>
            <w:vAlign w:val="center"/>
          </w:tcPr>
          <w:p>
            <w:pPr>
              <w:widowControl/>
              <w:spacing w:line="240" w:lineRule="exact"/>
              <w:jc w:val="left"/>
              <w:rPr>
                <w:rFonts w:hint="default" w:eastAsia="方正仿宋_GBK"/>
                <w:color w:val="auto"/>
                <w:kern w:val="0"/>
                <w:szCs w:val="21"/>
                <w:lang w:val="en-US" w:eastAsia="zh-CN"/>
              </w:rPr>
            </w:pPr>
            <w:r>
              <w:rPr>
                <w:rFonts w:hint="eastAsia" w:eastAsia="方正仿宋_GBK"/>
                <w:color w:val="auto"/>
                <w:kern w:val="0"/>
                <w:szCs w:val="21"/>
              </w:rPr>
              <w:t>按收入性质分：</w:t>
            </w:r>
            <w:r>
              <w:rPr>
                <w:rFonts w:hint="eastAsia" w:eastAsia="方正仿宋_GBK"/>
                <w:color w:val="auto"/>
                <w:kern w:val="0"/>
                <w:szCs w:val="21"/>
                <w:lang w:val="en-US" w:eastAsia="zh-CN"/>
              </w:rPr>
              <w:t>553.27</w:t>
            </w:r>
          </w:p>
        </w:tc>
        <w:tc>
          <w:tcPr>
            <w:tcW w:w="3904" w:type="dxa"/>
            <w:gridSpan w:val="4"/>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按支出性质分：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widowControl/>
              <w:spacing w:line="240" w:lineRule="exact"/>
              <w:jc w:val="left"/>
              <w:rPr>
                <w:rFonts w:hint="eastAsia" w:eastAsia="方正仿宋_GBK"/>
                <w:color w:val="auto"/>
                <w:kern w:val="0"/>
                <w:szCs w:val="21"/>
              </w:rPr>
            </w:pPr>
          </w:p>
        </w:tc>
        <w:tc>
          <w:tcPr>
            <w:tcW w:w="4136" w:type="dxa"/>
            <w:gridSpan w:val="5"/>
            <w:noWrap w:val="0"/>
            <w:vAlign w:val="center"/>
          </w:tcPr>
          <w:p>
            <w:pPr>
              <w:widowControl/>
              <w:spacing w:line="240" w:lineRule="exact"/>
              <w:jc w:val="left"/>
              <w:rPr>
                <w:rFonts w:hint="default" w:eastAsia="方正仿宋_GBK"/>
                <w:color w:val="auto"/>
                <w:kern w:val="0"/>
                <w:szCs w:val="21"/>
                <w:lang w:val="en-US"/>
              </w:rPr>
            </w:pPr>
            <w:r>
              <w:rPr>
                <w:rFonts w:hint="eastAsia" w:eastAsia="方正仿宋_GBK"/>
                <w:color w:val="auto"/>
                <w:kern w:val="0"/>
                <w:szCs w:val="21"/>
              </w:rPr>
              <w:t xml:space="preserve">  其中：  一般公共预算：</w:t>
            </w:r>
            <w:r>
              <w:rPr>
                <w:rFonts w:hint="eastAsia" w:eastAsia="方正仿宋_GBK"/>
                <w:color w:val="auto"/>
                <w:kern w:val="0"/>
                <w:szCs w:val="21"/>
                <w:lang w:val="en-US" w:eastAsia="zh-CN"/>
              </w:rPr>
              <w:t>553.27</w:t>
            </w:r>
          </w:p>
        </w:tc>
        <w:tc>
          <w:tcPr>
            <w:tcW w:w="3904" w:type="dxa"/>
            <w:gridSpan w:val="4"/>
            <w:noWrap w:val="0"/>
            <w:vAlign w:val="center"/>
          </w:tcPr>
          <w:p>
            <w:pPr>
              <w:widowControl/>
              <w:spacing w:line="240" w:lineRule="exact"/>
              <w:jc w:val="left"/>
              <w:rPr>
                <w:rFonts w:hint="default" w:eastAsia="方正仿宋_GBK"/>
                <w:color w:val="auto"/>
                <w:kern w:val="0"/>
                <w:szCs w:val="21"/>
                <w:lang w:val="en-US"/>
              </w:rPr>
            </w:pPr>
            <w:r>
              <w:rPr>
                <w:rFonts w:hint="eastAsia" w:eastAsia="方正仿宋_GBK"/>
                <w:color w:val="auto"/>
                <w:kern w:val="0"/>
                <w:szCs w:val="21"/>
              </w:rPr>
              <w:t>其中：基本支出：</w:t>
            </w:r>
            <w:r>
              <w:rPr>
                <w:rFonts w:hint="eastAsia" w:eastAsia="方正仿宋_GBK"/>
                <w:color w:val="auto"/>
                <w:kern w:val="0"/>
                <w:szCs w:val="21"/>
                <w:lang w:val="en-US" w:eastAsia="zh-CN"/>
              </w:rPr>
              <w:t>369.17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widowControl/>
              <w:spacing w:line="240" w:lineRule="exact"/>
              <w:jc w:val="left"/>
              <w:rPr>
                <w:rFonts w:hint="eastAsia" w:eastAsia="方正仿宋_GBK"/>
                <w:color w:val="auto"/>
                <w:kern w:val="0"/>
                <w:szCs w:val="21"/>
              </w:rPr>
            </w:pPr>
          </w:p>
        </w:tc>
        <w:tc>
          <w:tcPr>
            <w:tcW w:w="4136" w:type="dxa"/>
            <w:gridSpan w:val="5"/>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政府性基金拨款：</w:t>
            </w:r>
          </w:p>
        </w:tc>
        <w:tc>
          <w:tcPr>
            <w:tcW w:w="3904" w:type="dxa"/>
            <w:gridSpan w:val="4"/>
            <w:noWrap w:val="0"/>
            <w:vAlign w:val="center"/>
          </w:tcPr>
          <w:p>
            <w:pPr>
              <w:widowControl/>
              <w:spacing w:line="240" w:lineRule="exact"/>
              <w:jc w:val="left"/>
              <w:rPr>
                <w:rFonts w:hint="default" w:eastAsia="方正仿宋_GBK"/>
                <w:color w:val="auto"/>
                <w:kern w:val="0"/>
                <w:szCs w:val="21"/>
                <w:lang w:val="en-US"/>
              </w:rPr>
            </w:pPr>
            <w:r>
              <w:rPr>
                <w:rFonts w:hint="eastAsia" w:eastAsia="方正仿宋_GBK"/>
                <w:color w:val="auto"/>
                <w:kern w:val="0"/>
                <w:szCs w:val="21"/>
              </w:rPr>
              <w:t>项目支出：</w:t>
            </w:r>
            <w:r>
              <w:rPr>
                <w:rFonts w:hint="eastAsia" w:eastAsia="方正仿宋_GBK"/>
                <w:color w:val="auto"/>
                <w:kern w:val="0"/>
                <w:szCs w:val="21"/>
                <w:lang w:val="en-US" w:eastAsia="zh-CN"/>
              </w:rPr>
              <w:t>154.85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widowControl/>
              <w:spacing w:line="240" w:lineRule="exact"/>
              <w:jc w:val="left"/>
              <w:rPr>
                <w:rFonts w:hint="eastAsia" w:eastAsia="方正仿宋_GBK"/>
                <w:color w:val="auto"/>
                <w:kern w:val="0"/>
                <w:szCs w:val="21"/>
              </w:rPr>
            </w:pPr>
          </w:p>
        </w:tc>
        <w:tc>
          <w:tcPr>
            <w:tcW w:w="4136" w:type="dxa"/>
            <w:gridSpan w:val="5"/>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纳入专户管理的非税收入拨款：</w:t>
            </w:r>
          </w:p>
        </w:tc>
        <w:tc>
          <w:tcPr>
            <w:tcW w:w="3904" w:type="dxa"/>
            <w:gridSpan w:val="4"/>
            <w:noWrap w:val="0"/>
            <w:vAlign w:val="center"/>
          </w:tcPr>
          <w:p>
            <w:pPr>
              <w:widowControl/>
              <w:spacing w:line="240" w:lineRule="exact"/>
              <w:jc w:val="left"/>
              <w:rPr>
                <w:rFonts w:hint="eastAsia" w:eastAsia="方正仿宋_GBK"/>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widowControl/>
              <w:spacing w:line="240" w:lineRule="exact"/>
              <w:jc w:val="left"/>
              <w:rPr>
                <w:rFonts w:hint="eastAsia" w:eastAsia="方正仿宋_GBK"/>
                <w:color w:val="auto"/>
                <w:kern w:val="0"/>
                <w:szCs w:val="21"/>
              </w:rPr>
            </w:pPr>
          </w:p>
        </w:tc>
        <w:tc>
          <w:tcPr>
            <w:tcW w:w="4136" w:type="dxa"/>
            <w:gridSpan w:val="5"/>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其他资金：</w:t>
            </w:r>
          </w:p>
        </w:tc>
        <w:tc>
          <w:tcPr>
            <w:tcW w:w="3904" w:type="dxa"/>
            <w:gridSpan w:val="4"/>
            <w:noWrap w:val="0"/>
            <w:vAlign w:val="center"/>
          </w:tcPr>
          <w:p>
            <w:pPr>
              <w:widowControl/>
              <w:spacing w:line="240" w:lineRule="exact"/>
              <w:jc w:val="left"/>
              <w:rPr>
                <w:rFonts w:hint="eastAsia" w:eastAsia="方正仿宋_GBK"/>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restart"/>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年度总体目标</w:t>
            </w:r>
          </w:p>
        </w:tc>
        <w:tc>
          <w:tcPr>
            <w:tcW w:w="4136" w:type="dxa"/>
            <w:gridSpan w:val="5"/>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预期目标</w:t>
            </w:r>
          </w:p>
        </w:tc>
        <w:tc>
          <w:tcPr>
            <w:tcW w:w="3904" w:type="dxa"/>
            <w:gridSpan w:val="4"/>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widowControl/>
              <w:spacing w:line="240" w:lineRule="exact"/>
              <w:jc w:val="left"/>
              <w:rPr>
                <w:rFonts w:hint="eastAsia" w:eastAsia="方正仿宋_GBK"/>
                <w:color w:val="auto"/>
                <w:kern w:val="0"/>
                <w:szCs w:val="21"/>
              </w:rPr>
            </w:pPr>
          </w:p>
        </w:tc>
        <w:tc>
          <w:tcPr>
            <w:tcW w:w="4136" w:type="dxa"/>
            <w:gridSpan w:val="5"/>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lang w:val="en-US" w:eastAsia="zh-CN"/>
              </w:rPr>
              <w:t>553.27</w:t>
            </w:r>
            <w:r>
              <w:rPr>
                <w:rFonts w:hint="eastAsia" w:eastAsia="方正仿宋_GBK"/>
                <w:color w:val="auto"/>
                <w:kern w:val="0"/>
                <w:szCs w:val="21"/>
              </w:rPr>
              <w:t>　　</w:t>
            </w:r>
          </w:p>
        </w:tc>
        <w:tc>
          <w:tcPr>
            <w:tcW w:w="3904" w:type="dxa"/>
            <w:gridSpan w:val="4"/>
            <w:noWrap w:val="0"/>
            <w:vAlign w:val="center"/>
          </w:tcPr>
          <w:p>
            <w:pPr>
              <w:widowControl/>
              <w:spacing w:line="240" w:lineRule="exact"/>
              <w:jc w:val="left"/>
              <w:rPr>
                <w:rFonts w:hint="default" w:eastAsia="方正仿宋_GBK"/>
                <w:color w:val="auto"/>
                <w:kern w:val="0"/>
                <w:szCs w:val="21"/>
                <w:lang w:val="en-US" w:eastAsia="zh-CN"/>
              </w:rPr>
            </w:pPr>
            <w:r>
              <w:rPr>
                <w:rFonts w:hint="eastAsia" w:eastAsia="方正仿宋_GBK"/>
                <w:color w:val="auto"/>
                <w:kern w:val="0"/>
                <w:szCs w:val="21"/>
              </w:rPr>
              <w:t>　</w:t>
            </w:r>
            <w:r>
              <w:rPr>
                <w:rFonts w:hint="eastAsia" w:eastAsia="方正仿宋_GBK"/>
                <w:color w:val="auto"/>
                <w:kern w:val="0"/>
                <w:szCs w:val="21"/>
                <w:lang w:val="en-US" w:eastAsia="zh-CN"/>
              </w:rPr>
              <w:t xml:space="preserve">            524.02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restart"/>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绩效</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指标</w:t>
            </w:r>
          </w:p>
        </w:tc>
        <w:tc>
          <w:tcPr>
            <w:tcW w:w="974"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一级指标</w:t>
            </w:r>
          </w:p>
        </w:tc>
        <w:tc>
          <w:tcPr>
            <w:tcW w:w="86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二级</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指标</w:t>
            </w:r>
          </w:p>
        </w:tc>
        <w:tc>
          <w:tcPr>
            <w:tcW w:w="1219" w:type="dxa"/>
            <w:gridSpan w:val="2"/>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三级指标</w:t>
            </w:r>
          </w:p>
        </w:tc>
        <w:tc>
          <w:tcPr>
            <w:tcW w:w="1083"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年度</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指标值</w:t>
            </w:r>
          </w:p>
        </w:tc>
        <w:tc>
          <w:tcPr>
            <w:tcW w:w="1150" w:type="dxa"/>
            <w:noWrap w:val="0"/>
            <w:vAlign w:val="center"/>
          </w:tcPr>
          <w:p>
            <w:pPr>
              <w:widowControl/>
              <w:spacing w:line="240" w:lineRule="exact"/>
              <w:rPr>
                <w:rFonts w:hint="eastAsia" w:eastAsia="方正仿宋_GBK"/>
                <w:color w:val="auto"/>
                <w:kern w:val="0"/>
                <w:szCs w:val="21"/>
              </w:rPr>
            </w:pPr>
            <w:r>
              <w:rPr>
                <w:rFonts w:hint="eastAsia" w:eastAsia="方正仿宋_GBK"/>
                <w:color w:val="auto"/>
                <w:kern w:val="0"/>
                <w:szCs w:val="21"/>
              </w:rPr>
              <w:t>际完成值</w:t>
            </w:r>
          </w:p>
        </w:tc>
        <w:tc>
          <w:tcPr>
            <w:tcW w:w="64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分值</w:t>
            </w:r>
          </w:p>
        </w:tc>
        <w:tc>
          <w:tcPr>
            <w:tcW w:w="894"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得分</w:t>
            </w:r>
          </w:p>
        </w:tc>
        <w:tc>
          <w:tcPr>
            <w:tcW w:w="122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偏差原因</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分析及</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spacing w:line="240" w:lineRule="exact"/>
              <w:jc w:val="left"/>
              <w:rPr>
                <w:rFonts w:hint="eastAsia" w:eastAsia="方正仿宋_GBK"/>
                <w:color w:val="auto"/>
                <w:kern w:val="0"/>
                <w:szCs w:val="21"/>
              </w:rPr>
            </w:pPr>
          </w:p>
        </w:tc>
        <w:tc>
          <w:tcPr>
            <w:tcW w:w="974" w:type="dxa"/>
            <w:vMerge w:val="restart"/>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产出指标</w:t>
            </w:r>
          </w:p>
          <w:p>
            <w:pPr>
              <w:widowControl/>
              <w:spacing w:line="240" w:lineRule="exact"/>
              <w:jc w:val="center"/>
              <w:rPr>
                <w:rFonts w:hint="eastAsia" w:eastAsia="方正仿宋_GBK"/>
                <w:color w:val="auto"/>
                <w:kern w:val="0"/>
                <w:szCs w:val="21"/>
              </w:rPr>
            </w:pP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(50分)</w:t>
            </w:r>
          </w:p>
        </w:tc>
        <w:tc>
          <w:tcPr>
            <w:tcW w:w="86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数量</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指标</w:t>
            </w:r>
          </w:p>
        </w:tc>
        <w:tc>
          <w:tcPr>
            <w:tcW w:w="1219" w:type="dxa"/>
            <w:gridSpan w:val="2"/>
            <w:noWrap w:val="0"/>
            <w:vAlign w:val="center"/>
          </w:tcPr>
          <w:p>
            <w:pPr>
              <w:keepNext w:val="0"/>
              <w:keepLines w:val="0"/>
              <w:widowControl/>
              <w:suppressLineNumbers w:val="0"/>
              <w:jc w:val="left"/>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企业申报许可审查完成率及证后监督检查完成</w:t>
            </w:r>
          </w:p>
        </w:tc>
        <w:tc>
          <w:tcPr>
            <w:tcW w:w="1083"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100%</w:t>
            </w:r>
          </w:p>
        </w:tc>
        <w:tc>
          <w:tcPr>
            <w:tcW w:w="1150" w:type="dxa"/>
            <w:noWrap w:val="0"/>
            <w:vAlign w:val="center"/>
          </w:tcPr>
          <w:p>
            <w:pPr>
              <w:keepNext w:val="0"/>
              <w:keepLines w:val="0"/>
              <w:widowControl/>
              <w:suppressLineNumbers w:val="0"/>
              <w:jc w:val="center"/>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100%</w:t>
            </w:r>
          </w:p>
        </w:tc>
        <w:tc>
          <w:tcPr>
            <w:tcW w:w="640"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20</w:t>
            </w:r>
          </w:p>
        </w:tc>
        <w:tc>
          <w:tcPr>
            <w:tcW w:w="894"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20</w:t>
            </w:r>
          </w:p>
        </w:tc>
        <w:tc>
          <w:tcPr>
            <w:tcW w:w="1220" w:type="dxa"/>
            <w:noWrap w:val="0"/>
            <w:vAlign w:val="center"/>
          </w:tcPr>
          <w:p>
            <w:pPr>
              <w:keepNext w:val="0"/>
              <w:keepLines w:val="0"/>
              <w:widowControl/>
              <w:suppressLineNumbers w:val="0"/>
              <w:jc w:val="center"/>
              <w:textAlignment w:val="center"/>
              <w:rPr>
                <w:rFonts w:hint="eastAsia" w:eastAsia="方正仿宋_GBK"/>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spacing w:line="240" w:lineRule="exact"/>
              <w:jc w:val="left"/>
              <w:rPr>
                <w:rFonts w:hint="eastAsia" w:eastAsia="方正仿宋_GBK"/>
                <w:color w:val="auto"/>
                <w:kern w:val="0"/>
                <w:szCs w:val="21"/>
              </w:rPr>
            </w:pPr>
          </w:p>
        </w:tc>
        <w:tc>
          <w:tcPr>
            <w:tcW w:w="974" w:type="dxa"/>
            <w:vMerge w:val="continue"/>
            <w:noWrap w:val="0"/>
            <w:vAlign w:val="center"/>
          </w:tcPr>
          <w:p>
            <w:pPr>
              <w:spacing w:line="240" w:lineRule="exact"/>
              <w:jc w:val="left"/>
              <w:rPr>
                <w:rFonts w:hint="eastAsia" w:eastAsia="方正仿宋_GBK"/>
                <w:color w:val="auto"/>
                <w:kern w:val="0"/>
                <w:szCs w:val="21"/>
              </w:rPr>
            </w:pPr>
          </w:p>
        </w:tc>
        <w:tc>
          <w:tcPr>
            <w:tcW w:w="86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质量</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指标</w:t>
            </w:r>
          </w:p>
        </w:tc>
        <w:tc>
          <w:tcPr>
            <w:tcW w:w="1219" w:type="dxa"/>
            <w:gridSpan w:val="2"/>
            <w:noWrap w:val="0"/>
            <w:vAlign w:val="center"/>
          </w:tcPr>
          <w:p>
            <w:pPr>
              <w:keepNext w:val="0"/>
              <w:keepLines w:val="0"/>
              <w:widowControl/>
              <w:suppressLineNumbers w:val="0"/>
              <w:jc w:val="left"/>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按《食品生产许可管理办法》《审查细则》要求</w:t>
            </w:r>
          </w:p>
        </w:tc>
        <w:tc>
          <w:tcPr>
            <w:tcW w:w="1083"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eastAsia="zh-CN"/>
              </w:rPr>
            </w:pPr>
            <w:r>
              <w:rPr>
                <w:rFonts w:hint="eastAsia" w:eastAsia="方正仿宋_GBK"/>
                <w:color w:val="auto"/>
                <w:kern w:val="0"/>
                <w:szCs w:val="21"/>
                <w:lang w:val="en-US" w:eastAsia="zh-CN"/>
              </w:rPr>
              <w:t>按文件要求质量完成</w:t>
            </w:r>
          </w:p>
        </w:tc>
        <w:tc>
          <w:tcPr>
            <w:tcW w:w="1150"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按文件要求质量完成</w:t>
            </w:r>
          </w:p>
        </w:tc>
        <w:tc>
          <w:tcPr>
            <w:tcW w:w="640"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10</w:t>
            </w:r>
          </w:p>
        </w:tc>
        <w:tc>
          <w:tcPr>
            <w:tcW w:w="894"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10</w:t>
            </w:r>
          </w:p>
        </w:tc>
        <w:tc>
          <w:tcPr>
            <w:tcW w:w="1220"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spacing w:line="240" w:lineRule="exact"/>
              <w:jc w:val="left"/>
              <w:rPr>
                <w:rFonts w:hint="eastAsia" w:eastAsia="方正仿宋_GBK"/>
                <w:color w:val="auto"/>
                <w:kern w:val="0"/>
                <w:szCs w:val="21"/>
              </w:rPr>
            </w:pPr>
          </w:p>
        </w:tc>
        <w:tc>
          <w:tcPr>
            <w:tcW w:w="974" w:type="dxa"/>
            <w:vMerge w:val="continue"/>
            <w:noWrap w:val="0"/>
            <w:vAlign w:val="center"/>
          </w:tcPr>
          <w:p>
            <w:pPr>
              <w:spacing w:line="240" w:lineRule="exact"/>
              <w:jc w:val="left"/>
              <w:rPr>
                <w:rFonts w:hint="eastAsia" w:eastAsia="方正仿宋_GBK"/>
                <w:color w:val="auto"/>
                <w:kern w:val="0"/>
                <w:szCs w:val="21"/>
              </w:rPr>
            </w:pPr>
          </w:p>
        </w:tc>
        <w:tc>
          <w:tcPr>
            <w:tcW w:w="86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时效</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指标</w:t>
            </w:r>
          </w:p>
        </w:tc>
        <w:tc>
          <w:tcPr>
            <w:tcW w:w="1219" w:type="dxa"/>
            <w:gridSpan w:val="2"/>
            <w:noWrap w:val="0"/>
            <w:vAlign w:val="center"/>
          </w:tcPr>
          <w:p>
            <w:pPr>
              <w:keepNext w:val="0"/>
              <w:keepLines w:val="0"/>
              <w:widowControl/>
              <w:suppressLineNumbers w:val="0"/>
              <w:jc w:val="left"/>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按审查时限完成</w:t>
            </w:r>
          </w:p>
        </w:tc>
        <w:tc>
          <w:tcPr>
            <w:tcW w:w="1083" w:type="dxa"/>
            <w:noWrap w:val="0"/>
            <w:vAlign w:val="center"/>
          </w:tcPr>
          <w:p>
            <w:pPr>
              <w:keepNext w:val="0"/>
              <w:keepLines w:val="0"/>
              <w:widowControl/>
              <w:suppressLineNumbers w:val="0"/>
              <w:jc w:val="center"/>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100%</w:t>
            </w:r>
          </w:p>
        </w:tc>
        <w:tc>
          <w:tcPr>
            <w:tcW w:w="1150" w:type="dxa"/>
            <w:noWrap w:val="0"/>
            <w:vAlign w:val="center"/>
          </w:tcPr>
          <w:p>
            <w:pPr>
              <w:keepNext w:val="0"/>
              <w:keepLines w:val="0"/>
              <w:widowControl/>
              <w:suppressLineNumbers w:val="0"/>
              <w:jc w:val="center"/>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100%</w:t>
            </w:r>
          </w:p>
        </w:tc>
        <w:tc>
          <w:tcPr>
            <w:tcW w:w="640"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10</w:t>
            </w:r>
          </w:p>
        </w:tc>
        <w:tc>
          <w:tcPr>
            <w:tcW w:w="894"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10</w:t>
            </w:r>
          </w:p>
        </w:tc>
        <w:tc>
          <w:tcPr>
            <w:tcW w:w="1220"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842" w:hRule="atLeast"/>
          <w:jc w:val="center"/>
        </w:trPr>
        <w:tc>
          <w:tcPr>
            <w:tcW w:w="974" w:type="dxa"/>
            <w:vMerge w:val="continue"/>
            <w:noWrap w:val="0"/>
            <w:vAlign w:val="center"/>
          </w:tcPr>
          <w:p>
            <w:pPr>
              <w:spacing w:line="240" w:lineRule="exact"/>
              <w:jc w:val="left"/>
              <w:rPr>
                <w:rFonts w:hint="eastAsia" w:eastAsia="方正仿宋_GBK"/>
                <w:color w:val="auto"/>
                <w:kern w:val="0"/>
                <w:szCs w:val="21"/>
              </w:rPr>
            </w:pPr>
          </w:p>
        </w:tc>
        <w:tc>
          <w:tcPr>
            <w:tcW w:w="974" w:type="dxa"/>
            <w:vMerge w:val="continue"/>
            <w:noWrap w:val="0"/>
            <w:vAlign w:val="center"/>
          </w:tcPr>
          <w:p>
            <w:pPr>
              <w:spacing w:line="240" w:lineRule="exact"/>
              <w:jc w:val="left"/>
              <w:rPr>
                <w:rFonts w:hint="eastAsia" w:eastAsia="方正仿宋_GBK"/>
                <w:color w:val="auto"/>
                <w:kern w:val="0"/>
                <w:szCs w:val="21"/>
              </w:rPr>
            </w:pPr>
          </w:p>
        </w:tc>
        <w:tc>
          <w:tcPr>
            <w:tcW w:w="860" w:type="dxa"/>
            <w:vMerge w:val="restart"/>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成本</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指标</w:t>
            </w:r>
          </w:p>
        </w:tc>
        <w:tc>
          <w:tcPr>
            <w:tcW w:w="1219" w:type="dxa"/>
            <w:gridSpan w:val="2"/>
            <w:noWrap w:val="0"/>
            <w:vAlign w:val="center"/>
          </w:tcPr>
          <w:p>
            <w:pPr>
              <w:keepNext w:val="0"/>
              <w:keepLines w:val="0"/>
              <w:widowControl/>
              <w:suppressLineNumbers w:val="0"/>
              <w:jc w:val="left"/>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按照《湖南省直机关培训费管理办法》《湖南盛省直机关差旅费管理办法》</w:t>
            </w:r>
          </w:p>
        </w:tc>
        <w:tc>
          <w:tcPr>
            <w:tcW w:w="1083"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按文件要求严控成本</w:t>
            </w:r>
          </w:p>
        </w:tc>
        <w:tc>
          <w:tcPr>
            <w:tcW w:w="1150"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eastAsia="zh-CN"/>
              </w:rPr>
            </w:pPr>
            <w:r>
              <w:rPr>
                <w:rFonts w:hint="eastAsia" w:eastAsia="方正仿宋_GBK"/>
                <w:color w:val="auto"/>
                <w:kern w:val="0"/>
                <w:szCs w:val="21"/>
                <w:lang w:val="en-US" w:eastAsia="zh-CN"/>
              </w:rPr>
              <w:t>按文件要求严控成本</w:t>
            </w:r>
          </w:p>
        </w:tc>
        <w:tc>
          <w:tcPr>
            <w:tcW w:w="640"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10</w:t>
            </w:r>
          </w:p>
        </w:tc>
        <w:tc>
          <w:tcPr>
            <w:tcW w:w="894"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10</w:t>
            </w:r>
          </w:p>
        </w:tc>
        <w:tc>
          <w:tcPr>
            <w:tcW w:w="1220"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spacing w:line="240" w:lineRule="exact"/>
              <w:jc w:val="left"/>
              <w:rPr>
                <w:rFonts w:hint="eastAsia" w:eastAsia="方正仿宋_GBK"/>
                <w:color w:val="auto"/>
                <w:kern w:val="0"/>
                <w:szCs w:val="21"/>
              </w:rPr>
            </w:pPr>
          </w:p>
        </w:tc>
        <w:tc>
          <w:tcPr>
            <w:tcW w:w="974" w:type="dxa"/>
            <w:vMerge w:val="restart"/>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效益指标</w:t>
            </w:r>
          </w:p>
          <w:p>
            <w:pPr>
              <w:widowControl/>
              <w:spacing w:line="240" w:lineRule="exact"/>
              <w:jc w:val="left"/>
              <w:rPr>
                <w:rFonts w:hint="eastAsia" w:eastAsia="方正仿宋_GBK"/>
                <w:color w:val="auto"/>
                <w:kern w:val="0"/>
                <w:szCs w:val="21"/>
              </w:rPr>
            </w:pPr>
          </w:p>
          <w:p>
            <w:pPr>
              <w:widowControl/>
              <w:spacing w:line="240" w:lineRule="exact"/>
              <w:jc w:val="left"/>
              <w:rPr>
                <w:rFonts w:hint="eastAsia" w:eastAsia="方正仿宋_GBK"/>
                <w:color w:val="auto"/>
                <w:kern w:val="0"/>
                <w:szCs w:val="21"/>
              </w:rPr>
            </w:pPr>
            <w:r>
              <w:rPr>
                <w:rFonts w:hint="eastAsia" w:eastAsia="方正仿宋_GBK"/>
                <w:color w:val="auto"/>
                <w:kern w:val="0"/>
                <w:szCs w:val="21"/>
              </w:rPr>
              <w:t>（30分）</w:t>
            </w:r>
          </w:p>
        </w:tc>
        <w:tc>
          <w:tcPr>
            <w:tcW w:w="86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经济效</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益指标</w:t>
            </w:r>
          </w:p>
        </w:tc>
        <w:tc>
          <w:tcPr>
            <w:tcW w:w="1219" w:type="dxa"/>
            <w:gridSpan w:val="2"/>
            <w:noWrap w:val="0"/>
            <w:vAlign w:val="center"/>
          </w:tcPr>
          <w:p>
            <w:pPr>
              <w:keepNext w:val="0"/>
              <w:keepLines w:val="0"/>
              <w:widowControl/>
              <w:suppressLineNumbers w:val="0"/>
              <w:jc w:val="left"/>
              <w:textAlignment w:val="center"/>
              <w:rPr>
                <w:rFonts w:hint="default" w:eastAsia="方正仿宋_GBK"/>
                <w:color w:val="auto"/>
                <w:kern w:val="0"/>
                <w:szCs w:val="21"/>
                <w:lang w:val="en-US" w:eastAsia="zh-CN"/>
              </w:rPr>
            </w:pPr>
            <w:r>
              <w:rPr>
                <w:rFonts w:hint="eastAsia" w:eastAsia="方正仿宋_GBK"/>
                <w:color w:val="auto"/>
                <w:kern w:val="0"/>
                <w:szCs w:val="21"/>
                <w:lang w:val="en-US" w:eastAsia="zh-CN"/>
              </w:rPr>
              <w:t>不适用</w:t>
            </w:r>
          </w:p>
        </w:tc>
        <w:tc>
          <w:tcPr>
            <w:tcW w:w="1083" w:type="dxa"/>
            <w:noWrap w:val="0"/>
            <w:vAlign w:val="center"/>
          </w:tcPr>
          <w:p>
            <w:pPr>
              <w:keepNext w:val="0"/>
              <w:keepLines w:val="0"/>
              <w:widowControl/>
              <w:suppressLineNumbers w:val="0"/>
              <w:jc w:val="center"/>
              <w:textAlignment w:val="center"/>
              <w:rPr>
                <w:rFonts w:hint="eastAsia" w:eastAsia="方正仿宋_GBK"/>
                <w:color w:val="auto"/>
                <w:kern w:val="0"/>
                <w:szCs w:val="21"/>
              </w:rPr>
            </w:pPr>
          </w:p>
        </w:tc>
        <w:tc>
          <w:tcPr>
            <w:tcW w:w="1150"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eastAsia="zh-CN"/>
              </w:rPr>
            </w:pPr>
          </w:p>
        </w:tc>
        <w:tc>
          <w:tcPr>
            <w:tcW w:w="640" w:type="dxa"/>
            <w:noWrap w:val="0"/>
            <w:vAlign w:val="center"/>
          </w:tcPr>
          <w:p>
            <w:pPr>
              <w:keepNext w:val="0"/>
              <w:keepLines w:val="0"/>
              <w:widowControl/>
              <w:suppressLineNumbers w:val="0"/>
              <w:jc w:val="center"/>
              <w:textAlignment w:val="center"/>
              <w:rPr>
                <w:rFonts w:hint="eastAsia" w:eastAsia="方正仿宋_GBK"/>
                <w:color w:val="auto"/>
                <w:kern w:val="0"/>
                <w:szCs w:val="21"/>
              </w:rPr>
            </w:pPr>
          </w:p>
        </w:tc>
        <w:tc>
          <w:tcPr>
            <w:tcW w:w="894" w:type="dxa"/>
            <w:noWrap w:val="0"/>
            <w:vAlign w:val="center"/>
          </w:tcPr>
          <w:p>
            <w:pPr>
              <w:keepNext w:val="0"/>
              <w:keepLines w:val="0"/>
              <w:widowControl/>
              <w:suppressLineNumbers w:val="0"/>
              <w:jc w:val="center"/>
              <w:textAlignment w:val="center"/>
              <w:rPr>
                <w:rFonts w:hint="eastAsia" w:eastAsia="方正仿宋_GBK"/>
                <w:color w:val="auto"/>
                <w:kern w:val="0"/>
                <w:szCs w:val="21"/>
              </w:rPr>
            </w:pPr>
          </w:p>
        </w:tc>
        <w:tc>
          <w:tcPr>
            <w:tcW w:w="1220" w:type="dxa"/>
            <w:noWrap w:val="0"/>
            <w:vAlign w:val="center"/>
          </w:tcPr>
          <w:p>
            <w:pPr>
              <w:keepNext w:val="0"/>
              <w:keepLines w:val="0"/>
              <w:widowControl/>
              <w:suppressLineNumbers w:val="0"/>
              <w:jc w:val="left"/>
              <w:textAlignment w:val="center"/>
              <w:rPr>
                <w:rFonts w:hint="eastAsia" w:eastAsia="方正仿宋_GBK"/>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spacing w:line="240" w:lineRule="exact"/>
              <w:jc w:val="left"/>
              <w:rPr>
                <w:rFonts w:hint="eastAsia" w:eastAsia="方正仿宋_GBK"/>
                <w:color w:val="auto"/>
                <w:kern w:val="0"/>
                <w:szCs w:val="21"/>
              </w:rPr>
            </w:pPr>
          </w:p>
        </w:tc>
        <w:tc>
          <w:tcPr>
            <w:tcW w:w="974" w:type="dxa"/>
            <w:vMerge w:val="continue"/>
            <w:noWrap w:val="0"/>
            <w:vAlign w:val="center"/>
          </w:tcPr>
          <w:p>
            <w:pPr>
              <w:spacing w:line="240" w:lineRule="exact"/>
              <w:jc w:val="left"/>
              <w:rPr>
                <w:rFonts w:hint="eastAsia" w:eastAsia="方正仿宋_GBK"/>
                <w:color w:val="auto"/>
                <w:kern w:val="0"/>
                <w:szCs w:val="21"/>
              </w:rPr>
            </w:pPr>
          </w:p>
        </w:tc>
        <w:tc>
          <w:tcPr>
            <w:tcW w:w="86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社会效</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益指标</w:t>
            </w:r>
          </w:p>
        </w:tc>
        <w:tc>
          <w:tcPr>
            <w:tcW w:w="1219" w:type="dxa"/>
            <w:gridSpan w:val="2"/>
            <w:noWrap w:val="0"/>
            <w:vAlign w:val="center"/>
          </w:tcPr>
          <w:p>
            <w:pPr>
              <w:keepNext w:val="0"/>
              <w:keepLines w:val="0"/>
              <w:widowControl/>
              <w:suppressLineNumbers w:val="0"/>
              <w:jc w:val="left"/>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大型源发性的食品安全事件</w:t>
            </w:r>
          </w:p>
        </w:tc>
        <w:tc>
          <w:tcPr>
            <w:tcW w:w="1083" w:type="dxa"/>
            <w:noWrap w:val="0"/>
            <w:vAlign w:val="center"/>
          </w:tcPr>
          <w:p>
            <w:pPr>
              <w:keepNext w:val="0"/>
              <w:keepLines w:val="0"/>
              <w:widowControl/>
              <w:suppressLineNumbers w:val="0"/>
              <w:jc w:val="center"/>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0</w:t>
            </w:r>
          </w:p>
        </w:tc>
        <w:tc>
          <w:tcPr>
            <w:tcW w:w="1150" w:type="dxa"/>
            <w:noWrap w:val="0"/>
            <w:vAlign w:val="center"/>
          </w:tcPr>
          <w:p>
            <w:pPr>
              <w:keepNext w:val="0"/>
              <w:keepLines w:val="0"/>
              <w:widowControl/>
              <w:suppressLineNumbers w:val="0"/>
              <w:jc w:val="center"/>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0</w:t>
            </w:r>
          </w:p>
        </w:tc>
        <w:tc>
          <w:tcPr>
            <w:tcW w:w="640"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15</w:t>
            </w:r>
          </w:p>
        </w:tc>
        <w:tc>
          <w:tcPr>
            <w:tcW w:w="894"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rPr>
            </w:pPr>
            <w:r>
              <w:rPr>
                <w:rFonts w:hint="eastAsia" w:ascii="仿宋" w:hAnsi="仿宋" w:eastAsia="仿宋" w:cs="仿宋"/>
                <w:i w:val="0"/>
                <w:color w:val="auto"/>
                <w:kern w:val="0"/>
                <w:sz w:val="21"/>
                <w:szCs w:val="21"/>
                <w:u w:val="none"/>
                <w:lang w:val="en-US" w:eastAsia="zh-CN" w:bidi="ar"/>
              </w:rPr>
              <w:t>15</w:t>
            </w:r>
          </w:p>
        </w:tc>
        <w:tc>
          <w:tcPr>
            <w:tcW w:w="1220"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spacing w:line="240" w:lineRule="exact"/>
              <w:jc w:val="left"/>
              <w:rPr>
                <w:rFonts w:hint="eastAsia" w:eastAsia="方正仿宋_GBK"/>
                <w:color w:val="auto"/>
                <w:kern w:val="0"/>
                <w:szCs w:val="21"/>
              </w:rPr>
            </w:pPr>
          </w:p>
        </w:tc>
        <w:tc>
          <w:tcPr>
            <w:tcW w:w="974" w:type="dxa"/>
            <w:vMerge w:val="continue"/>
            <w:noWrap w:val="0"/>
            <w:vAlign w:val="center"/>
          </w:tcPr>
          <w:p>
            <w:pPr>
              <w:spacing w:line="240" w:lineRule="exact"/>
              <w:jc w:val="left"/>
              <w:rPr>
                <w:rFonts w:hint="eastAsia" w:eastAsia="方正仿宋_GBK"/>
                <w:color w:val="auto"/>
                <w:kern w:val="0"/>
                <w:szCs w:val="21"/>
              </w:rPr>
            </w:pPr>
          </w:p>
        </w:tc>
        <w:tc>
          <w:tcPr>
            <w:tcW w:w="86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生态效</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益指标</w:t>
            </w:r>
          </w:p>
        </w:tc>
        <w:tc>
          <w:tcPr>
            <w:tcW w:w="1219" w:type="dxa"/>
            <w:gridSpan w:val="2"/>
            <w:noWrap w:val="0"/>
            <w:vAlign w:val="center"/>
          </w:tcPr>
          <w:p>
            <w:pPr>
              <w:keepNext w:val="0"/>
              <w:keepLines w:val="0"/>
              <w:widowControl/>
              <w:suppressLineNumbers w:val="0"/>
              <w:jc w:val="left"/>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通过制订食品药品检测相关的标准，保障食品药品的安全</w:t>
            </w:r>
          </w:p>
        </w:tc>
        <w:tc>
          <w:tcPr>
            <w:tcW w:w="1083" w:type="dxa"/>
            <w:noWrap w:val="0"/>
            <w:vAlign w:val="center"/>
          </w:tcPr>
          <w:p>
            <w:pPr>
              <w:keepNext w:val="0"/>
              <w:keepLines w:val="0"/>
              <w:widowControl/>
              <w:suppressLineNumbers w:val="0"/>
              <w:jc w:val="center"/>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安全</w:t>
            </w:r>
          </w:p>
        </w:tc>
        <w:tc>
          <w:tcPr>
            <w:tcW w:w="1150" w:type="dxa"/>
            <w:noWrap w:val="0"/>
            <w:vAlign w:val="center"/>
          </w:tcPr>
          <w:p>
            <w:pPr>
              <w:keepNext w:val="0"/>
              <w:keepLines w:val="0"/>
              <w:widowControl/>
              <w:suppressLineNumbers w:val="0"/>
              <w:jc w:val="center"/>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安全</w:t>
            </w:r>
          </w:p>
        </w:tc>
        <w:tc>
          <w:tcPr>
            <w:tcW w:w="640"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eastAsia="zh-CN"/>
              </w:rPr>
            </w:pPr>
            <w:r>
              <w:rPr>
                <w:rFonts w:hint="eastAsia" w:eastAsia="方正仿宋_GBK"/>
                <w:color w:val="auto"/>
                <w:kern w:val="0"/>
                <w:szCs w:val="21"/>
                <w:lang w:val="en-US" w:eastAsia="zh-CN"/>
              </w:rPr>
              <w:t>15</w:t>
            </w:r>
          </w:p>
        </w:tc>
        <w:tc>
          <w:tcPr>
            <w:tcW w:w="894" w:type="dxa"/>
            <w:noWrap w:val="0"/>
            <w:vAlign w:val="center"/>
          </w:tcPr>
          <w:p>
            <w:pPr>
              <w:keepNext w:val="0"/>
              <w:keepLines w:val="0"/>
              <w:widowControl/>
              <w:suppressLineNumbers w:val="0"/>
              <w:jc w:val="center"/>
              <w:textAlignment w:val="center"/>
              <w:rPr>
                <w:rFonts w:hint="default" w:eastAsia="方正仿宋_GBK"/>
                <w:color w:val="auto"/>
                <w:kern w:val="0"/>
                <w:szCs w:val="21"/>
                <w:lang w:val="en-US" w:eastAsia="zh-CN"/>
              </w:rPr>
            </w:pPr>
            <w:r>
              <w:rPr>
                <w:rFonts w:hint="eastAsia" w:eastAsia="方正仿宋_GBK"/>
                <w:color w:val="auto"/>
                <w:kern w:val="0"/>
                <w:szCs w:val="21"/>
                <w:lang w:val="en-US" w:eastAsia="zh-CN"/>
              </w:rPr>
              <w:t>15</w:t>
            </w:r>
          </w:p>
        </w:tc>
        <w:tc>
          <w:tcPr>
            <w:tcW w:w="1220"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restart"/>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绩效</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指标</w:t>
            </w:r>
          </w:p>
        </w:tc>
        <w:tc>
          <w:tcPr>
            <w:tcW w:w="974"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c>
          <w:tcPr>
            <w:tcW w:w="86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可持续影响指标</w:t>
            </w:r>
          </w:p>
        </w:tc>
        <w:tc>
          <w:tcPr>
            <w:tcW w:w="1219" w:type="dxa"/>
            <w:gridSpan w:val="2"/>
            <w:noWrap w:val="0"/>
            <w:vAlign w:val="center"/>
          </w:tcPr>
          <w:p>
            <w:pPr>
              <w:widowControl/>
              <w:spacing w:line="240" w:lineRule="exact"/>
              <w:jc w:val="left"/>
              <w:rPr>
                <w:rFonts w:hint="eastAsia" w:eastAsia="方正仿宋_GBK"/>
                <w:color w:val="auto"/>
                <w:kern w:val="0"/>
                <w:szCs w:val="21"/>
                <w:lang w:eastAsia="zh-CN"/>
              </w:rPr>
            </w:pPr>
            <w:r>
              <w:rPr>
                <w:rFonts w:hint="eastAsia" w:eastAsia="方正仿宋_GBK"/>
                <w:color w:val="auto"/>
                <w:kern w:val="0"/>
                <w:szCs w:val="21"/>
                <w:lang w:val="en-US" w:eastAsia="zh-CN"/>
              </w:rPr>
              <w:t>不适用</w:t>
            </w:r>
          </w:p>
        </w:tc>
        <w:tc>
          <w:tcPr>
            <w:tcW w:w="1083" w:type="dxa"/>
            <w:noWrap w:val="0"/>
            <w:vAlign w:val="center"/>
          </w:tcPr>
          <w:p>
            <w:pPr>
              <w:widowControl/>
              <w:spacing w:line="240" w:lineRule="exact"/>
              <w:jc w:val="left"/>
              <w:rPr>
                <w:rFonts w:hint="default" w:eastAsia="方正仿宋_GBK"/>
                <w:color w:val="auto"/>
                <w:kern w:val="0"/>
                <w:szCs w:val="21"/>
                <w:lang w:val="en-US" w:eastAsia="zh-CN"/>
              </w:rPr>
            </w:pPr>
            <w:r>
              <w:rPr>
                <w:rFonts w:hint="eastAsia" w:eastAsia="方正仿宋_GBK"/>
                <w:color w:val="auto"/>
                <w:kern w:val="0"/>
                <w:szCs w:val="21"/>
              </w:rPr>
              <w:t>　</w:t>
            </w:r>
            <w:r>
              <w:rPr>
                <w:rFonts w:hint="eastAsia" w:eastAsia="方正仿宋_GBK"/>
                <w:color w:val="auto"/>
                <w:kern w:val="0"/>
                <w:szCs w:val="21"/>
                <w:lang w:val="en-US" w:eastAsia="zh-CN"/>
              </w:rPr>
              <w:t>不适用</w:t>
            </w:r>
          </w:p>
        </w:tc>
        <w:tc>
          <w:tcPr>
            <w:tcW w:w="1150"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c>
          <w:tcPr>
            <w:tcW w:w="640"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c>
          <w:tcPr>
            <w:tcW w:w="894"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c>
          <w:tcPr>
            <w:tcW w:w="1220"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74" w:type="dxa"/>
            <w:vMerge w:val="continue"/>
            <w:noWrap w:val="0"/>
            <w:vAlign w:val="center"/>
          </w:tcPr>
          <w:p>
            <w:pPr>
              <w:spacing w:line="240" w:lineRule="exact"/>
              <w:jc w:val="left"/>
              <w:rPr>
                <w:rFonts w:hint="eastAsia" w:eastAsia="方正仿宋_GBK"/>
                <w:color w:val="auto"/>
                <w:kern w:val="0"/>
                <w:szCs w:val="21"/>
              </w:rPr>
            </w:pPr>
          </w:p>
        </w:tc>
        <w:tc>
          <w:tcPr>
            <w:tcW w:w="974"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满意度</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指标</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（10分）</w:t>
            </w:r>
          </w:p>
        </w:tc>
        <w:tc>
          <w:tcPr>
            <w:tcW w:w="86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服务对象满意度指标</w:t>
            </w:r>
          </w:p>
        </w:tc>
        <w:tc>
          <w:tcPr>
            <w:tcW w:w="1219" w:type="dxa"/>
            <w:gridSpan w:val="2"/>
            <w:noWrap w:val="0"/>
            <w:vAlign w:val="center"/>
          </w:tcPr>
          <w:p>
            <w:pPr>
              <w:keepNext w:val="0"/>
              <w:keepLines w:val="0"/>
              <w:widowControl/>
              <w:suppressLineNumbers w:val="0"/>
              <w:jc w:val="left"/>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社会公众或服务对象是指部门</w:t>
            </w:r>
          </w:p>
        </w:tc>
        <w:tc>
          <w:tcPr>
            <w:tcW w:w="1083" w:type="dxa"/>
            <w:noWrap w:val="0"/>
            <w:vAlign w:val="center"/>
          </w:tcPr>
          <w:p>
            <w:pPr>
              <w:keepNext w:val="0"/>
              <w:keepLines w:val="0"/>
              <w:widowControl/>
              <w:suppressLineNumbers w:val="0"/>
              <w:jc w:val="center"/>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≥90%</w:t>
            </w:r>
          </w:p>
        </w:tc>
        <w:tc>
          <w:tcPr>
            <w:tcW w:w="1150" w:type="dxa"/>
            <w:noWrap w:val="0"/>
            <w:vAlign w:val="center"/>
          </w:tcPr>
          <w:p>
            <w:pPr>
              <w:keepNext w:val="0"/>
              <w:keepLines w:val="0"/>
              <w:widowControl/>
              <w:suppressLineNumbers w:val="0"/>
              <w:jc w:val="center"/>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100%</w:t>
            </w:r>
          </w:p>
        </w:tc>
        <w:tc>
          <w:tcPr>
            <w:tcW w:w="640" w:type="dxa"/>
            <w:noWrap w:val="0"/>
            <w:vAlign w:val="center"/>
          </w:tcPr>
          <w:p>
            <w:pPr>
              <w:keepNext w:val="0"/>
              <w:keepLines w:val="0"/>
              <w:widowControl/>
              <w:suppressLineNumbers w:val="0"/>
              <w:jc w:val="center"/>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10</w:t>
            </w:r>
          </w:p>
        </w:tc>
        <w:tc>
          <w:tcPr>
            <w:tcW w:w="894" w:type="dxa"/>
            <w:noWrap w:val="0"/>
            <w:vAlign w:val="center"/>
          </w:tcPr>
          <w:p>
            <w:pPr>
              <w:keepNext w:val="0"/>
              <w:keepLines w:val="0"/>
              <w:widowControl/>
              <w:suppressLineNumbers w:val="0"/>
              <w:jc w:val="center"/>
              <w:textAlignment w:val="center"/>
              <w:rPr>
                <w:rFonts w:hint="eastAsia" w:eastAsia="方正仿宋_GBK"/>
                <w:color w:val="auto"/>
                <w:kern w:val="0"/>
                <w:szCs w:val="21"/>
              </w:rPr>
            </w:pPr>
            <w:r>
              <w:rPr>
                <w:rFonts w:hint="eastAsia" w:ascii="仿宋" w:hAnsi="仿宋" w:eastAsia="仿宋" w:cs="仿宋"/>
                <w:i w:val="0"/>
                <w:color w:val="auto"/>
                <w:kern w:val="0"/>
                <w:sz w:val="21"/>
                <w:szCs w:val="21"/>
                <w:u w:val="none"/>
                <w:lang w:val="en-US" w:eastAsia="zh-CN" w:bidi="ar"/>
              </w:rPr>
              <w:t>10</w:t>
            </w:r>
          </w:p>
        </w:tc>
        <w:tc>
          <w:tcPr>
            <w:tcW w:w="1220"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260" w:type="dxa"/>
            <w:gridSpan w:val="7"/>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总分</w:t>
            </w:r>
          </w:p>
        </w:tc>
        <w:tc>
          <w:tcPr>
            <w:tcW w:w="640"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100</w:t>
            </w:r>
          </w:p>
        </w:tc>
        <w:tc>
          <w:tcPr>
            <w:tcW w:w="894" w:type="dxa"/>
            <w:noWrap w:val="0"/>
            <w:vAlign w:val="center"/>
          </w:tcPr>
          <w:p>
            <w:pPr>
              <w:widowControl/>
              <w:spacing w:line="240" w:lineRule="exact"/>
              <w:jc w:val="left"/>
              <w:rPr>
                <w:rFonts w:hint="default" w:eastAsia="方正仿宋_GBK"/>
                <w:color w:val="auto"/>
                <w:kern w:val="0"/>
                <w:szCs w:val="21"/>
                <w:lang w:val="en-US"/>
              </w:rPr>
            </w:pPr>
            <w:r>
              <w:rPr>
                <w:rFonts w:hint="eastAsia" w:eastAsia="方正仿宋_GBK"/>
                <w:color w:val="auto"/>
                <w:kern w:val="0"/>
                <w:szCs w:val="21"/>
              </w:rPr>
              <w:t>　</w:t>
            </w:r>
            <w:r>
              <w:rPr>
                <w:rFonts w:hint="eastAsia" w:eastAsia="方正仿宋_GBK"/>
                <w:color w:val="auto"/>
                <w:kern w:val="0"/>
                <w:szCs w:val="21"/>
                <w:lang w:val="en-US" w:eastAsia="zh-CN"/>
              </w:rPr>
              <w:t>100</w:t>
            </w:r>
          </w:p>
        </w:tc>
        <w:tc>
          <w:tcPr>
            <w:tcW w:w="1220" w:type="dxa"/>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　</w:t>
            </w:r>
          </w:p>
        </w:tc>
      </w:tr>
    </w:tbl>
    <w:p>
      <w:pPr>
        <w:widowControl/>
        <w:spacing w:line="240" w:lineRule="exact"/>
        <w:jc w:val="left"/>
        <w:rPr>
          <w:rFonts w:eastAsia="仿宋_GB2312"/>
          <w:color w:val="auto"/>
          <w:kern w:val="0"/>
          <w:szCs w:val="21"/>
        </w:rPr>
      </w:pPr>
    </w:p>
    <w:p>
      <w:pPr>
        <w:widowControl/>
        <w:jc w:val="left"/>
        <w:rPr>
          <w:rFonts w:hint="eastAsia" w:eastAsia="方正黑体_GBK"/>
          <w:color w:val="auto"/>
          <w:sz w:val="32"/>
          <w:szCs w:val="32"/>
          <w:lang w:val="en-US" w:eastAsia="zh-CN"/>
        </w:rPr>
      </w:pPr>
      <w:r>
        <w:rPr>
          <w:rFonts w:ascii="方正仿宋_GBK" w:eastAsia="方正仿宋_GBK"/>
          <w:color w:val="auto"/>
          <w:kern w:val="0"/>
          <w:szCs w:val="21"/>
        </w:rPr>
        <w:t>填表人：</w:t>
      </w:r>
      <w:r>
        <w:rPr>
          <w:rFonts w:hint="eastAsia" w:ascii="方正仿宋_GBK" w:eastAsia="方正仿宋_GBK"/>
          <w:color w:val="auto"/>
          <w:kern w:val="0"/>
          <w:szCs w:val="21"/>
          <w:lang w:val="en-US" w:eastAsia="zh-CN"/>
        </w:rPr>
        <w:t>杨泓</w:t>
      </w:r>
      <w:r>
        <w:rPr>
          <w:rFonts w:ascii="方正仿宋_GBK" w:eastAsia="方正仿宋_GBK"/>
          <w:color w:val="auto"/>
          <w:kern w:val="0"/>
          <w:szCs w:val="21"/>
        </w:rPr>
        <w:t xml:space="preserve">    填报日期：</w:t>
      </w:r>
      <w:r>
        <w:rPr>
          <w:rFonts w:hint="eastAsia" w:ascii="方正仿宋_GBK" w:eastAsia="方正仿宋_GBK"/>
          <w:color w:val="auto"/>
          <w:kern w:val="0"/>
          <w:szCs w:val="21"/>
          <w:lang w:val="en-US" w:eastAsia="zh-CN"/>
        </w:rPr>
        <w:t>2022.4.28</w:t>
      </w:r>
      <w:r>
        <w:rPr>
          <w:rFonts w:ascii="方正仿宋_GBK" w:eastAsia="方正仿宋_GBK"/>
          <w:color w:val="auto"/>
          <w:kern w:val="0"/>
          <w:szCs w:val="21"/>
        </w:rPr>
        <w:t xml:space="preserve">   联系电话：</w:t>
      </w:r>
      <w:r>
        <w:rPr>
          <w:rFonts w:hint="eastAsia" w:ascii="方正黑体_GBK" w:eastAsia="方正黑体_GBK"/>
          <w:color w:val="auto"/>
          <w:kern w:val="0"/>
          <w:szCs w:val="21"/>
          <w:lang w:val="en-US" w:eastAsia="zh-CN"/>
        </w:rPr>
        <w:t>0731-85693711</w:t>
      </w:r>
      <w:r>
        <w:rPr>
          <w:rFonts w:ascii="方正仿宋_GBK" w:eastAsia="方正仿宋_GBK"/>
          <w:color w:val="auto"/>
          <w:kern w:val="0"/>
          <w:szCs w:val="21"/>
        </w:rPr>
        <w:t xml:space="preserve">  单位负责人签字：</w:t>
      </w:r>
      <w:r>
        <w:rPr>
          <w:rFonts w:eastAsia="仿宋_GB2312"/>
          <w:color w:val="auto"/>
          <w:kern w:val="0"/>
          <w:szCs w:val="21"/>
        </w:rPr>
        <w:br w:type="page"/>
      </w:r>
      <w:r>
        <w:rPr>
          <w:rFonts w:hint="eastAsia" w:eastAsia="方正黑体_GBK"/>
          <w:color w:val="auto"/>
          <w:sz w:val="32"/>
          <w:szCs w:val="32"/>
        </w:rPr>
        <w:t>附件</w:t>
      </w:r>
      <w:r>
        <w:rPr>
          <w:rFonts w:hint="eastAsia" w:eastAsia="方正黑体_GBK"/>
          <w:color w:val="auto"/>
          <w:sz w:val="32"/>
          <w:szCs w:val="32"/>
          <w:lang w:val="en-US" w:eastAsia="zh-CN"/>
        </w:rPr>
        <w:t>4</w:t>
      </w:r>
    </w:p>
    <w:p>
      <w:pPr>
        <w:widowControl/>
        <w:spacing w:before="156" w:beforeLines="50" w:after="156" w:afterLines="50" w:line="600" w:lineRule="exact"/>
        <w:jc w:val="center"/>
        <w:rPr>
          <w:rFonts w:hint="eastAsia" w:ascii="方正小标宋_GBK" w:hAnsi="宋体" w:eastAsia="方正小标宋_GBK" w:cs="宋体"/>
          <w:color w:val="auto"/>
          <w:kern w:val="0"/>
          <w:sz w:val="36"/>
          <w:szCs w:val="36"/>
        </w:rPr>
      </w:pPr>
      <w:r>
        <w:rPr>
          <w:rFonts w:hint="eastAsia" w:ascii="方正小标宋_GBK" w:hAnsi="宋体" w:eastAsia="方正小标宋_GBK" w:cs="宋体"/>
          <w:color w:val="auto"/>
          <w:kern w:val="0"/>
          <w:sz w:val="36"/>
          <w:szCs w:val="36"/>
        </w:rPr>
        <w:t>202</w:t>
      </w:r>
      <w:r>
        <w:rPr>
          <w:rFonts w:hint="eastAsia" w:ascii="方正小标宋_GBK" w:hAnsi="宋体" w:eastAsia="方正小标宋_GBK" w:cs="宋体"/>
          <w:color w:val="auto"/>
          <w:kern w:val="0"/>
          <w:sz w:val="36"/>
          <w:szCs w:val="36"/>
          <w:lang w:val="en-US" w:eastAsia="zh-CN"/>
        </w:rPr>
        <w:t>1</w:t>
      </w:r>
      <w:r>
        <w:rPr>
          <w:rFonts w:hint="eastAsia" w:ascii="方正小标宋_GBK" w:hAnsi="宋体" w:eastAsia="方正小标宋_GBK" w:cs="宋体"/>
          <w:color w:val="auto"/>
          <w:kern w:val="0"/>
          <w:sz w:val="36"/>
          <w:szCs w:val="36"/>
        </w:rPr>
        <w:t>年度项目支出绩效自评表（业务工作经费）</w:t>
      </w:r>
    </w:p>
    <w:p>
      <w:pPr>
        <w:widowControl/>
        <w:spacing w:after="156" w:afterLines="50" w:line="400" w:lineRule="exact"/>
        <w:jc w:val="left"/>
        <w:rPr>
          <w:rFonts w:hint="default" w:eastAsia="方正仿宋_GBK"/>
          <w:color w:val="auto"/>
          <w:kern w:val="0"/>
          <w:szCs w:val="21"/>
          <w:lang w:val="en-US" w:eastAsia="zh-CN"/>
        </w:rPr>
      </w:pPr>
      <w:r>
        <w:rPr>
          <w:rFonts w:hint="eastAsia" w:eastAsia="方正仿宋_GBK"/>
          <w:color w:val="auto"/>
          <w:kern w:val="0"/>
          <w:szCs w:val="21"/>
        </w:rPr>
        <w:t>单位名称：</w:t>
      </w:r>
      <w:r>
        <w:rPr>
          <w:rFonts w:hint="eastAsia" w:eastAsia="方正仿宋_GBK"/>
          <w:color w:val="auto"/>
          <w:kern w:val="0"/>
          <w:szCs w:val="21"/>
          <w:lang w:val="en-US" w:eastAsia="zh-CN"/>
        </w:rPr>
        <w:t>湖南省食品安全审评认证中心</w:t>
      </w:r>
    </w:p>
    <w:tbl>
      <w:tblPr>
        <w:tblStyle w:val="8"/>
        <w:tblW w:w="909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988"/>
        <w:gridCol w:w="988"/>
        <w:gridCol w:w="988"/>
        <w:gridCol w:w="1120"/>
        <w:gridCol w:w="1038"/>
        <w:gridCol w:w="1038"/>
        <w:gridCol w:w="757"/>
        <w:gridCol w:w="799"/>
        <w:gridCol w:w="13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项目支</w:t>
            </w:r>
          </w:p>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出名称</w:t>
            </w:r>
          </w:p>
        </w:tc>
        <w:tc>
          <w:tcPr>
            <w:tcW w:w="8109" w:type="dxa"/>
            <w:gridSpan w:val="8"/>
            <w:noWrap w:val="0"/>
            <w:vAlign w:val="center"/>
          </w:tcPr>
          <w:p>
            <w:pPr>
              <w:keepNext w:val="0"/>
              <w:keepLines w:val="0"/>
              <w:widowControl/>
              <w:suppressLineNumbers w:val="0"/>
              <w:jc w:val="center"/>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业务工作经费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主管部门</w:t>
            </w:r>
          </w:p>
        </w:tc>
        <w:tc>
          <w:tcPr>
            <w:tcW w:w="4134" w:type="dxa"/>
            <w:gridSpan w:val="4"/>
            <w:noWrap w:val="0"/>
            <w:vAlign w:val="center"/>
          </w:tcPr>
          <w:p>
            <w:pPr>
              <w:widowControl/>
              <w:spacing w:line="260" w:lineRule="exact"/>
              <w:jc w:val="left"/>
              <w:rPr>
                <w:rFonts w:hint="default" w:eastAsia="方正仿宋_GBK" w:cs="宋体"/>
                <w:color w:val="auto"/>
                <w:kern w:val="0"/>
                <w:szCs w:val="21"/>
                <w:lang w:val="en-US" w:eastAsia="zh-CN"/>
              </w:rPr>
            </w:pPr>
            <w:r>
              <w:rPr>
                <w:rFonts w:hint="eastAsia" w:eastAsia="方正仿宋_GBK" w:cs="宋体"/>
                <w:color w:val="auto"/>
                <w:kern w:val="0"/>
                <w:szCs w:val="21"/>
              </w:rPr>
              <w:t>　</w:t>
            </w:r>
            <w:r>
              <w:rPr>
                <w:rFonts w:hint="eastAsia" w:eastAsia="方正仿宋_GBK" w:cs="宋体"/>
                <w:color w:val="auto"/>
                <w:kern w:val="0"/>
                <w:szCs w:val="21"/>
                <w:lang w:val="en-US" w:eastAsia="zh-CN"/>
              </w:rPr>
              <w:t>湖南省市场监督管理局</w:t>
            </w:r>
          </w:p>
        </w:tc>
        <w:tc>
          <w:tcPr>
            <w:tcW w:w="1038"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实施单位</w:t>
            </w:r>
          </w:p>
        </w:tc>
        <w:tc>
          <w:tcPr>
            <w:tcW w:w="2937" w:type="dxa"/>
            <w:gridSpan w:val="3"/>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r>
              <w:rPr>
                <w:rFonts w:hint="eastAsia" w:ascii="仿宋" w:hAnsi="仿宋" w:eastAsia="仿宋" w:cs="仿宋"/>
                <w:color w:val="auto"/>
                <w:kern w:val="0"/>
                <w:szCs w:val="21"/>
                <w:lang w:eastAsia="zh-CN"/>
              </w:rPr>
              <w:t>湖南省食品安全审评认证中心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restart"/>
            <w:noWrap w:val="0"/>
            <w:vAlign w:val="center"/>
          </w:tcPr>
          <w:p>
            <w:pPr>
              <w:widowControl/>
              <w:spacing w:line="260" w:lineRule="exact"/>
              <w:jc w:val="center"/>
              <w:rPr>
                <w:rFonts w:hint="eastAsia" w:eastAsia="方正仿宋_GBK" w:cs="宋体"/>
                <w:color w:val="auto"/>
                <w:kern w:val="0"/>
                <w:szCs w:val="21"/>
                <w:lang w:eastAsia="zh-CN"/>
              </w:rPr>
            </w:pPr>
            <w:r>
              <w:rPr>
                <w:rFonts w:hint="eastAsia" w:eastAsia="方正仿宋_GBK" w:cs="宋体"/>
                <w:color w:val="auto"/>
                <w:kern w:val="0"/>
                <w:szCs w:val="21"/>
              </w:rPr>
              <w:t>项目资金</w:t>
            </w:r>
          </w:p>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（万元）</w:t>
            </w:r>
          </w:p>
        </w:tc>
        <w:tc>
          <w:tcPr>
            <w:tcW w:w="1976" w:type="dxa"/>
            <w:gridSpan w:val="2"/>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1120"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年初</w:t>
            </w:r>
          </w:p>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预算数</w:t>
            </w:r>
          </w:p>
        </w:tc>
        <w:tc>
          <w:tcPr>
            <w:tcW w:w="1038"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全年</w:t>
            </w:r>
          </w:p>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预算数</w:t>
            </w:r>
          </w:p>
        </w:tc>
        <w:tc>
          <w:tcPr>
            <w:tcW w:w="1038" w:type="dxa"/>
            <w:noWrap w:val="0"/>
            <w:vAlign w:val="center"/>
          </w:tcPr>
          <w:p>
            <w:pPr>
              <w:spacing w:line="260" w:lineRule="exact"/>
              <w:jc w:val="center"/>
              <w:rPr>
                <w:rFonts w:hint="eastAsia" w:eastAsia="方正仿宋_GBK"/>
                <w:color w:val="auto"/>
                <w:szCs w:val="21"/>
              </w:rPr>
            </w:pPr>
            <w:r>
              <w:rPr>
                <w:rFonts w:hint="eastAsia" w:eastAsia="方正仿宋_GBK"/>
                <w:color w:val="auto"/>
                <w:szCs w:val="21"/>
              </w:rPr>
              <w:t>全年</w:t>
            </w:r>
          </w:p>
          <w:p>
            <w:pPr>
              <w:spacing w:line="260" w:lineRule="exact"/>
              <w:jc w:val="center"/>
              <w:rPr>
                <w:rFonts w:hint="eastAsia" w:eastAsia="方正仿宋_GBK"/>
                <w:color w:val="auto"/>
                <w:szCs w:val="21"/>
              </w:rPr>
            </w:pPr>
            <w:r>
              <w:rPr>
                <w:rFonts w:hint="eastAsia" w:eastAsia="方正仿宋_GBK"/>
                <w:color w:val="auto"/>
                <w:szCs w:val="21"/>
              </w:rPr>
              <w:t>执行数</w:t>
            </w:r>
          </w:p>
        </w:tc>
        <w:tc>
          <w:tcPr>
            <w:tcW w:w="757" w:type="dxa"/>
            <w:noWrap w:val="0"/>
            <w:vAlign w:val="center"/>
          </w:tcPr>
          <w:p>
            <w:pPr>
              <w:spacing w:line="260" w:lineRule="exact"/>
              <w:jc w:val="center"/>
              <w:rPr>
                <w:rFonts w:hint="eastAsia" w:eastAsia="方正仿宋_GBK"/>
                <w:color w:val="auto"/>
                <w:szCs w:val="21"/>
              </w:rPr>
            </w:pPr>
            <w:r>
              <w:rPr>
                <w:rFonts w:hint="eastAsia" w:eastAsia="方正仿宋_GBK"/>
                <w:color w:val="auto"/>
                <w:szCs w:val="21"/>
              </w:rPr>
              <w:t>分值</w:t>
            </w:r>
          </w:p>
        </w:tc>
        <w:tc>
          <w:tcPr>
            <w:tcW w:w="799" w:type="dxa"/>
            <w:noWrap w:val="0"/>
            <w:vAlign w:val="center"/>
          </w:tcPr>
          <w:p>
            <w:pPr>
              <w:spacing w:line="260" w:lineRule="exact"/>
              <w:jc w:val="center"/>
              <w:rPr>
                <w:rFonts w:hint="eastAsia" w:eastAsia="方正仿宋_GBK"/>
                <w:color w:val="auto"/>
                <w:szCs w:val="21"/>
              </w:rPr>
            </w:pPr>
            <w:r>
              <w:rPr>
                <w:rFonts w:hint="eastAsia" w:eastAsia="方正仿宋_GBK"/>
                <w:color w:val="auto"/>
                <w:szCs w:val="21"/>
              </w:rPr>
              <w:t>执行率</w:t>
            </w:r>
          </w:p>
        </w:tc>
        <w:tc>
          <w:tcPr>
            <w:tcW w:w="1381" w:type="dxa"/>
            <w:noWrap w:val="0"/>
            <w:vAlign w:val="center"/>
          </w:tcPr>
          <w:p>
            <w:pPr>
              <w:spacing w:line="260" w:lineRule="exact"/>
              <w:jc w:val="center"/>
              <w:rPr>
                <w:rFonts w:hint="eastAsia" w:eastAsia="方正仿宋_GBK"/>
                <w:color w:val="auto"/>
                <w:szCs w:val="21"/>
              </w:rPr>
            </w:pPr>
            <w:r>
              <w:rPr>
                <w:rFonts w:hint="eastAsia" w:eastAsia="方正仿宋_GBK"/>
                <w:color w:val="auto"/>
                <w:szCs w:val="21"/>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widowControl/>
              <w:spacing w:line="260" w:lineRule="exact"/>
              <w:jc w:val="left"/>
              <w:rPr>
                <w:rFonts w:hint="eastAsia" w:eastAsia="方正仿宋_GBK" w:cs="宋体"/>
                <w:color w:val="auto"/>
                <w:kern w:val="0"/>
                <w:szCs w:val="21"/>
              </w:rPr>
            </w:pPr>
          </w:p>
        </w:tc>
        <w:tc>
          <w:tcPr>
            <w:tcW w:w="1976" w:type="dxa"/>
            <w:gridSpan w:val="2"/>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年度资金总额　</w:t>
            </w:r>
          </w:p>
        </w:tc>
        <w:tc>
          <w:tcPr>
            <w:tcW w:w="1120" w:type="dxa"/>
            <w:noWrap w:val="0"/>
            <w:vAlign w:val="center"/>
          </w:tcPr>
          <w:p>
            <w:pPr>
              <w:widowControl/>
              <w:spacing w:line="260" w:lineRule="exact"/>
              <w:jc w:val="left"/>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29.4</w:t>
            </w:r>
          </w:p>
        </w:tc>
        <w:tc>
          <w:tcPr>
            <w:tcW w:w="1038" w:type="dxa"/>
            <w:noWrap w:val="0"/>
            <w:vAlign w:val="center"/>
          </w:tcPr>
          <w:p>
            <w:pPr>
              <w:widowControl/>
              <w:spacing w:line="260" w:lineRule="exact"/>
              <w:jc w:val="left"/>
              <w:rPr>
                <w:rFonts w:hint="default" w:eastAsia="方正仿宋_GBK" w:cs="宋体"/>
                <w:color w:val="auto"/>
                <w:kern w:val="0"/>
                <w:szCs w:val="21"/>
                <w:lang w:val="en-US"/>
              </w:rPr>
            </w:pPr>
            <w:r>
              <w:rPr>
                <w:rFonts w:hint="eastAsia" w:eastAsia="方正仿宋_GBK" w:cs="宋体"/>
                <w:color w:val="auto"/>
                <w:kern w:val="0"/>
                <w:szCs w:val="21"/>
              </w:rPr>
              <w:t>　</w:t>
            </w:r>
            <w:r>
              <w:rPr>
                <w:rFonts w:hint="eastAsia" w:eastAsia="方正仿宋_GBK" w:cs="宋体"/>
                <w:color w:val="auto"/>
                <w:kern w:val="0"/>
                <w:szCs w:val="21"/>
                <w:lang w:val="en-US" w:eastAsia="zh-CN"/>
              </w:rPr>
              <w:t>29.4</w:t>
            </w:r>
          </w:p>
        </w:tc>
        <w:tc>
          <w:tcPr>
            <w:tcW w:w="1038" w:type="dxa"/>
            <w:noWrap w:val="0"/>
            <w:vAlign w:val="center"/>
          </w:tcPr>
          <w:p>
            <w:pPr>
              <w:widowControl/>
              <w:spacing w:line="260" w:lineRule="exact"/>
              <w:jc w:val="left"/>
              <w:rPr>
                <w:rFonts w:hint="default" w:eastAsia="方正仿宋_GBK" w:cs="宋体"/>
                <w:color w:val="auto"/>
                <w:kern w:val="0"/>
                <w:szCs w:val="21"/>
                <w:lang w:val="en-US"/>
              </w:rPr>
            </w:pPr>
            <w:r>
              <w:rPr>
                <w:rFonts w:hint="eastAsia" w:eastAsia="方正仿宋_GBK" w:cs="宋体"/>
                <w:color w:val="auto"/>
                <w:kern w:val="0"/>
                <w:szCs w:val="21"/>
              </w:rPr>
              <w:t>　</w:t>
            </w:r>
            <w:r>
              <w:rPr>
                <w:rFonts w:hint="eastAsia" w:eastAsia="方正仿宋_GBK" w:cs="宋体"/>
                <w:color w:val="auto"/>
                <w:kern w:val="0"/>
                <w:szCs w:val="21"/>
                <w:lang w:val="en-US" w:eastAsia="zh-CN"/>
              </w:rPr>
              <w:t>24.8</w:t>
            </w:r>
          </w:p>
        </w:tc>
        <w:tc>
          <w:tcPr>
            <w:tcW w:w="757"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10</w:t>
            </w:r>
          </w:p>
        </w:tc>
        <w:tc>
          <w:tcPr>
            <w:tcW w:w="799" w:type="dxa"/>
            <w:noWrap w:val="0"/>
            <w:vAlign w:val="center"/>
          </w:tcPr>
          <w:p>
            <w:pPr>
              <w:widowControl/>
              <w:spacing w:line="260" w:lineRule="exact"/>
              <w:jc w:val="left"/>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84.35%</w:t>
            </w:r>
          </w:p>
        </w:tc>
        <w:tc>
          <w:tcPr>
            <w:tcW w:w="1381" w:type="dxa"/>
            <w:noWrap w:val="0"/>
            <w:vAlign w:val="center"/>
          </w:tcPr>
          <w:p>
            <w:pPr>
              <w:widowControl/>
              <w:spacing w:line="260" w:lineRule="exact"/>
              <w:jc w:val="left"/>
              <w:rPr>
                <w:rFonts w:hint="eastAsia" w:eastAsia="方正仿宋_GBK" w:cs="宋体"/>
                <w:color w:val="auto"/>
                <w:kern w:val="0"/>
                <w:szCs w:val="21"/>
                <w:lang w:val="en-US" w:eastAsia="zh-CN"/>
              </w:rPr>
            </w:pPr>
            <w:r>
              <w:rPr>
                <w:rFonts w:hint="eastAsia" w:eastAsia="方正仿宋_GBK" w:cs="宋体"/>
                <w:color w:val="auto"/>
                <w:kern w:val="0"/>
                <w:szCs w:val="21"/>
              </w:rPr>
              <w:t>　</w:t>
            </w:r>
            <w:r>
              <w:rPr>
                <w:rFonts w:hint="eastAsia" w:eastAsia="方正仿宋_GBK" w:cs="宋体"/>
                <w:color w:val="auto"/>
                <w:kern w:val="0"/>
                <w:szCs w:val="21"/>
                <w:lang w:val="en-US" w:eastAsia="zh-CN"/>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widowControl/>
              <w:spacing w:line="260" w:lineRule="exact"/>
              <w:jc w:val="left"/>
              <w:rPr>
                <w:rFonts w:hint="eastAsia" w:eastAsia="方正仿宋_GBK" w:cs="宋体"/>
                <w:color w:val="auto"/>
                <w:kern w:val="0"/>
                <w:szCs w:val="21"/>
              </w:rPr>
            </w:pPr>
          </w:p>
        </w:tc>
        <w:tc>
          <w:tcPr>
            <w:tcW w:w="1976" w:type="dxa"/>
            <w:gridSpan w:val="2"/>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其中：当年财政拨款　</w:t>
            </w:r>
          </w:p>
        </w:tc>
        <w:tc>
          <w:tcPr>
            <w:tcW w:w="1120"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1038"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1038"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757"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799"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1381"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widowControl/>
              <w:spacing w:line="260" w:lineRule="exact"/>
              <w:jc w:val="left"/>
              <w:rPr>
                <w:rFonts w:hint="eastAsia" w:eastAsia="方正仿宋_GBK" w:cs="宋体"/>
                <w:color w:val="auto"/>
                <w:kern w:val="0"/>
                <w:szCs w:val="21"/>
              </w:rPr>
            </w:pPr>
          </w:p>
        </w:tc>
        <w:tc>
          <w:tcPr>
            <w:tcW w:w="1976" w:type="dxa"/>
            <w:gridSpan w:val="2"/>
            <w:noWrap w:val="0"/>
            <w:vAlign w:val="center"/>
          </w:tcPr>
          <w:p>
            <w:pPr>
              <w:widowControl/>
              <w:spacing w:line="260" w:lineRule="exact"/>
              <w:ind w:firstLine="630" w:firstLineChars="300"/>
              <w:jc w:val="left"/>
              <w:rPr>
                <w:rFonts w:hint="eastAsia" w:eastAsia="方正仿宋_GBK" w:cs="宋体"/>
                <w:color w:val="auto"/>
                <w:kern w:val="0"/>
                <w:szCs w:val="21"/>
              </w:rPr>
            </w:pPr>
            <w:r>
              <w:rPr>
                <w:rFonts w:hint="eastAsia" w:eastAsia="方正仿宋_GBK" w:cs="宋体"/>
                <w:color w:val="auto"/>
                <w:kern w:val="0"/>
                <w:szCs w:val="21"/>
              </w:rPr>
              <w:t>上年结转资金　</w:t>
            </w:r>
          </w:p>
        </w:tc>
        <w:tc>
          <w:tcPr>
            <w:tcW w:w="1120" w:type="dxa"/>
            <w:noWrap w:val="0"/>
            <w:vAlign w:val="center"/>
          </w:tcPr>
          <w:p>
            <w:pPr>
              <w:widowControl/>
              <w:spacing w:line="260" w:lineRule="exact"/>
              <w:jc w:val="left"/>
              <w:rPr>
                <w:rFonts w:hint="default" w:eastAsia="方正仿宋_GBK" w:cs="宋体"/>
                <w:color w:val="auto"/>
                <w:kern w:val="0"/>
                <w:szCs w:val="21"/>
                <w:lang w:val="en-US" w:eastAsia="zh-CN"/>
              </w:rPr>
            </w:pPr>
            <w:r>
              <w:rPr>
                <w:rFonts w:hint="eastAsia" w:eastAsia="方正仿宋_GBK" w:cs="宋体"/>
                <w:color w:val="auto"/>
                <w:kern w:val="0"/>
                <w:szCs w:val="21"/>
              </w:rPr>
              <w:t>　</w:t>
            </w:r>
            <w:r>
              <w:rPr>
                <w:rFonts w:hint="eastAsia" w:eastAsia="方正仿宋_GBK" w:cs="宋体"/>
                <w:color w:val="auto"/>
                <w:kern w:val="0"/>
                <w:szCs w:val="21"/>
                <w:lang w:val="en-US" w:eastAsia="zh-CN"/>
              </w:rPr>
              <w:t>29.4</w:t>
            </w:r>
          </w:p>
        </w:tc>
        <w:tc>
          <w:tcPr>
            <w:tcW w:w="1038" w:type="dxa"/>
            <w:noWrap w:val="0"/>
            <w:vAlign w:val="center"/>
          </w:tcPr>
          <w:p>
            <w:pPr>
              <w:widowControl/>
              <w:spacing w:line="260" w:lineRule="exact"/>
              <w:jc w:val="left"/>
              <w:rPr>
                <w:rFonts w:hint="default" w:eastAsia="方正仿宋_GBK" w:cs="宋体"/>
                <w:color w:val="auto"/>
                <w:kern w:val="0"/>
                <w:szCs w:val="21"/>
                <w:lang w:val="en-US" w:eastAsia="zh-CN"/>
              </w:rPr>
            </w:pPr>
            <w:r>
              <w:rPr>
                <w:rFonts w:hint="eastAsia" w:eastAsia="方正仿宋_GBK" w:cs="宋体"/>
                <w:color w:val="auto"/>
                <w:kern w:val="0"/>
                <w:szCs w:val="21"/>
              </w:rPr>
              <w:t>　</w:t>
            </w:r>
            <w:r>
              <w:rPr>
                <w:rFonts w:hint="eastAsia" w:eastAsia="方正仿宋_GBK" w:cs="宋体"/>
                <w:color w:val="auto"/>
                <w:kern w:val="0"/>
                <w:szCs w:val="21"/>
                <w:lang w:val="en-US" w:eastAsia="zh-CN"/>
              </w:rPr>
              <w:t>29.4</w:t>
            </w:r>
          </w:p>
        </w:tc>
        <w:tc>
          <w:tcPr>
            <w:tcW w:w="1038" w:type="dxa"/>
            <w:noWrap w:val="0"/>
            <w:vAlign w:val="center"/>
          </w:tcPr>
          <w:p>
            <w:pPr>
              <w:widowControl/>
              <w:spacing w:line="260" w:lineRule="exact"/>
              <w:jc w:val="left"/>
              <w:rPr>
                <w:rFonts w:hint="default" w:eastAsia="方正仿宋_GBK" w:cs="宋体"/>
                <w:color w:val="auto"/>
                <w:kern w:val="0"/>
                <w:szCs w:val="21"/>
                <w:lang w:val="en-US" w:eastAsia="zh-CN"/>
              </w:rPr>
            </w:pPr>
            <w:r>
              <w:rPr>
                <w:rFonts w:hint="eastAsia" w:eastAsia="方正仿宋_GBK" w:cs="宋体"/>
                <w:color w:val="auto"/>
                <w:kern w:val="0"/>
                <w:szCs w:val="21"/>
              </w:rPr>
              <w:t>　</w:t>
            </w:r>
            <w:r>
              <w:rPr>
                <w:rFonts w:hint="eastAsia" w:eastAsia="方正仿宋_GBK" w:cs="宋体"/>
                <w:color w:val="auto"/>
                <w:kern w:val="0"/>
                <w:szCs w:val="21"/>
                <w:lang w:val="en-US" w:eastAsia="zh-CN"/>
              </w:rPr>
              <w:t>24.8</w:t>
            </w:r>
          </w:p>
        </w:tc>
        <w:tc>
          <w:tcPr>
            <w:tcW w:w="757"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799"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1381"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widowControl/>
              <w:spacing w:line="260" w:lineRule="exact"/>
              <w:jc w:val="left"/>
              <w:rPr>
                <w:rFonts w:hint="eastAsia" w:eastAsia="方正仿宋_GBK" w:cs="宋体"/>
                <w:color w:val="auto"/>
                <w:kern w:val="0"/>
                <w:szCs w:val="21"/>
              </w:rPr>
            </w:pPr>
          </w:p>
        </w:tc>
        <w:tc>
          <w:tcPr>
            <w:tcW w:w="1976" w:type="dxa"/>
            <w:gridSpan w:val="2"/>
            <w:noWrap w:val="0"/>
            <w:vAlign w:val="center"/>
          </w:tcPr>
          <w:p>
            <w:pPr>
              <w:widowControl/>
              <w:spacing w:line="260" w:lineRule="exact"/>
              <w:ind w:firstLine="630" w:firstLineChars="300"/>
              <w:jc w:val="left"/>
              <w:rPr>
                <w:rFonts w:hint="eastAsia" w:eastAsia="方正仿宋_GBK" w:cs="宋体"/>
                <w:color w:val="auto"/>
                <w:kern w:val="0"/>
                <w:szCs w:val="21"/>
              </w:rPr>
            </w:pPr>
            <w:r>
              <w:rPr>
                <w:rFonts w:hint="eastAsia" w:eastAsia="方正仿宋_GBK" w:cs="宋体"/>
                <w:color w:val="auto"/>
                <w:kern w:val="0"/>
                <w:szCs w:val="21"/>
              </w:rPr>
              <w:t>其他资金</w:t>
            </w:r>
          </w:p>
        </w:tc>
        <w:tc>
          <w:tcPr>
            <w:tcW w:w="1120"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1038"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1038"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757"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799"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c>
          <w:tcPr>
            <w:tcW w:w="1381" w:type="dxa"/>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restart"/>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年度总体目标</w:t>
            </w:r>
          </w:p>
        </w:tc>
        <w:tc>
          <w:tcPr>
            <w:tcW w:w="4134" w:type="dxa"/>
            <w:gridSpan w:val="4"/>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预期目标</w:t>
            </w:r>
          </w:p>
        </w:tc>
        <w:tc>
          <w:tcPr>
            <w:tcW w:w="3975" w:type="dxa"/>
            <w:gridSpan w:val="4"/>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widowControl/>
              <w:spacing w:line="260" w:lineRule="exact"/>
              <w:jc w:val="left"/>
              <w:rPr>
                <w:rFonts w:hint="eastAsia" w:eastAsia="方正仿宋_GBK" w:cs="宋体"/>
                <w:color w:val="auto"/>
                <w:kern w:val="0"/>
                <w:szCs w:val="21"/>
              </w:rPr>
            </w:pPr>
          </w:p>
        </w:tc>
        <w:tc>
          <w:tcPr>
            <w:tcW w:w="4134" w:type="dxa"/>
            <w:gridSpan w:val="4"/>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　　</w:t>
            </w:r>
          </w:p>
        </w:tc>
        <w:tc>
          <w:tcPr>
            <w:tcW w:w="3975" w:type="dxa"/>
            <w:gridSpan w:val="4"/>
            <w:noWrap w:val="0"/>
            <w:vAlign w:val="center"/>
          </w:tcPr>
          <w:p>
            <w:pPr>
              <w:widowControl/>
              <w:spacing w:line="260" w:lineRule="exact"/>
              <w:jc w:val="left"/>
              <w:rPr>
                <w:rFonts w:hint="eastAsia" w:eastAsia="方正仿宋_GBK" w:cs="宋体"/>
                <w:color w:val="auto"/>
                <w:kern w:val="0"/>
                <w:szCs w:val="21"/>
              </w:rPr>
            </w:pPr>
            <w:r>
              <w:rPr>
                <w:rFonts w:hint="eastAsia" w:eastAsia="方正仿宋_GBK" w:cs="宋体"/>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restart"/>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绩效</w:t>
            </w:r>
          </w:p>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指标</w:t>
            </w:r>
          </w:p>
        </w:tc>
        <w:tc>
          <w:tcPr>
            <w:tcW w:w="988"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一级指标</w:t>
            </w:r>
          </w:p>
        </w:tc>
        <w:tc>
          <w:tcPr>
            <w:tcW w:w="988"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二级指标</w:t>
            </w:r>
          </w:p>
        </w:tc>
        <w:tc>
          <w:tcPr>
            <w:tcW w:w="1120"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三级指标</w:t>
            </w:r>
          </w:p>
        </w:tc>
        <w:tc>
          <w:tcPr>
            <w:tcW w:w="1038"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年度</w:t>
            </w:r>
          </w:p>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指标值</w:t>
            </w:r>
          </w:p>
        </w:tc>
        <w:tc>
          <w:tcPr>
            <w:tcW w:w="1038"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实际</w:t>
            </w:r>
          </w:p>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完成值</w:t>
            </w:r>
          </w:p>
        </w:tc>
        <w:tc>
          <w:tcPr>
            <w:tcW w:w="757"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分值</w:t>
            </w:r>
          </w:p>
        </w:tc>
        <w:tc>
          <w:tcPr>
            <w:tcW w:w="799"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得分</w:t>
            </w:r>
          </w:p>
        </w:tc>
        <w:tc>
          <w:tcPr>
            <w:tcW w:w="1381"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偏差原因</w:t>
            </w:r>
          </w:p>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分析及</w:t>
            </w:r>
          </w:p>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spacing w:line="260" w:lineRule="exact"/>
              <w:jc w:val="left"/>
              <w:rPr>
                <w:rFonts w:hint="eastAsia" w:eastAsia="方正仿宋_GBK" w:cs="宋体"/>
                <w:color w:val="auto"/>
                <w:kern w:val="0"/>
                <w:szCs w:val="21"/>
              </w:rPr>
            </w:pPr>
          </w:p>
        </w:tc>
        <w:tc>
          <w:tcPr>
            <w:tcW w:w="988" w:type="dxa"/>
            <w:vMerge w:val="restart"/>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产出指标</w:t>
            </w:r>
          </w:p>
          <w:p>
            <w:pPr>
              <w:widowControl/>
              <w:spacing w:line="240" w:lineRule="exact"/>
              <w:jc w:val="center"/>
              <w:rPr>
                <w:rFonts w:hint="eastAsia" w:eastAsia="方正仿宋_GBK"/>
                <w:color w:val="auto"/>
                <w:kern w:val="0"/>
                <w:szCs w:val="21"/>
              </w:rPr>
            </w:pPr>
          </w:p>
          <w:p>
            <w:pPr>
              <w:widowControl/>
              <w:spacing w:line="240" w:lineRule="exact"/>
              <w:jc w:val="center"/>
              <w:rPr>
                <w:rFonts w:hint="eastAsia" w:eastAsia="方正仿宋_GBK" w:cs="宋体"/>
                <w:color w:val="auto"/>
                <w:kern w:val="0"/>
                <w:szCs w:val="21"/>
              </w:rPr>
            </w:pPr>
            <w:r>
              <w:rPr>
                <w:rFonts w:hint="eastAsia" w:eastAsia="方正仿宋_GBK"/>
                <w:color w:val="auto"/>
                <w:kern w:val="0"/>
                <w:szCs w:val="21"/>
              </w:rPr>
              <w:t>(50分)</w:t>
            </w:r>
          </w:p>
        </w:tc>
        <w:tc>
          <w:tcPr>
            <w:tcW w:w="988" w:type="dxa"/>
            <w:vMerge w:val="restart"/>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数量</w:t>
            </w:r>
          </w:p>
          <w:p>
            <w:pPr>
              <w:widowControl/>
              <w:spacing w:line="240" w:lineRule="exact"/>
              <w:jc w:val="center"/>
              <w:rPr>
                <w:rFonts w:hint="eastAsia" w:eastAsia="方正仿宋_GBK" w:cs="宋体"/>
                <w:color w:val="auto"/>
                <w:kern w:val="0"/>
                <w:szCs w:val="21"/>
              </w:rPr>
            </w:pPr>
            <w:r>
              <w:rPr>
                <w:rFonts w:hint="eastAsia" w:eastAsia="方正仿宋_GBK"/>
                <w:color w:val="auto"/>
                <w:kern w:val="0"/>
                <w:szCs w:val="21"/>
              </w:rPr>
              <w:t>指标</w:t>
            </w:r>
          </w:p>
        </w:tc>
        <w:tc>
          <w:tcPr>
            <w:tcW w:w="1120" w:type="dxa"/>
            <w:noWrap w:val="0"/>
            <w:vAlign w:val="center"/>
          </w:tcPr>
          <w:p>
            <w:pPr>
              <w:keepNext w:val="0"/>
              <w:keepLines w:val="0"/>
              <w:widowControl/>
              <w:suppressLineNumbers w:val="0"/>
              <w:jc w:val="left"/>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开展食品生产许可企业现场核查家数</w:t>
            </w:r>
          </w:p>
        </w:tc>
        <w:tc>
          <w:tcPr>
            <w:tcW w:w="1038"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≥300家</w:t>
            </w:r>
          </w:p>
        </w:tc>
        <w:tc>
          <w:tcPr>
            <w:tcW w:w="1038"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rPr>
            </w:pPr>
            <w:r>
              <w:rPr>
                <w:rFonts w:hint="eastAsia" w:ascii="仿宋" w:hAnsi="仿宋" w:eastAsia="仿宋" w:cs="仿宋"/>
                <w:i w:val="0"/>
                <w:color w:val="auto"/>
                <w:kern w:val="0"/>
                <w:sz w:val="21"/>
                <w:szCs w:val="21"/>
                <w:u w:val="none"/>
                <w:lang w:val="en-US" w:eastAsia="zh-CN" w:bidi="ar"/>
              </w:rPr>
              <w:t>318</w:t>
            </w:r>
          </w:p>
        </w:tc>
        <w:tc>
          <w:tcPr>
            <w:tcW w:w="757"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rPr>
            </w:pPr>
            <w:r>
              <w:rPr>
                <w:rFonts w:hint="eastAsia" w:ascii="仿宋" w:hAnsi="仿宋" w:eastAsia="仿宋" w:cs="仿宋"/>
                <w:i w:val="0"/>
                <w:color w:val="auto"/>
                <w:kern w:val="0"/>
                <w:sz w:val="21"/>
                <w:szCs w:val="21"/>
                <w:u w:val="none"/>
                <w:lang w:val="en-US" w:eastAsia="zh-CN" w:bidi="ar"/>
              </w:rPr>
              <w:t>10</w:t>
            </w:r>
          </w:p>
        </w:tc>
        <w:tc>
          <w:tcPr>
            <w:tcW w:w="799"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rPr>
            </w:pPr>
            <w:r>
              <w:rPr>
                <w:rFonts w:hint="eastAsia" w:ascii="仿宋" w:hAnsi="仿宋" w:eastAsia="仿宋" w:cs="仿宋"/>
                <w:i w:val="0"/>
                <w:color w:val="auto"/>
                <w:kern w:val="0"/>
                <w:sz w:val="21"/>
                <w:szCs w:val="21"/>
                <w:u w:val="none"/>
                <w:lang w:val="en-US" w:eastAsia="zh-CN" w:bidi="ar"/>
              </w:rPr>
              <w:t>10</w:t>
            </w:r>
          </w:p>
        </w:tc>
        <w:tc>
          <w:tcPr>
            <w:tcW w:w="1381"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spacing w:line="260" w:lineRule="exact"/>
              <w:jc w:val="left"/>
              <w:rPr>
                <w:rFonts w:hint="eastAsia" w:eastAsia="方正仿宋_GBK" w:cs="宋体"/>
                <w:color w:val="auto"/>
                <w:kern w:val="0"/>
                <w:szCs w:val="21"/>
              </w:rPr>
            </w:pPr>
          </w:p>
        </w:tc>
        <w:tc>
          <w:tcPr>
            <w:tcW w:w="988" w:type="dxa"/>
            <w:vMerge w:val="continue"/>
            <w:noWrap w:val="0"/>
            <w:vAlign w:val="center"/>
          </w:tcPr>
          <w:p>
            <w:pPr>
              <w:spacing w:line="240" w:lineRule="exact"/>
              <w:jc w:val="left"/>
              <w:rPr>
                <w:rFonts w:hint="eastAsia" w:eastAsia="方正仿宋_GBK" w:cs="宋体"/>
                <w:color w:val="auto"/>
                <w:kern w:val="0"/>
                <w:szCs w:val="21"/>
              </w:rPr>
            </w:pPr>
          </w:p>
        </w:tc>
        <w:tc>
          <w:tcPr>
            <w:tcW w:w="988" w:type="dxa"/>
            <w:vMerge w:val="continue"/>
            <w:noWrap w:val="0"/>
            <w:vAlign w:val="center"/>
          </w:tcPr>
          <w:p>
            <w:pPr>
              <w:spacing w:line="240" w:lineRule="exact"/>
              <w:jc w:val="center"/>
              <w:rPr>
                <w:rFonts w:hint="eastAsia" w:eastAsia="方正仿宋_GBK" w:cs="宋体"/>
                <w:color w:val="auto"/>
                <w:kern w:val="0"/>
                <w:szCs w:val="21"/>
              </w:rPr>
            </w:pPr>
          </w:p>
        </w:tc>
        <w:tc>
          <w:tcPr>
            <w:tcW w:w="1120" w:type="dxa"/>
            <w:noWrap w:val="0"/>
            <w:vAlign w:val="center"/>
          </w:tcPr>
          <w:p>
            <w:pPr>
              <w:keepNext w:val="0"/>
              <w:keepLines w:val="0"/>
              <w:widowControl/>
              <w:suppressLineNumbers w:val="0"/>
              <w:jc w:val="left"/>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开展全省食品安全经营检查员培训人数</w:t>
            </w:r>
          </w:p>
        </w:tc>
        <w:tc>
          <w:tcPr>
            <w:tcW w:w="1038"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≥230人</w:t>
            </w:r>
          </w:p>
        </w:tc>
        <w:tc>
          <w:tcPr>
            <w:tcW w:w="1038"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rPr>
            </w:pPr>
            <w:r>
              <w:rPr>
                <w:rFonts w:hint="eastAsia" w:ascii="仿宋" w:hAnsi="仿宋" w:eastAsia="仿宋" w:cs="仿宋"/>
                <w:i w:val="0"/>
                <w:color w:val="auto"/>
                <w:kern w:val="0"/>
                <w:sz w:val="21"/>
                <w:szCs w:val="21"/>
                <w:u w:val="none"/>
                <w:lang w:val="en-US" w:eastAsia="zh-CN" w:bidi="ar"/>
              </w:rPr>
              <w:t>300</w:t>
            </w:r>
          </w:p>
        </w:tc>
        <w:tc>
          <w:tcPr>
            <w:tcW w:w="757"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rPr>
            </w:pPr>
            <w:r>
              <w:rPr>
                <w:rFonts w:hint="eastAsia" w:ascii="仿宋" w:hAnsi="仿宋" w:eastAsia="仿宋" w:cs="仿宋"/>
                <w:i w:val="0"/>
                <w:color w:val="auto"/>
                <w:kern w:val="0"/>
                <w:sz w:val="21"/>
                <w:szCs w:val="21"/>
                <w:u w:val="none"/>
                <w:lang w:val="en-US" w:eastAsia="zh-CN" w:bidi="ar"/>
              </w:rPr>
              <w:t>10</w:t>
            </w:r>
          </w:p>
        </w:tc>
        <w:tc>
          <w:tcPr>
            <w:tcW w:w="799"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10</w:t>
            </w:r>
          </w:p>
        </w:tc>
        <w:tc>
          <w:tcPr>
            <w:tcW w:w="1381"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spacing w:line="260" w:lineRule="exact"/>
              <w:jc w:val="left"/>
              <w:rPr>
                <w:rFonts w:hint="eastAsia" w:eastAsia="方正仿宋_GBK" w:cs="宋体"/>
                <w:color w:val="auto"/>
                <w:kern w:val="0"/>
                <w:szCs w:val="21"/>
              </w:rPr>
            </w:pPr>
          </w:p>
        </w:tc>
        <w:tc>
          <w:tcPr>
            <w:tcW w:w="988" w:type="dxa"/>
            <w:vMerge w:val="continue"/>
            <w:noWrap w:val="0"/>
            <w:vAlign w:val="center"/>
          </w:tcPr>
          <w:p>
            <w:pPr>
              <w:spacing w:line="240" w:lineRule="exact"/>
              <w:jc w:val="left"/>
              <w:rPr>
                <w:rFonts w:hint="eastAsia" w:eastAsia="方正仿宋_GBK" w:cs="宋体"/>
                <w:color w:val="auto"/>
                <w:kern w:val="0"/>
                <w:szCs w:val="21"/>
              </w:rPr>
            </w:pPr>
          </w:p>
        </w:tc>
        <w:tc>
          <w:tcPr>
            <w:tcW w:w="988" w:type="dxa"/>
            <w:vMerge w:val="continue"/>
            <w:noWrap w:val="0"/>
            <w:vAlign w:val="center"/>
          </w:tcPr>
          <w:p>
            <w:pPr>
              <w:spacing w:line="240" w:lineRule="exact"/>
              <w:jc w:val="center"/>
              <w:rPr>
                <w:rFonts w:hint="eastAsia" w:eastAsia="方正仿宋_GBK" w:cs="宋体"/>
                <w:color w:val="auto"/>
                <w:kern w:val="0"/>
                <w:szCs w:val="21"/>
              </w:rPr>
            </w:pPr>
          </w:p>
        </w:tc>
        <w:tc>
          <w:tcPr>
            <w:tcW w:w="1120" w:type="dxa"/>
            <w:noWrap w:val="0"/>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开展保健食品生产企业现场许可审查家数</w:t>
            </w:r>
          </w:p>
        </w:tc>
        <w:tc>
          <w:tcPr>
            <w:tcW w:w="1038" w:type="dxa"/>
            <w:noWrap w:val="0"/>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≥20家</w:t>
            </w:r>
          </w:p>
        </w:tc>
        <w:tc>
          <w:tcPr>
            <w:tcW w:w="1038" w:type="dxa"/>
            <w:noWrap w:val="0"/>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22家</w:t>
            </w:r>
          </w:p>
        </w:tc>
        <w:tc>
          <w:tcPr>
            <w:tcW w:w="757" w:type="dxa"/>
            <w:noWrap w:val="0"/>
            <w:vAlign w:val="center"/>
          </w:tcPr>
          <w:p>
            <w:pPr>
              <w:keepNext w:val="0"/>
              <w:keepLines w:val="0"/>
              <w:widowControl/>
              <w:suppressLineNumbers w:val="0"/>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10</w:t>
            </w:r>
          </w:p>
        </w:tc>
        <w:tc>
          <w:tcPr>
            <w:tcW w:w="799" w:type="dxa"/>
            <w:noWrap w:val="0"/>
            <w:vAlign w:val="center"/>
          </w:tcPr>
          <w:p>
            <w:pPr>
              <w:keepNext w:val="0"/>
              <w:keepLines w:val="0"/>
              <w:widowControl/>
              <w:suppressLineNumbers w:val="0"/>
              <w:jc w:val="center"/>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10</w:t>
            </w:r>
          </w:p>
        </w:tc>
        <w:tc>
          <w:tcPr>
            <w:tcW w:w="1381"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spacing w:line="260" w:lineRule="exact"/>
              <w:jc w:val="left"/>
              <w:rPr>
                <w:rFonts w:hint="eastAsia" w:eastAsia="方正仿宋_GBK" w:cs="宋体"/>
                <w:color w:val="auto"/>
                <w:kern w:val="0"/>
                <w:szCs w:val="21"/>
              </w:rPr>
            </w:pPr>
          </w:p>
        </w:tc>
        <w:tc>
          <w:tcPr>
            <w:tcW w:w="988" w:type="dxa"/>
            <w:vMerge w:val="continue"/>
            <w:noWrap w:val="0"/>
            <w:vAlign w:val="center"/>
          </w:tcPr>
          <w:p>
            <w:pPr>
              <w:spacing w:line="240" w:lineRule="exact"/>
              <w:jc w:val="left"/>
              <w:rPr>
                <w:rFonts w:hint="eastAsia" w:eastAsia="方正仿宋_GBK" w:cs="宋体"/>
                <w:color w:val="auto"/>
                <w:kern w:val="0"/>
                <w:szCs w:val="21"/>
              </w:rPr>
            </w:pPr>
          </w:p>
        </w:tc>
        <w:tc>
          <w:tcPr>
            <w:tcW w:w="988"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质量</w:t>
            </w:r>
          </w:p>
          <w:p>
            <w:pPr>
              <w:widowControl/>
              <w:spacing w:line="240" w:lineRule="exact"/>
              <w:jc w:val="center"/>
              <w:rPr>
                <w:rFonts w:hint="eastAsia" w:eastAsia="方正仿宋_GBK" w:cs="宋体"/>
                <w:color w:val="auto"/>
                <w:kern w:val="0"/>
                <w:szCs w:val="21"/>
              </w:rPr>
            </w:pPr>
            <w:r>
              <w:rPr>
                <w:rFonts w:hint="eastAsia" w:eastAsia="方正仿宋_GBK"/>
                <w:color w:val="auto"/>
                <w:kern w:val="0"/>
                <w:szCs w:val="21"/>
              </w:rPr>
              <w:t>指标</w:t>
            </w:r>
          </w:p>
        </w:tc>
        <w:tc>
          <w:tcPr>
            <w:tcW w:w="1120" w:type="dxa"/>
            <w:noWrap w:val="0"/>
            <w:vAlign w:val="center"/>
          </w:tcPr>
          <w:p>
            <w:pPr>
              <w:keepNext w:val="0"/>
              <w:keepLines w:val="0"/>
              <w:widowControl/>
              <w:suppressLineNumbers w:val="0"/>
              <w:jc w:val="left"/>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按照《湖南省直机关培训费管理办法》《湖南盛省直机关差旅费管理办法》</w:t>
            </w:r>
          </w:p>
        </w:tc>
        <w:tc>
          <w:tcPr>
            <w:tcW w:w="1038"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按文件质量要求</w:t>
            </w:r>
          </w:p>
        </w:tc>
        <w:tc>
          <w:tcPr>
            <w:tcW w:w="1038"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rPr>
            </w:pPr>
            <w:r>
              <w:rPr>
                <w:rFonts w:hint="eastAsia" w:eastAsia="方正仿宋_GBK" w:cs="宋体"/>
                <w:color w:val="auto"/>
                <w:kern w:val="0"/>
                <w:szCs w:val="21"/>
                <w:lang w:val="en-US" w:eastAsia="zh-CN"/>
              </w:rPr>
              <w:t>按文件质量要求完成</w:t>
            </w:r>
          </w:p>
        </w:tc>
        <w:tc>
          <w:tcPr>
            <w:tcW w:w="757"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rPr>
            </w:pPr>
            <w:r>
              <w:rPr>
                <w:rFonts w:hint="eastAsia" w:ascii="仿宋" w:hAnsi="仿宋" w:eastAsia="仿宋" w:cs="仿宋"/>
                <w:i w:val="0"/>
                <w:color w:val="auto"/>
                <w:kern w:val="0"/>
                <w:sz w:val="21"/>
                <w:szCs w:val="21"/>
                <w:u w:val="none"/>
                <w:lang w:val="en-US" w:eastAsia="zh-CN" w:bidi="ar"/>
              </w:rPr>
              <w:t>10</w:t>
            </w:r>
          </w:p>
        </w:tc>
        <w:tc>
          <w:tcPr>
            <w:tcW w:w="799"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10</w:t>
            </w:r>
          </w:p>
        </w:tc>
        <w:tc>
          <w:tcPr>
            <w:tcW w:w="1381"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spacing w:line="260" w:lineRule="exact"/>
              <w:jc w:val="left"/>
              <w:rPr>
                <w:rFonts w:hint="eastAsia" w:eastAsia="方正仿宋_GBK" w:cs="宋体"/>
                <w:color w:val="auto"/>
                <w:kern w:val="0"/>
                <w:szCs w:val="21"/>
              </w:rPr>
            </w:pPr>
          </w:p>
        </w:tc>
        <w:tc>
          <w:tcPr>
            <w:tcW w:w="988" w:type="dxa"/>
            <w:vMerge w:val="continue"/>
            <w:noWrap w:val="0"/>
            <w:vAlign w:val="center"/>
          </w:tcPr>
          <w:p>
            <w:pPr>
              <w:spacing w:line="240" w:lineRule="exact"/>
              <w:jc w:val="left"/>
              <w:rPr>
                <w:rFonts w:hint="eastAsia" w:eastAsia="方正仿宋_GBK" w:cs="宋体"/>
                <w:color w:val="auto"/>
                <w:kern w:val="0"/>
                <w:szCs w:val="21"/>
              </w:rPr>
            </w:pPr>
          </w:p>
        </w:tc>
        <w:tc>
          <w:tcPr>
            <w:tcW w:w="988"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时效</w:t>
            </w:r>
          </w:p>
          <w:p>
            <w:pPr>
              <w:widowControl/>
              <w:spacing w:line="240" w:lineRule="exact"/>
              <w:jc w:val="center"/>
              <w:rPr>
                <w:rFonts w:hint="eastAsia" w:eastAsia="方正仿宋_GBK" w:cs="宋体"/>
                <w:color w:val="auto"/>
                <w:kern w:val="0"/>
                <w:szCs w:val="21"/>
              </w:rPr>
            </w:pPr>
            <w:r>
              <w:rPr>
                <w:rFonts w:hint="eastAsia" w:eastAsia="方正仿宋_GBK"/>
                <w:color w:val="auto"/>
                <w:kern w:val="0"/>
                <w:szCs w:val="21"/>
              </w:rPr>
              <w:t>指标</w:t>
            </w:r>
          </w:p>
        </w:tc>
        <w:tc>
          <w:tcPr>
            <w:tcW w:w="1120" w:type="dxa"/>
            <w:noWrap w:val="0"/>
            <w:vAlign w:val="center"/>
          </w:tcPr>
          <w:p>
            <w:pPr>
              <w:keepNext w:val="0"/>
              <w:keepLines w:val="0"/>
              <w:widowControl/>
              <w:suppressLineNumbers w:val="0"/>
              <w:jc w:val="left"/>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食品安全审评认证检查及培训完成时间</w:t>
            </w:r>
          </w:p>
        </w:tc>
        <w:tc>
          <w:tcPr>
            <w:tcW w:w="1038"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按时限要求完成</w:t>
            </w:r>
          </w:p>
        </w:tc>
        <w:tc>
          <w:tcPr>
            <w:tcW w:w="1038"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按时限要求完成</w:t>
            </w:r>
          </w:p>
        </w:tc>
        <w:tc>
          <w:tcPr>
            <w:tcW w:w="757"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rPr>
            </w:pPr>
            <w:r>
              <w:rPr>
                <w:rFonts w:hint="eastAsia" w:ascii="仿宋" w:hAnsi="仿宋" w:eastAsia="仿宋" w:cs="仿宋"/>
                <w:i w:val="0"/>
                <w:color w:val="auto"/>
                <w:kern w:val="0"/>
                <w:sz w:val="21"/>
                <w:szCs w:val="21"/>
                <w:u w:val="none"/>
                <w:lang w:val="en-US" w:eastAsia="zh-CN" w:bidi="ar"/>
              </w:rPr>
              <w:t>10</w:t>
            </w:r>
          </w:p>
        </w:tc>
        <w:tc>
          <w:tcPr>
            <w:tcW w:w="799"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10</w:t>
            </w:r>
          </w:p>
        </w:tc>
        <w:tc>
          <w:tcPr>
            <w:tcW w:w="1381"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spacing w:line="260" w:lineRule="exact"/>
              <w:jc w:val="left"/>
              <w:rPr>
                <w:rFonts w:hint="eastAsia" w:eastAsia="方正仿宋_GBK" w:cs="宋体"/>
                <w:color w:val="auto"/>
                <w:kern w:val="0"/>
                <w:szCs w:val="21"/>
              </w:rPr>
            </w:pPr>
          </w:p>
        </w:tc>
        <w:tc>
          <w:tcPr>
            <w:tcW w:w="988" w:type="dxa"/>
            <w:vMerge w:val="continue"/>
            <w:noWrap w:val="0"/>
            <w:vAlign w:val="center"/>
          </w:tcPr>
          <w:p>
            <w:pPr>
              <w:spacing w:line="240" w:lineRule="exact"/>
              <w:jc w:val="left"/>
              <w:rPr>
                <w:rFonts w:hint="eastAsia" w:eastAsia="方正仿宋_GBK" w:cs="宋体"/>
                <w:color w:val="auto"/>
                <w:kern w:val="0"/>
                <w:szCs w:val="21"/>
              </w:rPr>
            </w:pPr>
          </w:p>
        </w:tc>
        <w:tc>
          <w:tcPr>
            <w:tcW w:w="988"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成本</w:t>
            </w:r>
          </w:p>
          <w:p>
            <w:pPr>
              <w:widowControl/>
              <w:spacing w:line="240" w:lineRule="exact"/>
              <w:jc w:val="center"/>
              <w:rPr>
                <w:rFonts w:hint="eastAsia" w:eastAsia="方正仿宋_GBK" w:cs="宋体"/>
                <w:color w:val="auto"/>
                <w:kern w:val="0"/>
                <w:szCs w:val="21"/>
              </w:rPr>
            </w:pPr>
            <w:r>
              <w:rPr>
                <w:rFonts w:hint="eastAsia" w:eastAsia="方正仿宋_GBK"/>
                <w:color w:val="auto"/>
                <w:kern w:val="0"/>
                <w:szCs w:val="21"/>
              </w:rPr>
              <w:t>指标</w:t>
            </w:r>
          </w:p>
        </w:tc>
        <w:tc>
          <w:tcPr>
            <w:tcW w:w="1120" w:type="dxa"/>
            <w:noWrap w:val="0"/>
            <w:vAlign w:val="center"/>
          </w:tcPr>
          <w:p>
            <w:pPr>
              <w:keepNext w:val="0"/>
              <w:keepLines w:val="0"/>
              <w:widowControl/>
              <w:suppressLineNumbers w:val="0"/>
              <w:jc w:val="left"/>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不适用</w:t>
            </w:r>
          </w:p>
        </w:tc>
        <w:tc>
          <w:tcPr>
            <w:tcW w:w="1038" w:type="dxa"/>
            <w:noWrap w:val="0"/>
            <w:vAlign w:val="center"/>
          </w:tcPr>
          <w:p>
            <w:pPr>
              <w:keepNext w:val="0"/>
              <w:keepLines w:val="0"/>
              <w:widowControl/>
              <w:suppressLineNumbers w:val="0"/>
              <w:jc w:val="both"/>
              <w:textAlignment w:val="center"/>
              <w:rPr>
                <w:rFonts w:hint="eastAsia" w:eastAsia="方正仿宋_GBK" w:cs="宋体"/>
                <w:color w:val="auto"/>
                <w:kern w:val="0"/>
                <w:szCs w:val="21"/>
              </w:rPr>
            </w:pPr>
          </w:p>
        </w:tc>
        <w:tc>
          <w:tcPr>
            <w:tcW w:w="1038"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p>
        </w:tc>
        <w:tc>
          <w:tcPr>
            <w:tcW w:w="757"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p>
        </w:tc>
        <w:tc>
          <w:tcPr>
            <w:tcW w:w="799"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p>
        </w:tc>
        <w:tc>
          <w:tcPr>
            <w:tcW w:w="1381"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spacing w:line="260" w:lineRule="exact"/>
              <w:jc w:val="left"/>
              <w:rPr>
                <w:rFonts w:hint="eastAsia" w:eastAsia="方正仿宋_GBK" w:cs="宋体"/>
                <w:color w:val="auto"/>
                <w:kern w:val="0"/>
                <w:szCs w:val="21"/>
              </w:rPr>
            </w:pPr>
          </w:p>
        </w:tc>
        <w:tc>
          <w:tcPr>
            <w:tcW w:w="988" w:type="dxa"/>
            <w:vMerge w:val="restart"/>
            <w:noWrap w:val="0"/>
            <w:vAlign w:val="center"/>
          </w:tcPr>
          <w:p>
            <w:pPr>
              <w:widowControl/>
              <w:spacing w:line="240" w:lineRule="exact"/>
              <w:jc w:val="left"/>
              <w:rPr>
                <w:rFonts w:hint="eastAsia" w:eastAsia="方正仿宋_GBK"/>
                <w:color w:val="auto"/>
                <w:kern w:val="0"/>
                <w:szCs w:val="21"/>
              </w:rPr>
            </w:pPr>
            <w:r>
              <w:rPr>
                <w:rFonts w:hint="eastAsia" w:eastAsia="方正仿宋_GBK"/>
                <w:color w:val="auto"/>
                <w:kern w:val="0"/>
                <w:szCs w:val="21"/>
              </w:rPr>
              <w:t>效益指标</w:t>
            </w:r>
          </w:p>
          <w:p>
            <w:pPr>
              <w:widowControl/>
              <w:spacing w:line="240" w:lineRule="exact"/>
              <w:jc w:val="left"/>
              <w:rPr>
                <w:rFonts w:hint="eastAsia" w:eastAsia="方正仿宋_GBK"/>
                <w:color w:val="auto"/>
                <w:kern w:val="0"/>
                <w:szCs w:val="21"/>
              </w:rPr>
            </w:pPr>
          </w:p>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（30分）</w:t>
            </w:r>
          </w:p>
        </w:tc>
        <w:tc>
          <w:tcPr>
            <w:tcW w:w="988"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经济效</w:t>
            </w:r>
          </w:p>
          <w:p>
            <w:pPr>
              <w:widowControl/>
              <w:spacing w:line="240" w:lineRule="exact"/>
              <w:jc w:val="center"/>
              <w:rPr>
                <w:rFonts w:hint="eastAsia" w:eastAsia="方正仿宋_GBK" w:cs="宋体"/>
                <w:color w:val="auto"/>
                <w:kern w:val="0"/>
                <w:szCs w:val="21"/>
              </w:rPr>
            </w:pPr>
            <w:r>
              <w:rPr>
                <w:rFonts w:hint="eastAsia" w:eastAsia="方正仿宋_GBK"/>
                <w:color w:val="auto"/>
                <w:kern w:val="0"/>
                <w:szCs w:val="21"/>
              </w:rPr>
              <w:t>益指标</w:t>
            </w:r>
          </w:p>
        </w:tc>
        <w:tc>
          <w:tcPr>
            <w:tcW w:w="1120" w:type="dxa"/>
            <w:noWrap w:val="0"/>
            <w:vAlign w:val="center"/>
          </w:tcPr>
          <w:p>
            <w:pPr>
              <w:keepNext w:val="0"/>
              <w:keepLines w:val="0"/>
              <w:widowControl/>
              <w:suppressLineNumbers w:val="0"/>
              <w:jc w:val="left"/>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不适用</w:t>
            </w:r>
          </w:p>
        </w:tc>
        <w:tc>
          <w:tcPr>
            <w:tcW w:w="1038"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p>
        </w:tc>
        <w:tc>
          <w:tcPr>
            <w:tcW w:w="1038"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p>
        </w:tc>
        <w:tc>
          <w:tcPr>
            <w:tcW w:w="757"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p>
        </w:tc>
        <w:tc>
          <w:tcPr>
            <w:tcW w:w="799"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p>
        </w:tc>
        <w:tc>
          <w:tcPr>
            <w:tcW w:w="1381" w:type="dxa"/>
            <w:noWrap w:val="0"/>
            <w:vAlign w:val="center"/>
          </w:tcPr>
          <w:p>
            <w:pPr>
              <w:keepNext w:val="0"/>
              <w:keepLines w:val="0"/>
              <w:widowControl/>
              <w:suppressLineNumbers w:val="0"/>
              <w:jc w:val="left"/>
              <w:textAlignment w:val="center"/>
              <w:rPr>
                <w:rFonts w:hint="eastAsia" w:eastAsia="方正仿宋_GBK" w:cs="宋体"/>
                <w:color w:val="auto"/>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spacing w:line="260" w:lineRule="exact"/>
              <w:jc w:val="left"/>
              <w:rPr>
                <w:rFonts w:hint="eastAsia" w:eastAsia="方正仿宋_GBK" w:cs="宋体"/>
                <w:color w:val="auto"/>
                <w:kern w:val="0"/>
                <w:szCs w:val="21"/>
              </w:rPr>
            </w:pPr>
          </w:p>
        </w:tc>
        <w:tc>
          <w:tcPr>
            <w:tcW w:w="988" w:type="dxa"/>
            <w:vMerge w:val="continue"/>
            <w:noWrap w:val="0"/>
            <w:vAlign w:val="center"/>
          </w:tcPr>
          <w:p>
            <w:pPr>
              <w:spacing w:line="240" w:lineRule="exact"/>
              <w:jc w:val="left"/>
              <w:rPr>
                <w:rFonts w:hint="eastAsia" w:eastAsia="方正仿宋_GBK" w:cs="宋体"/>
                <w:color w:val="auto"/>
                <w:kern w:val="0"/>
                <w:szCs w:val="21"/>
              </w:rPr>
            </w:pPr>
          </w:p>
        </w:tc>
        <w:tc>
          <w:tcPr>
            <w:tcW w:w="988"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社会效</w:t>
            </w:r>
          </w:p>
          <w:p>
            <w:pPr>
              <w:widowControl/>
              <w:spacing w:line="240" w:lineRule="exact"/>
              <w:jc w:val="center"/>
              <w:rPr>
                <w:rFonts w:hint="eastAsia" w:eastAsia="方正仿宋_GBK" w:cs="宋体"/>
                <w:color w:val="auto"/>
                <w:kern w:val="0"/>
                <w:szCs w:val="21"/>
              </w:rPr>
            </w:pPr>
            <w:r>
              <w:rPr>
                <w:rFonts w:hint="eastAsia" w:eastAsia="方正仿宋_GBK"/>
                <w:color w:val="auto"/>
                <w:kern w:val="0"/>
                <w:szCs w:val="21"/>
              </w:rPr>
              <w:t>益指标</w:t>
            </w:r>
          </w:p>
        </w:tc>
        <w:tc>
          <w:tcPr>
            <w:tcW w:w="1120" w:type="dxa"/>
            <w:noWrap w:val="0"/>
            <w:vAlign w:val="center"/>
          </w:tcPr>
          <w:p>
            <w:pPr>
              <w:keepNext w:val="0"/>
              <w:keepLines w:val="0"/>
              <w:widowControl/>
              <w:suppressLineNumbers w:val="0"/>
              <w:jc w:val="left"/>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大型源发性的食品安全事件</w:t>
            </w:r>
          </w:p>
        </w:tc>
        <w:tc>
          <w:tcPr>
            <w:tcW w:w="1038"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0</w:t>
            </w:r>
          </w:p>
        </w:tc>
        <w:tc>
          <w:tcPr>
            <w:tcW w:w="1038"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0</w:t>
            </w:r>
          </w:p>
        </w:tc>
        <w:tc>
          <w:tcPr>
            <w:tcW w:w="757"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15</w:t>
            </w:r>
          </w:p>
        </w:tc>
        <w:tc>
          <w:tcPr>
            <w:tcW w:w="799"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15</w:t>
            </w:r>
          </w:p>
        </w:tc>
        <w:tc>
          <w:tcPr>
            <w:tcW w:w="1381"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spacing w:line="260" w:lineRule="exact"/>
              <w:jc w:val="left"/>
              <w:rPr>
                <w:rFonts w:hint="eastAsia" w:eastAsia="方正仿宋_GBK" w:cs="宋体"/>
                <w:color w:val="auto"/>
                <w:kern w:val="0"/>
                <w:szCs w:val="21"/>
              </w:rPr>
            </w:pPr>
          </w:p>
        </w:tc>
        <w:tc>
          <w:tcPr>
            <w:tcW w:w="988" w:type="dxa"/>
            <w:vMerge w:val="continue"/>
            <w:noWrap w:val="0"/>
            <w:vAlign w:val="center"/>
          </w:tcPr>
          <w:p>
            <w:pPr>
              <w:spacing w:line="240" w:lineRule="exact"/>
              <w:jc w:val="left"/>
              <w:rPr>
                <w:rFonts w:hint="eastAsia" w:eastAsia="方正仿宋_GBK" w:cs="宋体"/>
                <w:color w:val="auto"/>
                <w:kern w:val="0"/>
                <w:szCs w:val="21"/>
              </w:rPr>
            </w:pPr>
          </w:p>
        </w:tc>
        <w:tc>
          <w:tcPr>
            <w:tcW w:w="988"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生态效</w:t>
            </w:r>
          </w:p>
          <w:p>
            <w:pPr>
              <w:widowControl/>
              <w:spacing w:line="240" w:lineRule="exact"/>
              <w:jc w:val="center"/>
              <w:rPr>
                <w:rFonts w:hint="eastAsia" w:eastAsia="方正仿宋_GBK" w:cs="宋体"/>
                <w:color w:val="auto"/>
                <w:kern w:val="0"/>
                <w:szCs w:val="21"/>
              </w:rPr>
            </w:pPr>
            <w:r>
              <w:rPr>
                <w:rFonts w:hint="eastAsia" w:eastAsia="方正仿宋_GBK"/>
                <w:color w:val="auto"/>
                <w:kern w:val="0"/>
                <w:szCs w:val="21"/>
              </w:rPr>
              <w:t>益指标</w:t>
            </w:r>
          </w:p>
        </w:tc>
        <w:tc>
          <w:tcPr>
            <w:tcW w:w="1120" w:type="dxa"/>
            <w:noWrap w:val="0"/>
            <w:vAlign w:val="center"/>
          </w:tcPr>
          <w:p>
            <w:pPr>
              <w:keepNext w:val="0"/>
              <w:keepLines w:val="0"/>
              <w:widowControl/>
              <w:suppressLineNumbers w:val="0"/>
              <w:jc w:val="left"/>
              <w:textAlignment w:val="center"/>
              <w:rPr>
                <w:rFonts w:hint="eastAsia" w:eastAsia="方正仿宋_GBK" w:cs="宋体"/>
                <w:color w:val="auto"/>
                <w:kern w:val="0"/>
                <w:szCs w:val="21"/>
              </w:rPr>
            </w:pPr>
            <w:r>
              <w:rPr>
                <w:rFonts w:hint="eastAsia" w:eastAsia="方正仿宋_GBK" w:cs="宋体"/>
                <w:color w:val="auto"/>
                <w:kern w:val="0"/>
                <w:szCs w:val="21"/>
              </w:rPr>
              <w:t>提高食品安全保障水平</w:t>
            </w:r>
          </w:p>
        </w:tc>
        <w:tc>
          <w:tcPr>
            <w:tcW w:w="1038"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稳步提升</w:t>
            </w:r>
          </w:p>
        </w:tc>
        <w:tc>
          <w:tcPr>
            <w:tcW w:w="1038"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稳步提升</w:t>
            </w:r>
          </w:p>
        </w:tc>
        <w:tc>
          <w:tcPr>
            <w:tcW w:w="757"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15</w:t>
            </w:r>
          </w:p>
        </w:tc>
        <w:tc>
          <w:tcPr>
            <w:tcW w:w="799" w:type="dxa"/>
            <w:noWrap w:val="0"/>
            <w:vAlign w:val="center"/>
          </w:tcPr>
          <w:p>
            <w:pPr>
              <w:keepNext w:val="0"/>
              <w:keepLines w:val="0"/>
              <w:widowControl/>
              <w:suppressLineNumbers w:val="0"/>
              <w:jc w:val="center"/>
              <w:textAlignment w:val="center"/>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15</w:t>
            </w:r>
          </w:p>
        </w:tc>
        <w:tc>
          <w:tcPr>
            <w:tcW w:w="1381"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spacing w:line="260" w:lineRule="exact"/>
              <w:jc w:val="left"/>
              <w:rPr>
                <w:rFonts w:hint="eastAsia" w:eastAsia="方正仿宋_GBK" w:cs="宋体"/>
                <w:color w:val="auto"/>
                <w:kern w:val="0"/>
                <w:szCs w:val="21"/>
              </w:rPr>
            </w:pPr>
          </w:p>
        </w:tc>
        <w:tc>
          <w:tcPr>
            <w:tcW w:w="988"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c>
          <w:tcPr>
            <w:tcW w:w="988" w:type="dxa"/>
            <w:noWrap w:val="0"/>
            <w:vAlign w:val="center"/>
          </w:tcPr>
          <w:p>
            <w:pPr>
              <w:widowControl/>
              <w:spacing w:line="240" w:lineRule="exact"/>
              <w:jc w:val="center"/>
              <w:rPr>
                <w:rFonts w:hint="eastAsia" w:eastAsia="方正仿宋_GBK" w:cs="宋体"/>
                <w:color w:val="auto"/>
                <w:kern w:val="0"/>
                <w:szCs w:val="21"/>
              </w:rPr>
            </w:pPr>
            <w:r>
              <w:rPr>
                <w:rFonts w:hint="eastAsia" w:eastAsia="方正仿宋_GBK"/>
                <w:color w:val="auto"/>
                <w:kern w:val="0"/>
                <w:szCs w:val="21"/>
              </w:rPr>
              <w:t>可持续影响指标</w:t>
            </w:r>
          </w:p>
        </w:tc>
        <w:tc>
          <w:tcPr>
            <w:tcW w:w="1120" w:type="dxa"/>
            <w:noWrap w:val="0"/>
            <w:vAlign w:val="center"/>
          </w:tcPr>
          <w:p>
            <w:pPr>
              <w:widowControl/>
              <w:spacing w:line="240" w:lineRule="exact"/>
              <w:jc w:val="left"/>
              <w:rPr>
                <w:rFonts w:hint="eastAsia" w:eastAsia="方正仿宋_GBK" w:cs="宋体"/>
                <w:color w:val="auto"/>
                <w:kern w:val="0"/>
                <w:szCs w:val="21"/>
              </w:rPr>
            </w:pPr>
          </w:p>
        </w:tc>
        <w:tc>
          <w:tcPr>
            <w:tcW w:w="1038"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c>
          <w:tcPr>
            <w:tcW w:w="1038"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c>
          <w:tcPr>
            <w:tcW w:w="757"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c>
          <w:tcPr>
            <w:tcW w:w="799"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c>
          <w:tcPr>
            <w:tcW w:w="1381"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988" w:type="dxa"/>
            <w:vMerge w:val="continue"/>
            <w:noWrap w:val="0"/>
            <w:vAlign w:val="center"/>
          </w:tcPr>
          <w:p>
            <w:pPr>
              <w:spacing w:line="260" w:lineRule="exact"/>
              <w:jc w:val="left"/>
              <w:rPr>
                <w:rFonts w:hint="eastAsia" w:eastAsia="方正仿宋_GBK" w:cs="宋体"/>
                <w:color w:val="auto"/>
                <w:kern w:val="0"/>
                <w:szCs w:val="21"/>
              </w:rPr>
            </w:pPr>
          </w:p>
        </w:tc>
        <w:tc>
          <w:tcPr>
            <w:tcW w:w="988" w:type="dxa"/>
            <w:noWrap w:val="0"/>
            <w:vAlign w:val="center"/>
          </w:tcPr>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满意度</w:t>
            </w:r>
          </w:p>
          <w:p>
            <w:pPr>
              <w:widowControl/>
              <w:spacing w:line="240" w:lineRule="exact"/>
              <w:jc w:val="center"/>
              <w:rPr>
                <w:rFonts w:hint="eastAsia" w:eastAsia="方正仿宋_GBK"/>
                <w:color w:val="auto"/>
                <w:kern w:val="0"/>
                <w:szCs w:val="21"/>
              </w:rPr>
            </w:pPr>
            <w:r>
              <w:rPr>
                <w:rFonts w:hint="eastAsia" w:eastAsia="方正仿宋_GBK"/>
                <w:color w:val="auto"/>
                <w:kern w:val="0"/>
                <w:szCs w:val="21"/>
              </w:rPr>
              <w:t>指标</w:t>
            </w:r>
          </w:p>
          <w:p>
            <w:pPr>
              <w:widowControl/>
              <w:spacing w:line="240" w:lineRule="exact"/>
              <w:jc w:val="center"/>
              <w:rPr>
                <w:rFonts w:hint="eastAsia" w:eastAsia="方正仿宋_GBK" w:cs="宋体"/>
                <w:color w:val="auto"/>
                <w:kern w:val="0"/>
                <w:szCs w:val="21"/>
              </w:rPr>
            </w:pPr>
            <w:r>
              <w:rPr>
                <w:rFonts w:hint="eastAsia" w:eastAsia="方正仿宋_GBK"/>
                <w:color w:val="auto"/>
                <w:kern w:val="0"/>
                <w:szCs w:val="21"/>
              </w:rPr>
              <w:t>（10分）</w:t>
            </w:r>
          </w:p>
        </w:tc>
        <w:tc>
          <w:tcPr>
            <w:tcW w:w="988" w:type="dxa"/>
            <w:noWrap w:val="0"/>
            <w:vAlign w:val="center"/>
          </w:tcPr>
          <w:p>
            <w:pPr>
              <w:widowControl/>
              <w:spacing w:line="240" w:lineRule="exact"/>
              <w:jc w:val="center"/>
              <w:rPr>
                <w:rFonts w:hint="eastAsia" w:eastAsia="方正仿宋_GBK" w:cs="宋体"/>
                <w:color w:val="auto"/>
                <w:kern w:val="0"/>
                <w:szCs w:val="21"/>
              </w:rPr>
            </w:pPr>
            <w:r>
              <w:rPr>
                <w:rFonts w:hint="eastAsia" w:eastAsia="方正仿宋_GBK"/>
                <w:color w:val="auto"/>
                <w:kern w:val="0"/>
                <w:szCs w:val="21"/>
              </w:rPr>
              <w:t>服务对象满意度指标</w:t>
            </w:r>
          </w:p>
        </w:tc>
        <w:tc>
          <w:tcPr>
            <w:tcW w:w="1120" w:type="dxa"/>
            <w:noWrap w:val="0"/>
            <w:vAlign w:val="center"/>
          </w:tcPr>
          <w:p>
            <w:pPr>
              <w:keepNext w:val="0"/>
              <w:keepLines w:val="0"/>
              <w:widowControl/>
              <w:suppressLineNumbers w:val="0"/>
              <w:jc w:val="left"/>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社会公众或服务对象是指部门</w:t>
            </w:r>
          </w:p>
        </w:tc>
        <w:tc>
          <w:tcPr>
            <w:tcW w:w="1038"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90%</w:t>
            </w:r>
          </w:p>
        </w:tc>
        <w:tc>
          <w:tcPr>
            <w:tcW w:w="1038"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100%</w:t>
            </w:r>
          </w:p>
        </w:tc>
        <w:tc>
          <w:tcPr>
            <w:tcW w:w="757"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10</w:t>
            </w:r>
          </w:p>
        </w:tc>
        <w:tc>
          <w:tcPr>
            <w:tcW w:w="799" w:type="dxa"/>
            <w:noWrap w:val="0"/>
            <w:vAlign w:val="center"/>
          </w:tcPr>
          <w:p>
            <w:pPr>
              <w:keepNext w:val="0"/>
              <w:keepLines w:val="0"/>
              <w:widowControl/>
              <w:suppressLineNumbers w:val="0"/>
              <w:jc w:val="center"/>
              <w:textAlignment w:val="center"/>
              <w:rPr>
                <w:rFonts w:hint="eastAsia" w:eastAsia="方正仿宋_GBK" w:cs="宋体"/>
                <w:color w:val="auto"/>
                <w:kern w:val="0"/>
                <w:szCs w:val="21"/>
              </w:rPr>
            </w:pPr>
            <w:r>
              <w:rPr>
                <w:rFonts w:hint="eastAsia" w:ascii="仿宋" w:hAnsi="仿宋" w:eastAsia="仿宋" w:cs="仿宋"/>
                <w:i w:val="0"/>
                <w:color w:val="auto"/>
                <w:kern w:val="0"/>
                <w:sz w:val="21"/>
                <w:szCs w:val="21"/>
                <w:u w:val="none"/>
                <w:lang w:val="en-US" w:eastAsia="zh-CN" w:bidi="ar"/>
              </w:rPr>
              <w:t>10</w:t>
            </w:r>
          </w:p>
        </w:tc>
        <w:tc>
          <w:tcPr>
            <w:tcW w:w="1381" w:type="dxa"/>
            <w:noWrap w:val="0"/>
            <w:vAlign w:val="center"/>
          </w:tcPr>
          <w:p>
            <w:pPr>
              <w:widowControl/>
              <w:spacing w:line="240" w:lineRule="exact"/>
              <w:jc w:val="left"/>
              <w:rPr>
                <w:rFonts w:hint="eastAsia" w:eastAsia="方正仿宋_GBK" w:cs="宋体"/>
                <w:color w:val="auto"/>
                <w:kern w:val="0"/>
                <w:szCs w:val="21"/>
              </w:rPr>
            </w:pPr>
            <w:r>
              <w:rPr>
                <w:rFonts w:hint="eastAsia" w:eastAsia="方正仿宋_GBK"/>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160" w:type="dxa"/>
            <w:gridSpan w:val="6"/>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总分</w:t>
            </w:r>
          </w:p>
        </w:tc>
        <w:tc>
          <w:tcPr>
            <w:tcW w:w="757" w:type="dxa"/>
            <w:noWrap w:val="0"/>
            <w:vAlign w:val="center"/>
          </w:tcPr>
          <w:p>
            <w:pPr>
              <w:widowControl/>
              <w:spacing w:line="260" w:lineRule="exact"/>
              <w:jc w:val="center"/>
              <w:rPr>
                <w:rFonts w:hint="eastAsia" w:eastAsia="方正仿宋_GBK" w:cs="宋体"/>
                <w:color w:val="auto"/>
                <w:kern w:val="0"/>
                <w:szCs w:val="21"/>
              </w:rPr>
            </w:pPr>
            <w:r>
              <w:rPr>
                <w:rFonts w:hint="eastAsia" w:eastAsia="方正仿宋_GBK" w:cs="宋体"/>
                <w:color w:val="auto"/>
                <w:kern w:val="0"/>
                <w:szCs w:val="21"/>
              </w:rPr>
              <w:t>100</w:t>
            </w:r>
          </w:p>
        </w:tc>
        <w:tc>
          <w:tcPr>
            <w:tcW w:w="799" w:type="dxa"/>
            <w:noWrap w:val="0"/>
            <w:vAlign w:val="center"/>
          </w:tcPr>
          <w:p>
            <w:pPr>
              <w:widowControl/>
              <w:spacing w:line="260" w:lineRule="exact"/>
              <w:ind w:firstLine="210" w:firstLineChars="100"/>
              <w:jc w:val="left"/>
              <w:rPr>
                <w:rFonts w:hint="default" w:eastAsia="方正仿宋_GBK" w:cs="宋体"/>
                <w:color w:val="auto"/>
                <w:kern w:val="0"/>
                <w:szCs w:val="21"/>
                <w:lang w:val="en-US" w:eastAsia="zh-CN"/>
              </w:rPr>
            </w:pPr>
            <w:r>
              <w:rPr>
                <w:rFonts w:hint="eastAsia" w:eastAsia="方正仿宋_GBK" w:cs="宋体"/>
                <w:color w:val="auto"/>
                <w:kern w:val="0"/>
                <w:szCs w:val="21"/>
                <w:lang w:val="en-US" w:eastAsia="zh-CN"/>
              </w:rPr>
              <w:t>98</w:t>
            </w:r>
          </w:p>
        </w:tc>
        <w:tc>
          <w:tcPr>
            <w:tcW w:w="1381" w:type="dxa"/>
            <w:noWrap w:val="0"/>
            <w:vAlign w:val="center"/>
          </w:tcPr>
          <w:p>
            <w:pPr>
              <w:widowControl/>
              <w:spacing w:line="260" w:lineRule="exact"/>
              <w:jc w:val="left"/>
              <w:rPr>
                <w:rFonts w:hint="eastAsia" w:eastAsia="方正仿宋_GBK" w:cs="宋体"/>
                <w:color w:val="auto"/>
                <w:kern w:val="0"/>
                <w:szCs w:val="21"/>
              </w:rPr>
            </w:pPr>
          </w:p>
        </w:tc>
      </w:tr>
    </w:tbl>
    <w:p>
      <w:pPr>
        <w:widowControl/>
        <w:jc w:val="left"/>
        <w:rPr>
          <w:rFonts w:eastAsia="仿宋"/>
          <w:color w:val="auto"/>
          <w:w w:val="95"/>
          <w:sz w:val="21"/>
          <w:szCs w:val="21"/>
        </w:rPr>
        <w:sectPr>
          <w:headerReference r:id="rId3" w:type="default"/>
          <w:footerReference r:id="rId4" w:type="default"/>
          <w:footerReference r:id="rId5" w:type="even"/>
          <w:pgSz w:w="11906" w:h="16838"/>
          <w:pgMar w:top="1985" w:right="1474" w:bottom="1474" w:left="1474" w:header="851" w:footer="1134" w:gutter="0"/>
          <w:cols w:space="720" w:num="1"/>
          <w:docGrid w:type="lines" w:linePitch="312" w:charSpace="0"/>
        </w:sectPr>
      </w:pPr>
      <w:r>
        <w:rPr>
          <w:rFonts w:hint="eastAsia" w:ascii="方正仿宋_GBK" w:eastAsia="方正仿宋_GBK"/>
          <w:color w:val="auto"/>
          <w:kern w:val="0"/>
          <w:szCs w:val="21"/>
        </w:rPr>
        <w:t>填表人：</w:t>
      </w:r>
      <w:r>
        <w:rPr>
          <w:rFonts w:hint="eastAsia" w:ascii="方正仿宋_GBK" w:eastAsia="方正仿宋_GBK"/>
          <w:color w:val="auto"/>
          <w:kern w:val="0"/>
          <w:szCs w:val="21"/>
          <w:lang w:val="en-US" w:eastAsia="zh-CN"/>
        </w:rPr>
        <w:t>杨泓</w:t>
      </w:r>
      <w:r>
        <w:rPr>
          <w:rFonts w:hint="eastAsia" w:ascii="方正仿宋_GBK" w:eastAsia="方正仿宋_GBK"/>
          <w:color w:val="auto"/>
          <w:kern w:val="0"/>
          <w:szCs w:val="21"/>
        </w:rPr>
        <w:t xml:space="preserve">  填报日期：</w:t>
      </w:r>
      <w:r>
        <w:rPr>
          <w:rFonts w:hint="eastAsia" w:ascii="方正仿宋_GBK" w:eastAsia="方正仿宋_GBK"/>
          <w:color w:val="auto"/>
          <w:kern w:val="0"/>
          <w:szCs w:val="21"/>
          <w:lang w:val="en-US" w:eastAsia="zh-CN"/>
        </w:rPr>
        <w:t>2022.4.28</w:t>
      </w:r>
      <w:r>
        <w:rPr>
          <w:rFonts w:hint="eastAsia" w:ascii="方正仿宋_GBK" w:eastAsia="方正仿宋_GBK"/>
          <w:color w:val="auto"/>
          <w:kern w:val="0"/>
          <w:szCs w:val="21"/>
        </w:rPr>
        <w:t xml:space="preserve">   联系电话：</w:t>
      </w:r>
      <w:r>
        <w:rPr>
          <w:rFonts w:hint="eastAsia" w:ascii="方正黑体_GBK" w:eastAsia="方正黑体_GBK"/>
          <w:color w:val="auto"/>
          <w:kern w:val="0"/>
          <w:szCs w:val="21"/>
          <w:lang w:val="en-US" w:eastAsia="zh-CN"/>
        </w:rPr>
        <w:t>0731-85693711</w:t>
      </w:r>
      <w:r>
        <w:rPr>
          <w:rFonts w:hint="eastAsia" w:ascii="方正仿宋_GBK" w:eastAsia="方正仿宋_GBK"/>
          <w:color w:val="auto"/>
          <w:kern w:val="0"/>
          <w:szCs w:val="21"/>
        </w:rPr>
        <w:t xml:space="preserve">  单位负责人签字：</w:t>
      </w:r>
    </w:p>
    <w:p>
      <w:pPr>
        <w:rPr>
          <w:color w:val="auto"/>
        </w:rPr>
      </w:pPr>
    </w:p>
    <w:bookmarkEnd w:id="3"/>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fldChar w:fldCharType="begin"/>
    </w:r>
    <w:r>
      <w:rPr>
        <w:rStyle w:val="10"/>
      </w:rPr>
      <w:instrText xml:space="preserve">PAGE  </w:instrText>
    </w:r>
    <w: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CB0F1D"/>
    <w:multiLevelType w:val="singleLevel"/>
    <w:tmpl w:val="A6CB0F1D"/>
    <w:lvl w:ilvl="0" w:tentative="0">
      <w:start w:val="6"/>
      <w:numFmt w:val="chineseCounting"/>
      <w:suff w:val="nothing"/>
      <w:lvlText w:val="%1、"/>
      <w:lvlJc w:val="left"/>
      <w:rPr>
        <w:rFonts w:hint="eastAsia"/>
      </w:rPr>
    </w:lvl>
  </w:abstractNum>
  <w:abstractNum w:abstractNumId="1">
    <w:nsid w:val="002FEF6C"/>
    <w:multiLevelType w:val="singleLevel"/>
    <w:tmpl w:val="002FEF6C"/>
    <w:lvl w:ilvl="0" w:tentative="0">
      <w:start w:val="3"/>
      <w:numFmt w:val="decimal"/>
      <w:suff w:val="nothing"/>
      <w:lvlText w:val="%1、"/>
      <w:lvlJc w:val="left"/>
    </w:lvl>
  </w:abstractNum>
  <w:abstractNum w:abstractNumId="2">
    <w:nsid w:val="1980D739"/>
    <w:multiLevelType w:val="singleLevel"/>
    <w:tmpl w:val="1980D739"/>
    <w:lvl w:ilvl="0" w:tentative="0">
      <w:start w:val="1"/>
      <w:numFmt w:val="decimal"/>
      <w:suff w:val="space"/>
      <w:lvlText w:val="%1."/>
      <w:lvlJc w:val="left"/>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09C9EA7"/>
    <w:multiLevelType w:val="singleLevel"/>
    <w:tmpl w:val="609C9EA7"/>
    <w:lvl w:ilvl="0" w:tentative="0">
      <w:start w:val="1"/>
      <w:numFmt w:val="chineseCounting"/>
      <w:suff w:val="nothing"/>
      <w:lvlText w:val="%1、"/>
      <w:lvlJc w:val="left"/>
    </w:lvl>
  </w:abstractNum>
  <w:abstractNum w:abstractNumId="5">
    <w:nsid w:val="609CA7ED"/>
    <w:multiLevelType w:val="singleLevel"/>
    <w:tmpl w:val="609CA7ED"/>
    <w:lvl w:ilvl="0" w:tentative="0">
      <w:start w:val="2"/>
      <w:numFmt w:val="chineseCounting"/>
      <w:suff w:val="nothing"/>
      <w:lvlText w:val="（%1）"/>
      <w:lvlJc w:val="left"/>
    </w:lvl>
  </w:abstractNum>
  <w:abstractNum w:abstractNumId="6">
    <w:nsid w:val="6E2F3FBF"/>
    <w:multiLevelType w:val="singleLevel"/>
    <w:tmpl w:val="6E2F3FBF"/>
    <w:lvl w:ilvl="0" w:tentative="0">
      <w:start w:val="1"/>
      <w:numFmt w:val="chineseCounting"/>
      <w:suff w:val="nothing"/>
      <w:lvlText w:val="%1、"/>
      <w:lvlJc w:val="left"/>
      <w:rPr>
        <w:rFonts w:hint="eastAsia"/>
      </w:rPr>
    </w:lvl>
  </w:abstractNum>
  <w:abstractNum w:abstractNumId="7">
    <w:nsid w:val="79233708"/>
    <w:multiLevelType w:val="singleLevel"/>
    <w:tmpl w:val="79233708"/>
    <w:lvl w:ilvl="0" w:tentative="0">
      <w:start w:val="2"/>
      <w:numFmt w:val="decimal"/>
      <w:suff w:val="space"/>
      <w:lvlText w:val="%1."/>
      <w:lvlJc w:val="left"/>
    </w:lvl>
  </w:abstractNum>
  <w:num w:numId="1">
    <w:abstractNumId w:val="3"/>
  </w:num>
  <w:num w:numId="2">
    <w:abstractNumId w:val="1"/>
  </w:num>
  <w:num w:numId="3">
    <w:abstractNumId w:val="6"/>
  </w:num>
  <w:num w:numId="4">
    <w:abstractNumId w:val="4"/>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5YjBlOGViNDQwYTdkODFjNjI3NzUzYmZhOTA5NjA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0358D1"/>
    <w:rsid w:val="03242DC4"/>
    <w:rsid w:val="039E11BA"/>
    <w:rsid w:val="07B70622"/>
    <w:rsid w:val="0A0B5B41"/>
    <w:rsid w:val="0B6C7D80"/>
    <w:rsid w:val="0FB636A9"/>
    <w:rsid w:val="1198674F"/>
    <w:rsid w:val="13A333BA"/>
    <w:rsid w:val="1510754D"/>
    <w:rsid w:val="1AD5524C"/>
    <w:rsid w:val="1B2C1885"/>
    <w:rsid w:val="1DAC0CC4"/>
    <w:rsid w:val="1E5B1707"/>
    <w:rsid w:val="209B4FA7"/>
    <w:rsid w:val="215F4A34"/>
    <w:rsid w:val="22EB72EC"/>
    <w:rsid w:val="22EF6B55"/>
    <w:rsid w:val="266172D6"/>
    <w:rsid w:val="2A1B6D0F"/>
    <w:rsid w:val="2C8174F9"/>
    <w:rsid w:val="2F73730B"/>
    <w:rsid w:val="30042823"/>
    <w:rsid w:val="311E318A"/>
    <w:rsid w:val="364E3373"/>
    <w:rsid w:val="3CC0462F"/>
    <w:rsid w:val="3CEA3DA3"/>
    <w:rsid w:val="3CF137C4"/>
    <w:rsid w:val="3DBC2F44"/>
    <w:rsid w:val="3F6C09D2"/>
    <w:rsid w:val="4070583C"/>
    <w:rsid w:val="455756FD"/>
    <w:rsid w:val="45B9781A"/>
    <w:rsid w:val="4A6B58D9"/>
    <w:rsid w:val="4AAE7A32"/>
    <w:rsid w:val="4B856E26"/>
    <w:rsid w:val="4CCC2C46"/>
    <w:rsid w:val="4E1A5F49"/>
    <w:rsid w:val="4F1C4340"/>
    <w:rsid w:val="51152B24"/>
    <w:rsid w:val="52046213"/>
    <w:rsid w:val="542C2C98"/>
    <w:rsid w:val="55FE04B8"/>
    <w:rsid w:val="56794CB7"/>
    <w:rsid w:val="56DF5225"/>
    <w:rsid w:val="58542EB3"/>
    <w:rsid w:val="591331DD"/>
    <w:rsid w:val="59DF06E4"/>
    <w:rsid w:val="5D115593"/>
    <w:rsid w:val="62656613"/>
    <w:rsid w:val="63AF0FFB"/>
    <w:rsid w:val="659612D3"/>
    <w:rsid w:val="65DC6FA7"/>
    <w:rsid w:val="66883D7B"/>
    <w:rsid w:val="66A42E72"/>
    <w:rsid w:val="67860DEF"/>
    <w:rsid w:val="69067033"/>
    <w:rsid w:val="69B429EF"/>
    <w:rsid w:val="6B0828A7"/>
    <w:rsid w:val="6C9E1E30"/>
    <w:rsid w:val="6DF40E20"/>
    <w:rsid w:val="6E2004B7"/>
    <w:rsid w:val="70DF4EFC"/>
    <w:rsid w:val="721F1516"/>
    <w:rsid w:val="75F6508D"/>
    <w:rsid w:val="7F587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semiHidden/>
    <w:unhideWhenUsed/>
    <w:qFormat/>
    <w:uiPriority w:val="99"/>
    <w:pPr>
      <w:snapToGrid w:val="0"/>
      <w:jc w:val="left"/>
    </w:pPr>
    <w:rPr>
      <w:sz w:val="18"/>
    </w:rPr>
  </w:style>
  <w:style w:type="paragraph" w:styleId="3">
    <w:name w:val="Body Text"/>
    <w:basedOn w:val="1"/>
    <w:qFormat/>
    <w:uiPriority w:val="0"/>
    <w:rPr>
      <w:sz w:val="31"/>
      <w:szCs w:val="22"/>
    </w:rPr>
  </w:style>
  <w:style w:type="paragraph" w:styleId="4">
    <w:name w:val="Balloon Text"/>
    <w:basedOn w:val="1"/>
    <w:link w:val="15"/>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10">
    <w:name w:val="page number"/>
    <w:basedOn w:val="9"/>
    <w:qFormat/>
    <w:uiPriority w:val="0"/>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9"/>
    <w:link w:val="4"/>
    <w:semiHidden/>
    <w:qFormat/>
    <w:uiPriority w:val="99"/>
    <w:rPr>
      <w:sz w:val="18"/>
      <w:szCs w:val="18"/>
    </w:rPr>
  </w:style>
  <w:style w:type="paragraph" w:customStyle="1" w:styleId="16">
    <w:name w:val="Char1 Char Char Char Char Char Char"/>
    <w:basedOn w:val="1"/>
    <w:qFormat/>
    <w:uiPriority w:val="0"/>
    <w:rPr>
      <w:rFonts w:ascii="等线" w:hAnsi="等线" w:eastAsia="等线"/>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39</Pages>
  <Words>11212</Words>
  <Characters>13961</Characters>
  <Lines>69</Lines>
  <Paragraphs>19</Paragraphs>
  <TotalTime>8</TotalTime>
  <ScaleCrop>false</ScaleCrop>
  <LinksUpToDate>false</LinksUpToDate>
  <CharactersWithSpaces>15525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Administrator</cp:lastModifiedBy>
  <cp:lastPrinted>2022-07-27T12:55:00Z</cp:lastPrinted>
  <dcterms:modified xsi:type="dcterms:W3CDTF">2023-10-08T10:05:39Z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216855270170404D86479070962ACBC2_13</vt:lpwstr>
  </property>
</Properties>
</file>