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color w:val="000000" w:themeColor="text1"/>
          <w:sz w:val="56"/>
          <w:szCs w:val="56"/>
          <w14:textFill>
            <w14:solidFill>
              <w14:schemeClr w14:val="tx1"/>
            </w14:solidFill>
          </w14:textFill>
        </w:rPr>
      </w:pPr>
      <w:bookmarkStart w:id="3" w:name="_GoBack"/>
    </w:p>
    <w:p>
      <w:pPr>
        <w:pStyle w:val="11"/>
        <w:jc w:val="center"/>
        <w:rPr>
          <w:rFonts w:hint="default"/>
          <w:color w:val="000000" w:themeColor="text1"/>
          <w:sz w:val="56"/>
          <w:szCs w:val="56"/>
          <w:lang w:val="en-US"/>
          <w14:textFill>
            <w14:solidFill>
              <w14:schemeClr w14:val="tx1"/>
            </w14:solidFill>
          </w14:textFill>
        </w:rPr>
      </w:pPr>
      <w:r>
        <w:rPr>
          <w:rFonts w:hint="default"/>
          <w:color w:val="000000" w:themeColor="text1"/>
          <w:sz w:val="56"/>
          <w:szCs w:val="56"/>
          <w:lang w:val="en-US"/>
          <w14:textFill>
            <w14:solidFill>
              <w14:schemeClr w14:val="tx1"/>
            </w14:solidFill>
          </w14:textFill>
        </w:rPr>
        <w:t xml:space="preserve"> </w:t>
      </w:r>
    </w:p>
    <w:p>
      <w:pPr>
        <w:pStyle w:val="11"/>
        <w:jc w:val="center"/>
        <w:rPr>
          <w:color w:val="000000" w:themeColor="text1"/>
          <w:sz w:val="84"/>
          <w:szCs w:val="84"/>
          <w14:textFill>
            <w14:solidFill>
              <w14:schemeClr w14:val="tx1"/>
            </w14:solidFill>
          </w14:textFill>
        </w:rPr>
      </w:pPr>
    </w:p>
    <w:p>
      <w:pPr>
        <w:pStyle w:val="11"/>
        <w:jc w:val="center"/>
        <w:rPr>
          <w:color w:val="000000" w:themeColor="text1"/>
          <w:sz w:val="84"/>
          <w:szCs w:val="84"/>
          <w14:textFill>
            <w14:solidFill>
              <w14:schemeClr w14:val="tx1"/>
            </w14:solidFill>
          </w14:textFill>
        </w:rPr>
      </w:pPr>
    </w:p>
    <w:p>
      <w:pPr>
        <w:pStyle w:val="11"/>
        <w:jc w:val="center"/>
        <w:rPr>
          <w:rFonts w:hint="default"/>
          <w:color w:val="000000" w:themeColor="text1"/>
          <w:sz w:val="84"/>
          <w:szCs w:val="84"/>
          <w:lang w:val="en-US"/>
          <w14:textFill>
            <w14:solidFill>
              <w14:schemeClr w14:val="tx1"/>
            </w14:solidFill>
          </w14:textFill>
        </w:rPr>
      </w:pPr>
      <w:r>
        <w:rPr>
          <w:rFonts w:hint="eastAsia"/>
          <w:color w:val="000000" w:themeColor="text1"/>
          <w:sz w:val="84"/>
          <w:szCs w:val="84"/>
          <w14:textFill>
            <w14:solidFill>
              <w14:schemeClr w14:val="tx1"/>
            </w14:solidFill>
          </w14:textFill>
        </w:rPr>
        <w:t>2021年度</w:t>
      </w:r>
      <w:r>
        <w:rPr>
          <w:rFonts w:hint="default"/>
          <w:color w:val="000000" w:themeColor="text1"/>
          <w:sz w:val="84"/>
          <w:szCs w:val="84"/>
          <w:lang w:val="en-US"/>
          <w14:textFill>
            <w14:solidFill>
              <w14:schemeClr w14:val="tx1"/>
            </w14:solidFill>
          </w14:textFill>
        </w:rPr>
        <w:t xml:space="preserve"> </w:t>
      </w:r>
    </w:p>
    <w:p>
      <w:pPr>
        <w:pStyle w:val="11"/>
        <w:jc w:val="center"/>
        <w:rPr>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t>湖南省食品和工业产品生产许可审查中心部门决算</w:t>
      </w:r>
    </w:p>
    <w:p>
      <w:pPr>
        <w:pStyle w:val="11"/>
        <w:jc w:val="center"/>
        <w:rPr>
          <w:color w:val="000000" w:themeColor="text1"/>
          <w:sz w:val="56"/>
          <w:szCs w:val="56"/>
          <w14:textFill>
            <w14:solidFill>
              <w14:schemeClr w14:val="tx1"/>
            </w14:solidFill>
          </w14:textFill>
        </w:rPr>
      </w:pPr>
    </w:p>
    <w:p>
      <w:pPr>
        <w:pStyle w:val="11"/>
        <w:jc w:val="center"/>
        <w:rPr>
          <w:color w:val="000000" w:themeColor="text1"/>
          <w:sz w:val="56"/>
          <w:szCs w:val="56"/>
          <w14:textFill>
            <w14:solidFill>
              <w14:schemeClr w14:val="tx1"/>
            </w14:solidFill>
          </w14:textFill>
        </w:rPr>
      </w:pPr>
    </w:p>
    <w:p>
      <w:pPr>
        <w:pStyle w:val="11"/>
        <w:jc w:val="center"/>
        <w:rPr>
          <w:color w:val="000000" w:themeColor="text1"/>
          <w:sz w:val="56"/>
          <w:szCs w:val="56"/>
          <w14:textFill>
            <w14:solidFill>
              <w14:schemeClr w14:val="tx1"/>
            </w14:solidFill>
          </w14:textFill>
        </w:rPr>
      </w:pPr>
    </w:p>
    <w:p>
      <w:pPr>
        <w:pStyle w:val="11"/>
        <w:jc w:val="center"/>
        <w:rPr>
          <w:color w:val="000000" w:themeColor="text1"/>
          <w:sz w:val="56"/>
          <w:szCs w:val="56"/>
          <w14:textFill>
            <w14:solidFill>
              <w14:schemeClr w14:val="tx1"/>
            </w14:solidFill>
          </w14:textFill>
        </w:rPr>
      </w:pPr>
    </w:p>
    <w:p>
      <w:pPr>
        <w:pStyle w:val="11"/>
        <w:jc w:val="center"/>
        <w:rPr>
          <w:color w:val="000000" w:themeColor="text1"/>
          <w:sz w:val="32"/>
          <w:szCs w:val="32"/>
          <w14:textFill>
            <w14:solidFill>
              <w14:schemeClr w14:val="tx1"/>
            </w14:solidFill>
          </w14:textFill>
        </w:rPr>
      </w:pPr>
    </w:p>
    <w:p>
      <w:pPr>
        <w:pStyle w:val="11"/>
        <w:jc w:val="center"/>
        <w:rPr>
          <w:color w:val="000000" w:themeColor="text1"/>
          <w:sz w:val="32"/>
          <w:szCs w:val="32"/>
          <w14:textFill>
            <w14:solidFill>
              <w14:schemeClr w14:val="tx1"/>
            </w14:solidFill>
          </w14:textFill>
        </w:rPr>
      </w:pPr>
    </w:p>
    <w:p>
      <w:pPr>
        <w:pStyle w:val="11"/>
        <w:jc w:val="center"/>
        <w:rPr>
          <w:color w:val="000000" w:themeColor="text1"/>
          <w:sz w:val="32"/>
          <w:szCs w:val="32"/>
          <w14:textFill>
            <w14:solidFill>
              <w14:schemeClr w14:val="tx1"/>
            </w14:solidFill>
          </w14:textFill>
        </w:rPr>
      </w:pPr>
    </w:p>
    <w:p>
      <w:pPr>
        <w:pStyle w:val="11"/>
        <w:jc w:val="center"/>
        <w:rPr>
          <w:color w:val="000000" w:themeColor="text1"/>
          <w:sz w:val="32"/>
          <w:szCs w:val="32"/>
          <w14:textFill>
            <w14:solidFill>
              <w14:schemeClr w14:val="tx1"/>
            </w14:solidFill>
          </w14:textFill>
        </w:rPr>
      </w:pPr>
    </w:p>
    <w:p>
      <w:pPr>
        <w:pStyle w:val="11"/>
        <w:spacing w:line="500" w:lineRule="exact"/>
        <w:jc w:val="both"/>
        <w:rPr>
          <w:b/>
          <w:color w:val="000000" w:themeColor="text1"/>
          <w:sz w:val="36"/>
          <w:szCs w:val="28"/>
          <w14:textFill>
            <w14:solidFill>
              <w14:schemeClr w14:val="tx1"/>
            </w14:solidFill>
          </w14:textFill>
        </w:rPr>
      </w:pPr>
    </w:p>
    <w:p>
      <w:pPr>
        <w:pStyle w:val="11"/>
        <w:spacing w:line="500" w:lineRule="exact"/>
        <w:jc w:val="center"/>
        <w:rPr>
          <w:rFonts w:hint="eastAsia"/>
          <w:b/>
          <w:color w:val="000000" w:themeColor="text1"/>
          <w:sz w:val="36"/>
          <w:szCs w:val="28"/>
          <w14:textFill>
            <w14:solidFill>
              <w14:schemeClr w14:val="tx1"/>
            </w14:solidFill>
          </w14:textFill>
        </w:rPr>
      </w:pPr>
    </w:p>
    <w:p>
      <w:pPr>
        <w:pStyle w:val="11"/>
        <w:spacing w:line="500" w:lineRule="exact"/>
        <w:jc w:val="center"/>
        <w:rPr>
          <w:b/>
          <w:color w:val="000000" w:themeColor="text1"/>
          <w:sz w:val="36"/>
          <w:szCs w:val="28"/>
          <w14:textFill>
            <w14:solidFill>
              <w14:schemeClr w14:val="tx1"/>
            </w14:solidFill>
          </w14:textFill>
        </w:rPr>
      </w:pPr>
      <w:r>
        <w:rPr>
          <w:rFonts w:hint="eastAsia"/>
          <w:b/>
          <w:color w:val="000000" w:themeColor="text1"/>
          <w:sz w:val="36"/>
          <w:szCs w:val="28"/>
          <w14:textFill>
            <w14:solidFill>
              <w14:schemeClr w14:val="tx1"/>
            </w14:solidFill>
          </w14:textFill>
        </w:rPr>
        <w:t>目录</w:t>
      </w:r>
    </w:p>
    <w:p>
      <w:pPr>
        <w:pStyle w:val="11"/>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第一部分湖南省食品和工业产品生产许可审查中心概况</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一、部门职责</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二、机构设置</w:t>
      </w:r>
    </w:p>
    <w:p>
      <w:pPr>
        <w:pStyle w:val="11"/>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第二部分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21年度部门决算表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二、收入决算表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三、支出决算表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四、财政拨款收入支出决算总表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五、一般公共预算财政拨款支出决算表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六、一般公共预算财政拨款基本支出决算</w:t>
      </w:r>
      <w:r>
        <w:rPr>
          <w:rFonts w:hint="eastAsia" w:cs="仿宋_GB2312" w:asciiTheme="minorEastAsia" w:hAnsiTheme="minorEastAsia" w:eastAsiaTheme="minorEastAsia"/>
          <w:color w:val="000000" w:themeColor="text1"/>
          <w:sz w:val="28"/>
          <w:szCs w:val="28"/>
          <w14:textFill>
            <w14:solidFill>
              <w14:schemeClr w14:val="tx1"/>
            </w14:solidFill>
          </w14:textFill>
        </w:rPr>
        <w:t>明细</w:t>
      </w:r>
      <w:r>
        <w:rPr>
          <w:rFonts w:cs="仿宋_GB2312" w:asciiTheme="minorEastAsia" w:hAnsiTheme="minorEastAsia" w:eastAsiaTheme="minorEastAsia"/>
          <w:color w:val="000000" w:themeColor="text1"/>
          <w:sz w:val="28"/>
          <w:szCs w:val="28"/>
          <w14:textFill>
            <w14:solidFill>
              <w14:schemeClr w14:val="tx1"/>
            </w14:solidFill>
          </w14:textFill>
        </w:rPr>
        <w:t>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八、政府性基金预算财政拨款收入支出决算表</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hint="eastAsia" w:cs="仿宋_GB2312" w:asciiTheme="minorEastAsia" w:hAnsiTheme="minorEastAsia" w:eastAsiaTheme="minorEastAsia"/>
          <w:color w:val="000000" w:themeColor="text1"/>
          <w:sz w:val="28"/>
          <w:szCs w:val="28"/>
          <w14:textFill>
            <w14:solidFill>
              <w14:schemeClr w14:val="tx1"/>
            </w14:solidFill>
          </w14:textFill>
        </w:rPr>
        <w:t>九、国有资本经营预算财政拨款支出决算表</w:t>
      </w:r>
    </w:p>
    <w:p>
      <w:pPr>
        <w:pStyle w:val="11"/>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第三部分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21年度部门决算情况说明</w:t>
      </w:r>
    </w:p>
    <w:p>
      <w:pPr>
        <w:pStyle w:val="11"/>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一、收入支出决算总体情况说明</w:t>
      </w:r>
    </w:p>
    <w:p>
      <w:pPr>
        <w:spacing w:line="500" w:lineRule="exact"/>
        <w:ind w:firstLine="700" w:firstLineChars="250"/>
        <w:jc w:val="left"/>
        <w:rPr>
          <w:rFonts w:ascii="仿宋_GB2312" w:hAnsi="仿宋_GB2312" w:cs="仿宋_GB2312"/>
          <w:color w:val="000000" w:themeColor="text1"/>
          <w:sz w:val="28"/>
          <w:szCs w:val="28"/>
          <w14:textFill>
            <w14:solidFill>
              <w14:schemeClr w14:val="tx1"/>
            </w14:solidFill>
          </w14:textFill>
        </w:rPr>
      </w:pPr>
      <w:r>
        <w:rPr>
          <w:rFonts w:ascii="仿宋_GB2312" w:hAnsi="仿宋_GB2312" w:cs="仿宋_GB2312"/>
          <w:color w:val="000000" w:themeColor="text1"/>
          <w:sz w:val="28"/>
          <w:szCs w:val="28"/>
          <w14:textFill>
            <w14:solidFill>
              <w14:schemeClr w14:val="tx1"/>
            </w14:solidFill>
          </w14:textFill>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七、一般公共预算财政拨款</w:t>
      </w:r>
      <w:r>
        <w:rPr>
          <w:rFonts w:hint="eastAsia" w:ascii="仿宋_GB2312" w:hAnsi="仿宋_GB2312" w:cs="仿宋_GB2312"/>
          <w:color w:val="000000" w:themeColor="text1"/>
          <w:kern w:val="0"/>
          <w:sz w:val="28"/>
          <w:szCs w:val="28"/>
          <w14:textFill>
            <w14:solidFill>
              <w14:schemeClr w14:val="tx1"/>
            </w14:solidFill>
          </w14:textFill>
        </w:rPr>
        <w:t>“</w:t>
      </w:r>
      <w:r>
        <w:rPr>
          <w:rFonts w:ascii="仿宋_GB2312" w:hAnsi="仿宋_GB2312" w:cs="仿宋_GB2312"/>
          <w:color w:val="000000" w:themeColor="text1"/>
          <w:kern w:val="0"/>
          <w:sz w:val="28"/>
          <w:szCs w:val="28"/>
          <w14:textFill>
            <w14:solidFill>
              <w14:schemeClr w14:val="tx1"/>
            </w14:solidFill>
          </w14:textFill>
        </w:rPr>
        <w:t>三公</w:t>
      </w:r>
      <w:r>
        <w:rPr>
          <w:rFonts w:hint="eastAsia" w:ascii="仿宋_GB2312" w:hAnsi="仿宋_GB2312" w:cs="仿宋_GB2312"/>
          <w:color w:val="000000" w:themeColor="text1"/>
          <w:kern w:val="0"/>
          <w:sz w:val="28"/>
          <w:szCs w:val="28"/>
          <w14:textFill>
            <w14:solidFill>
              <w14:schemeClr w14:val="tx1"/>
            </w14:solidFill>
          </w14:textFill>
        </w:rPr>
        <w:t>”</w:t>
      </w:r>
      <w:r>
        <w:rPr>
          <w:rFonts w:ascii="仿宋_GB2312" w:hAnsi="仿宋_GB2312" w:cs="仿宋_GB2312"/>
          <w:color w:val="000000" w:themeColor="text1"/>
          <w:kern w:val="0"/>
          <w:sz w:val="28"/>
          <w:szCs w:val="28"/>
          <w14:textFill>
            <w14:solidFill>
              <w14:schemeClr w14:val="tx1"/>
            </w14:solidFill>
          </w14:textFill>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八</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九</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十一、政府采购支出说明</w:t>
      </w:r>
    </w:p>
    <w:p>
      <w:pPr>
        <w:pStyle w:val="11"/>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十二、国有资产占用情况说明</w:t>
      </w:r>
    </w:p>
    <w:p>
      <w:pPr>
        <w:pStyle w:val="11"/>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十三、</w:t>
      </w:r>
      <w:r>
        <w:rPr>
          <w:rFonts w:hint="eastAsia" w:cs="仿宋_GB2312" w:asciiTheme="minorEastAsia" w:hAnsiTheme="minorEastAsia" w:eastAsiaTheme="minorEastAsia"/>
          <w:color w:val="000000" w:themeColor="text1"/>
          <w:sz w:val="28"/>
          <w:szCs w:val="28"/>
          <w14:textFill>
            <w14:solidFill>
              <w14:schemeClr w14:val="tx1"/>
            </w14:solidFill>
          </w14:textFill>
        </w:rPr>
        <w:t>2021年</w:t>
      </w:r>
      <w:r>
        <w:rPr>
          <w:rFonts w:hint="eastAsia" w:ascii="仿宋_GB2312" w:hAnsi="仿宋_GB2312" w:cs="仿宋_GB2312" w:eastAsiaTheme="minorEastAsia"/>
          <w:color w:val="000000" w:themeColor="text1"/>
          <w:sz w:val="28"/>
          <w:szCs w:val="28"/>
          <w14:textFill>
            <w14:solidFill>
              <w14:schemeClr w14:val="tx1"/>
            </w14:solidFill>
          </w14:textFill>
        </w:rPr>
        <w:t>度预算绩效情况说明</w:t>
      </w:r>
    </w:p>
    <w:p>
      <w:pPr>
        <w:autoSpaceDE w:val="0"/>
        <w:autoSpaceDN w:val="0"/>
        <w:adjustRightInd w:val="0"/>
        <w:spacing w:line="500" w:lineRule="exact"/>
        <w:jc w:val="left"/>
        <w:rPr>
          <w:rFonts w:ascii="黑体" w:hAnsi="黑体" w:eastAsia="黑体" w:cs="黑体"/>
          <w:b/>
          <w:color w:val="000000" w:themeColor="text1"/>
          <w:kern w:val="0"/>
          <w:sz w:val="28"/>
          <w:szCs w:val="28"/>
          <w14:textFill>
            <w14:solidFill>
              <w14:schemeClr w14:val="tx1"/>
            </w14:solidFill>
          </w14:textFill>
        </w:rPr>
      </w:pPr>
      <w:r>
        <w:rPr>
          <w:rFonts w:ascii="黑体" w:hAnsi="黑体" w:eastAsia="黑体" w:cs="黑体"/>
          <w:b/>
          <w:color w:val="000000" w:themeColor="text1"/>
          <w:kern w:val="0"/>
          <w:sz w:val="28"/>
          <w:szCs w:val="28"/>
          <w14:textFill>
            <w14:solidFill>
              <w14:schemeClr w14:val="tx1"/>
            </w14:solidFill>
          </w14:textFill>
        </w:rPr>
        <w:t>第四部分名词解释</w:t>
      </w:r>
    </w:p>
    <w:p>
      <w:pPr>
        <w:autoSpaceDE w:val="0"/>
        <w:autoSpaceDN w:val="0"/>
        <w:adjustRightInd w:val="0"/>
        <w:spacing w:line="500" w:lineRule="exact"/>
        <w:jc w:val="left"/>
        <w:rPr>
          <w:rFonts w:ascii="黑体" w:hAnsi="黑体" w:eastAsia="黑体" w:cs="仿宋_GB2312"/>
          <w:b/>
          <w:color w:val="000000" w:themeColor="text1"/>
          <w:kern w:val="0"/>
          <w:sz w:val="28"/>
          <w:szCs w:val="28"/>
          <w14:textFill>
            <w14:solidFill>
              <w14:schemeClr w14:val="tx1"/>
            </w14:solidFill>
          </w14:textFill>
        </w:rPr>
      </w:pPr>
      <w:r>
        <w:rPr>
          <w:rFonts w:hint="eastAsia" w:ascii="黑体" w:hAnsi="黑体" w:eastAsia="黑体" w:cs="黑体"/>
          <w:b/>
          <w:color w:val="000000" w:themeColor="text1"/>
          <w:kern w:val="0"/>
          <w:sz w:val="28"/>
          <w:szCs w:val="28"/>
          <w14:textFill>
            <w14:solidFill>
              <w14:schemeClr w14:val="tx1"/>
            </w14:solidFill>
          </w14:textFill>
        </w:rPr>
        <w:t>第五部分附件</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rPr>
          <w:color w:val="000000" w:themeColor="text1"/>
          <w:sz w:val="72"/>
          <w:szCs w:val="72"/>
          <w14:textFill>
            <w14:solidFill>
              <w14:schemeClr w14:val="tx1"/>
            </w14:solidFill>
          </w14:textFill>
        </w:rPr>
      </w:pPr>
    </w:p>
    <w:p>
      <w:pPr>
        <w:pStyle w:val="11"/>
        <w:jc w:val="center"/>
        <w:rPr>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t>第一部分</w:t>
      </w:r>
      <w:r>
        <w:rPr>
          <w:color w:val="000000" w:themeColor="text1"/>
          <w:sz w:val="84"/>
          <w:szCs w:val="84"/>
          <w14:textFill>
            <w14:solidFill>
              <w14:schemeClr w14:val="tx1"/>
            </w14:solidFill>
          </w14:textFill>
        </w:rPr>
        <w:t xml:space="preserve"> </w:t>
      </w:r>
    </w:p>
    <w:p>
      <w:pPr>
        <w:pStyle w:val="11"/>
        <w:jc w:val="center"/>
        <w:rPr>
          <w:color w:val="000000" w:themeColor="text1"/>
          <w:sz w:val="84"/>
          <w:szCs w:val="84"/>
          <w14:textFill>
            <w14:solidFill>
              <w14:schemeClr w14:val="tx1"/>
            </w14:solidFill>
          </w14:textFill>
        </w:rPr>
      </w:pPr>
    </w:p>
    <w:p>
      <w:pPr>
        <w:pStyle w:val="11"/>
        <w:jc w:val="center"/>
        <w:rPr>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t>湖南省食品和工业产品生产许可审查中心概况</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pStyle w:val="12"/>
        <w:ind w:left="720" w:firstLine="0" w:firstLineChars="0"/>
        <w:jc w:val="left"/>
        <w:rPr>
          <w:rFonts w:ascii="黑体" w:hAnsi="黑体" w:eastAsia="黑体"/>
          <w:color w:val="000000" w:themeColor="text1"/>
          <w:sz w:val="32"/>
          <w:szCs w:val="32"/>
          <w14:textFill>
            <w14:solidFill>
              <w14:schemeClr w14:val="tx1"/>
            </w14:solidFill>
          </w14:textFill>
        </w:rPr>
      </w:pPr>
    </w:p>
    <w:p>
      <w:pPr>
        <w:pStyle w:val="12"/>
        <w:ind w:left="720" w:firstLine="0" w:firstLineChars="0"/>
        <w:jc w:val="left"/>
        <w:rPr>
          <w:rFonts w:ascii="黑体" w:hAnsi="黑体" w:eastAsia="黑体"/>
          <w:color w:val="000000" w:themeColor="text1"/>
          <w:sz w:val="32"/>
          <w:szCs w:val="32"/>
          <w14:textFill>
            <w14:solidFill>
              <w14:schemeClr w14:val="tx1"/>
            </w14:solidFill>
          </w14:textFill>
        </w:rPr>
      </w:pPr>
    </w:p>
    <w:p>
      <w:pPr>
        <w:pStyle w:val="12"/>
        <w:ind w:left="720" w:firstLine="0" w:firstLineChars="0"/>
        <w:jc w:val="left"/>
        <w:rPr>
          <w:rFonts w:ascii="黑体" w:hAnsi="黑体" w:eastAsia="黑体"/>
          <w:color w:val="000000" w:themeColor="text1"/>
          <w:sz w:val="32"/>
          <w:szCs w:val="32"/>
          <w14:textFill>
            <w14:solidFill>
              <w14:schemeClr w14:val="tx1"/>
            </w14:solidFill>
          </w14:textFill>
        </w:rPr>
      </w:pPr>
    </w:p>
    <w:p>
      <w:pPr>
        <w:pStyle w:val="12"/>
        <w:numPr>
          <w:ilvl w:val="0"/>
          <w:numId w:val="1"/>
        </w:numPr>
        <w:ind w:firstLineChars="0"/>
        <w:jc w:val="left"/>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部门职责</w:t>
      </w:r>
    </w:p>
    <w:p>
      <w:pPr>
        <w:widowControl/>
        <w:spacing w:line="600" w:lineRule="exact"/>
        <w:ind w:firstLine="480" w:firstLineChars="150"/>
        <w:rPr>
          <w:rFonts w:hint="eastAsia" w:asciiTheme="minorEastAsia" w:hAnsiTheme="minorEastAsia"/>
          <w:color w:val="000000" w:themeColor="text1"/>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湖南省食品和工业产品生产许可审查中心于2011年5月经湖南省机构编制委员会批准设立，是隶属于湖南省质量技术监督局的正处级全额拨款（公益一类）事业单位。中心主要负责组织开展全省食品相关产品和工业产品生产许可审查；组织实施全省检验检测机构资质认定、权限内计量标准器具核准、承担国家法定计量检定机构任务的授权、计量器具新产品型式批准等行政许可的审查；受省局委托承担全省食品相关产品监督检查及职责内行政许可的监督检查工作。</w:t>
      </w:r>
    </w:p>
    <w:p>
      <w:pPr>
        <w:widowControl/>
        <w:spacing w:line="600" w:lineRule="exact"/>
        <w:ind w:firstLine="320" w:firstLineChars="100"/>
        <w:rPr>
          <w:rFonts w:ascii="黑体" w:hAnsi="黑体" w:eastAsia="黑体"/>
          <w:bCs/>
          <w:color w:val="000000" w:themeColor="text1"/>
          <w:kern w:val="0"/>
          <w:sz w:val="32"/>
          <w:szCs w:val="32"/>
          <w14:textFill>
            <w14:solidFill>
              <w14:schemeClr w14:val="tx1"/>
            </w14:solidFill>
          </w14:textFill>
        </w:rPr>
      </w:pPr>
      <w:r>
        <w:rPr>
          <w:rFonts w:hint="eastAsia" w:ascii="黑体" w:hAnsi="黑体" w:eastAsia="黑体"/>
          <w:bCs/>
          <w:color w:val="000000" w:themeColor="text1"/>
          <w:kern w:val="0"/>
          <w:sz w:val="32"/>
          <w:szCs w:val="32"/>
          <w14:textFill>
            <w14:solidFill>
              <w14:schemeClr w14:val="tx1"/>
            </w14:solidFill>
          </w14:textFill>
        </w:rPr>
        <w:t>二、机构设置及决算单位构成</w:t>
      </w:r>
    </w:p>
    <w:p>
      <w:pPr>
        <w:widowControl/>
        <w:spacing w:line="600" w:lineRule="exact"/>
        <w:rPr>
          <w:rFonts w:hint="eastAsia"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（一）内设机构设置。</w:t>
      </w:r>
    </w:p>
    <w:p>
      <w:pPr>
        <w:widowControl/>
        <w:spacing w:line="600" w:lineRule="exact"/>
        <w:ind w:firstLine="640" w:firstLineChars="200"/>
        <w:rPr>
          <w:rFonts w:hint="eastAsia" w:asciiTheme="minorEastAsia" w:hAnsiTheme="minorEastAsia"/>
          <w:bCs/>
          <w:color w:val="000000" w:themeColor="text1"/>
          <w:kern w:val="0"/>
          <w:sz w:val="32"/>
          <w:szCs w:val="32"/>
          <w:lang w:val="en-US" w:eastAsia="zh-CN"/>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湖南省食品和工业产品生产许可审查中心内设机构包括：</w:t>
      </w:r>
      <w:r>
        <w:rPr>
          <w:rFonts w:hint="eastAsia" w:asciiTheme="minorEastAsia" w:hAnsiTheme="minorEastAsia"/>
          <w:bCs/>
          <w:color w:val="000000" w:themeColor="text1"/>
          <w:kern w:val="0"/>
          <w:sz w:val="32"/>
          <w:szCs w:val="32"/>
          <w:lang w:val="en-US" w:eastAsia="zh-CN"/>
          <w14:textFill>
            <w14:solidFill>
              <w14:schemeClr w14:val="tx1"/>
            </w14:solidFill>
          </w14:textFill>
        </w:rPr>
        <w:t>综合部、工业产品审查部、食品相关产品审查部、科研技术部。</w:t>
      </w:r>
    </w:p>
    <w:p>
      <w:pPr>
        <w:widowControl/>
        <w:numPr>
          <w:ilvl w:val="0"/>
          <w:numId w:val="2"/>
        </w:numPr>
        <w:spacing w:line="600" w:lineRule="exact"/>
        <w:rPr>
          <w:rFonts w:hint="eastAsia"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决算单位构成。</w:t>
      </w:r>
    </w:p>
    <w:p>
      <w:pPr>
        <w:widowControl/>
        <w:spacing w:line="600" w:lineRule="exact"/>
        <w:ind w:firstLine="640" w:firstLineChars="200"/>
        <w:rPr>
          <w:rFonts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lang w:val="en-US" w:eastAsia="zh-CN"/>
          <w14:textFill>
            <w14:solidFill>
              <w14:schemeClr w14:val="tx1"/>
            </w14:solidFill>
          </w14:textFill>
        </w:rPr>
        <w:t>本单位无下级预算单位，</w:t>
      </w:r>
      <w:r>
        <w:rPr>
          <w:rFonts w:hint="eastAsia" w:asciiTheme="minorEastAsia" w:hAnsiTheme="minorEastAsia"/>
          <w:bCs/>
          <w:color w:val="000000" w:themeColor="text1"/>
          <w:kern w:val="0"/>
          <w:sz w:val="32"/>
          <w:szCs w:val="32"/>
          <w:lang w:val="en-US" w:eastAsia="zh-CN"/>
          <w14:textFill>
            <w14:solidFill>
              <w14:schemeClr w14:val="tx1"/>
            </w14:solidFill>
          </w14:textFill>
        </w:rPr>
        <w:t>湖南省食品和工业产品生产许可审查中心2021年部门决算汇总公开单位构成包括：湖南省食品和工业产品生产许可审查中心本级。</w:t>
      </w:r>
    </w:p>
    <w:p>
      <w:pPr>
        <w:jc w:val="left"/>
        <w:rPr>
          <w:rFonts w:ascii="仿宋_GB2312" w:eastAsia="仿宋_GB2312" w:hAnsiTheme="minorEastAsia"/>
          <w:color w:val="000000" w:themeColor="text1"/>
          <w:sz w:val="28"/>
          <w:szCs w:val="32"/>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both"/>
        <w:rPr>
          <w:color w:val="000000" w:themeColor="text1"/>
          <w:sz w:val="72"/>
          <w:szCs w:val="72"/>
          <w14:textFill>
            <w14:solidFill>
              <w14:schemeClr w14:val="tx1"/>
            </w14:solidFill>
          </w14:textFill>
        </w:rPr>
      </w:pPr>
    </w:p>
    <w:p>
      <w:pPr>
        <w:jc w:val="both"/>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第二部分</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部门决算表</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left"/>
        <w:rPr>
          <w:color w:val="000000" w:themeColor="text1"/>
          <w:sz w:val="32"/>
          <w:szCs w:val="32"/>
          <w14:textFill>
            <w14:solidFill>
              <w14:schemeClr w14:val="tx1"/>
            </w14:solidFill>
          </w14:textFill>
        </w:rPr>
      </w:pPr>
    </w:p>
    <w:p>
      <w:pPr>
        <w:jc w:val="left"/>
        <w:rPr>
          <w:rFonts w:asciiTheme="minorEastAsia" w:hAnsiTheme="minorEastAsia"/>
          <w:color w:val="000000" w:themeColor="text1"/>
          <w:sz w:val="32"/>
          <w:szCs w:val="32"/>
          <w14:textFill>
            <w14:solidFill>
              <w14:schemeClr w14:val="tx1"/>
            </w14:solidFill>
          </w14:textFill>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部门：湖南省食品和工业产品生产许可审查中心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398.16</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356.43</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2"/>
                <w:lang w:val="en-US" w:eastAsia="zh-CN"/>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0.10</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八、卫生健康支出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九、住房保障支出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398.26</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392.77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21.54</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27.04</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419.80</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419.80</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hint="default" w:ascii="宋体" w:hAnsi="宋体" w:eastAsia="宋体" w:cs="宋体"/>
                <w:color w:val="000000" w:themeColor="text1"/>
                <w:kern w:val="0"/>
                <w:sz w:val="24"/>
                <w:szCs w:val="24"/>
                <w:lang w:val="en-US"/>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注：1.本表反映部门本年度的总收支和年末结转结余情况。</w:t>
            </w:r>
          </w:p>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 2.本套报表金额单位转换时可能存在尾数误差。</w:t>
            </w:r>
          </w:p>
        </w:tc>
      </w:tr>
    </w:tbl>
    <w:p>
      <w:pPr>
        <w:jc w:val="center"/>
        <w:rPr>
          <w:rFonts w:ascii="黑体" w:hAnsi="黑体" w:eastAsia="黑体"/>
          <w:color w:val="000000" w:themeColor="text1"/>
          <w:sz w:val="28"/>
          <w:szCs w:val="28"/>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p>
    <w:tbl>
      <w:tblPr>
        <w:tblStyle w:val="6"/>
        <w:tblW w:w="14820" w:type="dxa"/>
        <w:tblInd w:w="0" w:type="dxa"/>
        <w:tblLayout w:type="fixed"/>
        <w:tblCellMar>
          <w:top w:w="0" w:type="dxa"/>
          <w:left w:w="0" w:type="dxa"/>
          <w:bottom w:w="0" w:type="dxa"/>
          <w:right w:w="0" w:type="dxa"/>
        </w:tblCellMar>
      </w:tblPr>
      <w:tblGrid>
        <w:gridCol w:w="49"/>
        <w:gridCol w:w="848"/>
        <w:gridCol w:w="302"/>
        <w:gridCol w:w="43"/>
        <w:gridCol w:w="1965"/>
        <w:gridCol w:w="517"/>
        <w:gridCol w:w="8"/>
        <w:gridCol w:w="525"/>
        <w:gridCol w:w="795"/>
        <w:gridCol w:w="235"/>
        <w:gridCol w:w="680"/>
        <w:gridCol w:w="1018"/>
        <w:gridCol w:w="587"/>
        <w:gridCol w:w="240"/>
        <w:gridCol w:w="375"/>
        <w:gridCol w:w="240"/>
        <w:gridCol w:w="331"/>
        <w:gridCol w:w="389"/>
        <w:gridCol w:w="690"/>
        <w:gridCol w:w="379"/>
        <w:gridCol w:w="716"/>
        <w:gridCol w:w="495"/>
        <w:gridCol w:w="322"/>
        <w:gridCol w:w="593"/>
        <w:gridCol w:w="840"/>
        <w:gridCol w:w="420"/>
        <w:gridCol w:w="1158"/>
        <w:gridCol w:w="12"/>
        <w:gridCol w:w="48"/>
      </w:tblGrid>
      <w:tr>
        <w:tblPrEx>
          <w:tblCellMar>
            <w:top w:w="0" w:type="dxa"/>
            <w:left w:w="0" w:type="dxa"/>
            <w:bottom w:w="0" w:type="dxa"/>
            <w:right w:w="0" w:type="dxa"/>
          </w:tblCellMar>
        </w:tblPrEx>
        <w:trPr>
          <w:trHeight w:val="700" w:hRule="atLeast"/>
        </w:trPr>
        <w:tc>
          <w:tcPr>
            <w:tcW w:w="14820" w:type="dxa"/>
            <w:gridSpan w:val="29"/>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themeColor="text1"/>
                <w:sz w:val="32"/>
                <w:szCs w:val="32"/>
                <w14:textFill>
                  <w14:solidFill>
                    <w14:schemeClr w14:val="tx1"/>
                  </w14:solidFill>
                </w14:textFill>
              </w:rPr>
            </w:pPr>
            <w:r>
              <w:rPr>
                <w:rFonts w:hint="eastAsia" w:ascii="华文中宋" w:hAnsi="华文中宋" w:eastAsia="华文中宋"/>
                <w:color w:val="000000" w:themeColor="text1"/>
                <w:sz w:val="32"/>
                <w:szCs w:val="32"/>
                <w14:textFill>
                  <w14:solidFill>
                    <w14:schemeClr w14:val="tx1"/>
                  </w14:solidFill>
                </w14:textFill>
              </w:rPr>
              <w:t>收入决算表</w:t>
            </w:r>
          </w:p>
        </w:tc>
      </w:tr>
      <w:tr>
        <w:tblPrEx>
          <w:tblCellMar>
            <w:top w:w="0" w:type="dxa"/>
            <w:left w:w="0" w:type="dxa"/>
            <w:bottom w:w="0" w:type="dxa"/>
            <w:right w:w="0" w:type="dxa"/>
          </w:tblCellMar>
        </w:tblPrEx>
        <w:trPr>
          <w:trHeight w:val="365" w:hRule="atLeast"/>
        </w:trPr>
        <w:tc>
          <w:tcPr>
            <w:tcW w:w="4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150"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2525"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563" w:type="dxa"/>
            <w:gridSpan w:val="4"/>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6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773" w:type="dxa"/>
            <w:gridSpan w:val="5"/>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45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533"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853"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2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公开02表</w:t>
            </w:r>
          </w:p>
        </w:tc>
      </w:tr>
      <w:tr>
        <w:tblPrEx>
          <w:tblCellMar>
            <w:top w:w="0" w:type="dxa"/>
            <w:left w:w="0" w:type="dxa"/>
            <w:bottom w:w="0" w:type="dxa"/>
            <w:right w:w="0" w:type="dxa"/>
          </w:tblCellMar>
        </w:tblPrEx>
        <w:trPr>
          <w:trHeight w:val="365" w:hRule="atLeast"/>
        </w:trPr>
        <w:tc>
          <w:tcPr>
            <w:tcW w:w="5287" w:type="dxa"/>
            <w:gridSpan w:val="10"/>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themeColor="text1"/>
                <w:sz w:val="24"/>
                <w:szCs w:val="24"/>
                <w14:textFill>
                  <w14:solidFill>
                    <w14:schemeClr w14:val="tx1"/>
                  </w14:solidFill>
                </w14:textFill>
              </w:rPr>
            </w:pPr>
            <w:r>
              <w:rPr>
                <w:rFonts w:hint="eastAsia"/>
                <w:color w:val="000000" w:themeColor="text1"/>
                <w:sz w:val="20"/>
                <w:szCs w:val="20"/>
                <w14:textFill>
                  <w14:solidFill>
                    <w14:schemeClr w14:val="tx1"/>
                  </w14:solidFill>
                </w14:textFill>
              </w:rPr>
              <w:t>部门：湖南省食品和工业产品生产许可审查中心</w:t>
            </w:r>
          </w:p>
        </w:tc>
        <w:tc>
          <w:tcPr>
            <w:tcW w:w="1698"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773" w:type="dxa"/>
            <w:gridSpan w:val="5"/>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　</w:t>
            </w:r>
          </w:p>
        </w:tc>
        <w:tc>
          <w:tcPr>
            <w:tcW w:w="145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533"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853"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218" w:type="dxa"/>
            <w:gridSpan w:val="3"/>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单位：万元</w:t>
            </w:r>
          </w:p>
        </w:tc>
      </w:tr>
      <w:tr>
        <w:tblPrEx>
          <w:tblCellMar>
            <w:top w:w="0" w:type="dxa"/>
            <w:left w:w="0" w:type="dxa"/>
            <w:bottom w:w="0" w:type="dxa"/>
            <w:right w:w="0" w:type="dxa"/>
          </w:tblCellMar>
        </w:tblPrEx>
        <w:trPr>
          <w:trHeight w:val="387" w:hRule="atLeast"/>
        </w:trPr>
        <w:tc>
          <w:tcPr>
            <w:tcW w:w="3724" w:type="dxa"/>
            <w:gridSpan w:val="6"/>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项    目</w:t>
            </w:r>
          </w:p>
        </w:tc>
        <w:tc>
          <w:tcPr>
            <w:tcW w:w="1563" w:type="dxa"/>
            <w:gridSpan w:val="4"/>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本年收入合计</w:t>
            </w:r>
          </w:p>
        </w:tc>
        <w:tc>
          <w:tcPr>
            <w:tcW w:w="1698" w:type="dxa"/>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财政拨款收入</w:t>
            </w:r>
          </w:p>
        </w:tc>
        <w:tc>
          <w:tcPr>
            <w:tcW w:w="1773" w:type="dxa"/>
            <w:gridSpan w:val="5"/>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上级补助收入</w:t>
            </w:r>
          </w:p>
        </w:tc>
        <w:tc>
          <w:tcPr>
            <w:tcW w:w="1458"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事业收入</w:t>
            </w:r>
          </w:p>
        </w:tc>
        <w:tc>
          <w:tcPr>
            <w:tcW w:w="1533"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经营收入</w:t>
            </w:r>
          </w:p>
        </w:tc>
        <w:tc>
          <w:tcPr>
            <w:tcW w:w="1853"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附属单位上缴收入</w:t>
            </w:r>
          </w:p>
        </w:tc>
        <w:tc>
          <w:tcPr>
            <w:tcW w:w="1218"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其他收入</w:t>
            </w:r>
          </w:p>
        </w:tc>
      </w:tr>
      <w:tr>
        <w:tblPrEx>
          <w:tblCellMar>
            <w:top w:w="0" w:type="dxa"/>
            <w:left w:w="0" w:type="dxa"/>
            <w:bottom w:w="0" w:type="dxa"/>
            <w:right w:w="0" w:type="dxa"/>
          </w:tblCellMar>
        </w:tblPrEx>
        <w:trPr>
          <w:trHeight w:val="387" w:hRule="atLeast"/>
        </w:trPr>
        <w:tc>
          <w:tcPr>
            <w:tcW w:w="1199" w:type="dxa"/>
            <w:gridSpan w:val="3"/>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功能分类科目编码</w:t>
            </w:r>
          </w:p>
        </w:tc>
        <w:tc>
          <w:tcPr>
            <w:tcW w:w="2525" w:type="dxa"/>
            <w:gridSpan w:val="3"/>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科目名称</w:t>
            </w:r>
          </w:p>
        </w:tc>
        <w:tc>
          <w:tcPr>
            <w:tcW w:w="1563"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773" w:type="dxa"/>
            <w:gridSpan w:val="5"/>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45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533"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853"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2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355" w:hRule="atLeast"/>
        </w:trPr>
        <w:tc>
          <w:tcPr>
            <w:tcW w:w="1199"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2525" w:type="dxa"/>
            <w:gridSpan w:val="3"/>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563" w:type="dxa"/>
            <w:gridSpan w:val="4"/>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698"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773" w:type="dxa"/>
            <w:gridSpan w:val="5"/>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45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533"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853"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218" w:type="dxa"/>
            <w:gridSpan w:val="3"/>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387" w:hRule="atLeast"/>
        </w:trPr>
        <w:tc>
          <w:tcPr>
            <w:tcW w:w="3724" w:type="dxa"/>
            <w:gridSpan w:val="6"/>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栏次</w:t>
            </w:r>
          </w:p>
        </w:tc>
        <w:tc>
          <w:tcPr>
            <w:tcW w:w="1563" w:type="dxa"/>
            <w:gridSpan w:val="4"/>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1</w:t>
            </w:r>
          </w:p>
        </w:tc>
        <w:tc>
          <w:tcPr>
            <w:tcW w:w="1698" w:type="dxa"/>
            <w:gridSpan w:val="2"/>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2</w:t>
            </w:r>
          </w:p>
        </w:tc>
        <w:tc>
          <w:tcPr>
            <w:tcW w:w="1773" w:type="dxa"/>
            <w:gridSpan w:val="5"/>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3</w:t>
            </w:r>
          </w:p>
        </w:tc>
        <w:tc>
          <w:tcPr>
            <w:tcW w:w="1458"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4</w:t>
            </w:r>
          </w:p>
        </w:tc>
        <w:tc>
          <w:tcPr>
            <w:tcW w:w="1533"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5</w:t>
            </w:r>
          </w:p>
        </w:tc>
        <w:tc>
          <w:tcPr>
            <w:tcW w:w="1853"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6</w:t>
            </w:r>
          </w:p>
        </w:tc>
        <w:tc>
          <w:tcPr>
            <w:tcW w:w="1218"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7</w:t>
            </w:r>
          </w:p>
        </w:tc>
      </w:tr>
      <w:tr>
        <w:tblPrEx>
          <w:tblCellMar>
            <w:top w:w="0" w:type="dxa"/>
            <w:left w:w="0" w:type="dxa"/>
            <w:bottom w:w="0" w:type="dxa"/>
            <w:right w:w="0" w:type="dxa"/>
          </w:tblCellMar>
        </w:tblPrEx>
        <w:trPr>
          <w:trHeight w:val="387" w:hRule="atLeast"/>
        </w:trPr>
        <w:tc>
          <w:tcPr>
            <w:tcW w:w="3724" w:type="dxa"/>
            <w:gridSpan w:val="6"/>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合计</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398.26</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398.16</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0.10</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354.86</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354.76</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0.10</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354.86</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354.76</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0.10</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2013804</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市场主体管理</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135.00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135.00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2013815</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质量安全监管</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30.00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30.00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189.86</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189.76</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0.10</w:t>
            </w:r>
          </w:p>
        </w:tc>
      </w:tr>
      <w:tr>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rPr>
          <w:trHeight w:val="721"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机关事业单位基本养老保险缴费支出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事业单位医疗</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10.00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17.40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17.40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17.40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17.40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2210201</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住房公积金</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13.50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b w:val="0"/>
                <w:bCs w:val="0"/>
                <w:color w:val="000000" w:themeColor="text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13.50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rPr>
          <w:trHeight w:val="387" w:hRule="atLeast"/>
        </w:trPr>
        <w:tc>
          <w:tcPr>
            <w:tcW w:w="119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2210203</w:t>
            </w:r>
          </w:p>
        </w:tc>
        <w:tc>
          <w:tcPr>
            <w:tcW w:w="2525" w:type="dxa"/>
            <w:gridSpan w:val="3"/>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left"/>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购房补贴</w:t>
            </w:r>
          </w:p>
        </w:tc>
        <w:tc>
          <w:tcPr>
            <w:tcW w:w="1563" w:type="dxa"/>
            <w:gridSpan w:val="4"/>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3.90</w:t>
            </w:r>
          </w:p>
        </w:tc>
        <w:tc>
          <w:tcPr>
            <w:tcW w:w="1698" w:type="dxa"/>
            <w:gridSpan w:val="2"/>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3.90</w:t>
            </w:r>
          </w:p>
        </w:tc>
        <w:tc>
          <w:tcPr>
            <w:tcW w:w="1773" w:type="dxa"/>
            <w:gridSpan w:val="5"/>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45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53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853"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c>
          <w:tcPr>
            <w:tcW w:w="1218" w:type="dxa"/>
            <w:gridSpan w:val="3"/>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　</w:t>
            </w:r>
          </w:p>
        </w:tc>
      </w:tr>
      <w:tr>
        <w:tblPrEx>
          <w:tblCellMar>
            <w:top w:w="0" w:type="dxa"/>
            <w:left w:w="0" w:type="dxa"/>
            <w:bottom w:w="0" w:type="dxa"/>
            <w:right w:w="0" w:type="dxa"/>
          </w:tblCellMar>
        </w:tblPrEx>
        <w:trPr>
          <w:trHeight w:val="365" w:hRule="atLeast"/>
        </w:trPr>
        <w:tc>
          <w:tcPr>
            <w:tcW w:w="14820" w:type="dxa"/>
            <w:gridSpan w:val="29"/>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注：本表反映部门本年度取得的各项收入情况。</w:t>
            </w:r>
          </w:p>
        </w:tc>
      </w:tr>
      <w:tr>
        <w:tblPrEx>
          <w:tblCellMar>
            <w:top w:w="0" w:type="dxa"/>
            <w:left w:w="108" w:type="dxa"/>
            <w:bottom w:w="0" w:type="dxa"/>
            <w:right w:w="108" w:type="dxa"/>
          </w:tblCellMar>
        </w:tblPrEx>
        <w:trPr>
          <w:gridAfter w:val="2"/>
          <w:wAfter w:w="60" w:type="dxa"/>
          <w:trHeight w:val="518" w:hRule="atLeast"/>
        </w:trPr>
        <w:tc>
          <w:tcPr>
            <w:tcW w:w="14760" w:type="dxa"/>
            <w:gridSpan w:val="27"/>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支出决算表</w:t>
            </w:r>
          </w:p>
        </w:tc>
      </w:tr>
      <w:tr>
        <w:tblPrEx>
          <w:tblCellMar>
            <w:top w:w="0" w:type="dxa"/>
            <w:left w:w="108" w:type="dxa"/>
            <w:bottom w:w="0" w:type="dxa"/>
            <w:right w:w="108" w:type="dxa"/>
          </w:tblCellMar>
        </w:tblPrEx>
        <w:trPr>
          <w:gridAfter w:val="2"/>
          <w:wAfter w:w="60" w:type="dxa"/>
          <w:trHeight w:val="259" w:hRule="atLeast"/>
        </w:trPr>
        <w:tc>
          <w:tcPr>
            <w:tcW w:w="8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4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015" w:type="dxa"/>
            <w:gridSpan w:val="4"/>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60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5"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8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4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1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公开03表</w:t>
            </w:r>
          </w:p>
        </w:tc>
      </w:tr>
      <w:tr>
        <w:tblPrEx>
          <w:tblCellMar>
            <w:top w:w="0" w:type="dxa"/>
            <w:left w:w="108" w:type="dxa"/>
            <w:bottom w:w="0" w:type="dxa"/>
            <w:right w:w="108" w:type="dxa"/>
          </w:tblCellMar>
        </w:tblPrEx>
        <w:trPr>
          <w:gridAfter w:val="2"/>
          <w:wAfter w:w="60" w:type="dxa"/>
          <w:trHeight w:val="259" w:hRule="atLeast"/>
        </w:trPr>
        <w:tc>
          <w:tcPr>
            <w:tcW w:w="897" w:type="dxa"/>
            <w:gridSpan w:val="2"/>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w:t>
            </w:r>
          </w:p>
        </w:tc>
        <w:tc>
          <w:tcPr>
            <w:tcW w:w="6675" w:type="dxa"/>
            <w:gridSpan w:val="11"/>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sz w:val="20"/>
                <w:szCs w:val="20"/>
                <w14:textFill>
                  <w14:solidFill>
                    <w14:schemeClr w14:val="tx1"/>
                  </w14:solidFill>
                </w14:textFill>
              </w:rPr>
              <w:t>湖南省食品和工业产品生产许可审查中心</w:t>
            </w:r>
            <w:r>
              <w:rPr>
                <w:rFonts w:hint="eastAsia" w:ascii="宋体" w:hAnsi="宋体" w:eastAsia="宋体" w:cs="宋体"/>
                <w:color w:val="000000" w:themeColor="text1"/>
                <w:kern w:val="0"/>
                <w:sz w:val="24"/>
                <w:szCs w:val="24"/>
                <w14:textFill>
                  <w14:solidFill>
                    <w14:schemeClr w14:val="tx1"/>
                  </w14:solidFill>
                </w14:textFill>
              </w:rPr>
              <w:t>　　　</w:t>
            </w:r>
          </w:p>
        </w:tc>
        <w:tc>
          <w:tcPr>
            <w:tcW w:w="1575" w:type="dxa"/>
            <w:gridSpan w:val="5"/>
            <w:tcBorders>
              <w:top w:val="nil"/>
              <w:left w:val="nil"/>
              <w:bottom w:val="nil"/>
              <w:right w:val="nil"/>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178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4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18"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gridAfter w:val="2"/>
          <w:wAfter w:w="60" w:type="dxa"/>
          <w:trHeight w:val="387" w:hRule="atLeast"/>
        </w:trPr>
        <w:tc>
          <w:tcPr>
            <w:tcW w:w="4257" w:type="dxa"/>
            <w:gridSpan w:val="8"/>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171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本年支出合计</w:t>
            </w:r>
          </w:p>
        </w:tc>
        <w:tc>
          <w:tcPr>
            <w:tcW w:w="1605"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基本支出</w:t>
            </w:r>
          </w:p>
        </w:tc>
        <w:tc>
          <w:tcPr>
            <w:tcW w:w="1575" w:type="dxa"/>
            <w:gridSpan w:val="5"/>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项目支出</w:t>
            </w:r>
          </w:p>
        </w:tc>
        <w:tc>
          <w:tcPr>
            <w:tcW w:w="1785"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上缴上级支出</w:t>
            </w:r>
          </w:p>
        </w:tc>
        <w:tc>
          <w:tcPr>
            <w:tcW w:w="1410"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经营支出</w:t>
            </w:r>
          </w:p>
        </w:tc>
        <w:tc>
          <w:tcPr>
            <w:tcW w:w="2418" w:type="dxa"/>
            <w:gridSpan w:val="3"/>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对附属单位补助支出</w:t>
            </w:r>
          </w:p>
        </w:tc>
      </w:tr>
      <w:tr>
        <w:tblPrEx>
          <w:tblCellMar>
            <w:top w:w="0" w:type="dxa"/>
            <w:left w:w="108" w:type="dxa"/>
            <w:bottom w:w="0" w:type="dxa"/>
            <w:right w:w="108" w:type="dxa"/>
          </w:tblCellMar>
        </w:tblPrEx>
        <w:trPr>
          <w:gridAfter w:val="2"/>
          <w:wAfter w:w="60" w:type="dxa"/>
          <w:trHeight w:val="387" w:hRule="atLeast"/>
        </w:trPr>
        <w:tc>
          <w:tcPr>
            <w:tcW w:w="1242" w:type="dxa"/>
            <w:gridSpan w:val="4"/>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功能分类科目编码</w:t>
            </w:r>
          </w:p>
        </w:tc>
        <w:tc>
          <w:tcPr>
            <w:tcW w:w="3015" w:type="dxa"/>
            <w:gridSpan w:val="4"/>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科目名称</w:t>
            </w:r>
          </w:p>
        </w:tc>
        <w:tc>
          <w:tcPr>
            <w:tcW w:w="17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6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575"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78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4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41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gridAfter w:val="2"/>
          <w:wAfter w:w="60" w:type="dxa"/>
          <w:trHeight w:val="387" w:hRule="atLeast"/>
        </w:trPr>
        <w:tc>
          <w:tcPr>
            <w:tcW w:w="1242" w:type="dxa"/>
            <w:gridSpan w:val="4"/>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015"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7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6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575"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78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41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41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gridAfter w:val="2"/>
          <w:wAfter w:w="60" w:type="dxa"/>
          <w:trHeight w:val="387" w:hRule="atLeast"/>
        </w:trPr>
        <w:tc>
          <w:tcPr>
            <w:tcW w:w="4257" w:type="dxa"/>
            <w:gridSpan w:val="8"/>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栏次</w:t>
            </w:r>
          </w:p>
        </w:tc>
        <w:tc>
          <w:tcPr>
            <w:tcW w:w="171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160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1575" w:type="dxa"/>
            <w:gridSpan w:val="5"/>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c>
          <w:tcPr>
            <w:tcW w:w="1785"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p>
        </w:tc>
        <w:tc>
          <w:tcPr>
            <w:tcW w:w="1410"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w:t>
            </w:r>
          </w:p>
        </w:tc>
        <w:tc>
          <w:tcPr>
            <w:tcW w:w="241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w:t>
            </w:r>
          </w:p>
        </w:tc>
      </w:tr>
      <w:tr>
        <w:tblPrEx>
          <w:tblCellMar>
            <w:top w:w="0" w:type="dxa"/>
            <w:left w:w="108" w:type="dxa"/>
            <w:bottom w:w="0" w:type="dxa"/>
            <w:right w:w="108" w:type="dxa"/>
          </w:tblCellMar>
        </w:tblPrEx>
        <w:trPr>
          <w:gridAfter w:val="2"/>
          <w:wAfter w:w="60" w:type="dxa"/>
          <w:trHeight w:val="387" w:hRule="atLeast"/>
        </w:trPr>
        <w:tc>
          <w:tcPr>
            <w:tcW w:w="4257" w:type="dxa"/>
            <w:gridSpan w:val="8"/>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392.77</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228.36</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164.41</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356.43</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192.02</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164.41</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356.43</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192.02</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164.41</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2013804</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市场主体管理</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130.45</w:t>
            </w:r>
          </w:p>
        </w:tc>
        <w:tc>
          <w:tcPr>
            <w:tcW w:w="1605" w:type="dxa"/>
            <w:gridSpan w:val="2"/>
            <w:tcBorders>
              <w:top w:val="nil"/>
              <w:left w:val="nil"/>
              <w:bottom w:val="single" w:color="auto" w:sz="4" w:space="0"/>
              <w:right w:val="single" w:color="auto" w:sz="4" w:space="0"/>
            </w:tcBorders>
            <w:shd w:val="clear" w:color="auto" w:fill="auto"/>
            <w:noWrap/>
            <w:vAlign w:val="center"/>
          </w:tcPr>
          <w:p>
            <w:pPr>
              <w:jc w:val="center"/>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130.45</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2013815</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质量安全监管</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29.96</w:t>
            </w:r>
          </w:p>
        </w:tc>
        <w:tc>
          <w:tcPr>
            <w:tcW w:w="1605" w:type="dxa"/>
            <w:gridSpan w:val="2"/>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29.96</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196.02</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192.02</w:t>
            </w:r>
          </w:p>
        </w:tc>
        <w:tc>
          <w:tcPr>
            <w:tcW w:w="1575"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pPr>
            <w:r>
              <w:rPr>
                <w:rFonts w:hint="eastAsia" w:ascii="宋体" w:hAnsi="宋体" w:eastAsia="宋体" w:cs="宋体"/>
                <w:b w:val="0"/>
                <w:bCs w:val="0"/>
                <w:color w:val="000000" w:themeColor="text1"/>
                <w:kern w:val="0"/>
                <w:sz w:val="24"/>
                <w:szCs w:val="24"/>
                <w:lang w:val="en-US" w:eastAsia="zh-CN"/>
                <w14:textFill>
                  <w14:solidFill>
                    <w14:schemeClr w14:val="tx1"/>
                  </w14:solidFill>
                </w14:textFill>
              </w:rPr>
              <w:t>4.00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机关事业单位基本养老保险缴费支出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事业单位医疗</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2210201</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住房公积金</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13.01</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13.01</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387" w:hRule="atLeast"/>
        </w:trPr>
        <w:tc>
          <w:tcPr>
            <w:tcW w:w="1242"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2210203</w:t>
            </w:r>
          </w:p>
        </w:tc>
        <w:tc>
          <w:tcPr>
            <w:tcW w:w="3015" w:type="dxa"/>
            <w:gridSpan w:val="4"/>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购房补贴</w:t>
            </w:r>
          </w:p>
        </w:tc>
        <w:tc>
          <w:tcPr>
            <w:tcW w:w="17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3.90</w:t>
            </w:r>
          </w:p>
        </w:tc>
        <w:tc>
          <w:tcPr>
            <w:tcW w:w="1605"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3.90</w:t>
            </w:r>
          </w:p>
        </w:tc>
        <w:tc>
          <w:tcPr>
            <w:tcW w:w="1575" w:type="dxa"/>
            <w:gridSpan w:val="5"/>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b w:val="0"/>
                <w:bCs w:val="0"/>
                <w:color w:val="000000" w:themeColor="text1"/>
                <w:kern w:val="0"/>
                <w:sz w:val="24"/>
                <w:szCs w:val="24"/>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78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c>
          <w:tcPr>
            <w:tcW w:w="241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0.00</w:t>
            </w:r>
          </w:p>
        </w:tc>
      </w:tr>
      <w:tr>
        <w:tblPrEx>
          <w:tblCellMar>
            <w:top w:w="0" w:type="dxa"/>
            <w:left w:w="108" w:type="dxa"/>
            <w:bottom w:w="0" w:type="dxa"/>
            <w:right w:w="108" w:type="dxa"/>
          </w:tblCellMar>
        </w:tblPrEx>
        <w:trPr>
          <w:gridAfter w:val="2"/>
          <w:wAfter w:w="60" w:type="dxa"/>
          <w:trHeight w:val="534" w:hRule="atLeast"/>
        </w:trPr>
        <w:tc>
          <w:tcPr>
            <w:tcW w:w="14760" w:type="dxa"/>
            <w:gridSpan w:val="27"/>
            <w:tcBorders>
              <w:top w:val="nil"/>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注：本表反映部门本年度各项支出情况。</w:t>
            </w:r>
          </w:p>
        </w:tc>
      </w:tr>
      <w:tr>
        <w:tblPrEx>
          <w:tblCellMar>
            <w:top w:w="0" w:type="dxa"/>
            <w:left w:w="108" w:type="dxa"/>
            <w:bottom w:w="0" w:type="dxa"/>
            <w:right w:w="108" w:type="dxa"/>
          </w:tblCellMar>
        </w:tblPrEx>
        <w:trPr>
          <w:gridAfter w:val="1"/>
          <w:wAfter w:w="48" w:type="dxa"/>
          <w:trHeight w:val="285" w:hRule="atLeast"/>
        </w:trPr>
        <w:tc>
          <w:tcPr>
            <w:tcW w:w="3207" w:type="dxa"/>
            <w:gridSpan w:val="5"/>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24"/>
                <w:szCs w:val="24"/>
                <w14:textFill>
                  <w14:solidFill>
                    <w14:schemeClr w14:val="tx1"/>
                  </w14:solidFill>
                </w14:textFill>
              </w:rPr>
            </w:pPr>
            <w:bookmarkStart w:id="0" w:name="RANGE!A1:I22"/>
            <w:bookmarkEnd w:id="0"/>
            <w:bookmarkStart w:id="1" w:name="RANGE!A1:F16"/>
          </w:p>
        </w:tc>
        <w:tc>
          <w:tcPr>
            <w:tcW w:w="525"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2235" w:type="dxa"/>
            <w:gridSpan w:val="4"/>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2220" w:type="dxa"/>
            <w:gridSpan w:val="4"/>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240"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410" w:type="dxa"/>
            <w:gridSpan w:val="3"/>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590" w:type="dxa"/>
            <w:gridSpan w:val="3"/>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755" w:type="dxa"/>
            <w:gridSpan w:val="3"/>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590" w:type="dxa"/>
            <w:gridSpan w:val="3"/>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gridAfter w:val="1"/>
          <w:wAfter w:w="48" w:type="dxa"/>
          <w:trHeight w:val="360" w:hRule="atLeast"/>
        </w:trPr>
        <w:tc>
          <w:tcPr>
            <w:tcW w:w="14772" w:type="dxa"/>
            <w:gridSpan w:val="28"/>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财政拨款收入支出决算总表</w:t>
            </w:r>
          </w:p>
        </w:tc>
      </w:tr>
      <w:tr>
        <w:tblPrEx>
          <w:tblCellMar>
            <w:top w:w="0" w:type="dxa"/>
            <w:left w:w="108" w:type="dxa"/>
            <w:bottom w:w="0" w:type="dxa"/>
            <w:right w:w="108" w:type="dxa"/>
          </w:tblCellMar>
        </w:tblPrEx>
        <w:trPr>
          <w:gridAfter w:val="1"/>
          <w:wAfter w:w="48" w:type="dxa"/>
          <w:trHeight w:val="199" w:hRule="atLeast"/>
        </w:trPr>
        <w:tc>
          <w:tcPr>
            <w:tcW w:w="3207" w:type="dxa"/>
            <w:gridSpan w:val="5"/>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525"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2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135" w:type="dxa"/>
            <w:gridSpan w:val="6"/>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4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9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5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9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公开04表</w:t>
            </w:r>
          </w:p>
        </w:tc>
      </w:tr>
      <w:tr>
        <w:tblPrEx>
          <w:tblCellMar>
            <w:top w:w="0" w:type="dxa"/>
            <w:left w:w="108" w:type="dxa"/>
            <w:bottom w:w="0" w:type="dxa"/>
            <w:right w:w="108" w:type="dxa"/>
          </w:tblCellMar>
        </w:tblPrEx>
        <w:trPr>
          <w:gridAfter w:val="1"/>
          <w:wAfter w:w="48" w:type="dxa"/>
          <w:trHeight w:val="300" w:hRule="atLeast"/>
        </w:trPr>
        <w:tc>
          <w:tcPr>
            <w:tcW w:w="8187" w:type="dxa"/>
            <w:gridSpan w:val="15"/>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部门：湖南省食品和工业产品生产许可审查中心　　　</w:t>
            </w:r>
            <w:r>
              <w:rPr>
                <w:rFonts w:hint="eastAsia" w:ascii="宋体" w:hAnsi="宋体" w:eastAsia="宋体" w:cs="宋体"/>
                <w:color w:val="000000" w:themeColor="text1"/>
                <w:kern w:val="0"/>
                <w:sz w:val="24"/>
                <w:szCs w:val="24"/>
                <w14:textFill>
                  <w14:solidFill>
                    <w14:schemeClr w14:val="tx1"/>
                  </w14:solidFill>
                </w14:textFill>
              </w:rPr>
              <w:t>　　</w:t>
            </w:r>
          </w:p>
        </w:tc>
        <w:tc>
          <w:tcPr>
            <w:tcW w:w="24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41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9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55"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90"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gridAfter w:val="1"/>
          <w:wAfter w:w="48" w:type="dxa"/>
          <w:trHeight w:val="402" w:hRule="atLeast"/>
        </w:trPr>
        <w:tc>
          <w:tcPr>
            <w:tcW w:w="5052" w:type="dxa"/>
            <w:gridSpan w:val="9"/>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收入</w:t>
            </w:r>
          </w:p>
        </w:tc>
        <w:tc>
          <w:tcPr>
            <w:tcW w:w="9720" w:type="dxa"/>
            <w:gridSpan w:val="19"/>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支出</w:t>
            </w:r>
          </w:p>
        </w:tc>
      </w:tr>
      <w:tr>
        <w:tblPrEx>
          <w:tblCellMar>
            <w:top w:w="0" w:type="dxa"/>
            <w:left w:w="108" w:type="dxa"/>
            <w:bottom w:w="0" w:type="dxa"/>
            <w:right w:w="108" w:type="dxa"/>
          </w:tblCellMar>
        </w:tblPrEx>
        <w:trPr>
          <w:gridAfter w:val="1"/>
          <w:wAfter w:w="48" w:type="dxa"/>
          <w:trHeight w:val="630"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金额</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159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一般公共预算财政拨款</w:t>
            </w:r>
          </w:p>
        </w:tc>
        <w:tc>
          <w:tcPr>
            <w:tcW w:w="1755"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政府性基金预算财政拨款</w:t>
            </w:r>
          </w:p>
        </w:tc>
        <w:tc>
          <w:tcPr>
            <w:tcW w:w="1590"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国有资本经营预算财政拨款</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1</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w:t>
            </w:r>
          </w:p>
        </w:tc>
        <w:tc>
          <w:tcPr>
            <w:tcW w:w="132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398.16</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一、一般公共服务支出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15</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356.33</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356.33</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二、政府性基金预算财政拨款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 w:val="22"/>
                <w:lang w:val="en-US" w:eastAsia="zh-CN"/>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二、外交支出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16</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三、国有资本经营预算财政拨款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三、国防支出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17</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4</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四、公共安全支出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18</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5</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五、教育支出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19</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6</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2760" w:type="dxa"/>
            <w:gridSpan w:val="5"/>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六、社会保障和就业支出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20</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7</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2760" w:type="dxa"/>
            <w:gridSpan w:val="5"/>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七、卫生健康支出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21</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8</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2760" w:type="dxa"/>
            <w:gridSpan w:val="5"/>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八、住房保障支出</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22</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16.91</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本年收入合计</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9</w:t>
            </w:r>
          </w:p>
        </w:tc>
        <w:tc>
          <w:tcPr>
            <w:tcW w:w="132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398.16</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本年支出合计</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23</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392.67</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392.67</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年初财政拨款结转和结余</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10</w:t>
            </w:r>
          </w:p>
        </w:tc>
        <w:tc>
          <w:tcPr>
            <w:tcW w:w="132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21.54</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年末财政拨款结转和结余</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24</w:t>
            </w:r>
          </w:p>
        </w:tc>
        <w:tc>
          <w:tcPr>
            <w:tcW w:w="141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27.04</w:t>
            </w:r>
          </w:p>
        </w:tc>
        <w:tc>
          <w:tcPr>
            <w:tcW w:w="1590"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27.04</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一般公共预算财政拨款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11</w:t>
            </w:r>
          </w:p>
        </w:tc>
        <w:tc>
          <w:tcPr>
            <w:tcW w:w="132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21.54</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25</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政府性基金预算财政拨款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12</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26</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国有资本经营预算财政拨款</w:t>
            </w:r>
          </w:p>
        </w:tc>
        <w:tc>
          <w:tcPr>
            <w:tcW w:w="52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13</w:t>
            </w:r>
          </w:p>
        </w:tc>
        <w:tc>
          <w:tcPr>
            <w:tcW w:w="132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2760" w:type="dxa"/>
            <w:gridSpan w:val="5"/>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615"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27</w:t>
            </w:r>
          </w:p>
        </w:tc>
        <w:tc>
          <w:tcPr>
            <w:tcW w:w="141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gridAfter w:val="1"/>
          <w:wAfter w:w="48" w:type="dxa"/>
          <w:trHeight w:val="402" w:hRule="atLeast"/>
        </w:trPr>
        <w:tc>
          <w:tcPr>
            <w:tcW w:w="3207" w:type="dxa"/>
            <w:gridSpan w:val="5"/>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52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14</w:t>
            </w:r>
          </w:p>
        </w:tc>
        <w:tc>
          <w:tcPr>
            <w:tcW w:w="132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419.70</w:t>
            </w:r>
          </w:p>
        </w:tc>
        <w:tc>
          <w:tcPr>
            <w:tcW w:w="2760" w:type="dxa"/>
            <w:gridSpan w:val="5"/>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615"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28</w:t>
            </w:r>
          </w:p>
        </w:tc>
        <w:tc>
          <w:tcPr>
            <w:tcW w:w="1410"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419.70</w:t>
            </w:r>
          </w:p>
        </w:tc>
        <w:tc>
          <w:tcPr>
            <w:tcW w:w="1590" w:type="dxa"/>
            <w:gridSpan w:val="3"/>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419.70</w:t>
            </w:r>
          </w:p>
        </w:tc>
        <w:tc>
          <w:tcPr>
            <w:tcW w:w="1755"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c>
          <w:tcPr>
            <w:tcW w:w="1590"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0.00</w:t>
            </w:r>
          </w:p>
        </w:tc>
      </w:tr>
      <w:tr>
        <w:tblPrEx>
          <w:tblCellMar>
            <w:top w:w="0" w:type="dxa"/>
            <w:left w:w="108" w:type="dxa"/>
            <w:bottom w:w="0" w:type="dxa"/>
            <w:right w:w="108" w:type="dxa"/>
          </w:tblCellMar>
        </w:tblPrEx>
        <w:trPr>
          <w:gridAfter w:val="1"/>
          <w:wAfter w:w="48" w:type="dxa"/>
          <w:trHeight w:val="585" w:hRule="atLeast"/>
        </w:trPr>
        <w:tc>
          <w:tcPr>
            <w:tcW w:w="14772" w:type="dxa"/>
            <w:gridSpan w:val="28"/>
            <w:tcBorders>
              <w:top w:val="nil"/>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p>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ascii="Times New Roman" w:hAnsi="Times New Roman" w:eastAsia="方正小标宋_GBK" w:cs="Times New Roman"/>
          <w:color w:val="000000" w:themeColor="text1"/>
          <w:kern w:val="0"/>
          <w:sz w:val="36"/>
          <w:szCs w:val="36"/>
          <w14:textFill>
            <w14:solidFill>
              <w14:schemeClr w14:val="tx1"/>
            </w14:solidFill>
          </w14:textFill>
        </w:rPr>
        <w:t>一般公共预算财政拨款支出决算表</w:t>
      </w:r>
      <w:bookmarkEnd w:id="1"/>
    </w:p>
    <w:p>
      <w:pPr>
        <w:widowControl/>
        <w:spacing w:before="156" w:beforeLines="50"/>
        <w:jc w:val="lef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湖南省食品和工业产品生产许可审查中心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公开05表</w:t>
      </w:r>
    </w:p>
    <w:p>
      <w:pPr>
        <w:widowControl/>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单位：万元</w:t>
      </w:r>
    </w:p>
    <w:tbl>
      <w:tblPr>
        <w:tblStyle w:val="6"/>
        <w:tblW w:w="14884" w:type="dxa"/>
        <w:jc w:val="center"/>
        <w:tblLayout w:type="autofit"/>
        <w:tblCellMar>
          <w:top w:w="0" w:type="dxa"/>
          <w:left w:w="108" w:type="dxa"/>
          <w:bottom w:w="0" w:type="dxa"/>
          <w:right w:w="108" w:type="dxa"/>
        </w:tblCellMar>
      </w:tblPr>
      <w:tblGrid>
        <w:gridCol w:w="1930"/>
        <w:gridCol w:w="4025"/>
        <w:gridCol w:w="3053"/>
        <w:gridCol w:w="3073"/>
        <w:gridCol w:w="2803"/>
      </w:tblGrid>
      <w:tr>
        <w:tblPrEx>
          <w:tblCellMar>
            <w:top w:w="0" w:type="dxa"/>
            <w:left w:w="108" w:type="dxa"/>
            <w:bottom w:w="0" w:type="dxa"/>
            <w:right w:w="108" w:type="dxa"/>
          </w:tblCellMar>
        </w:tblPrEx>
        <w:trPr>
          <w:trHeight w:val="355" w:hRule="atLeast"/>
          <w:jc w:val="center"/>
        </w:trPr>
        <w:tc>
          <w:tcPr>
            <w:tcW w:w="5955"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项 </w:t>
            </w:r>
            <w:r>
              <w:rPr>
                <w:rFonts w:ascii="Times New Roman" w:hAnsi="Times New Roman" w:eastAsia="仿宋_GB2312" w:cs="Times New Roman"/>
                <w:b/>
                <w:color w:val="000000" w:themeColor="text1"/>
                <w:kern w:val="0"/>
                <w:szCs w:val="21"/>
                <w14:textFill>
                  <w14:solidFill>
                    <w14:schemeClr w14:val="tx1"/>
                  </w14:solidFill>
                </w14:textFill>
              </w:rPr>
              <w:t xml:space="preserve">   </w:t>
            </w:r>
            <w:r>
              <w:rPr>
                <w:rFonts w:ascii="Times New Roman" w:hAnsi="Times New Roman" w:eastAsia="仿宋_GB2312" w:cs="Times New Roman"/>
                <w:b/>
                <w:color w:val="000000" w:themeColor="text1"/>
                <w:kern w:val="0"/>
                <w:szCs w:val="21"/>
                <w14:textFill>
                  <w14:solidFill>
                    <w14:schemeClr w14:val="tx1"/>
                  </w14:solidFill>
                </w14:textFill>
              </w:rPr>
              <w:t>目</w:t>
            </w:r>
          </w:p>
        </w:tc>
        <w:tc>
          <w:tcPr>
            <w:tcW w:w="8929"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本年支出</w:t>
            </w:r>
          </w:p>
        </w:tc>
      </w:tr>
      <w:tr>
        <w:tblPrEx>
          <w:tblCellMar>
            <w:top w:w="0" w:type="dxa"/>
            <w:left w:w="108" w:type="dxa"/>
            <w:bottom w:w="0" w:type="dxa"/>
            <w:right w:w="108" w:type="dxa"/>
          </w:tblCellMar>
        </w:tblPrEx>
        <w:trPr>
          <w:trHeight w:val="344" w:hRule="atLeast"/>
          <w:jc w:val="center"/>
        </w:trPr>
        <w:tc>
          <w:tcPr>
            <w:tcW w:w="193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功能分类科目编码</w:t>
            </w:r>
          </w:p>
        </w:tc>
        <w:tc>
          <w:tcPr>
            <w:tcW w:w="40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科目名称</w:t>
            </w:r>
          </w:p>
        </w:tc>
        <w:tc>
          <w:tcPr>
            <w:tcW w:w="305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小计</w:t>
            </w:r>
          </w:p>
        </w:tc>
        <w:tc>
          <w:tcPr>
            <w:tcW w:w="307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基本支出</w:t>
            </w:r>
          </w:p>
        </w:tc>
        <w:tc>
          <w:tcPr>
            <w:tcW w:w="2803"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项目支出</w:t>
            </w:r>
          </w:p>
        </w:tc>
      </w:tr>
      <w:tr>
        <w:tblPrEx>
          <w:tblCellMar>
            <w:top w:w="0" w:type="dxa"/>
            <w:left w:w="108" w:type="dxa"/>
            <w:bottom w:w="0" w:type="dxa"/>
            <w:right w:w="108" w:type="dxa"/>
          </w:tblCellMar>
        </w:tblPrEx>
        <w:trPr>
          <w:trHeight w:val="344" w:hRule="atLeast"/>
          <w:jc w:val="center"/>
        </w:trPr>
        <w:tc>
          <w:tcPr>
            <w:tcW w:w="193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402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05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07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803"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44" w:hRule="atLeast"/>
          <w:jc w:val="center"/>
        </w:trPr>
        <w:tc>
          <w:tcPr>
            <w:tcW w:w="193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4025"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05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073"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803"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44" w:hRule="atLeast"/>
          <w:jc w:val="center"/>
        </w:trPr>
        <w:tc>
          <w:tcPr>
            <w:tcW w:w="5955"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栏次</w:t>
            </w:r>
          </w:p>
        </w:tc>
        <w:tc>
          <w:tcPr>
            <w:tcW w:w="305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3073"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2803"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44" w:hRule="atLeast"/>
          <w:jc w:val="center"/>
        </w:trPr>
        <w:tc>
          <w:tcPr>
            <w:tcW w:w="5955"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392.67</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228.26</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164.41</w:t>
            </w:r>
          </w:p>
        </w:tc>
      </w:tr>
      <w:tr>
        <w:tblPrEx>
          <w:tblCellMar>
            <w:top w:w="0" w:type="dxa"/>
            <w:left w:w="108" w:type="dxa"/>
            <w:bottom w:w="0" w:type="dxa"/>
            <w:right w:w="108" w:type="dxa"/>
          </w:tblCellMar>
        </w:tblPrEx>
        <w:trPr>
          <w:trHeight w:val="344" w:hRule="atLeast"/>
          <w:jc w:val="center"/>
        </w:trPr>
        <w:tc>
          <w:tcPr>
            <w:tcW w:w="193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4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356.33</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191.92</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164.41</w:t>
            </w:r>
          </w:p>
        </w:tc>
      </w:tr>
      <w:tr>
        <w:tblPrEx>
          <w:tblCellMar>
            <w:top w:w="0" w:type="dxa"/>
            <w:left w:w="108" w:type="dxa"/>
            <w:bottom w:w="0" w:type="dxa"/>
            <w:right w:w="108" w:type="dxa"/>
          </w:tblCellMar>
        </w:tblPrEx>
        <w:trPr>
          <w:trHeight w:val="344" w:hRule="atLeast"/>
          <w:jc w:val="center"/>
        </w:trPr>
        <w:tc>
          <w:tcPr>
            <w:tcW w:w="193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4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356.33</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191.92</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164.41</w:t>
            </w:r>
          </w:p>
        </w:tc>
      </w:tr>
      <w:tr>
        <w:trPr>
          <w:trHeight w:val="344" w:hRule="atLeast"/>
          <w:jc w:val="center"/>
        </w:trPr>
        <w:tc>
          <w:tcPr>
            <w:tcW w:w="193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2013804</w:t>
            </w:r>
          </w:p>
        </w:tc>
        <w:tc>
          <w:tcPr>
            <w:tcW w:w="4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市场主体管理</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130.45</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130.45</w:t>
            </w:r>
          </w:p>
        </w:tc>
      </w:tr>
      <w:tr>
        <w:tblPrEx>
          <w:tblCellMar>
            <w:top w:w="0" w:type="dxa"/>
            <w:left w:w="108" w:type="dxa"/>
            <w:bottom w:w="0" w:type="dxa"/>
            <w:right w:w="108" w:type="dxa"/>
          </w:tblCellMar>
        </w:tblPrEx>
        <w:trPr>
          <w:trHeight w:val="344" w:hRule="atLeast"/>
          <w:jc w:val="center"/>
        </w:trPr>
        <w:tc>
          <w:tcPr>
            <w:tcW w:w="193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2013815</w:t>
            </w:r>
          </w:p>
        </w:tc>
        <w:tc>
          <w:tcPr>
            <w:tcW w:w="4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质量安全监管</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29.96</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29.96</w:t>
            </w:r>
          </w:p>
        </w:tc>
      </w:tr>
      <w:tr>
        <w:trPr>
          <w:trHeight w:val="344" w:hRule="atLeast"/>
          <w:jc w:val="center"/>
        </w:trPr>
        <w:tc>
          <w:tcPr>
            <w:tcW w:w="1930"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402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事业运行</w:t>
            </w:r>
          </w:p>
        </w:tc>
        <w:tc>
          <w:tcPr>
            <w:tcW w:w="30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195.92</w:t>
            </w:r>
          </w:p>
        </w:tc>
        <w:tc>
          <w:tcPr>
            <w:tcW w:w="307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191.92</w:t>
            </w:r>
          </w:p>
        </w:tc>
        <w:tc>
          <w:tcPr>
            <w:tcW w:w="2803"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4.00</w:t>
            </w:r>
          </w:p>
        </w:tc>
      </w:tr>
      <w:tr>
        <w:tblPrEx>
          <w:tblCellMar>
            <w:top w:w="0" w:type="dxa"/>
            <w:left w:w="108" w:type="dxa"/>
            <w:bottom w:w="0" w:type="dxa"/>
            <w:right w:w="108" w:type="dxa"/>
          </w:tblCellMar>
        </w:tblPrEx>
        <w:trPr>
          <w:trHeight w:val="344"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2013899</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其他市场监督管理事务</w:t>
            </w:r>
          </w:p>
        </w:tc>
        <w:tc>
          <w:tcPr>
            <w:tcW w:w="3053" w:type="dxa"/>
            <w:tcBorders>
              <w:top w:val="nil"/>
              <w:left w:val="nil"/>
              <w:bottom w:val="single" w:color="auto" w:sz="8" w:space="0"/>
              <w:right w:val="single" w:color="auto" w:sz="4" w:space="0"/>
            </w:tcBorders>
            <w:shd w:val="clear" w:color="auto" w:fill="auto"/>
            <w:vAlign w:val="center"/>
          </w:tcPr>
          <w:p>
            <w:pPr>
              <w:jc w:val="center"/>
              <w:rPr>
                <w:rFonts w:hint="default"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c>
          <w:tcPr>
            <w:tcW w:w="3073" w:type="dxa"/>
            <w:tcBorders>
              <w:top w:val="nil"/>
              <w:left w:val="nil"/>
              <w:bottom w:val="single" w:color="auto" w:sz="8" w:space="0"/>
              <w:right w:val="single" w:color="auto" w:sz="4" w:space="0"/>
            </w:tcBorders>
            <w:shd w:val="clear" w:color="auto" w:fill="auto"/>
            <w:vAlign w:val="center"/>
          </w:tcPr>
          <w:p>
            <w:pPr>
              <w:jc w:val="center"/>
              <w:rPr>
                <w:rFonts w:hint="default"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c>
          <w:tcPr>
            <w:tcW w:w="2803" w:type="dxa"/>
            <w:tcBorders>
              <w:top w:val="nil"/>
              <w:left w:val="nil"/>
              <w:bottom w:val="single" w:color="auto" w:sz="8" w:space="0"/>
              <w:right w:val="single" w:color="auto" w:sz="8" w:space="0"/>
            </w:tcBorders>
            <w:shd w:val="clear" w:color="auto" w:fill="auto"/>
            <w:vAlign w:val="center"/>
          </w:tcPr>
          <w:p>
            <w:pPr>
              <w:jc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机关事业单位基本养老保险缴费支出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9.59</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事业单位医疗</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9.84</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16.91</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16.91</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16.91</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16.91</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2210201</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住房公积金</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13.01</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13.01</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rPr>
          <w:trHeight w:val="355" w:hRule="atLeast"/>
          <w:jc w:val="center"/>
        </w:trPr>
        <w:tc>
          <w:tcPr>
            <w:tcW w:w="1930"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2210203</w:t>
            </w:r>
          </w:p>
        </w:tc>
        <w:tc>
          <w:tcPr>
            <w:tcW w:w="402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left"/>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 xml:space="preserve">  购房补贴</w:t>
            </w:r>
          </w:p>
        </w:tc>
        <w:tc>
          <w:tcPr>
            <w:tcW w:w="30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3.90</w:t>
            </w:r>
          </w:p>
        </w:tc>
        <w:tc>
          <w:tcPr>
            <w:tcW w:w="307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3.90</w:t>
            </w:r>
          </w:p>
        </w:tc>
        <w:tc>
          <w:tcPr>
            <w:tcW w:w="2803"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0.00</w:t>
            </w:r>
          </w:p>
        </w:tc>
      </w:tr>
      <w:tr>
        <w:tblPrEx>
          <w:tblCellMar>
            <w:top w:w="0" w:type="dxa"/>
            <w:left w:w="108" w:type="dxa"/>
            <w:bottom w:w="0" w:type="dxa"/>
            <w:right w:w="108" w:type="dxa"/>
          </w:tblCellMar>
        </w:tblPrEx>
        <w:trPr>
          <w:trHeight w:val="425" w:hRule="atLeast"/>
          <w:jc w:val="center"/>
        </w:trPr>
        <w:tc>
          <w:tcPr>
            <w:tcW w:w="14884"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注：本表反映部门本年度一般公共预算财政拨款支出情况。</w:t>
            </w:r>
          </w:p>
        </w:tc>
      </w:tr>
    </w:tbl>
    <w:p>
      <w:pPr>
        <w:widowControl/>
        <w:jc w:val="left"/>
        <w:rPr>
          <w:rFonts w:ascii="Times New Roman" w:hAnsi="Times New Roman" w:eastAsia="仿宋_GB2312" w:cs="Times New Roman"/>
          <w:bCs/>
          <w:color w:val="000000" w:themeColor="text1"/>
          <w:kern w:val="0"/>
          <w:szCs w:val="21"/>
          <w14:textFill>
            <w14:solidFill>
              <w14:schemeClr w14:val="tx1"/>
            </w14:solidFill>
          </w14:textFill>
        </w:rPr>
      </w:pPr>
    </w:p>
    <w:p>
      <w:pPr>
        <w:widowControl/>
        <w:jc w:val="left"/>
        <w:rPr>
          <w:rFonts w:ascii="Times New Roman" w:hAnsi="Times New Roman" w:eastAsia="仿宋_GB2312" w:cs="Times New Roman"/>
          <w:bCs/>
          <w:color w:val="000000" w:themeColor="text1"/>
          <w:kern w:val="0"/>
          <w:szCs w:val="21"/>
          <w14:textFill>
            <w14:solidFill>
              <w14:schemeClr w14:val="tx1"/>
            </w14:solidFill>
          </w14:textFill>
        </w:rPr>
      </w:pPr>
    </w:p>
    <w:tbl>
      <w:tblPr>
        <w:tblStyle w:val="6"/>
        <w:tblW w:w="15580" w:type="dxa"/>
        <w:tblInd w:w="0" w:type="dxa"/>
        <w:tblLayout w:type="autofit"/>
        <w:tblCellMar>
          <w:top w:w="0" w:type="dxa"/>
          <w:left w:w="108" w:type="dxa"/>
          <w:bottom w:w="0" w:type="dxa"/>
          <w:right w:w="108" w:type="dxa"/>
        </w:tblCellMar>
      </w:tblPr>
      <w:tblGrid>
        <w:gridCol w:w="1330"/>
        <w:gridCol w:w="3347"/>
        <w:gridCol w:w="874"/>
        <w:gridCol w:w="1030"/>
        <w:gridCol w:w="2310"/>
        <w:gridCol w:w="765"/>
        <w:gridCol w:w="913"/>
        <w:gridCol w:w="4182"/>
        <w:gridCol w:w="863"/>
      </w:tblGrid>
      <w:tr>
        <w:tblPrEx>
          <w:tblCellMar>
            <w:top w:w="0" w:type="dxa"/>
            <w:left w:w="108" w:type="dxa"/>
            <w:bottom w:w="0" w:type="dxa"/>
            <w:right w:w="108" w:type="dxa"/>
          </w:tblCellMar>
        </w:tblPrEx>
        <w:trPr>
          <w:trHeight w:val="1000"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Cs w:val="32"/>
                <w14:textFill>
                  <w14:solidFill>
                    <w14:schemeClr w14:val="tx1"/>
                  </w14:solidFill>
                </w14:textFill>
              </w:rPr>
            </w:pPr>
            <w:bookmarkStart w:id="2" w:name="RANGE!A1:I34"/>
            <w:r>
              <w:rPr>
                <w:rFonts w:hint="eastAsia" w:ascii="华文中宋" w:hAnsi="华文中宋" w:eastAsia="华文中宋" w:cs="宋体"/>
                <w:color w:val="000000" w:themeColor="text1"/>
                <w:kern w:val="0"/>
                <w:szCs w:val="32"/>
                <w14:textFill>
                  <w14:solidFill>
                    <w14:schemeClr w14:val="tx1"/>
                  </w14:solidFill>
                </w14:textFill>
              </w:rPr>
              <w:t>一般公共预算财政拨款基本支出决算明细表</w:t>
            </w:r>
            <w:bookmarkEnd w:id="2"/>
          </w:p>
          <w:p>
            <w:pPr>
              <w:widowControl/>
              <w:wordWrap/>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 xml:space="preserve">湖南省食品和工业产品生产许可审查中心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公开06表</w:t>
            </w:r>
          </w:p>
          <w:p>
            <w:pPr>
              <w:widowControl/>
              <w:jc w:val="right"/>
              <w:rPr>
                <w:rFonts w:ascii="华文中宋" w:hAnsi="华文中宋" w:eastAsia="华文中宋" w:cs="宋体"/>
                <w:color w:val="000000" w:themeColor="text1"/>
                <w:kern w:val="0"/>
                <w:szCs w:val="32"/>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单位：万元</w:t>
            </w:r>
          </w:p>
        </w:tc>
      </w:tr>
      <w:tr>
        <w:tblPrEx>
          <w:tblCellMar>
            <w:top w:w="0" w:type="dxa"/>
            <w:left w:w="108" w:type="dxa"/>
            <w:bottom w:w="0" w:type="dxa"/>
            <w:right w:w="108" w:type="dxa"/>
          </w:tblCellMar>
        </w:tblPrEx>
        <w:trPr>
          <w:trHeight w:val="1062" w:hRule="atLeast"/>
        </w:trPr>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经济分类科目编码</w:t>
            </w:r>
          </w:p>
        </w:tc>
        <w:tc>
          <w:tcPr>
            <w:tcW w:w="33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经济分类科目编码</w:t>
            </w:r>
          </w:p>
        </w:tc>
        <w:tc>
          <w:tcPr>
            <w:tcW w:w="41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86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工资福利支出</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197.23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商品和服务支出</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债务利息及费用支出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30101</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基本工资</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44.86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办公费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30701</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国内债务付息</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30102</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津贴补贴</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印刷费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7.33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30702</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国外债务付息</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30103</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奖金</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11.89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资本性支出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30106</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伙食补助费</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15.12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31001</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房屋建筑物购建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30107</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绩效工资</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58.33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31002</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办公设备购置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30108</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机关事业单位基本养老保险缴费</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9.59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31003</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专用设备购置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30109</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000000" w:themeColor="text1"/>
                <w:kern w:val="0"/>
                <w:szCs w:val="20"/>
                <w:lang w:val="en-US" w:eastAsia="zh-CN"/>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31005</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基础设施建设</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30110</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31006</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大型修缮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30111</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31007</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信息网络及软件购置更新</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30112</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其他社会保障缴费</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9.84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31008</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物资储备</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30113</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住房公积金</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31009</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土地补偿</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30114</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31010</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安置补助</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30199</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其他工资福利支出</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27.52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31011</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地上附着物和青苗补偿</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对个人和家庭的补助</w:t>
            </w:r>
          </w:p>
        </w:tc>
        <w:tc>
          <w:tcPr>
            <w:tcW w:w="87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31012</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拆迁补偿</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30301</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培训费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0.92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31013</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公务用车购置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30302</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公务接待费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31019</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其他交通工具购置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30303</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31021</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文物和陈列品购置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30304</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31022</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无形资产购置</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30305</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31099</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其他资本性支出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30306</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30307</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委托业务费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39906</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赠与</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30308</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工会经费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3.55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39907</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国家赔偿费用支出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30309</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福利费</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39908</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对民间非营利组织和群众性自治组织补贴</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30310</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39999</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其他支出</w:t>
            </w:r>
          </w:p>
        </w:tc>
        <w:tc>
          <w:tcPr>
            <w:tcW w:w="86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30311</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其他交通费用</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30399</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lang w:val="en-US" w:eastAsia="zh-CN"/>
                <w14:textFill>
                  <w14:solidFill>
                    <w14:schemeClr w14:val="tx1"/>
                  </w14:solidFill>
                </w14:textFill>
              </w:rPr>
              <w:t>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税金及附加费用</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r>
      <w:tr>
        <w:tblPrEx>
          <w:tblCellMar>
            <w:top w:w="0" w:type="dxa"/>
            <w:left w:w="108" w:type="dxa"/>
            <w:bottom w:w="0" w:type="dxa"/>
            <w:right w:w="108" w:type="dxa"/>
          </w:tblCellMar>
        </w:tblPrEx>
        <w:trPr>
          <w:trHeight w:val="254" w:hRule="exact"/>
        </w:trPr>
        <w:tc>
          <w:tcPr>
            <w:tcW w:w="133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c>
          <w:tcPr>
            <w:tcW w:w="33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其他商品和服务支出</w:t>
            </w:r>
          </w:p>
        </w:tc>
        <w:tc>
          <w:tcPr>
            <w:tcW w:w="76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419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color w:val="000000" w:themeColor="text1"/>
                <w:kern w:val="0"/>
                <w:szCs w:val="18"/>
                <w14:textFill>
                  <w14:solidFill>
                    <w14:schemeClr w14:val="tx1"/>
                  </w14:solidFill>
                </w14:textFill>
              </w:rPr>
              <w:t>　</w:t>
            </w:r>
          </w:p>
        </w:tc>
        <w:tc>
          <w:tcPr>
            <w:tcW w:w="8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r>
      <w:tr>
        <w:tblPrEx>
          <w:tblCellMar>
            <w:top w:w="0" w:type="dxa"/>
            <w:left w:w="108" w:type="dxa"/>
            <w:bottom w:w="0" w:type="dxa"/>
            <w:right w:w="108" w:type="dxa"/>
          </w:tblCellMar>
        </w:tblPrEx>
        <w:trPr>
          <w:trHeight w:val="25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198.26</w:t>
            </w:r>
          </w:p>
        </w:tc>
        <w:tc>
          <w:tcPr>
            <w:tcW w:w="9153"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公用经费合计</w:t>
            </w:r>
          </w:p>
        </w:tc>
        <w:tc>
          <w:tcPr>
            <w:tcW w:w="86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30.00</w:t>
            </w:r>
          </w:p>
        </w:tc>
      </w:tr>
      <w:tr>
        <w:tblPrEx>
          <w:tblCellMar>
            <w:top w:w="0" w:type="dxa"/>
            <w:left w:w="108" w:type="dxa"/>
            <w:bottom w:w="0" w:type="dxa"/>
            <w:right w:w="108" w:type="dxa"/>
          </w:tblCellMar>
        </w:tblPrEx>
        <w:trPr>
          <w:trHeight w:val="25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themeColor="text1"/>
                <w:kern w:val="0"/>
                <w:szCs w:val="24"/>
                <w14:textFill>
                  <w14:solidFill>
                    <w14:schemeClr w14:val="tx1"/>
                  </w14:solidFill>
                </w14:textFill>
              </w:rPr>
            </w:pPr>
            <w:r>
              <w:rPr>
                <w:rFonts w:hint="eastAsia" w:ascii="宋体" w:hAnsi="宋体" w:eastAsia="宋体" w:cs="宋体"/>
                <w:color w:val="000000" w:themeColor="text1"/>
                <w:kern w:val="0"/>
                <w:szCs w:val="24"/>
                <w14:textFill>
                  <w14:solidFill>
                    <w14:schemeClr w14:val="tx1"/>
                  </w14:solidFill>
                </w14:textFill>
              </w:rPr>
              <w:t>注：本表反映部门本年度一般公共预算财政拨款基本支出明细情况。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hint="eastAsia" w:ascii="Times New Roman" w:hAnsi="Times New Roman" w:eastAsia="方正小标宋_GBK" w:cs="Times New Roman"/>
          <w:color w:val="000000" w:themeColor="text1"/>
          <w:kern w:val="0"/>
          <w:sz w:val="36"/>
          <w:szCs w:val="36"/>
          <w14:textFill>
            <w14:solidFill>
              <w14:schemeClr w14:val="tx1"/>
            </w14:solidFill>
          </w14:textFill>
        </w:rPr>
        <w:t>一般公共预算财政拨款“三公”经费支出决算表</w:t>
      </w:r>
    </w:p>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湖南省食品和工业产品生产许可审查中心</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公开0</w:t>
      </w:r>
      <w:r>
        <w:rPr>
          <w:rFonts w:hint="eastAsia" w:ascii="Times New Roman" w:hAnsi="Times New Roman" w:eastAsia="仿宋_GB2312" w:cs="Times New Roman"/>
          <w:color w:val="000000" w:themeColor="text1"/>
          <w:kern w:val="0"/>
          <w:szCs w:val="21"/>
          <w14:textFill>
            <w14:solidFill>
              <w14:schemeClr w14:val="tx1"/>
            </w14:solidFill>
          </w14:textFill>
        </w:rPr>
        <w:t>7</w:t>
      </w:r>
      <w:r>
        <w:rPr>
          <w:rFonts w:ascii="Times New Roman" w:hAnsi="Times New Roman" w:eastAsia="仿宋_GB2312" w:cs="Times New Roman"/>
          <w:color w:val="000000" w:themeColor="text1"/>
          <w:kern w:val="0"/>
          <w:szCs w:val="21"/>
          <w14:textFill>
            <w14:solidFill>
              <w14:schemeClr w14:val="tx1"/>
            </w14:solidFill>
          </w14:textFill>
        </w:rPr>
        <w:t>表</w:t>
      </w:r>
    </w:p>
    <w:p>
      <w:pPr>
        <w:widowControl/>
        <w:ind w:right="420"/>
        <w:jc w:val="righ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决算数</w:t>
            </w:r>
          </w:p>
        </w:tc>
      </w:tr>
      <w:tr>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0.40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eastAsia="zh-CN"/>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0.40</w:t>
            </w:r>
          </w:p>
        </w:tc>
        <w:tc>
          <w:tcPr>
            <w:tcW w:w="1220"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0.13</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nil"/>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single" w:color="auto" w:sz="4" w:space="0"/>
              <w:bottom w:val="single" w:color="auto" w:sz="8"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0.13</w:t>
            </w:r>
          </w:p>
        </w:tc>
      </w:tr>
    </w:tbl>
    <w:p>
      <w:pPr>
        <w:widowControl/>
        <w:jc w:val="left"/>
        <w:rPr>
          <w:rFonts w:ascii="宋体" w:eastAsia="宋体" w:cs="宋体"/>
          <w:color w:val="000000" w:themeColor="text1"/>
          <w:kern w:val="0"/>
          <w:sz w:val="24"/>
          <w:szCs w:val="24"/>
          <w14:textFill>
            <w14:solidFill>
              <w14:schemeClr w14:val="tx1"/>
            </w14:solidFill>
          </w14:textFill>
        </w:rPr>
      </w:pPr>
      <w:r>
        <w:rPr>
          <w:rFonts w:hint="eastAsia" w:ascii="宋体" w:eastAsia="宋体" w:cs="宋体"/>
          <w:color w:val="000000" w:themeColor="text1"/>
          <w:kern w:val="0"/>
          <w:sz w:val="24"/>
          <w:szCs w:val="24"/>
          <w14:textFill>
            <w14:solidFill>
              <w14:schemeClr w14:val="tx1"/>
            </w14:solidFill>
          </w14:textFill>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color w:val="000000" w:themeColor="text1"/>
          <w:kern w:val="0"/>
          <w:sz w:val="24"/>
          <w:szCs w:val="24"/>
          <w14:textFill>
            <w14:solidFill>
              <w14:schemeClr w14:val="tx1"/>
            </w14:solidFill>
          </w14:textFill>
        </w:rPr>
        <w:br w:type="page"/>
      </w:r>
    </w:p>
    <w:p>
      <w:pPr>
        <w:autoSpaceDE w:val="0"/>
        <w:autoSpaceDN w:val="0"/>
        <w:adjustRightInd w:val="0"/>
        <w:ind w:left="315" w:leftChars="150"/>
        <w:jc w:val="left"/>
        <w:rPr>
          <w:rFonts w:ascii="宋体" w:eastAsia="宋体" w:cs="宋体"/>
          <w:color w:val="000000" w:themeColor="text1"/>
          <w:kern w:val="0"/>
          <w:sz w:val="24"/>
          <w:szCs w:val="24"/>
          <w14:textFill>
            <w14:solidFill>
              <w14:schemeClr w14:val="tx1"/>
            </w14:solidFill>
          </w14:textFill>
        </w:rPr>
      </w:pPr>
    </w:p>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ascii="Times New Roman" w:hAnsi="Times New Roman" w:eastAsia="方正小标宋_GBK" w:cs="Times New Roman"/>
          <w:color w:val="000000" w:themeColor="text1"/>
          <w:kern w:val="0"/>
          <w:sz w:val="36"/>
          <w:szCs w:val="36"/>
          <w14:textFill>
            <w14:solidFill>
              <w14:schemeClr w14:val="tx1"/>
            </w14:solidFill>
          </w14:textFill>
        </w:rPr>
        <w:t>政府性基金预算财政拨款收入支出决算表</w:t>
      </w:r>
    </w:p>
    <w:p>
      <w:pPr>
        <w:widowControl/>
        <w:wordWrap/>
        <w:ind w:firstLine="420" w:firstLineChars="200"/>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湖南省食品和工业产品生产许可审查中心</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公开08表</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单位：万元</w:t>
      </w:r>
    </w:p>
    <w:tbl>
      <w:tblPr>
        <w:tblStyle w:val="6"/>
        <w:tblW w:w="14563"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12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项 </w:t>
            </w:r>
            <w:r>
              <w:rPr>
                <w:rFonts w:ascii="Times New Roman" w:hAnsi="Times New Roman" w:eastAsia="仿宋_GB2312" w:cs="Times New Roman"/>
                <w:b/>
                <w:color w:val="000000" w:themeColor="text1"/>
                <w:kern w:val="0"/>
                <w:szCs w:val="21"/>
                <w14:textFill>
                  <w14:solidFill>
                    <w14:schemeClr w14:val="tx1"/>
                  </w14:solidFill>
                </w14:textFill>
              </w:rPr>
              <w:t xml:space="preserve">   </w:t>
            </w:r>
            <w:r>
              <w:rPr>
                <w:rFonts w:ascii="Times New Roman" w:hAnsi="Times New Roman" w:eastAsia="仿宋_GB2312" w:cs="Times New Roman"/>
                <w:b/>
                <w:color w:val="000000" w:themeColor="text1"/>
                <w:kern w:val="0"/>
                <w:szCs w:val="21"/>
                <w14:textFill>
                  <w14:solidFill>
                    <w14:schemeClr w14:val="tx1"/>
                  </w14:solidFill>
                </w14:textFill>
              </w:rPr>
              <w:t>目</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本年支出</w:t>
            </w:r>
          </w:p>
        </w:tc>
        <w:tc>
          <w:tcPr>
            <w:tcW w:w="2123"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科目名称</w:t>
            </w:r>
          </w:p>
        </w:tc>
        <w:tc>
          <w:tcPr>
            <w:tcW w:w="2000"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小计</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项目支出</w:t>
            </w:r>
          </w:p>
        </w:tc>
        <w:tc>
          <w:tcPr>
            <w:tcW w:w="2123"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3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123"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3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123"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栏次</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4</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5</w:t>
            </w:r>
          </w:p>
        </w:tc>
        <w:tc>
          <w:tcPr>
            <w:tcW w:w="2123"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2000"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本表为空白表</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123"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bl>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注：本表反映部门本年度政府性基金预算财政拨款收入、支出及结转和结余情况</w:t>
      </w:r>
    </w:p>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(若本单位无政府性基金收支</w:t>
      </w:r>
      <w:r>
        <w:rPr>
          <w:rFonts w:hint="eastAsia" w:ascii="Times New Roman" w:hAnsi="Times New Roman" w:eastAsia="仿宋_GB2312" w:cs="Times New Roman"/>
          <w:color w:val="000000" w:themeColor="text1"/>
          <w:kern w:val="0"/>
          <w:szCs w:val="21"/>
          <w14:textFill>
            <w14:solidFill>
              <w14:schemeClr w14:val="tx1"/>
            </w14:solidFill>
          </w14:textFill>
        </w:rPr>
        <w:t>,请说明：湖南省食品和工业产品生产许可审查中心没有政府性基金收入，也没有使用政府性基金安排的支出，故本表无数据</w:t>
      </w:r>
      <w:r>
        <w:rPr>
          <w:rFonts w:ascii="Times New Roman" w:hAnsi="Times New Roman" w:eastAsia="仿宋_GB2312" w:cs="Times New Roman"/>
          <w:color w:val="000000" w:themeColor="text1"/>
          <w:kern w:val="0"/>
          <w:szCs w:val="21"/>
          <w14:textFill>
            <w14:solidFill>
              <w14:schemeClr w14:val="tx1"/>
            </w14:solidFill>
          </w14:textFill>
        </w:rPr>
        <w:t>)。</w:t>
      </w:r>
    </w:p>
    <w:p>
      <w:pPr>
        <w:widowControl/>
        <w:jc w:val="left"/>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p>
    <w:tbl>
      <w:tblPr>
        <w:tblStyle w:val="6"/>
        <w:tblW w:w="15012" w:type="dxa"/>
        <w:tblInd w:w="93" w:type="dxa"/>
        <w:tblLayout w:type="autofit"/>
        <w:tblCellMar>
          <w:top w:w="0" w:type="dxa"/>
          <w:left w:w="108" w:type="dxa"/>
          <w:bottom w:w="0" w:type="dxa"/>
          <w:right w:w="108" w:type="dxa"/>
        </w:tblCellMar>
      </w:tblPr>
      <w:tblGrid>
        <w:gridCol w:w="1060"/>
        <w:gridCol w:w="1649"/>
        <w:gridCol w:w="2598"/>
        <w:gridCol w:w="753"/>
        <w:gridCol w:w="2382"/>
        <w:gridCol w:w="238"/>
        <w:gridCol w:w="3077"/>
        <w:gridCol w:w="3255"/>
      </w:tblGrid>
      <w:tr>
        <w:tblPrEx>
          <w:tblCellMar>
            <w:top w:w="0" w:type="dxa"/>
            <w:left w:w="108" w:type="dxa"/>
            <w:bottom w:w="0" w:type="dxa"/>
            <w:right w:w="108" w:type="dxa"/>
          </w:tblCellMar>
        </w:tblPrEx>
        <w:trPr>
          <w:trHeight w:val="720" w:hRule="atLeast"/>
        </w:trPr>
        <w:tc>
          <w:tcPr>
            <w:tcW w:w="15012" w:type="dxa"/>
            <w:gridSpan w:val="8"/>
            <w:tcBorders>
              <w:top w:val="nil"/>
              <w:left w:val="nil"/>
              <w:bottom w:val="nil"/>
              <w:right w:val="nil"/>
            </w:tcBorders>
            <w:shd w:val="clear" w:color="000000" w:fill="FFFFFF"/>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1649" w:type="dxa"/>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598" w:type="dxa"/>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753" w:type="dxa"/>
            <w:tcBorders>
              <w:top w:val="nil"/>
              <w:left w:val="nil"/>
              <w:bottom w:val="nil"/>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6332"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公开09表</w:t>
            </w:r>
          </w:p>
        </w:tc>
      </w:tr>
      <w:tr>
        <w:tblPrEx>
          <w:tblCellMar>
            <w:top w:w="0" w:type="dxa"/>
            <w:left w:w="108" w:type="dxa"/>
            <w:bottom w:w="0" w:type="dxa"/>
            <w:right w:w="108" w:type="dxa"/>
          </w:tblCellMar>
        </w:tblPrEx>
        <w:trPr>
          <w:trHeight w:val="285" w:hRule="atLeast"/>
        </w:trPr>
        <w:tc>
          <w:tcPr>
            <w:tcW w:w="6060"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部门：湖南省食品和工业产品生产许可审查中心</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6332"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402" w:hRule="atLeast"/>
        </w:trPr>
        <w:tc>
          <w:tcPr>
            <w:tcW w:w="5307" w:type="dxa"/>
            <w:gridSpan w:val="3"/>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项 </w:t>
            </w:r>
            <w:r>
              <w:rPr>
                <w:rFonts w:hint="eastAsia" w:ascii="宋体" w:hAnsi="宋体" w:eastAsia="宋体" w:cs="宋体"/>
                <w:color w:val="000000" w:themeColor="text1"/>
                <w:kern w:val="0"/>
                <w:sz w:val="22"/>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目</w:t>
            </w:r>
          </w:p>
        </w:tc>
        <w:tc>
          <w:tcPr>
            <w:tcW w:w="970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本年支出</w:t>
            </w:r>
          </w:p>
        </w:tc>
      </w:tr>
      <w:tr>
        <w:tblPrEx>
          <w:tblCellMar>
            <w:top w:w="0" w:type="dxa"/>
            <w:left w:w="108" w:type="dxa"/>
            <w:bottom w:w="0" w:type="dxa"/>
            <w:right w:w="108" w:type="dxa"/>
          </w:tblCellMar>
        </w:tblPrEx>
        <w:trPr>
          <w:trHeight w:val="402" w:hRule="atLeast"/>
        </w:trPr>
        <w:tc>
          <w:tcPr>
            <w:tcW w:w="2709" w:type="dxa"/>
            <w:gridSpan w:val="2"/>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功能分类科目编码</w:t>
            </w:r>
          </w:p>
        </w:tc>
        <w:tc>
          <w:tcPr>
            <w:tcW w:w="2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科目名称</w:t>
            </w:r>
          </w:p>
        </w:tc>
        <w:tc>
          <w:tcPr>
            <w:tcW w:w="313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331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基本支出  </w:t>
            </w:r>
          </w:p>
        </w:tc>
        <w:tc>
          <w:tcPr>
            <w:tcW w:w="32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项目支出</w:t>
            </w:r>
          </w:p>
        </w:tc>
      </w:tr>
      <w:tr>
        <w:tblPrEx>
          <w:tblCellMar>
            <w:top w:w="0" w:type="dxa"/>
            <w:left w:w="108" w:type="dxa"/>
            <w:bottom w:w="0" w:type="dxa"/>
            <w:right w:w="108" w:type="dxa"/>
          </w:tblCellMar>
        </w:tblPrEx>
        <w:trPr>
          <w:trHeight w:val="402" w:hRule="atLeast"/>
        </w:trPr>
        <w:tc>
          <w:tcPr>
            <w:tcW w:w="270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5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13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31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2709" w:type="dxa"/>
            <w:gridSpan w:val="2"/>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5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13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31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2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402" w:hRule="atLeast"/>
        </w:trPr>
        <w:tc>
          <w:tcPr>
            <w:tcW w:w="5307" w:type="dxa"/>
            <w:gridSpan w:val="3"/>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栏次</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3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r>
      <w:tr>
        <w:tblPrEx>
          <w:tblCellMar>
            <w:top w:w="0" w:type="dxa"/>
            <w:left w:w="108" w:type="dxa"/>
            <w:bottom w:w="0" w:type="dxa"/>
            <w:right w:w="108" w:type="dxa"/>
          </w:tblCellMar>
        </w:tblPrEx>
        <w:trPr>
          <w:trHeight w:val="402" w:hRule="atLeast"/>
        </w:trPr>
        <w:tc>
          <w:tcPr>
            <w:tcW w:w="5307" w:type="dxa"/>
            <w:gridSpan w:val="3"/>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本表为空白表</w:t>
            </w: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13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2709"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98"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13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3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55"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720" w:hRule="atLeast"/>
        </w:trPr>
        <w:tc>
          <w:tcPr>
            <w:tcW w:w="15012" w:type="dxa"/>
            <w:gridSpan w:val="8"/>
            <w:tcBorders>
              <w:top w:val="single" w:color="auto" w:sz="8" w:space="0"/>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注：本表反映部门本年度国有资本经营预算财政拨款支出情况。</w:t>
            </w:r>
          </w:p>
        </w:tc>
      </w:tr>
    </w:tbl>
    <w:p>
      <w:pPr>
        <w:pStyle w:val="11"/>
        <w:rPr>
          <w:color w:val="000000" w:themeColor="text1"/>
          <w:sz w:val="72"/>
          <w:szCs w:val="72"/>
          <w14:textFill>
            <w14:solidFill>
              <w14:schemeClr w14:val="tx1"/>
            </w14:solidFill>
          </w14:textFill>
        </w:rPr>
        <w:sectPr>
          <w:pgSz w:w="16838" w:h="11906" w:orient="landscape"/>
          <w:pgMar w:top="720" w:right="720" w:bottom="720" w:left="720" w:header="851" w:footer="992" w:gutter="0"/>
          <w:cols w:space="425" w:num="1"/>
          <w:docGrid w:type="lines" w:linePitch="312" w:charSpace="0"/>
        </w:sectPr>
      </w:pPr>
    </w:p>
    <w:p>
      <w:pPr>
        <w:pStyle w:val="11"/>
        <w:rPr>
          <w:color w:val="000000" w:themeColor="text1"/>
          <w:sz w:val="72"/>
          <w:szCs w:val="72"/>
          <w14:textFill>
            <w14:solidFill>
              <w14:schemeClr w14:val="tx1"/>
            </w14:solidFill>
          </w14:textFill>
        </w:rPr>
      </w:pPr>
    </w:p>
    <w:p>
      <w:pPr>
        <w:pStyle w:val="11"/>
        <w:rPr>
          <w:color w:val="000000" w:themeColor="text1"/>
          <w:sz w:val="72"/>
          <w:szCs w:val="72"/>
          <w14:textFill>
            <w14:solidFill>
              <w14:schemeClr w14:val="tx1"/>
            </w14:solidFill>
          </w14:textFill>
        </w:rPr>
      </w:pPr>
    </w:p>
    <w:p>
      <w:pPr>
        <w:pStyle w:val="11"/>
        <w:rPr>
          <w:color w:val="000000" w:themeColor="text1"/>
          <w:sz w:val="72"/>
          <w:szCs w:val="72"/>
          <w14:textFill>
            <w14:solidFill>
              <w14:schemeClr w14:val="tx1"/>
            </w14:solidFill>
          </w14:textFill>
        </w:rPr>
      </w:pPr>
    </w:p>
    <w:p>
      <w:pPr>
        <w:pStyle w:val="11"/>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第三部分</w:t>
      </w:r>
    </w:p>
    <w:p>
      <w:pPr>
        <w:pStyle w:val="11"/>
        <w:jc w:val="center"/>
        <w:rPr>
          <w:color w:val="000000" w:themeColor="text1"/>
          <w:sz w:val="70"/>
          <w:szCs w:val="70"/>
          <w14:textFill>
            <w14:solidFill>
              <w14:schemeClr w14:val="tx1"/>
            </w14:solidFill>
          </w14:textFill>
        </w:rPr>
      </w:pPr>
    </w:p>
    <w:p>
      <w:pPr>
        <w:pStyle w:val="11"/>
        <w:jc w:val="center"/>
        <w:rPr>
          <w:color w:val="000000" w:themeColor="text1"/>
          <w:sz w:val="70"/>
          <w:szCs w:val="70"/>
          <w14:textFill>
            <w14:solidFill>
              <w14:schemeClr w14:val="tx1"/>
            </w14:solidFill>
          </w14:textFill>
        </w:rPr>
      </w:pPr>
      <w:r>
        <w:rPr>
          <w:color w:val="000000" w:themeColor="text1"/>
          <w:sz w:val="70"/>
          <w:szCs w:val="70"/>
          <w14:textFill>
            <w14:solidFill>
              <w14:schemeClr w14:val="tx1"/>
            </w14:solidFill>
          </w14:textFill>
        </w:rPr>
        <w:t>20</w:t>
      </w:r>
      <w:r>
        <w:rPr>
          <w:rFonts w:hint="eastAsia"/>
          <w:color w:val="000000" w:themeColor="text1"/>
          <w:sz w:val="70"/>
          <w:szCs w:val="70"/>
          <w14:textFill>
            <w14:solidFill>
              <w14:schemeClr w14:val="tx1"/>
            </w14:solidFill>
          </w14:textFill>
        </w:rPr>
        <w:t>21年度部门决算情况说明</w:t>
      </w:r>
    </w:p>
    <w:p>
      <w:pPr>
        <w:widowControl/>
        <w:jc w:val="left"/>
        <w:rPr>
          <w:rFonts w:asciiTheme="minorEastAsia" w:hAnsiTheme="minorEastAsia" w:eastAsiaTheme="minorEastAsia"/>
          <w:color w:val="000000" w:themeColor="text1"/>
          <w:sz w:val="32"/>
          <w:szCs w:val="32"/>
          <w14:textFill>
            <w14:solidFill>
              <w14:schemeClr w14:val="tx1"/>
            </w14:solidFill>
          </w14:textFill>
        </w:rPr>
      </w:pPr>
      <w:r>
        <w:rPr>
          <w:color w:val="000000" w:themeColor="text1"/>
          <w:sz w:val="70"/>
          <w:szCs w:val="70"/>
          <w14:textFill>
            <w14:solidFill>
              <w14:schemeClr w14:val="tx1"/>
            </w14:solidFill>
          </w14:textFill>
        </w:rPr>
        <w:br w:type="page"/>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一、收入支出决算总体情况说明</w:t>
      </w:r>
    </w:p>
    <w:p>
      <w:pPr>
        <w:pStyle w:val="11"/>
        <w:ind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2021年度收、支总计</w:t>
      </w:r>
      <w:r>
        <w:rPr>
          <w:rFonts w:hint="default" w:asciiTheme="minorEastAsia" w:hAnsiTheme="minorEastAsia" w:eastAsiaTheme="minorEastAsia"/>
          <w:color w:val="000000" w:themeColor="text1"/>
          <w:sz w:val="32"/>
          <w:szCs w:val="32"/>
          <w:lang w:val="en-US"/>
          <w14:textFill>
            <w14:solidFill>
              <w14:schemeClr w14:val="tx1"/>
            </w14:solidFill>
          </w14:textFill>
        </w:rPr>
        <w:t>419.80</w:t>
      </w:r>
      <w:r>
        <w:rPr>
          <w:rFonts w:hint="eastAsia" w:asciiTheme="minorEastAsia" w:hAnsiTheme="minorEastAsia" w:eastAsiaTheme="minorEastAsia"/>
          <w:color w:val="000000" w:themeColor="text1"/>
          <w:sz w:val="32"/>
          <w:szCs w:val="32"/>
          <w14:textFill>
            <w14:solidFill>
              <w14:schemeClr w14:val="tx1"/>
            </w14:solidFill>
          </w14:textFill>
        </w:rPr>
        <w:t>万元。与上年相比，减少57.52万元，减少12.05%，主要是因为</w:t>
      </w:r>
      <w:r>
        <w:rPr>
          <w:rFonts w:hint="default" w:asciiTheme="minorEastAsia" w:hAnsiTheme="minorEastAsia" w:eastAsiaTheme="minorEastAsia"/>
          <w:color w:val="000000" w:themeColor="text1"/>
          <w:sz w:val="32"/>
          <w:szCs w:val="32"/>
          <w:lang w:val="en-US"/>
          <w14:textFill>
            <w14:solidFill>
              <w14:schemeClr w14:val="tx1"/>
            </w14:solidFill>
          </w14:textFill>
        </w:rPr>
        <w:t>:1、贯彻落实过“紧日子”的要求，压减了一般性支出。</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二、收入决算情况说明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2021年度收入合计398.26万元，其中：财政拨款收入398.16万元，占99.97%；上级补助收入0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；事业收入0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；经营收入0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；附属单位上缴收入0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；其他收入0.10万元，占0.03%。</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三、支出决算情况说明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2021年度支出合计392.77万元，其中：基本支出228.36万元，占58.14%；项目支出164.41万元，占41.86%；上缴上级支出0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；经营支出0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；对附属单位补助支出0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default" w:asciiTheme="minorEastAsia" w:hAnsiTheme="minorEastAsia" w:eastAsiaTheme="minorEastAsia"/>
          <w:color w:val="000000" w:themeColor="text1"/>
          <w:sz w:val="32"/>
          <w:szCs w:val="32"/>
          <w:lang w:val="en-US"/>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四、财政拨款收入支出决算总体情况说明</w:t>
      </w:r>
    </w:p>
    <w:p>
      <w:pPr>
        <w:pStyle w:val="11"/>
        <w:ind w:firstLine="640"/>
        <w:rPr>
          <w:rFonts w:hint="default" w:asciiTheme="minorEastAsia" w:hAnsiTheme="minorEastAsia" w:eastAsiaTheme="minorEastAsia"/>
          <w:color w:val="000000" w:themeColor="text1"/>
          <w:sz w:val="32"/>
          <w:szCs w:val="32"/>
          <w:lang w:val="en-US"/>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2021年度财政拨款收、支总计419.70万元，与上年相比，减少36.77万元,减少8.06%，</w:t>
      </w:r>
      <w:r>
        <w:rPr>
          <w:rFonts w:hint="eastAsia" w:asciiTheme="minorEastAsia" w:hAnsiTheme="minorEastAsia" w:eastAsiaTheme="minorEastAsia"/>
          <w:color w:val="000000" w:themeColor="text1"/>
          <w:sz w:val="32"/>
          <w:szCs w:val="32"/>
          <w:highlight w:val="none"/>
          <w14:textFill>
            <w14:solidFill>
              <w14:schemeClr w14:val="tx1"/>
            </w14:solidFill>
          </w14:textFill>
        </w:rPr>
        <w:t>主要是因为</w:t>
      </w:r>
      <w:r>
        <w:rPr>
          <w:rFonts w:hint="default" w:asciiTheme="minorEastAsia" w:hAnsiTheme="minorEastAsia" w:eastAsiaTheme="minorEastAsia"/>
          <w:color w:val="000000" w:themeColor="text1"/>
          <w:sz w:val="32"/>
          <w:szCs w:val="32"/>
          <w:highlight w:val="none"/>
          <w:lang w:val="en-US"/>
          <w14:textFill>
            <w14:solidFill>
              <w14:schemeClr w14:val="tx1"/>
            </w14:solidFill>
          </w14:textFill>
        </w:rPr>
        <w:t>贯彻落</w:t>
      </w:r>
      <w:r>
        <w:rPr>
          <w:rFonts w:hint="default" w:asciiTheme="minorEastAsia" w:hAnsiTheme="minorEastAsia" w:eastAsiaTheme="minorEastAsia"/>
          <w:color w:val="000000" w:themeColor="text1"/>
          <w:sz w:val="32"/>
          <w:szCs w:val="32"/>
          <w:lang w:val="en-US"/>
          <w14:textFill>
            <w14:solidFill>
              <w14:schemeClr w14:val="tx1"/>
            </w14:solidFill>
          </w14:textFill>
        </w:rPr>
        <w:t>实过“紧日子”的要求，压减了一般性支出。</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五、一般公共预算财政拨款支出决算情况说明</w:t>
      </w:r>
    </w:p>
    <w:p>
      <w:pPr>
        <w:pStyle w:val="11"/>
        <w:ind w:firstLine="642"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（一）财政拨款支出决算总体情况</w:t>
      </w:r>
    </w:p>
    <w:p>
      <w:pPr>
        <w:pStyle w:val="11"/>
        <w:ind w:firstLine="800" w:firstLineChars="25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2021年度财政拨款支出398.16万元，占本年支出合计的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100.00</w:t>
      </w:r>
      <w:r>
        <w:rPr>
          <w:rFonts w:hint="eastAsia" w:asciiTheme="minorEastAsia" w:hAnsiTheme="minorEastAsia" w:eastAsiaTheme="minorEastAsia"/>
          <w:color w:val="000000" w:themeColor="text1"/>
          <w:sz w:val="32"/>
          <w:szCs w:val="32"/>
          <w14:textFill>
            <w14:solidFill>
              <w14:schemeClr w14:val="tx1"/>
            </w14:solidFill>
          </w14:textFill>
        </w:rPr>
        <w:t>%，与上年相比，财政拨款支出增加49.99万元，增长14.36%，主要是因为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2021年增加了一般公共预算财政拨款。</w:t>
      </w:r>
    </w:p>
    <w:p>
      <w:pPr>
        <w:pStyle w:val="11"/>
        <w:ind w:firstLine="481" w:firstLineChars="15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（二）财政拨款支出决算结构情况</w:t>
      </w:r>
    </w:p>
    <w:p>
      <w:pPr>
        <w:pStyle w:val="11"/>
        <w:ind w:firstLine="640" w:firstLineChars="200"/>
        <w:rPr>
          <w:rFonts w:hint="eastAsia"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2021年度财政拨款支出392.67万元，主要用于以下方面：一般公共服务（类）支出356.33万元，占90.75%；社会保障和就业支出9.59万元，占2.44%;卫生健康支出9.84万元，占2.51%</w:t>
      </w:r>
      <w:r>
        <w:rPr>
          <w:rFonts w:hint="eastAsia" w:asciiTheme="minorEastAsia" w:hAnsiTheme="minorEastAsia" w:eastAsiaTheme="minorEastAsia"/>
          <w:color w:val="000000" w:themeColor="text1"/>
          <w:sz w:val="32"/>
          <w:szCs w:val="32"/>
          <w:lang w:eastAsia="zh-CN"/>
          <w14:textFill>
            <w14:solidFill>
              <w14:schemeClr w14:val="tx1"/>
            </w14:solidFill>
          </w14:textFill>
        </w:rPr>
        <w:t>；住房保障支出16.91万元，</w:t>
      </w:r>
      <w:r>
        <w:rPr>
          <w:rFonts w:hint="eastAsia" w:asciiTheme="minorEastAsia" w:hAnsiTheme="minorEastAsia" w:eastAsiaTheme="minorEastAsia"/>
          <w:color w:val="000000" w:themeColor="text1"/>
          <w:sz w:val="32"/>
          <w:szCs w:val="32"/>
          <w14:textFill>
            <w14:solidFill>
              <w14:schemeClr w14:val="tx1"/>
            </w14:solidFill>
          </w14:textFill>
        </w:rPr>
        <w:t>占</w:t>
      </w:r>
      <w:r>
        <w:rPr>
          <w:rFonts w:hint="eastAsia" w:asciiTheme="minorEastAsia" w:hAnsiTheme="minorEastAsia" w:eastAsiaTheme="minorEastAsia"/>
          <w:color w:val="000000" w:themeColor="text1"/>
          <w:sz w:val="32"/>
          <w:szCs w:val="32"/>
          <w:lang w:eastAsia="zh-CN"/>
          <w14:textFill>
            <w14:solidFill>
              <w14:schemeClr w14:val="tx1"/>
            </w14:solidFill>
          </w14:textFill>
        </w:rPr>
        <w:t>4.31%。</w:t>
      </w:r>
    </w:p>
    <w:p>
      <w:pPr>
        <w:pStyle w:val="11"/>
        <w:ind w:firstLine="642"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11"/>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2021年度财政拨款支出年初预算数为389.76万元，支出决算数为392.67万元，完成年初预算的100.75%，其中：</w:t>
      </w:r>
    </w:p>
    <w:p>
      <w:pPr>
        <w:pStyle w:val="11"/>
        <w:numPr>
          <w:ilvl w:val="0"/>
          <w:numId w:val="3"/>
        </w:numPr>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一般公共服务支出（类）市场监督管理事务（款）市场主体管理（项）</w:t>
      </w:r>
    </w:p>
    <w:p>
      <w:pPr>
        <w:pStyle w:val="11"/>
        <w:numPr>
          <w:ilvl w:val="0"/>
          <w:numId w:val="0"/>
        </w:numPr>
        <w:ind w:firstLine="960" w:firstLineChars="3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135.00</w:t>
      </w:r>
      <w:r>
        <w:rPr>
          <w:rFonts w:hint="eastAsia" w:asciiTheme="minorEastAsia" w:hAnsiTheme="minorEastAsia" w:eastAsiaTheme="minorEastAsia"/>
          <w:color w:val="000000" w:themeColor="text1"/>
          <w:sz w:val="32"/>
          <w:szCs w:val="32"/>
          <w14:textFill>
            <w14:solidFill>
              <w14:schemeClr w14:val="tx1"/>
            </w14:solidFill>
          </w14:textFill>
        </w:rPr>
        <w:t>万元，支出决算为130.45万元，完成年初预算的96.63%，决算数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小</w:t>
      </w:r>
      <w:r>
        <w:rPr>
          <w:rFonts w:hint="eastAsia" w:asciiTheme="minorEastAsia" w:hAnsiTheme="minorEastAsia" w:eastAsiaTheme="minorEastAsia"/>
          <w:color w:val="000000" w:themeColor="text1"/>
          <w:sz w:val="32"/>
          <w:szCs w:val="32"/>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严格控制一般性支出。</w:t>
      </w:r>
    </w:p>
    <w:p>
      <w:pPr>
        <w:pStyle w:val="11"/>
        <w:numPr>
          <w:ilvl w:val="0"/>
          <w:numId w:val="3"/>
        </w:numPr>
        <w:ind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一般公共服务支出（类）市场监督管理事务（款）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质量安全监管</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11"/>
        <w:numPr>
          <w:ilvl w:val="0"/>
          <w:numId w:val="0"/>
        </w:numPr>
        <w:ind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0.00</w:t>
      </w:r>
      <w:r>
        <w:rPr>
          <w:rFonts w:hint="eastAsia" w:asciiTheme="minorEastAsia" w:hAnsiTheme="minorEastAsia" w:eastAsiaTheme="minorEastAsia"/>
          <w:color w:val="000000" w:themeColor="text1"/>
          <w:sz w:val="32"/>
          <w:szCs w:val="32"/>
          <w14:textFill>
            <w14:solidFill>
              <w14:schemeClr w14:val="tx1"/>
            </w14:solidFill>
          </w14:textFill>
        </w:rPr>
        <w:t>万元，支出决算为29.96万元，完成年初预算的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0.00</w:t>
      </w:r>
      <w:r>
        <w:rPr>
          <w:rFonts w:hint="eastAsia" w:asciiTheme="minorEastAsia" w:hAnsiTheme="minorEastAsia" w:eastAsiaTheme="minorEastAsia"/>
          <w:color w:val="000000" w:themeColor="text1"/>
          <w:sz w:val="32"/>
          <w:szCs w:val="32"/>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项目支出增加。</w:t>
      </w:r>
    </w:p>
    <w:p>
      <w:pPr>
        <w:pStyle w:val="11"/>
        <w:numPr>
          <w:ilvl w:val="0"/>
          <w:numId w:val="3"/>
        </w:numPr>
        <w:ind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一般公共服务支出（类）市场监督管理事务（款）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事业运行</w:t>
      </w:r>
      <w:r>
        <w:rPr>
          <w:rFonts w:hint="eastAsia" w:asciiTheme="minorEastAsia" w:hAnsiTheme="minorEastAsia" w:eastAsiaTheme="minorEastAsia"/>
          <w:color w:val="000000" w:themeColor="text1"/>
          <w:sz w:val="32"/>
          <w:szCs w:val="32"/>
          <w14:textFill>
            <w14:solidFill>
              <w14:schemeClr w14:val="tx1"/>
            </w14:solidFill>
          </w14:textFill>
        </w:rPr>
        <w:t>（项）</w:t>
      </w:r>
    </w:p>
    <w:p>
      <w:pPr>
        <w:pStyle w:val="11"/>
        <w:numPr>
          <w:ilvl w:val="0"/>
          <w:numId w:val="0"/>
        </w:numPr>
        <w:ind w:firstLine="960" w:firstLineChars="3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209.36</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195.92</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93.58%</w:t>
      </w:r>
      <w:r>
        <w:rPr>
          <w:rFonts w:hint="eastAsia" w:asciiTheme="minorEastAsia" w:hAnsiTheme="minorEastAsia" w:eastAsiaTheme="minorEastAsia"/>
          <w:color w:val="000000" w:themeColor="text1"/>
          <w:sz w:val="32"/>
          <w:szCs w:val="32"/>
          <w14:textFill>
            <w14:solidFill>
              <w14:schemeClr w14:val="tx1"/>
            </w14:solidFill>
          </w14:textFill>
        </w:rPr>
        <w:t>，决算数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小</w:t>
      </w:r>
      <w:r>
        <w:rPr>
          <w:rFonts w:hint="eastAsia" w:asciiTheme="minorEastAsia" w:hAnsiTheme="minorEastAsia" w:eastAsiaTheme="minorEastAsia"/>
          <w:color w:val="000000" w:themeColor="text1"/>
          <w:sz w:val="32"/>
          <w:szCs w:val="32"/>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严格控制一般性支出。</w:t>
      </w:r>
    </w:p>
    <w:p>
      <w:pPr>
        <w:pStyle w:val="11"/>
        <w:numPr>
          <w:ilvl w:val="0"/>
          <w:numId w:val="3"/>
        </w:numPr>
        <w:ind w:left="0" w:leftChars="0"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一般公共服务支出（类）市场监督管理事务（款）其他市场监督管理事务（项）</w:t>
      </w:r>
    </w:p>
    <w:p>
      <w:pPr>
        <w:pStyle w:val="11"/>
        <w:numPr>
          <w:ilvl w:val="0"/>
          <w:numId w:val="0"/>
        </w:numPr>
        <w:ind w:firstLine="960" w:firstLineChars="3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0.00</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0.00</w:t>
      </w:r>
      <w:r>
        <w:rPr>
          <w:rFonts w:hint="eastAsia" w:asciiTheme="minorEastAsia" w:hAnsiTheme="minorEastAsia" w:eastAsiaTheme="minorEastAsia"/>
          <w:color w:val="000000" w:themeColor="text1"/>
          <w:sz w:val="32"/>
          <w:szCs w:val="32"/>
          <w14:textFill>
            <w14:solidFill>
              <w14:schemeClr w14:val="tx1"/>
            </w14:solidFill>
          </w14:textFill>
        </w:rPr>
        <w:t>%，决算数</w:t>
      </w:r>
      <w:r>
        <w:rPr>
          <w:rFonts w:hint="eastAsia" w:asciiTheme="minorEastAsia" w:hAnsiTheme="minorEastAsia" w:eastAsiaTheme="minorEastAsia"/>
          <w:color w:val="000000" w:themeColor="text1"/>
          <w:sz w:val="32"/>
          <w:szCs w:val="32"/>
          <w:lang w:eastAsia="zh-CN"/>
          <w14:textFill>
            <w14:solidFill>
              <w14:schemeClr w14:val="tx1"/>
            </w14:solidFill>
          </w14:textFill>
        </w:rPr>
        <w:t>小</w:t>
      </w:r>
      <w:r>
        <w:rPr>
          <w:rFonts w:hint="eastAsia" w:asciiTheme="minorEastAsia" w:hAnsiTheme="minorEastAsia" w:eastAsiaTheme="minorEastAsia"/>
          <w:color w:val="000000" w:themeColor="text1"/>
          <w:sz w:val="32"/>
          <w:szCs w:val="32"/>
          <w14:textFill>
            <w14:solidFill>
              <w14:schemeClr w14:val="tx1"/>
            </w14:solidFill>
          </w14:textFill>
        </w:rPr>
        <w:t>于年初预算数的主要原因是：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严格控制一般性支出。</w:t>
      </w:r>
    </w:p>
    <w:p>
      <w:pPr>
        <w:pStyle w:val="11"/>
        <w:numPr>
          <w:ilvl w:val="0"/>
          <w:numId w:val="3"/>
        </w:numPr>
        <w:ind w:left="0" w:leftChars="0" w:firstLine="800" w:firstLineChars="250"/>
        <w:jc w:val="both"/>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社会保障和就业支出</w:t>
      </w:r>
      <w:r>
        <w:rPr>
          <w:rFonts w:hint="eastAsia" w:asciiTheme="minorEastAsia" w:hAnsiTheme="minorEastAsia" w:eastAsiaTheme="minorEastAsia"/>
          <w:color w:val="000000" w:themeColor="text1"/>
          <w:sz w:val="32"/>
          <w:szCs w:val="32"/>
          <w14:textFill>
            <w14:solidFill>
              <w14:schemeClr w14:val="tx1"/>
            </w14:solidFill>
          </w14:textFill>
        </w:rPr>
        <w:t>（类）行政事业单位养老支出（款）机关事业单位基本养老保险缴费支出（项）</w:t>
      </w:r>
    </w:p>
    <w:p>
      <w:pPr>
        <w:pStyle w:val="11"/>
        <w:numPr>
          <w:ilvl w:val="0"/>
          <w:numId w:val="0"/>
        </w:numPr>
        <w:ind w:firstLine="960" w:firstLineChars="300"/>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年初预算为16.00万元，支出决算为9.59万元，完成年初预算的59.94%，决算数小于年初预算数的主要原因是：</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严格控制支出。</w:t>
      </w:r>
    </w:p>
    <w:p>
      <w:pPr>
        <w:pStyle w:val="11"/>
        <w:numPr>
          <w:ilvl w:val="0"/>
          <w:numId w:val="3"/>
        </w:numPr>
        <w:ind w:left="0" w:leftChars="0" w:firstLine="800" w:firstLineChars="250"/>
        <w:jc w:val="both"/>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卫生健康支出</w:t>
      </w:r>
      <w:r>
        <w:rPr>
          <w:rFonts w:hint="eastAsia" w:asciiTheme="minorEastAsia" w:hAnsiTheme="minorEastAsia" w:eastAsiaTheme="minorEastAsia"/>
          <w:color w:val="000000" w:themeColor="text1"/>
          <w:sz w:val="32"/>
          <w:szCs w:val="32"/>
          <w14:textFill>
            <w14:solidFill>
              <w14:schemeClr w14:val="tx1"/>
            </w14:solidFill>
          </w14:textFill>
        </w:rPr>
        <w:t>（类）行政事业单位医疗（款）事业单位医疗（项）</w:t>
      </w:r>
    </w:p>
    <w:p>
      <w:pPr>
        <w:pStyle w:val="11"/>
        <w:numPr>
          <w:ilvl w:val="0"/>
          <w:numId w:val="0"/>
        </w:numPr>
        <w:ind w:firstLine="960" w:firstLineChars="300"/>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年初预算为10.00万元，支出决算为9.84万元，完成年初预算的98.40%，决算数小于年初预算数的主要原因是：</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预算与决算基本持平。</w:t>
      </w:r>
    </w:p>
    <w:p>
      <w:pPr>
        <w:pStyle w:val="11"/>
        <w:numPr>
          <w:ilvl w:val="0"/>
          <w:numId w:val="0"/>
        </w:numPr>
        <w:ind w:firstLine="640" w:firstLineChars="200"/>
        <w:jc w:val="both"/>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7、住房保障支出（类）住房改革支出（款）住房公积金（项）</w:t>
      </w:r>
    </w:p>
    <w:p>
      <w:pPr>
        <w:pStyle w:val="11"/>
        <w:numPr>
          <w:ilvl w:val="0"/>
          <w:numId w:val="0"/>
        </w:numPr>
        <w:ind w:firstLine="960" w:firstLineChars="3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年初预算为13.50万元，支出决算为13.01万元，完成年初预算的96.37%，决算数小于年初预算数的主要原因是：预算与决算基本持平。</w:t>
      </w:r>
    </w:p>
    <w:p>
      <w:pPr>
        <w:pStyle w:val="11"/>
        <w:numPr>
          <w:ilvl w:val="0"/>
          <w:numId w:val="0"/>
        </w:numPr>
        <w:ind w:firstLine="640" w:firstLineChars="200"/>
        <w:jc w:val="both"/>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8、住房保障支出（类）住房改革支出（款）购房补贴（项）</w:t>
      </w:r>
    </w:p>
    <w:p>
      <w:pPr>
        <w:pStyle w:val="11"/>
        <w:numPr>
          <w:ilvl w:val="0"/>
          <w:numId w:val="0"/>
        </w:numPr>
        <w:ind w:firstLine="960" w:firstLineChars="3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年初预算为3.90万元，支出决算为3.90万元，完成年初预算的100.00%。</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六、一般公共预算财政拨款基本支出决算情况说明</w:t>
      </w:r>
    </w:p>
    <w:p>
      <w:pPr>
        <w:pStyle w:val="11"/>
        <w:ind w:firstLine="640" w:firstLineChars="200"/>
        <w:rPr>
          <w:rFonts w:asciiTheme="minorEastAsia" w:hAnsiTheme="minorEastAsia" w:eastAsiaTheme="minorEastAsia"/>
          <w:i/>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2021年度财政拨款基本支出</w:t>
      </w:r>
      <w:r>
        <w:rPr>
          <w:rFonts w:hint="default" w:asciiTheme="minorEastAsia" w:hAnsiTheme="minorEastAsia" w:eastAsiaTheme="minorEastAsia"/>
          <w:color w:val="000000" w:themeColor="text1"/>
          <w:sz w:val="32"/>
          <w:szCs w:val="32"/>
          <w:lang w:val="en-US"/>
          <w14:textFill>
            <w14:solidFill>
              <w14:schemeClr w14:val="tx1"/>
            </w14:solidFill>
          </w14:textFill>
        </w:rPr>
        <w:t>228.26</w:t>
      </w:r>
      <w:r>
        <w:rPr>
          <w:rFonts w:hint="eastAsia" w:asciiTheme="minorEastAsia" w:hAnsiTheme="minorEastAsia" w:eastAsiaTheme="minorEastAsia"/>
          <w:color w:val="000000" w:themeColor="text1"/>
          <w:sz w:val="32"/>
          <w:szCs w:val="32"/>
          <w14:textFill>
            <w14:solidFill>
              <w14:schemeClr w14:val="tx1"/>
            </w14:solidFill>
          </w14:textFill>
        </w:rPr>
        <w:t>万元，其中：人员经费198.26万元，占基本支出的86.86%,主要包括基本工资、津贴补贴、奖金、伙食补助费</w:t>
      </w:r>
      <w:r>
        <w:rPr>
          <w:rFonts w:hint="eastAsia" w:asciiTheme="minorEastAsia" w:hAnsiTheme="minorEastAsia" w:eastAsiaTheme="minorEastAsia"/>
          <w:color w:val="000000" w:themeColor="text1"/>
          <w:sz w:val="32"/>
          <w:szCs w:val="32"/>
          <w:lang w:eastAsia="zh-CN"/>
          <w14:textFill>
            <w14:solidFill>
              <w14:schemeClr w14:val="tx1"/>
            </w14:solidFill>
          </w14:textFill>
        </w:rPr>
        <w:t>、绩效工资、机关事业单位基本养老保险缴费、其他社会保障缴费、住房公积金、其他工资福利支出、退休费</w:t>
      </w:r>
      <w:r>
        <w:rPr>
          <w:rFonts w:hint="eastAsia" w:asciiTheme="minorEastAsia" w:hAnsiTheme="minorEastAsia" w:eastAsiaTheme="minorEastAsia"/>
          <w:color w:val="000000" w:themeColor="text1"/>
          <w:sz w:val="32"/>
          <w:szCs w:val="32"/>
          <w14:textFill>
            <w14:solidFill>
              <w14:schemeClr w14:val="tx1"/>
            </w14:solidFill>
          </w14:textFill>
        </w:rPr>
        <w:t>；公用经费30.00万元，占基本支出的13.14%，主要包括办公费、印刷费、差旅费、维修（护）费</w:t>
      </w:r>
      <w:r>
        <w:rPr>
          <w:rFonts w:hint="eastAsia" w:asciiTheme="minorEastAsia" w:hAnsiTheme="minorEastAsia" w:eastAsiaTheme="minorEastAsia"/>
          <w:color w:val="000000" w:themeColor="text1"/>
          <w:sz w:val="32"/>
          <w:szCs w:val="32"/>
          <w:lang w:eastAsia="zh-CN"/>
          <w14:textFill>
            <w14:solidFill>
              <w14:schemeClr w14:val="tx1"/>
            </w14:solidFill>
          </w14:textFill>
        </w:rPr>
        <w:t>、培训费、公务接待费、  委托业务费、工会经费、福利费、其他交通费用、税金及附加费用、其他商品和服务支出</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七、一般公共预算财政拨款“三公”经费支出决算情况说明</w:t>
      </w:r>
    </w:p>
    <w:p>
      <w:pPr>
        <w:pStyle w:val="11"/>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（一）“三公”经费财政拨款支出决算总体情况说明</w:t>
      </w:r>
    </w:p>
    <w:p>
      <w:pPr>
        <w:pStyle w:val="11"/>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2021年度“三公”经费财政拨款支出预算为0.40万元，支出决算为0.13万元，完成预算的32.50%，其中：</w:t>
      </w:r>
    </w:p>
    <w:p>
      <w:pPr>
        <w:pStyle w:val="11"/>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万元，支出决算为0</w:t>
      </w:r>
      <w:r>
        <w:rPr>
          <w:rFonts w:hint="default" w:asciiTheme="minorEastAsia" w:hAnsiTheme="minorEastAsia" w:eastAsiaTheme="minorEastAsia"/>
          <w:color w:val="000000" w:themeColor="text1"/>
          <w:sz w:val="32"/>
          <w:szCs w:val="32"/>
          <w:lang w:val="en-US"/>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1"/>
        <w:ind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公务接待费支出预算为0.40万元，支出决算为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0.13</w:t>
      </w:r>
      <w:r>
        <w:rPr>
          <w:rFonts w:hint="eastAsia" w:asciiTheme="minorEastAsia" w:hAnsiTheme="minorEastAsia" w:eastAsiaTheme="minorEastAsia"/>
          <w:color w:val="000000" w:themeColor="text1"/>
          <w:sz w:val="32"/>
          <w:szCs w:val="32"/>
          <w14:textFill>
            <w14:solidFill>
              <w14:schemeClr w14:val="tx1"/>
            </w14:solidFill>
          </w14:textFill>
        </w:rPr>
        <w:t>万元，完成预算的32.50%，决算数小于预算数的主要原因是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：严格控制三公经费支出</w:t>
      </w:r>
      <w:r>
        <w:rPr>
          <w:rFonts w:hint="eastAsia" w:asciiTheme="minorEastAsia" w:hAnsiTheme="minorEastAsia" w:eastAsiaTheme="minorEastAsia"/>
          <w:color w:val="000000" w:themeColor="text1"/>
          <w:sz w:val="32"/>
          <w:szCs w:val="32"/>
          <w14:textFill>
            <w14:solidFill>
              <w14:schemeClr w14:val="tx1"/>
            </w14:solidFill>
          </w14:textFill>
        </w:rPr>
        <w:t>，与上年相比减少0.52万元，减少79.84%,减少（增长）的主要原因是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lang w:eastAsia="zh-CN"/>
          <w14:textFill>
            <w14:solidFill>
              <w14:schemeClr w14:val="tx1"/>
            </w14:solidFill>
          </w14:textFill>
        </w:rPr>
        <w:t>严格控制三公经费支出</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2、2021年度公车已拍卖，减少了公务用车运行维护费。</w:t>
      </w:r>
    </w:p>
    <w:p>
      <w:pPr>
        <w:pStyle w:val="11"/>
        <w:ind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公务用车购置费及运行维护费费支出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预算为0</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万元，支出决算为0</w:t>
      </w:r>
      <w:r>
        <w:rPr>
          <w:rFonts w:hint="default"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p>
    <w:p>
      <w:pPr>
        <w:pStyle w:val="11"/>
        <w:ind w:firstLine="321" w:firstLineChars="1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（二）“三公”经费财政拨款支出决算具体情况说明</w:t>
      </w:r>
    </w:p>
    <w:p>
      <w:pPr>
        <w:pStyle w:val="11"/>
        <w:ind w:firstLine="640" w:firstLineChars="200"/>
        <w:rPr>
          <w:rFonts w:hint="default" w:eastAsia="黑体" w:asciiTheme="minorEastAsia" w:hAnsi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2021年度“三公”经费财政拨款支出决算中，公务接待费支出决算0.13万元，占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100.00</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因公出国（境）费支出决算为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公务用车购置费及运行维护费支出决算为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0元，无法计算百分比</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。其中：</w:t>
      </w:r>
    </w:p>
    <w:p>
      <w:pPr>
        <w:pStyle w:val="11"/>
        <w:numPr>
          <w:ilvl w:val="0"/>
          <w:numId w:val="4"/>
        </w:numPr>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公务接待费支出决算为0.13万元，全年共接待来访团组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个、来宾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8</w:t>
      </w:r>
      <w:r>
        <w:rPr>
          <w:rFonts w:hint="eastAsia" w:asciiTheme="minorEastAsia" w:hAnsiTheme="minorEastAsia" w:eastAsiaTheme="minorEastAsia"/>
          <w:color w:val="000000" w:themeColor="text1"/>
          <w:sz w:val="32"/>
          <w:szCs w:val="32"/>
          <w14:textFill>
            <w14:solidFill>
              <w14:schemeClr w14:val="tx1"/>
            </w14:solidFill>
          </w14:textFill>
        </w:rPr>
        <w:t>人，主要是食品</w:t>
      </w:r>
      <w:r>
        <w:rPr>
          <w:rFonts w:hint="eastAsia" w:asciiTheme="minorEastAsia" w:hAnsiTheme="minorEastAsia" w:eastAsiaTheme="minorEastAsia"/>
          <w:color w:val="000000" w:themeColor="text1"/>
          <w:sz w:val="32"/>
          <w:szCs w:val="32"/>
          <w:lang w:eastAsia="zh-CN"/>
          <w14:textFill>
            <w14:solidFill>
              <w14:schemeClr w14:val="tx1"/>
            </w14:solidFill>
          </w14:textFill>
        </w:rPr>
        <w:t>及</w:t>
      </w:r>
      <w:r>
        <w:rPr>
          <w:rFonts w:hint="eastAsia" w:asciiTheme="minorEastAsia" w:hAnsiTheme="minorEastAsia" w:eastAsiaTheme="minorEastAsia"/>
          <w:color w:val="000000" w:themeColor="text1"/>
          <w:sz w:val="32"/>
          <w:szCs w:val="32"/>
          <w14:textFill>
            <w14:solidFill>
              <w14:schemeClr w14:val="tx1"/>
            </w14:solidFill>
          </w14:textFill>
        </w:rPr>
        <w:t>相关产品</w:t>
      </w:r>
      <w:r>
        <w:rPr>
          <w:rFonts w:hint="eastAsia" w:asciiTheme="minorEastAsia" w:hAnsiTheme="minorEastAsia" w:eastAsiaTheme="minorEastAsia"/>
          <w:color w:val="000000" w:themeColor="text1"/>
          <w:sz w:val="32"/>
          <w:szCs w:val="32"/>
          <w:lang w:eastAsia="zh-CN"/>
          <w14:textFill>
            <w14:solidFill>
              <w14:schemeClr w14:val="tx1"/>
            </w14:solidFill>
          </w14:textFill>
        </w:rPr>
        <w:t>检查活动</w:t>
      </w:r>
      <w:r>
        <w:rPr>
          <w:rFonts w:hint="eastAsia" w:asciiTheme="minorEastAsia" w:hAnsiTheme="minorEastAsia" w:eastAsiaTheme="minorEastAsia"/>
          <w:color w:val="000000" w:themeColor="text1"/>
          <w:sz w:val="32"/>
          <w:szCs w:val="32"/>
          <w14:textFill>
            <w14:solidFill>
              <w14:schemeClr w14:val="tx1"/>
            </w14:solidFill>
          </w14:textFill>
        </w:rPr>
        <w:t>发生的接待支出。</w:t>
      </w:r>
    </w:p>
    <w:p>
      <w:pPr>
        <w:pStyle w:val="11"/>
        <w:numPr>
          <w:ilvl w:val="0"/>
          <w:numId w:val="4"/>
        </w:numPr>
        <w:ind w:left="0" w:leftChars="0"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万元，全年安排因公出国（境）团组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，累计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人次</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万元，其中：公务用车购置费</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万元，更新公务用车</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辆。公务用车运行维护费</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万元，截止2021年12月31日，我单位开支财政拨款的公务用车</w:t>
      </w:r>
      <w:r>
        <w:rPr>
          <w:rFonts w:hint="eastAsia" w:asciiTheme="minorEastAsia" w:hAnsiTheme="minorEastAsia"/>
          <w:color w:val="000000" w:themeColor="text1"/>
          <w:sz w:val="32"/>
          <w:szCs w:val="32"/>
          <w:lang w:val="en-US" w:eastAsia="zh-CN"/>
          <w14:textFill>
            <w14:solidFill>
              <w14:schemeClr w14:val="tx1"/>
            </w14:solidFill>
          </w14:textFill>
        </w:rPr>
        <w:t>购置数为0辆，</w:t>
      </w:r>
      <w:r>
        <w:rPr>
          <w:rFonts w:hint="eastAsia" w:asciiTheme="minorEastAsia" w:hAnsiTheme="minorEastAsia"/>
          <w:color w:val="000000" w:themeColor="text1"/>
          <w:sz w:val="32"/>
          <w:szCs w:val="32"/>
          <w14:textFill>
            <w14:solidFill>
              <w14:schemeClr w14:val="tx1"/>
            </w14:solidFill>
          </w14:textFill>
        </w:rPr>
        <w:t>保有量为</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辆。</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八、政府性基金预算收入支出决算情况</w:t>
      </w:r>
    </w:p>
    <w:p>
      <w:pPr>
        <w:pStyle w:val="11"/>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2021年度我单位无政府性基金预算收入。</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九、机关运行经费支出说明</w:t>
      </w:r>
    </w:p>
    <w:p>
      <w:pPr>
        <w:pStyle w:val="11"/>
        <w:ind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本部门2021年度机关运行经费支出</w:t>
      </w:r>
      <w:r>
        <w:rPr>
          <w:rFonts w:hint="default" w:asciiTheme="minorEastAsia" w:hAnsiTheme="minorEastAsia" w:eastAsiaTheme="minorEastAsia"/>
          <w:color w:val="000000" w:themeColor="text1"/>
          <w:sz w:val="32"/>
          <w:szCs w:val="32"/>
          <w:lang w:val="en-US"/>
          <w14:textFill>
            <w14:solidFill>
              <w14:schemeClr w14:val="tx1"/>
            </w14:solidFill>
          </w14:textFill>
        </w:rPr>
        <w:t>30.00</w:t>
      </w:r>
      <w:r>
        <w:rPr>
          <w:rFonts w:hint="eastAsia" w:asciiTheme="minorEastAsia" w:hAnsiTheme="minorEastAsia" w:eastAsiaTheme="minorEastAsia"/>
          <w:color w:val="000000" w:themeColor="text1"/>
          <w:sz w:val="32"/>
          <w:szCs w:val="32"/>
          <w14:textFill>
            <w14:solidFill>
              <w14:schemeClr w14:val="tx1"/>
            </w14:solidFill>
          </w14:textFill>
        </w:rPr>
        <w:t>万元，比上年决算数增加</w:t>
      </w:r>
      <w:r>
        <w:rPr>
          <w:rFonts w:hint="default" w:asciiTheme="minorEastAsia" w:hAnsiTheme="minorEastAsia" w:eastAsiaTheme="minorEastAsia"/>
          <w:color w:val="000000" w:themeColor="text1"/>
          <w:sz w:val="32"/>
          <w:szCs w:val="32"/>
          <w:lang w:val="en-US"/>
          <w14:textFill>
            <w14:solidFill>
              <w14:schemeClr w14:val="tx1"/>
            </w14:solidFill>
          </w14:textFill>
        </w:rPr>
        <w:t>12.38</w:t>
      </w:r>
      <w:r>
        <w:rPr>
          <w:rFonts w:hint="eastAsia" w:asciiTheme="minorEastAsia" w:hAnsiTheme="minorEastAsia" w:eastAsiaTheme="minorEastAsia"/>
          <w:color w:val="000000" w:themeColor="text1"/>
          <w:sz w:val="32"/>
          <w:szCs w:val="32"/>
          <w14:textFill>
            <w14:solidFill>
              <w14:schemeClr w14:val="tx1"/>
            </w14:solidFill>
          </w14:textFill>
        </w:rPr>
        <w:t>万元，增长</w:t>
      </w:r>
      <w:r>
        <w:rPr>
          <w:rFonts w:hint="default" w:asciiTheme="minorEastAsia" w:hAnsiTheme="minorEastAsia" w:eastAsiaTheme="minorEastAsia"/>
          <w:color w:val="000000" w:themeColor="text1"/>
          <w:sz w:val="32"/>
          <w:szCs w:val="32"/>
          <w:lang w:val="en-US"/>
          <w14:textFill>
            <w14:solidFill>
              <w14:schemeClr w14:val="tx1"/>
            </w14:solidFill>
          </w14:textFill>
        </w:rPr>
        <w:t>0.01</w:t>
      </w:r>
      <w:r>
        <w:rPr>
          <w:rFonts w:hint="eastAsia" w:asciiTheme="minorEastAsia" w:hAnsiTheme="minorEastAsia" w:eastAsiaTheme="minorEastAsia"/>
          <w:color w:val="000000" w:themeColor="text1"/>
          <w:sz w:val="32"/>
          <w:szCs w:val="32"/>
          <w14:textFill>
            <w14:solidFill>
              <w14:schemeClr w14:val="tx1"/>
            </w14:solidFill>
          </w14:textFill>
        </w:rPr>
        <w:t>%。主要原因是：</w:t>
      </w:r>
      <w:r>
        <w:rPr>
          <w:rFonts w:hint="eastAsia" w:asciiTheme="minorEastAsia" w:hAnsiTheme="minorEastAsia" w:eastAsiaTheme="minorEastAsia"/>
          <w:color w:val="000000" w:themeColor="text1"/>
          <w:sz w:val="32"/>
          <w:szCs w:val="32"/>
          <w:lang w:eastAsia="zh-CN"/>
          <w14:textFill>
            <w14:solidFill>
              <w14:schemeClr w14:val="tx1"/>
            </w14:solidFill>
          </w14:textFill>
        </w:rPr>
        <w:t>为维持</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日常工作活动的合理开销。</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十、一般性支出情况说明</w:t>
      </w:r>
    </w:p>
    <w:p>
      <w:pPr>
        <w:pStyle w:val="11"/>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2021年本部门开支培训费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0.92</w:t>
      </w:r>
      <w:r>
        <w:rPr>
          <w:rFonts w:hint="eastAsia" w:asciiTheme="minorEastAsia" w:hAnsiTheme="minorEastAsia" w:eastAsiaTheme="minorEastAsia"/>
          <w:color w:val="000000" w:themeColor="text1"/>
          <w:sz w:val="32"/>
          <w:szCs w:val="32"/>
          <w14:textFill>
            <w14:solidFill>
              <w14:schemeClr w14:val="tx1"/>
            </w14:solidFill>
          </w14:textFill>
        </w:rPr>
        <w:t>万元，用于开展202</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w:t>
      </w:r>
      <w:r>
        <w:rPr>
          <w:rFonts w:hint="eastAsia" w:asciiTheme="minorEastAsia" w:hAnsiTheme="minorEastAsia" w:eastAsiaTheme="minorEastAsia"/>
          <w:color w:val="000000" w:themeColor="text1"/>
          <w:sz w:val="32"/>
          <w:szCs w:val="32"/>
          <w14:textFill>
            <w14:solidFill>
              <w14:schemeClr w14:val="tx1"/>
            </w14:solidFill>
          </w14:textFill>
        </w:rPr>
        <w:t>年度重要工业产品获证生产企业监督人员培训，人数</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w:t>
      </w:r>
      <w:r>
        <w:rPr>
          <w:rFonts w:hint="eastAsia" w:asciiTheme="minorEastAsia" w:hAnsiTheme="minorEastAsia" w:eastAsiaTheme="minorEastAsia"/>
          <w:color w:val="000000" w:themeColor="text1"/>
          <w:sz w:val="32"/>
          <w:szCs w:val="32"/>
          <w14:textFill>
            <w14:solidFill>
              <w14:schemeClr w14:val="tx1"/>
            </w14:solidFill>
          </w14:textFill>
        </w:rPr>
        <w:t>人，内容为重要工业产品获证生产企业监督人员培训</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十一、政府采购支出说明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2021年度政府采购支出总额0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万元，其中：政府采购货物支出0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万元、政府采购工程支出0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万元、政府采购服务支出0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万元。授予中小企业合同金额0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金额为0元，无法计算百分比</w:t>
      </w:r>
      <w:r>
        <w:rPr>
          <w:rFonts w:hint="eastAsia" w:asciiTheme="minorEastAsia" w:hAnsiTheme="minorEastAsia" w:eastAsiaTheme="minorEastAsia"/>
          <w:color w:val="000000" w:themeColor="text1"/>
          <w:sz w:val="32"/>
          <w:szCs w:val="32"/>
          <w14:textFill>
            <w14:solidFill>
              <w14:schemeClr w14:val="tx1"/>
            </w14:solidFill>
          </w14:textFill>
        </w:rPr>
        <w:t>，其中：授予小微企业合同金额0</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金额为0元，无法计算百分比</w:t>
      </w:r>
      <w:r>
        <w:rPr>
          <w:rFonts w:hint="eastAsia" w:asciiTheme="minorEastAsia" w:hAnsiTheme="minorEastAsia" w:eastAsiaTheme="minorEastAsia"/>
          <w:color w:val="000000" w:themeColor="text1"/>
          <w:sz w:val="32"/>
          <w:szCs w:val="32"/>
          <w14:textFill>
            <w14:solidFill>
              <w14:schemeClr w14:val="tx1"/>
            </w14:solidFill>
          </w14:textFill>
        </w:rPr>
        <w:t>；货物采购授予中小企业合同</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金额为0元，无法计算百分比</w:t>
      </w:r>
      <w:r>
        <w:rPr>
          <w:rFonts w:hint="eastAsia" w:asciiTheme="minorEastAsia" w:hAnsiTheme="minorEastAsia" w:eastAsiaTheme="minorEastAsia"/>
          <w:color w:val="000000" w:themeColor="text1"/>
          <w:sz w:val="32"/>
          <w:szCs w:val="32"/>
          <w14:textFill>
            <w14:solidFill>
              <w14:schemeClr w14:val="tx1"/>
            </w14:solidFill>
          </w14:textFill>
        </w:rPr>
        <w:t>，工程采购授予中小企业合同金额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为0元，无法计算百分比</w:t>
      </w:r>
      <w:r>
        <w:rPr>
          <w:rFonts w:hint="eastAsia" w:asciiTheme="minorEastAsia" w:hAnsiTheme="minorEastAsia" w:eastAsiaTheme="minorEastAsia"/>
          <w:color w:val="000000" w:themeColor="text1"/>
          <w:sz w:val="32"/>
          <w:szCs w:val="32"/>
          <w14:textFill>
            <w14:solidFill>
              <w14:schemeClr w14:val="tx1"/>
            </w14:solidFill>
          </w14:textFill>
        </w:rPr>
        <w:t>，服务采购授予中小企业合同金额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为0元，无法计算百分比</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十二、国有资产占用情况说明</w:t>
      </w:r>
    </w:p>
    <w:p>
      <w:pPr>
        <w:pStyle w:val="11"/>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截至2021年12月31日，部门（单位）共有车辆</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辆，其中，主要领导干部用车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辆，机要通信用车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辆、应急保障用车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辆、执法执勤用车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辆、特种专业技术用车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辆、其他用车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辆；单位价值50万元以上通用设备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台（套）；单位价值100万元以上专用设备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w:t>
      </w:r>
    </w:p>
    <w:p>
      <w:pPr>
        <w:pStyle w:val="11"/>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十三、2021年度预算绩效情况说明</w:t>
      </w:r>
    </w:p>
    <w:p>
      <w:pPr>
        <w:pStyle w:val="11"/>
        <w:ind w:firstLine="640" w:firstLineChars="200"/>
        <w:rPr>
          <w:color w:val="000000" w:themeColor="text1"/>
          <w:sz w:val="72"/>
          <w:szCs w:val="7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详见附件《2021年度湖南省食品和工业产品生产许可审查中心单位整体支出绩效自评报告》。</w:t>
      </w:r>
    </w:p>
    <w:p>
      <w:pPr>
        <w:pStyle w:val="11"/>
        <w:jc w:val="center"/>
        <w:rPr>
          <w:color w:val="000000" w:themeColor="text1"/>
          <w:sz w:val="72"/>
          <w:szCs w:val="72"/>
          <w14:textFill>
            <w14:solidFill>
              <w14:schemeClr w14:val="tx1"/>
            </w14:solidFill>
          </w14:textFill>
        </w:rPr>
      </w:pPr>
    </w:p>
    <w:p>
      <w:pPr>
        <w:pStyle w:val="11"/>
        <w:jc w:val="both"/>
        <w:rPr>
          <w:rFonts w:hint="eastAsia"/>
          <w:color w:val="000000" w:themeColor="text1"/>
          <w:sz w:val="72"/>
          <w:szCs w:val="72"/>
          <w14:textFill>
            <w14:solidFill>
              <w14:schemeClr w14:val="tx1"/>
            </w14:solidFill>
          </w14:textFill>
        </w:rPr>
      </w:pPr>
    </w:p>
    <w:p>
      <w:pPr>
        <w:pStyle w:val="11"/>
        <w:jc w:val="center"/>
        <w:rPr>
          <w:rFonts w:hint="eastAsia"/>
          <w:color w:val="000000" w:themeColor="text1"/>
          <w:sz w:val="72"/>
          <w:szCs w:val="72"/>
          <w14:textFill>
            <w14:solidFill>
              <w14:schemeClr w14:val="tx1"/>
            </w14:solidFill>
          </w14:textFill>
        </w:rPr>
      </w:pPr>
    </w:p>
    <w:p>
      <w:pPr>
        <w:pStyle w:val="11"/>
        <w:jc w:val="center"/>
        <w:rPr>
          <w:rFonts w:hint="eastAsia"/>
          <w:color w:val="000000" w:themeColor="text1"/>
          <w:sz w:val="72"/>
          <w:szCs w:val="72"/>
          <w14:textFill>
            <w14:solidFill>
              <w14:schemeClr w14:val="tx1"/>
            </w14:solidFill>
          </w14:textFill>
        </w:rPr>
      </w:pPr>
    </w:p>
    <w:p>
      <w:pPr>
        <w:pStyle w:val="11"/>
        <w:jc w:val="center"/>
        <w:rPr>
          <w:rFonts w:hint="eastAsia"/>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第四部分</w:t>
      </w:r>
    </w:p>
    <w:p>
      <w:pPr>
        <w:jc w:val="center"/>
        <w:rPr>
          <w:rFonts w:ascii="黑体" w:eastAsia="黑体" w:cs="黑体"/>
          <w:color w:val="000000" w:themeColor="text1"/>
          <w:kern w:val="0"/>
          <w:sz w:val="70"/>
          <w:szCs w:val="70"/>
          <w14:textFill>
            <w14:solidFill>
              <w14:schemeClr w14:val="tx1"/>
            </w14:solidFill>
          </w14:textFill>
        </w:rPr>
      </w:pPr>
    </w:p>
    <w:p>
      <w:pPr>
        <w:jc w:val="center"/>
        <w:rPr>
          <w:rFonts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名词解释</w:t>
      </w:r>
    </w:p>
    <w:p>
      <w:pPr>
        <w:widowControl/>
        <w:jc w:val="left"/>
        <w:rPr>
          <w:rFonts w:cs="黑体" w:asciiTheme="minorEastAsia" w:hAnsiTheme="minorEastAsia"/>
          <w:color w:val="000000" w:themeColor="text1"/>
          <w:kern w:val="0"/>
          <w:sz w:val="32"/>
          <w:szCs w:val="32"/>
          <w14:textFill>
            <w14:solidFill>
              <w14:schemeClr w14:val="tx1"/>
            </w14:solidFill>
          </w14:textFill>
        </w:rPr>
      </w:pPr>
      <w:r>
        <w:rPr>
          <w:rFonts w:ascii="黑体" w:eastAsia="黑体" w:cs="黑体"/>
          <w:color w:val="000000" w:themeColor="text1"/>
          <w:kern w:val="0"/>
          <w:sz w:val="70"/>
          <w:szCs w:val="70"/>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ind w:left="735" w:leftChars="350"/>
        <w:textAlignment w:val="auto"/>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一、财政拨款收入：指中央财政当年拨付的资金。</w:t>
      </w:r>
    </w:p>
    <w:p>
      <w:pPr>
        <w:ind w:firstLine="700" w:firstLineChars="25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二、其他收入：指除“财政拨款收入”、“事业收入”、“经营收入”等以外的收入。主要是按规定动用的售房收入、存款利息收入等。</w:t>
      </w:r>
    </w:p>
    <w:p>
      <w:pPr>
        <w:ind w:firstLine="700" w:firstLineChars="25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三、基本支出：指为保障机构正常运转、完成日常工作任务而发生的人员支出和公用支出。</w:t>
      </w:r>
    </w:p>
    <w:p>
      <w:pPr>
        <w:ind w:firstLine="700" w:firstLineChars="25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四、项目支出：指在基本支出之外为完成特定行政任务和事业发展目标所发生的支出。</w:t>
      </w:r>
    </w:p>
    <w:p>
      <w:pPr>
        <w:ind w:firstLine="700" w:firstLineChars="250"/>
        <w:rPr>
          <w:rFonts w:asciiTheme="minorEastAsia" w:hAnsiTheme="minorEastAsia"/>
          <w:color w:val="000000" w:themeColor="text1"/>
          <w:sz w:val="28"/>
          <w:szCs w:val="28"/>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五、“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桥过路费、保险费、安全奖励费用等支出；公务接待费反映单位按规定开支的各类公务接待（含外宾接待）支出。</w:t>
      </w:r>
    </w:p>
    <w:p>
      <w:pPr>
        <w:ind w:firstLine="700" w:firstLineChars="250"/>
        <w:rPr>
          <w:color w:val="000000" w:themeColor="text1"/>
          <w:sz w:val="72"/>
          <w:szCs w:val="72"/>
          <w14:textFill>
            <w14:solidFill>
              <w14:schemeClr w14:val="tx1"/>
            </w14:solidFill>
          </w14:textFill>
        </w:rPr>
      </w:pPr>
      <w:r>
        <w:rPr>
          <w:rFonts w:hint="eastAsia" w:asciiTheme="minorEastAsia" w:hAnsiTheme="minorEastAsia"/>
          <w:color w:val="000000" w:themeColor="text1"/>
          <w:sz w:val="28"/>
          <w:szCs w:val="28"/>
          <w14:textFill>
            <w14:solidFill>
              <w14:schemeClr w14:val="tx1"/>
            </w14:solidFill>
          </w14:textFill>
        </w:rPr>
        <w:t>六、机关运行经费：为保障行政单位（含参照公务员法管理的的事业单位）运行用于购买货物和服务的各项资金，包括办公费、印刷费、邮电费、差旅费、会议费、福利费、日常维修费、专用材料费、一般设备购置费、水电费、取暖费、公务用车运行维护费以及其他费用。</w:t>
      </w:r>
    </w:p>
    <w:p>
      <w:pPr>
        <w:pStyle w:val="11"/>
        <w:jc w:val="center"/>
        <w:rPr>
          <w:color w:val="000000" w:themeColor="text1"/>
          <w:sz w:val="72"/>
          <w:szCs w:val="72"/>
          <w14:textFill>
            <w14:solidFill>
              <w14:schemeClr w14:val="tx1"/>
            </w14:solidFill>
          </w14:textFill>
        </w:rPr>
      </w:pPr>
    </w:p>
    <w:p>
      <w:pPr>
        <w:pStyle w:val="11"/>
        <w:jc w:val="both"/>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p>
    <w:p>
      <w:pPr>
        <w:pStyle w:val="11"/>
        <w:jc w:val="center"/>
        <w:rPr>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第五部分</w:t>
      </w:r>
    </w:p>
    <w:p>
      <w:pPr>
        <w:jc w:val="center"/>
        <w:rPr>
          <w:rFonts w:ascii="黑体" w:eastAsia="黑体" w:cs="黑体"/>
          <w:color w:val="000000" w:themeColor="text1"/>
          <w:kern w:val="0"/>
          <w:sz w:val="70"/>
          <w:szCs w:val="70"/>
          <w14:textFill>
            <w14:solidFill>
              <w14:schemeClr w14:val="tx1"/>
            </w14:solidFill>
          </w14:textFill>
        </w:rPr>
      </w:pPr>
    </w:p>
    <w:p>
      <w:pPr>
        <w:jc w:val="center"/>
        <w:rPr>
          <w:rFonts w:ascii="黑体" w:eastAsia="黑体" w:cs="黑体"/>
          <w:color w:val="000000" w:themeColor="text1"/>
          <w:kern w:val="0"/>
          <w:sz w:val="70"/>
          <w:szCs w:val="70"/>
          <w14:textFill>
            <w14:solidFill>
              <w14:schemeClr w14:val="tx1"/>
            </w14:solidFill>
          </w14:textFill>
        </w:rPr>
      </w:pPr>
      <w:r>
        <w:rPr>
          <w:rFonts w:hint="eastAsia" w:ascii="黑体" w:eastAsia="黑体" w:cs="黑体"/>
          <w:color w:val="000000" w:themeColor="text1"/>
          <w:kern w:val="0"/>
          <w:sz w:val="70"/>
          <w:szCs w:val="70"/>
          <w14:textFill>
            <w14:solidFill>
              <w14:schemeClr w14:val="tx1"/>
            </w14:solidFill>
          </w14:textFill>
        </w:rPr>
        <w:t>附件</w:t>
      </w:r>
    </w:p>
    <w:p>
      <w:pPr>
        <w:widowControl/>
        <w:jc w:val="left"/>
        <w:rPr>
          <w:rFonts w:cs="黑体" w:asciiTheme="minorEastAsia" w:hAnsiTheme="minorEastAsia"/>
          <w:color w:val="000000" w:themeColor="text1"/>
          <w:kern w:val="0"/>
          <w:sz w:val="32"/>
          <w:szCs w:val="32"/>
          <w14:textFill>
            <w14:solidFill>
              <w14:schemeClr w14:val="tx1"/>
            </w14:solidFill>
          </w14:textFill>
        </w:rPr>
      </w:pPr>
    </w:p>
    <w:p>
      <w:pPr>
        <w:widowControl/>
        <w:jc w:val="left"/>
        <w:rPr>
          <w:rFonts w:cs="黑体" w:asciiTheme="minorEastAsia" w:hAnsiTheme="minorEastAsia"/>
          <w:color w:val="000000" w:themeColor="text1"/>
          <w:kern w:val="0"/>
          <w:sz w:val="32"/>
          <w:szCs w:val="32"/>
          <w14:textFill>
            <w14:solidFill>
              <w14:schemeClr w14:val="tx1"/>
            </w14:solidFill>
          </w14:textFill>
        </w:rPr>
      </w:pPr>
    </w:p>
    <w:p>
      <w:pPr>
        <w:widowControl/>
        <w:jc w:val="left"/>
        <w:rPr>
          <w:rFonts w:cs="黑体" w:asciiTheme="minorEastAsia" w:hAnsiTheme="minorEastAsia"/>
          <w:color w:val="000000" w:themeColor="text1"/>
          <w:kern w:val="0"/>
          <w:sz w:val="32"/>
          <w:szCs w:val="32"/>
          <w14:textFill>
            <w14:solidFill>
              <w14:schemeClr w14:val="tx1"/>
            </w14:solidFill>
          </w14:textFill>
        </w:rPr>
      </w:pPr>
    </w:p>
    <w:p>
      <w:pPr>
        <w:widowControl/>
        <w:jc w:val="left"/>
        <w:rPr>
          <w:rFonts w:cs="黑体" w:asciiTheme="minorEastAsia" w:hAnsiTheme="minorEastAsia"/>
          <w:color w:val="000000" w:themeColor="text1"/>
          <w:kern w:val="0"/>
          <w:sz w:val="32"/>
          <w:szCs w:val="32"/>
          <w14:textFill>
            <w14:solidFill>
              <w14:schemeClr w14:val="tx1"/>
            </w14:solidFill>
          </w14:textFill>
        </w:rPr>
      </w:pPr>
    </w:p>
    <w:p>
      <w:pPr>
        <w:widowControl/>
        <w:jc w:val="left"/>
        <w:rPr>
          <w:rFonts w:cs="黑体" w:asciiTheme="minorEastAsia" w:hAnsiTheme="minorEastAsia"/>
          <w:color w:val="000000" w:themeColor="text1"/>
          <w:kern w:val="0"/>
          <w:sz w:val="32"/>
          <w:szCs w:val="32"/>
          <w14:textFill>
            <w14:solidFill>
              <w14:schemeClr w14:val="tx1"/>
            </w14:solidFill>
          </w14:textFill>
        </w:rPr>
      </w:pPr>
    </w:p>
    <w:p>
      <w:pPr>
        <w:spacing w:line="600" w:lineRule="exact"/>
        <w:outlineLvl w:val="0"/>
        <w:rPr>
          <w:rFonts w:eastAsia="方正黑体_GBK"/>
          <w:color w:val="000000" w:themeColor="text1"/>
          <w:kern w:val="0"/>
          <w:sz w:val="32"/>
          <w:szCs w:val="32"/>
          <w14:textFill>
            <w14:solidFill>
              <w14:schemeClr w14:val="tx1"/>
            </w14:solidFill>
          </w14:textFill>
        </w:rPr>
      </w:pPr>
    </w:p>
    <w:p>
      <w:pPr>
        <w:spacing w:line="600" w:lineRule="exact"/>
        <w:outlineLvl w:val="0"/>
        <w:rPr>
          <w:rFonts w:eastAsia="方正黑体_GBK"/>
          <w:color w:val="000000" w:themeColor="text1"/>
          <w:kern w:val="0"/>
          <w:sz w:val="32"/>
          <w:szCs w:val="32"/>
          <w14:textFill>
            <w14:solidFill>
              <w14:schemeClr w14:val="tx1"/>
            </w14:solidFill>
          </w14:textFill>
        </w:rPr>
      </w:pPr>
    </w:p>
    <w:p>
      <w:pPr>
        <w:spacing w:line="600" w:lineRule="exact"/>
        <w:outlineLvl w:val="0"/>
        <w:rPr>
          <w:rFonts w:eastAsia="方正黑体_GBK"/>
          <w:color w:val="000000" w:themeColor="text1"/>
          <w:kern w:val="0"/>
          <w:sz w:val="32"/>
          <w:szCs w:val="32"/>
          <w14:textFill>
            <w14:solidFill>
              <w14:schemeClr w14:val="tx1"/>
            </w14:solidFill>
          </w14:textFill>
        </w:rPr>
      </w:pPr>
    </w:p>
    <w:p>
      <w:pPr>
        <w:spacing w:line="600" w:lineRule="exact"/>
        <w:outlineLvl w:val="0"/>
        <w:rPr>
          <w:rFonts w:eastAsia="方正黑体_GBK"/>
          <w:color w:val="000000" w:themeColor="text1"/>
          <w:kern w:val="0"/>
          <w:sz w:val="32"/>
          <w:szCs w:val="32"/>
          <w14:textFill>
            <w14:solidFill>
              <w14:schemeClr w14:val="tx1"/>
            </w14:solidFill>
          </w14:textFill>
        </w:rPr>
      </w:pPr>
    </w:p>
    <w:p>
      <w:pPr>
        <w:spacing w:line="600" w:lineRule="exact"/>
        <w:outlineLvl w:val="0"/>
        <w:rPr>
          <w:rFonts w:eastAsia="方正黑体_GBK"/>
          <w:color w:val="000000" w:themeColor="text1"/>
          <w:kern w:val="0"/>
          <w:sz w:val="32"/>
          <w:szCs w:val="32"/>
          <w14:textFill>
            <w14:solidFill>
              <w14:schemeClr w14:val="tx1"/>
            </w14:solidFill>
          </w14:textFill>
        </w:rPr>
      </w:pPr>
      <w:r>
        <w:rPr>
          <w:rFonts w:eastAsia="方正黑体_GBK"/>
          <w:color w:val="000000" w:themeColor="text1"/>
          <w:kern w:val="0"/>
          <w:sz w:val="32"/>
          <w:szCs w:val="32"/>
          <w14:textFill>
            <w14:solidFill>
              <w14:schemeClr w14:val="tx1"/>
            </w14:solidFill>
          </w14:textFill>
        </w:rPr>
        <w:t>附件1</w:t>
      </w:r>
    </w:p>
    <w:p>
      <w:pPr>
        <w:spacing w:line="600" w:lineRule="exact"/>
        <w:rPr>
          <w:rFonts w:eastAsia="黑体"/>
          <w:color w:val="000000" w:themeColor="text1"/>
          <w:kern w:val="0"/>
          <w:sz w:val="32"/>
          <w:szCs w:val="32"/>
          <w14:textFill>
            <w14:solidFill>
              <w14:schemeClr w14:val="tx1"/>
            </w14:solidFill>
          </w14:textFill>
        </w:rPr>
      </w:pPr>
    </w:p>
    <w:p>
      <w:pPr>
        <w:spacing w:line="600" w:lineRule="exact"/>
        <w:rPr>
          <w:rFonts w:eastAsia="黑体"/>
          <w:color w:val="000000" w:themeColor="text1"/>
          <w:kern w:val="0"/>
          <w:sz w:val="32"/>
          <w:szCs w:val="32"/>
          <w14:textFill>
            <w14:solidFill>
              <w14:schemeClr w14:val="tx1"/>
            </w14:solidFill>
          </w14:textFill>
        </w:rPr>
      </w:pPr>
    </w:p>
    <w:p>
      <w:pPr>
        <w:jc w:val="center"/>
        <w:rPr>
          <w:rFonts w:hint="eastAsia" w:ascii="方正小标宋_GBK" w:eastAsia="方正小标宋_GBK"/>
          <w:color w:val="000000" w:themeColor="text1"/>
          <w:sz w:val="52"/>
          <w:szCs w:val="52"/>
          <w14:textFill>
            <w14:solidFill>
              <w14:schemeClr w14:val="tx1"/>
            </w14:solidFill>
          </w14:textFill>
        </w:rPr>
      </w:pPr>
      <w:r>
        <w:rPr>
          <w:rFonts w:hint="eastAsia" w:ascii="方正小标宋_GBK" w:eastAsia="方正小标宋_GBK"/>
          <w:color w:val="000000" w:themeColor="text1"/>
          <w:sz w:val="52"/>
          <w:szCs w:val="52"/>
          <w:lang w:val="en-US" w:eastAsia="zh-CN"/>
          <w14:textFill>
            <w14:solidFill>
              <w14:schemeClr w14:val="tx1"/>
            </w14:solidFill>
          </w14:textFill>
        </w:rPr>
        <w:t>2021</w:t>
      </w:r>
      <w:r>
        <w:rPr>
          <w:rFonts w:hint="eastAsia" w:ascii="方正小标宋_GBK" w:eastAsia="方正小标宋_GBK"/>
          <w:color w:val="000000" w:themeColor="text1"/>
          <w:sz w:val="52"/>
          <w:szCs w:val="52"/>
          <w14:textFill>
            <w14:solidFill>
              <w14:schemeClr w14:val="tx1"/>
            </w14:solidFill>
          </w14:textFill>
        </w:rPr>
        <w:t>年度</w:t>
      </w:r>
    </w:p>
    <w:p>
      <w:pPr>
        <w:jc w:val="center"/>
        <w:rPr>
          <w:rFonts w:ascii="方正小标宋_GBK" w:eastAsia="方正小标宋_GBK"/>
          <w:color w:val="000000" w:themeColor="text1"/>
          <w:sz w:val="52"/>
          <w:szCs w:val="52"/>
          <w14:textFill>
            <w14:solidFill>
              <w14:schemeClr w14:val="tx1"/>
            </w14:solidFill>
          </w14:textFill>
        </w:rPr>
      </w:pPr>
      <w:r>
        <w:rPr>
          <w:rFonts w:hint="eastAsia" w:ascii="方正小标宋_GBK" w:eastAsia="方正小标宋_GBK"/>
          <w:color w:val="000000" w:themeColor="text1"/>
          <w:sz w:val="52"/>
          <w:szCs w:val="52"/>
          <w:lang w:val="en-US" w:eastAsia="zh-CN"/>
          <w14:textFill>
            <w14:solidFill>
              <w14:schemeClr w14:val="tx1"/>
            </w14:solidFill>
          </w14:textFill>
        </w:rPr>
        <w:t>湖南省食品和工业产品生产许可审查中心</w:t>
      </w:r>
      <w:r>
        <w:rPr>
          <w:rFonts w:hint="eastAsia" w:ascii="方正小标宋_GBK" w:eastAsia="方正小标宋_GBK"/>
          <w:color w:val="000000" w:themeColor="text1"/>
          <w:sz w:val="52"/>
          <w:szCs w:val="52"/>
          <w14:textFill>
            <w14:solidFill>
              <w14:schemeClr w14:val="tx1"/>
            </w14:solidFill>
          </w14:textFill>
        </w:rPr>
        <w:t>整体支出绩效自评报告</w:t>
      </w:r>
    </w:p>
    <w:p>
      <w:pPr>
        <w:jc w:val="center"/>
        <w:rPr>
          <w:rFonts w:ascii="方正小标宋_GBK" w:eastAsia="方正小标宋_GBK"/>
          <w:b/>
          <w:color w:val="000000" w:themeColor="text1"/>
          <w:sz w:val="52"/>
          <w:szCs w:val="52"/>
          <w14:textFill>
            <w14:solidFill>
              <w14:schemeClr w14:val="tx1"/>
            </w14:solidFill>
          </w14:textFill>
        </w:rPr>
      </w:pPr>
    </w:p>
    <w:p>
      <w:pPr>
        <w:jc w:val="center"/>
        <w:rPr>
          <w:rFonts w:eastAsia="楷体_GB2312"/>
          <w:b/>
          <w:color w:val="000000" w:themeColor="text1"/>
          <w:sz w:val="32"/>
          <w:szCs w:val="32"/>
          <w14:textFill>
            <w14:solidFill>
              <w14:schemeClr w14:val="tx1"/>
            </w14:solidFill>
          </w14:textFill>
        </w:rPr>
      </w:pPr>
    </w:p>
    <w:p>
      <w:pPr>
        <w:jc w:val="center"/>
        <w:rPr>
          <w:rFonts w:eastAsia="楷体_GB2312"/>
          <w:b/>
          <w:color w:val="000000" w:themeColor="text1"/>
          <w:sz w:val="32"/>
          <w:szCs w:val="32"/>
          <w14:textFill>
            <w14:solidFill>
              <w14:schemeClr w14:val="tx1"/>
            </w14:solidFill>
          </w14:textFill>
        </w:rPr>
      </w:pPr>
    </w:p>
    <w:p>
      <w:pPr>
        <w:jc w:val="center"/>
        <w:rPr>
          <w:rFonts w:eastAsia="楷体_GB2312"/>
          <w:b/>
          <w:color w:val="000000" w:themeColor="text1"/>
          <w:sz w:val="32"/>
          <w:szCs w:val="32"/>
          <w14:textFill>
            <w14:solidFill>
              <w14:schemeClr w14:val="tx1"/>
            </w14:solidFill>
          </w14:textFill>
        </w:rPr>
      </w:pPr>
    </w:p>
    <w:p>
      <w:pPr>
        <w:jc w:val="center"/>
        <w:rPr>
          <w:rFonts w:eastAsia="楷体_GB2312"/>
          <w:b/>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spacing w:line="600" w:lineRule="exact"/>
        <w:ind w:firstLine="640" w:firstLineChars="200"/>
        <w:jc w:val="center"/>
        <w:rPr>
          <w:rFonts w:hint="default" w:ascii="方正仿宋_GBK" w:eastAsia="方正仿宋_GBK"/>
          <w:color w:val="000000" w:themeColor="text1"/>
          <w:sz w:val="32"/>
          <w:szCs w:val="32"/>
          <w:u w:val="single"/>
          <w:lang w:val="en-US" w:eastAsia="zh-CN"/>
          <w14:textFill>
            <w14:solidFill>
              <w14:schemeClr w14:val="tx1"/>
            </w14:solidFill>
          </w14:textFill>
        </w:rPr>
      </w:pPr>
      <w:r>
        <w:rPr>
          <w:rFonts w:hint="eastAsia" w:ascii="方正仿宋_GBK" w:eastAsia="方正仿宋_GBK"/>
          <w:color w:val="000000" w:themeColor="text1"/>
          <w:sz w:val="32"/>
          <w:szCs w:val="32"/>
          <w14:textFill>
            <w14:solidFill>
              <w14:schemeClr w14:val="tx1"/>
            </w14:solidFill>
          </w14:textFill>
        </w:rPr>
        <w:t>单位名称：</w:t>
      </w:r>
      <w:r>
        <w:rPr>
          <w:rFonts w:hint="eastAsia" w:ascii="方正仿宋_GBK" w:eastAsia="方正仿宋_GBK"/>
          <w:color w:val="000000" w:themeColor="text1"/>
          <w:sz w:val="32"/>
          <w:szCs w:val="32"/>
          <w:u w:val="single"/>
          <w:lang w:val="en-US" w:eastAsia="zh-CN"/>
          <w14:textFill>
            <w14:solidFill>
              <w14:schemeClr w14:val="tx1"/>
            </w14:solidFill>
          </w14:textFill>
        </w:rPr>
        <w:t>湖南省食品和工业产品生产许可审查中心</w:t>
      </w:r>
    </w:p>
    <w:p>
      <w:pPr>
        <w:spacing w:line="600" w:lineRule="exact"/>
        <w:ind w:firstLine="640" w:firstLineChars="200"/>
        <w:jc w:val="center"/>
        <w:rPr>
          <w:rFonts w:hint="eastAsia" w:ascii="方正仿宋_GBK" w:eastAsia="方正仿宋_GBK"/>
          <w:color w:val="000000" w:themeColor="text1"/>
          <w:sz w:val="32"/>
          <w:szCs w:val="32"/>
          <w14:textFill>
            <w14:solidFill>
              <w14:schemeClr w14:val="tx1"/>
            </w14:solidFill>
          </w14:textFill>
        </w:rPr>
      </w:pPr>
      <w:r>
        <w:rPr>
          <w:rFonts w:hint="eastAsia" w:ascii="方正仿宋_GBK" w:eastAsia="方正仿宋_GBK"/>
          <w:color w:val="000000" w:themeColor="text1"/>
          <w:sz w:val="32"/>
          <w:szCs w:val="32"/>
          <w:lang w:val="en-US" w:eastAsia="zh-CN"/>
          <w14:textFill>
            <w14:solidFill>
              <w14:schemeClr w14:val="tx1"/>
            </w14:solidFill>
          </w14:textFill>
        </w:rPr>
        <w:t>2022</w:t>
      </w:r>
      <w:r>
        <w:rPr>
          <w:rFonts w:hint="eastAsia" w:ascii="方正仿宋_GBK" w:eastAsia="方正仿宋_GBK"/>
          <w:color w:val="000000" w:themeColor="text1"/>
          <w:sz w:val="32"/>
          <w:szCs w:val="32"/>
          <w14:textFill>
            <w14:solidFill>
              <w14:schemeClr w14:val="tx1"/>
            </w14:solidFill>
          </w14:textFill>
        </w:rPr>
        <w:t xml:space="preserve">年 </w:t>
      </w:r>
      <w:r>
        <w:rPr>
          <w:rFonts w:hint="eastAsia" w:ascii="方正仿宋_GBK" w:eastAsia="方正仿宋_GBK"/>
          <w:color w:val="000000" w:themeColor="text1"/>
          <w:sz w:val="32"/>
          <w:szCs w:val="32"/>
          <w:lang w:val="en-US" w:eastAsia="zh-CN"/>
          <w14:textFill>
            <w14:solidFill>
              <w14:schemeClr w14:val="tx1"/>
            </w14:solidFill>
          </w14:textFill>
        </w:rPr>
        <w:t>4</w:t>
      </w:r>
      <w:r>
        <w:rPr>
          <w:rFonts w:hint="eastAsia" w:ascii="方正仿宋_GBK" w:eastAsia="方正仿宋_GBK"/>
          <w:color w:val="000000" w:themeColor="text1"/>
          <w:sz w:val="32"/>
          <w:szCs w:val="32"/>
          <w14:textFill>
            <w14:solidFill>
              <w14:schemeClr w14:val="tx1"/>
            </w14:solidFill>
          </w14:textFill>
        </w:rPr>
        <w:t>月</w:t>
      </w:r>
      <w:r>
        <w:rPr>
          <w:rFonts w:hint="eastAsia" w:ascii="方正仿宋_GBK" w:eastAsia="方正仿宋_GBK"/>
          <w:color w:val="000000" w:themeColor="text1"/>
          <w:sz w:val="32"/>
          <w:szCs w:val="32"/>
          <w:lang w:val="en-US" w:eastAsia="zh-CN"/>
          <w14:textFill>
            <w14:solidFill>
              <w14:schemeClr w14:val="tx1"/>
            </w14:solidFill>
          </w14:textFill>
        </w:rPr>
        <w:t>28</w:t>
      </w:r>
      <w:r>
        <w:rPr>
          <w:rFonts w:hint="eastAsia" w:ascii="方正仿宋_GBK" w:eastAsia="方正仿宋_GBK"/>
          <w:color w:val="000000" w:themeColor="text1"/>
          <w:sz w:val="32"/>
          <w:szCs w:val="32"/>
          <w14:textFill>
            <w14:solidFill>
              <w14:schemeClr w14:val="tx1"/>
            </w14:solidFill>
          </w14:textFill>
        </w:rPr>
        <w:t>日</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firstLine="642" w:firstLineChars="200"/>
        <w:textAlignment w:val="auto"/>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单位基本情况</w:t>
      </w:r>
      <w:r>
        <w:rPr>
          <w:rFonts w:hint="eastAsia" w:ascii="黑体" w:hAnsi="黑体" w:eastAsia="黑体" w:cs="黑体"/>
          <w:b/>
          <w:bCs/>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湖南省食品和工业产品生产许可审查中心是隶属于湖南省市场监督管理局的正处级全额拨款（公益一类）事业单位。中心主要负责组织开展全省食品相关产品和工业产品生产许可审查；受省局委托承担全省食品相关产品监督检查及职责内行政许可的监督检查工作；组织实施全省检验检测机构资质认定、权限内计量标准器具核准、承担国家法定计量检定机构任务的授权、计量器具新产品型式批准等行政许可的审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default"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二、一般公共预算支出情况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（一）基本支出情况</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14:textFill>
            <w14:solidFill>
              <w14:schemeClr w14:val="tx1"/>
            </w14:solidFill>
          </w14:textFill>
        </w:rPr>
        <w:t>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年度基本支出</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228.36</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万元，主要用于维持中心基本运转。其中基本工资、津贴补贴、社会保障缴费、住房公积金、退休</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费</w:t>
      </w:r>
      <w:r>
        <w:rPr>
          <w:rFonts w:hint="eastAsia" w:asciiTheme="minorEastAsia" w:hAnsiTheme="minorEastAsia" w:eastAsiaTheme="minorEastAsia" w:cstheme="minorEastAsia"/>
          <w:color w:val="000000" w:themeColor="text1"/>
          <w:sz w:val="28"/>
          <w:szCs w:val="28"/>
          <w14:textFill>
            <w14:solidFill>
              <w14:schemeClr w14:val="tx1"/>
            </w14:solidFill>
          </w14:textFill>
        </w:rPr>
        <w:t>等人员经费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198.26</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万元，办公费、印刷费、维修（护）费、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公务接待费、其他交通费、</w:t>
      </w:r>
      <w:r>
        <w:rPr>
          <w:rFonts w:hint="eastAsia" w:asciiTheme="minorEastAsia" w:hAnsiTheme="minorEastAsia" w:eastAsiaTheme="minorEastAsia" w:cstheme="minorEastAsia"/>
          <w:color w:val="000000" w:themeColor="text1"/>
          <w:sz w:val="28"/>
          <w:szCs w:val="28"/>
          <w14:textFill>
            <w14:solidFill>
              <w14:schemeClr w14:val="tx1"/>
            </w14:solidFill>
          </w14:textFill>
        </w:rPr>
        <w:t>差旅费、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福利</w:t>
      </w:r>
      <w:r>
        <w:rPr>
          <w:rFonts w:hint="eastAsia" w:asciiTheme="minorEastAsia" w:hAnsiTheme="minorEastAsia" w:eastAsiaTheme="minorEastAsia" w:cstheme="minorEastAsia"/>
          <w:color w:val="000000" w:themeColor="text1"/>
          <w:sz w:val="28"/>
          <w:szCs w:val="28"/>
          <w14:textFill>
            <w14:solidFill>
              <w14:schemeClr w14:val="tx1"/>
            </w14:solidFill>
          </w14:textFill>
        </w:rPr>
        <w:t>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税金及附加费用</w:t>
      </w:r>
      <w:r>
        <w:rPr>
          <w:rFonts w:hint="eastAsia" w:asciiTheme="minorEastAsia" w:hAnsiTheme="minorEastAsia" w:eastAsiaTheme="minorEastAsia" w:cstheme="minorEastAsia"/>
          <w:color w:val="000000" w:themeColor="text1"/>
          <w:sz w:val="28"/>
          <w:szCs w:val="28"/>
          <w14:textFill>
            <w14:solidFill>
              <w14:schemeClr w14:val="tx1"/>
            </w14:solidFill>
          </w14:textFill>
        </w:rPr>
        <w:t>、其他商品服务支出等日常公用经费支出</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30.1</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万元。全年使用率</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93.64</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（二）项目支出情况</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一是202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年度省级专项资金分配安排和使用管理情况。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1、重要工业产品专项经费202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年合计支出资金</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8"/>
          <w:szCs w:val="28"/>
          <w14:textFill>
            <w14:solidFill>
              <w14:schemeClr w14:val="tx1"/>
            </w14:solidFill>
          </w14:textFill>
        </w:rPr>
        <w:t>0万元，资金使用率为100%，用于食品相关产品例行监督检查和工业产品实地核查及后置、重要工业产品“双随机、一公开”证后监督检查审查，差旅费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14</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万元、劳务费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万元、其他交通费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16</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认可检测业务专项</w:t>
      </w:r>
      <w:r>
        <w:rPr>
          <w:rFonts w:hint="eastAsia" w:asciiTheme="minorEastAsia" w:hAnsiTheme="minorEastAsia" w:eastAsiaTheme="minorEastAsia" w:cstheme="minorEastAsia"/>
          <w:color w:val="000000" w:themeColor="text1"/>
          <w:sz w:val="28"/>
          <w:szCs w:val="28"/>
          <w14:textFill>
            <w14:solidFill>
              <w14:schemeClr w14:val="tx1"/>
            </w14:solidFill>
          </w14:textFill>
        </w:rPr>
        <w:t>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年合计支出资金</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66.6</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印刷费0.2万元、</w:t>
      </w:r>
      <w:r>
        <w:rPr>
          <w:rFonts w:hint="eastAsia" w:asciiTheme="minorEastAsia" w:hAnsiTheme="minorEastAsia" w:eastAsiaTheme="minorEastAsia" w:cstheme="minorEastAsia"/>
          <w:color w:val="000000" w:themeColor="text1"/>
          <w:sz w:val="28"/>
          <w:szCs w:val="28"/>
          <w14:textFill>
            <w14:solidFill>
              <w14:schemeClr w14:val="tx1"/>
            </w14:solidFill>
          </w14:textFill>
        </w:rPr>
        <w:t>差旅费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10.71</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万元，劳务费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44.5</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万元，其他交通费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z w:val="28"/>
          <w:szCs w:val="28"/>
          <w14:textFill>
            <w14:solidFill>
              <w14:schemeClr w14:val="tx1"/>
            </w14:solidFill>
          </w14:textFill>
        </w:rPr>
        <w:t>.18万元），资金使用率为</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95.14</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3、计量行政许可评审专项经费2021年合计支出3.85万元，其中劳务费支出3.85万元，资金使用率为77%。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4、市场监督管理专项经费支出合计29.96万元，主要用于重要工业产品及食品相关产品例行监督检查、实地核查及后置审查，其中包括：差旅费8.53万元、劳务费9.12万元、委托业务费1.32万元、其他交通费10.99万元，资金使用率为99.87%。</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二是除省级专项资金以外的其他项目支出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20</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21</w:t>
      </w:r>
      <w:r>
        <w:rPr>
          <w:rFonts w:hint="eastAsia" w:asciiTheme="minorEastAsia" w:hAnsiTheme="minorEastAsia" w:eastAsiaTheme="minorEastAsia" w:cstheme="minorEastAsia"/>
          <w:color w:val="000000" w:themeColor="text1"/>
          <w:sz w:val="28"/>
          <w:szCs w:val="28"/>
          <w14:textFill>
            <w14:solidFill>
              <w14:schemeClr w14:val="tx1"/>
            </w14:solidFill>
          </w14:textFill>
        </w:rPr>
        <w:t>年度</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其他运转类</w:t>
      </w:r>
      <w:r>
        <w:rPr>
          <w:rFonts w:hint="eastAsia" w:asciiTheme="minorEastAsia" w:hAnsiTheme="minorEastAsia" w:eastAsiaTheme="minorEastAsia" w:cstheme="minorEastAsia"/>
          <w:color w:val="000000" w:themeColor="text1"/>
          <w:sz w:val="28"/>
          <w:szCs w:val="28"/>
          <w14:textFill>
            <w14:solidFill>
              <w14:schemeClr w14:val="tx1"/>
            </w14:solidFill>
          </w14:textFill>
        </w:rPr>
        <w:t>办公室设备购置</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支出合计4</w:t>
      </w:r>
      <w:r>
        <w:rPr>
          <w:rFonts w:hint="eastAsia" w:asciiTheme="minorEastAsia" w:hAnsiTheme="minorEastAsia" w:eastAsiaTheme="minorEastAsia" w:cstheme="minorEastAsia"/>
          <w:color w:val="000000" w:themeColor="text1"/>
          <w:sz w:val="28"/>
          <w:szCs w:val="28"/>
          <w14:textFill>
            <w14:solidFill>
              <w14:schemeClr w14:val="tx1"/>
            </w14:solidFill>
          </w14:textFill>
        </w:rPr>
        <w:t>万元，资金使用率为100%</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业务工作经费为财政资金年初预算安排因公出国（境）费用5万元，全年支出0万元，资金使用率为0%</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三、部门整体支出绩效情况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我中心</w:t>
      </w:r>
      <w:r>
        <w:rPr>
          <w:rFonts w:hint="eastAsia" w:asciiTheme="minorEastAsia" w:hAnsiTheme="minorEastAsia" w:eastAsiaTheme="minorEastAsia" w:cstheme="minorEastAsia"/>
          <w:color w:val="000000" w:themeColor="text1"/>
          <w:sz w:val="28"/>
          <w:szCs w:val="28"/>
          <w14:textFill>
            <w14:solidFill>
              <w14:schemeClr w14:val="tx1"/>
            </w14:solidFill>
          </w14:textFill>
        </w:rPr>
        <w:t>依法</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依规</w:t>
      </w:r>
      <w:r>
        <w:rPr>
          <w:rFonts w:hint="eastAsia" w:asciiTheme="minorEastAsia" w:hAnsiTheme="minorEastAsia" w:eastAsiaTheme="minorEastAsia" w:cstheme="minorEastAsia"/>
          <w:color w:val="000000" w:themeColor="text1"/>
          <w:sz w:val="28"/>
          <w:szCs w:val="28"/>
          <w14:textFill>
            <w14:solidFill>
              <w14:schemeClr w14:val="tx1"/>
            </w14:solidFill>
          </w14:textFill>
        </w:rPr>
        <w:t>开展相关的技术工作</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严格遵守程序，按时完成</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各项任务</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（一）按照省局</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“双随机一公开”</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要求，</w:t>
      </w:r>
      <w:r>
        <w:rPr>
          <w:rFonts w:hint="eastAsia" w:asciiTheme="minorEastAsia" w:hAnsiTheme="minorEastAsia" w:eastAsiaTheme="minorEastAsia" w:cstheme="minorEastAsia"/>
          <w:color w:val="000000" w:themeColor="text1"/>
          <w:sz w:val="28"/>
          <w:szCs w:val="28"/>
          <w14:textFill>
            <w14:solidFill>
              <w14:schemeClr w14:val="tx1"/>
            </w14:solidFill>
          </w14:textFill>
        </w:rPr>
        <w:t>共对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140</w:t>
      </w:r>
      <w:r>
        <w:rPr>
          <w:rFonts w:hint="eastAsia" w:asciiTheme="minorEastAsia" w:hAnsiTheme="minorEastAsia" w:eastAsiaTheme="minorEastAsia" w:cstheme="minorEastAsia"/>
          <w:color w:val="000000" w:themeColor="text1"/>
          <w:sz w:val="28"/>
          <w:szCs w:val="28"/>
          <w14:textFill>
            <w14:solidFill>
              <w14:schemeClr w14:val="tx1"/>
            </w14:solidFill>
          </w14:textFill>
        </w:rPr>
        <w:t>家认证企业进行了认证活动（事中）监督检查</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对检查中发现的问题进行逐项分析，对存在一般问题的机构，提出了自行整改要求</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对问题比较严重的认证机构提出了调阅认证企业档案进一步落实的建议</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（二）2021年度共</w:t>
      </w:r>
      <w:r>
        <w:rPr>
          <w:rFonts w:hint="eastAsia" w:asciiTheme="minorEastAsia" w:hAnsiTheme="minorEastAsia" w:eastAsiaTheme="minorEastAsia" w:cstheme="minorEastAsia"/>
          <w:color w:val="000000" w:themeColor="text1"/>
          <w:sz w:val="28"/>
          <w:szCs w:val="28"/>
          <w14:textFill>
            <w14:solidFill>
              <w14:schemeClr w14:val="tx1"/>
            </w14:solidFill>
          </w14:textFill>
        </w:rPr>
        <w:t>下达资质认定评审计划223，已完成现场评审提交发证196家</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委托计量器具型式评价计划32家/次，已完成提交发证26家/次</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组织完成13家机构的计量器具核准，并提交发证，已完成提交发证13家/次。受省局委派参加了2021年度检验检测机构“双随机、一公开”监督检查的组织策划、现场检查及结果研判。此项工作历时3个月，根据“随机抽查、公正公开、问题导向”的原则，按照“双随机”要求，随机抽取了机动车检验机构、环境监测机构、食品检验机构和常压灌车检验机构共计62家，检查人员（由省生态环境厅、省市场监督管理局共同从湖北、广西及我省市场监管部门专家库随机抽取），并特邀省纪委监委驻省市场监督管理局纪检组派人对以上过程进行了监督，组成了8个检查组，覆盖14个地州市。被检查的66家机构中，均不同程度发现一些问题</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并向省局提出了</w:t>
      </w:r>
      <w:r>
        <w:rPr>
          <w:rFonts w:hint="eastAsia" w:asciiTheme="minorEastAsia" w:hAnsiTheme="minorEastAsia" w:eastAsiaTheme="minorEastAsia" w:cstheme="minorEastAsia"/>
          <w:color w:val="000000" w:themeColor="text1"/>
          <w:sz w:val="28"/>
          <w:szCs w:val="28"/>
          <w14:textFill>
            <w14:solidFill>
              <w14:schemeClr w14:val="tx1"/>
            </w14:solidFill>
          </w14:textFill>
        </w:rPr>
        <w:t>给予依法查处/责令整改</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意见</w:t>
      </w:r>
      <w:r>
        <w:rPr>
          <w:rFonts w:hint="eastAsia" w:asciiTheme="minorEastAsia" w:hAnsiTheme="minorEastAsia" w:eastAsiaTheme="minorEastAsia" w:cstheme="minorEastAsia"/>
          <w:color w:val="000000" w:themeColor="text1"/>
          <w:sz w:val="28"/>
          <w:szCs w:val="28"/>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并</w:t>
      </w:r>
      <w:r>
        <w:rPr>
          <w:rFonts w:hint="eastAsia" w:asciiTheme="minorEastAsia" w:hAnsiTheme="minorEastAsia" w:eastAsiaTheme="minorEastAsia" w:cstheme="minorEastAsia"/>
          <w:color w:val="000000" w:themeColor="text1"/>
          <w:sz w:val="28"/>
          <w:szCs w:val="28"/>
          <w14:textFill>
            <w14:solidFill>
              <w14:schemeClr w14:val="tx1"/>
            </w14:solidFill>
          </w14:textFill>
        </w:rPr>
        <w:t>移交当地监管部门查办</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对规范湖南认证市场行为，打造诚信营商环境，促进地方经济发展提出了建设性意见</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三</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按照国家深化行政许可改革的要求，根据省局部署安排，不断深化商事制度改革，做好了食品相关产品、重要工业产品、检验检测机构资质认定等许可审查检查组织工作。组织安排各类许可审查检查677家（其中许可审查、例行检查、评审考核等共605家，监督检查72家），向省局提交现场评审结论报告600 份。协助省局业务处室网上受理审查、业务咨询796件次，落实了心系人民、服务全局、高效协同的要求。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（四）</w:t>
      </w:r>
      <w:r>
        <w:rPr>
          <w:rFonts w:hint="eastAsia" w:asciiTheme="minorEastAsia" w:hAnsiTheme="minorEastAsia" w:eastAsiaTheme="minorEastAsia" w:cstheme="minorEastAsia"/>
          <w:color w:val="000000" w:themeColor="text1"/>
          <w:sz w:val="28"/>
          <w:szCs w:val="28"/>
          <w14:textFill>
            <w14:solidFill>
              <w14:schemeClr w14:val="tx1"/>
            </w14:solidFill>
          </w14:textFill>
        </w:rPr>
        <w:t>巩固深化“放管服”改革成果，在全力实现“一件事一次办”的同时为许可事项事前、事中、事后监督管理提供强有力的技术支撑和保证。根据相关制度改革和上级工作要求，组织对内部业务规范进一步修订，制定实施《工业产品生产许可审查工作内部管理规范》《食品相关产品例行监督检查工作内部管理规范》《计量行政许可审查工作内部管理规范》《检验检测机构资质认定工作内部管理规范》等，实现审查工作质量和效率再提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组织专家调研企业生产经营状况，帮助企业技术升级；政务窗口值班过程中，开展政务政策答难，帮扶群众节约资源成本；充分发挥中心在检验检测资质认定技术上的优势，指导企业开展标准制修订、提升检验检测能力；组织编印《工业产品生产许可证申证业务指南》《食品相关产品申证指南》《检验检测机构资质认定100问》等技术指导资料，免费发放给服务对象，减少服务对象“走弯路”现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四、存在的问题及原因分析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通过对中心整体支出情况的分析，发现存在的主要问题是：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 xml:space="preserve">指标调剂，由于预算科目无法与实际支出完全相符，在年末将部分公用经费-其他交通费调剂至人员经费-伙食补助使用。         　        </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（二）指标调剂，</w:t>
      </w:r>
      <w:r>
        <w:rPr>
          <w:rFonts w:hint="eastAsia" w:asciiTheme="minorEastAsia" w:hAnsiTheme="minorEastAsia" w:eastAsiaTheme="minorEastAsia" w:cstheme="minorEastAsia"/>
          <w:color w:val="000000" w:themeColor="text1"/>
          <w:sz w:val="28"/>
          <w:szCs w:val="28"/>
          <w14:textFill>
            <w14:solidFill>
              <w14:schemeClr w14:val="tx1"/>
            </w14:solidFill>
          </w14:textFill>
        </w:rPr>
        <w:t>原预算支出202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1年培训费由于疫情原因无法开展，将其调剂至人员经费-伙食补助使用。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Theme="minorEastAsia" w:hAnsiTheme="minorEastAsia" w:eastAsiaTheme="minorEastAsia" w:cstheme="minorEastAsia"/>
          <w:color w:val="000000" w:themeColor="text1"/>
          <w:sz w:val="28"/>
          <w:szCs w:val="28"/>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三</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14:textFill>
            <w14:solidFill>
              <w14:schemeClr w14:val="tx1"/>
            </w14:solidFill>
          </w14:textFill>
        </w:rPr>
        <w:t>因公出国（境）费用</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预算指标5万元由于疫情原因未开展，2021年未支出。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五、下一步改进措施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加强资金管理，提高使用效益，进一步合理调整支出结构，严格按预算办事。通过对部门预算管理的完善，实行对公用经费综合统筹，分季度计划，定额定向，节约支出，完善审批流程，加强财务管理，确保资金的使用发挥最大效益。</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eastAsia"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t>六、单位整体支出绩效自评结果拟应用和公开情况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color w:val="000000" w:themeColor="text1"/>
          <w:sz w:val="28"/>
          <w:szCs w:val="28"/>
          <w14:textFill>
            <w14:solidFill>
              <w14:schemeClr w14:val="tx1"/>
            </w14:solidFill>
          </w14:textFill>
        </w:rPr>
        <w:t>中心按照省财政厅部署的绩效评价工作，认真对照202</w:t>
      </w:r>
      <w:r>
        <w:rPr>
          <w:rFonts w:hint="eastAsia" w:asciiTheme="minorEastAsia" w:hAnsiTheme="minorEastAsia" w:eastAsiaTheme="minorEastAsia" w:cstheme="minorEastAsia"/>
          <w:color w:val="000000" w:themeColor="text1"/>
          <w:sz w:val="28"/>
          <w:szCs w:val="28"/>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14:textFill>
            <w14:solidFill>
              <w14:schemeClr w14:val="tx1"/>
            </w14:solidFill>
          </w14:textFill>
        </w:rPr>
        <w:t>年预算决算情况。开展部门整体支出绩效自评，将在指定时间按要求进行评价结果的公开。在以后的财务管理中，将充分利用绩效评价成果，对工作进度及资金使用进度进行实时动态管控。</w:t>
      </w:r>
    </w:p>
    <w:p>
      <w:pPr>
        <w:widowControl/>
        <w:spacing w:line="600" w:lineRule="exact"/>
        <w:jc w:val="left"/>
        <w:outlineLvl w:val="0"/>
        <w:rPr>
          <w:rFonts w:hint="eastAsia" w:eastAsia="方正黑体_GBK"/>
          <w:color w:val="000000" w:themeColor="text1"/>
          <w:sz w:val="32"/>
          <w:szCs w:val="32"/>
          <w14:textFill>
            <w14:solidFill>
              <w14:schemeClr w14:val="tx1"/>
            </w14:solidFill>
          </w14:textFill>
        </w:rPr>
      </w:pPr>
    </w:p>
    <w:p>
      <w:pPr>
        <w:widowControl/>
        <w:spacing w:line="600" w:lineRule="exact"/>
        <w:jc w:val="left"/>
        <w:outlineLvl w:val="0"/>
        <w:rPr>
          <w:rFonts w:hint="eastAsia" w:eastAsia="方正黑体_GBK"/>
          <w:color w:val="000000" w:themeColor="text1"/>
          <w:sz w:val="32"/>
          <w:szCs w:val="32"/>
          <w:lang w:eastAsia="zh-CN"/>
          <w14:textFill>
            <w14:solidFill>
              <w14:schemeClr w14:val="tx1"/>
            </w14:solidFill>
          </w14:textFill>
        </w:rPr>
      </w:pPr>
      <w:r>
        <w:rPr>
          <w:rFonts w:hint="eastAsia" w:eastAsia="方正黑体_GBK"/>
          <w:color w:val="000000" w:themeColor="text1"/>
          <w:sz w:val="32"/>
          <w:szCs w:val="32"/>
          <w14:textFill>
            <w14:solidFill>
              <w14:schemeClr w14:val="tx1"/>
            </w14:solidFill>
          </w14:textFill>
        </w:rPr>
        <w:t>附件</w:t>
      </w:r>
      <w:r>
        <w:rPr>
          <w:rFonts w:hint="eastAsia" w:eastAsia="方正黑体_GBK"/>
          <w:color w:val="000000" w:themeColor="text1"/>
          <w:sz w:val="32"/>
          <w:szCs w:val="32"/>
          <w:lang w:val="en-US" w:eastAsia="zh-CN"/>
          <w14:textFill>
            <w14:solidFill>
              <w14:schemeClr w14:val="tx1"/>
            </w14:solidFill>
          </w14:textFill>
        </w:rPr>
        <w:t>2</w:t>
      </w:r>
    </w:p>
    <w:p>
      <w:pPr>
        <w:widowControl/>
        <w:spacing w:before="156" w:beforeLines="50" w:after="156" w:afterLines="50" w:line="600" w:lineRule="exact"/>
        <w:jc w:val="center"/>
        <w:rPr>
          <w:rFonts w:hint="eastAsia" w:ascii="方正小标宋_GBK" w:hAnsi="微软雅黑" w:eastAsia="方正小标宋_GBK" w:cs="微软雅黑"/>
          <w:color w:val="000000" w:themeColor="text1"/>
          <w:kern w:val="0"/>
          <w:sz w:val="44"/>
          <w:szCs w:val="44"/>
          <w14:textFill>
            <w14:solidFill>
              <w14:schemeClr w14:val="tx1"/>
            </w14:solidFill>
          </w14:textFill>
        </w:rPr>
      </w:pPr>
      <w:r>
        <w:rPr>
          <w:rFonts w:hint="eastAsia" w:ascii="方正小标宋_GBK" w:hAnsi="微软雅黑" w:eastAsia="方正小标宋_GBK" w:cs="微软雅黑"/>
          <w:color w:val="000000" w:themeColor="text1"/>
          <w:kern w:val="0"/>
          <w:sz w:val="44"/>
          <w:szCs w:val="44"/>
          <w14:textFill>
            <w14:solidFill>
              <w14:schemeClr w14:val="tx1"/>
            </w14:solidFill>
          </w14:textFill>
        </w:rPr>
        <w:t>2021年度单位整体支出绩效评价基础数据表</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195"/>
        <w:gridCol w:w="1130"/>
        <w:gridCol w:w="809"/>
        <w:gridCol w:w="1073"/>
        <w:gridCol w:w="1058"/>
        <w:gridCol w:w="923"/>
        <w:gridCol w:w="8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vMerge w:val="restart"/>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财政供养人员情况（人）</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编制数</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2021年实际在职人数</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87" w:hRule="atLeast"/>
          <w:jc w:val="center"/>
        </w:trPr>
        <w:tc>
          <w:tcPr>
            <w:tcW w:w="1772" w:type="pct"/>
            <w:vMerge w:val="continue"/>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p>
        </w:tc>
        <w:tc>
          <w:tcPr>
            <w:tcW w:w="1076"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8</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8</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经费控制情况（万元）</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2020年决算数</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2021年预算数</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三公经费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0.65</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5.4</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1、公务用车购置和维护经费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0.65</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3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其中：公车购置</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967"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0"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公车运行维护</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0.65</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2、出国经费</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5</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3、公务接待</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0.4</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0.13</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03"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项目支出：</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1"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1、业务工作经费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4.17</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4</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4</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0"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2、运行维护经费</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0"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3、省级专项资金（一个专项一行）</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174.47</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165</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160.41</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重要工业产品专项经费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50</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60</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ind w:firstLine="630" w:firstLineChars="300"/>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计量行政许可评审</w:t>
            </w:r>
          </w:p>
        </w:tc>
        <w:tc>
          <w:tcPr>
            <w:tcW w:w="1076"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5</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ind w:firstLine="630" w:firstLineChars="300"/>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认可检测业务专项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62</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70</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66.6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ind w:firstLine="630" w:firstLineChars="300"/>
              <w:jc w:val="left"/>
              <w:rPr>
                <w:rFonts w:hint="eastAsia" w:ascii="仿宋" w:hAnsi="仿宋" w:eastAsia="仿宋" w:cs="仿宋"/>
                <w:color w:val="000000" w:themeColor="text1"/>
                <w:kern w:val="0"/>
                <w:szCs w:val="21"/>
                <w14:textFill>
                  <w14:solidFill>
                    <w14:schemeClr w14:val="tx1"/>
                  </w14:solidFill>
                </w14:textFill>
              </w:rPr>
            </w:pPr>
            <w:r>
              <w:rPr>
                <w:rFonts w:hint="eastAsia" w:eastAsia="仿宋_GB2312"/>
                <w:color w:val="000000" w:themeColor="text1"/>
                <w:kern w:val="0"/>
                <w:szCs w:val="21"/>
                <w14:textFill>
                  <w14:solidFill>
                    <w14:schemeClr w14:val="tx1"/>
                  </w14:solidFill>
                </w14:textFill>
              </w:rPr>
              <w:t>认证审评审查经费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30.08</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ind w:firstLine="630" w:firstLineChars="300"/>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市场监督管理专项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32.39</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30</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29.96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公用经费</w:t>
            </w:r>
          </w:p>
        </w:tc>
        <w:tc>
          <w:tcPr>
            <w:tcW w:w="1076"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18.2</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37.06</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30.1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其中：办公经费</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5</w:t>
            </w:r>
          </w:p>
        </w:tc>
        <w:tc>
          <w:tcPr>
            <w:tcW w:w="1749" w:type="dxa"/>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4.12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水费、电费、差旅费</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0.85</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3</w:t>
            </w:r>
          </w:p>
        </w:tc>
        <w:tc>
          <w:tcPr>
            <w:tcW w:w="1749" w:type="dxa"/>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1.83</w:t>
            </w:r>
            <w:r>
              <w:rPr>
                <w:rFonts w:hint="eastAsia" w:ascii="仿宋" w:hAnsi="仿宋" w:eastAsia="仿宋"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          会议费、培训费</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1182"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8</w:t>
            </w:r>
          </w:p>
        </w:tc>
        <w:tc>
          <w:tcPr>
            <w:tcW w:w="1749" w:type="dxa"/>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0.92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政府采购金额</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1182"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4</w:t>
            </w:r>
          </w:p>
        </w:tc>
        <w:tc>
          <w:tcPr>
            <w:tcW w:w="967" w:type="pct"/>
            <w:gridSpan w:val="2"/>
            <w:noWrap w:val="0"/>
            <w:vAlign w:val="center"/>
          </w:tcPr>
          <w:p>
            <w:pPr>
              <w:widowControl/>
              <w:jc w:val="center"/>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xml:space="preserve">单位基本支出预算调整 </w:t>
            </w:r>
          </w:p>
        </w:tc>
        <w:tc>
          <w:tcPr>
            <w:tcW w:w="1076"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w:t>
            </w:r>
          </w:p>
        </w:tc>
        <w:tc>
          <w:tcPr>
            <w:tcW w:w="1182" w:type="pct"/>
            <w:gridSpan w:val="2"/>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12.7</w:t>
            </w:r>
            <w:r>
              <w:rPr>
                <w:rFonts w:hint="eastAsia" w:ascii="仿宋" w:hAnsi="仿宋" w:eastAsia="仿宋" w:cs="仿宋"/>
                <w:color w:val="000000" w:themeColor="text1"/>
                <w:kern w:val="0"/>
                <w:szCs w:val="21"/>
                <w14:textFill>
                  <w14:solidFill>
                    <w14:schemeClr w14:val="tx1"/>
                  </w14:solidFill>
                </w14:textFill>
              </w:rPr>
              <w:t>　</w:t>
            </w:r>
          </w:p>
        </w:tc>
        <w:tc>
          <w:tcPr>
            <w:tcW w:w="967" w:type="pct"/>
            <w:gridSpan w:val="2"/>
            <w:noWrap w:val="0"/>
            <w:vAlign w:val="center"/>
          </w:tcPr>
          <w:p>
            <w:pPr>
              <w:widowControl/>
              <w:jc w:val="center"/>
              <w:rPr>
                <w:rFonts w:hint="default"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12.7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vMerge w:val="restart"/>
            <w:noWrap w:val="0"/>
            <w:vAlign w:val="center"/>
          </w:tcPr>
          <w:p>
            <w:pPr>
              <w:widowControl/>
              <w:jc w:val="center"/>
              <w:rPr>
                <w:rFonts w:hint="eastAsia" w:ascii="仿宋" w:hAnsi="仿宋" w:eastAsia="仿宋" w:cs="仿宋"/>
                <w:color w:val="000000" w:themeColor="text1"/>
                <w:kern w:val="0"/>
                <w:szCs w:val="21"/>
                <w:lang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楼堂馆所控制情况</w:t>
            </w:r>
          </w:p>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（2021年完工项目）</w:t>
            </w:r>
          </w:p>
        </w:tc>
        <w:tc>
          <w:tcPr>
            <w:tcW w:w="627" w:type="pct"/>
            <w:noWrap w:val="0"/>
            <w:vAlign w:val="center"/>
          </w:tcPr>
          <w:p>
            <w:pPr>
              <w:widowControl/>
              <w:spacing w:line="240" w:lineRule="exact"/>
              <w:jc w:val="center"/>
              <w:rPr>
                <w:rFonts w:hint="eastAsia" w:ascii="仿宋" w:hAnsi="仿宋" w:eastAsia="仿宋" w:cs="仿宋"/>
                <w:bCs/>
                <w:color w:val="000000" w:themeColor="text1"/>
                <w:kern w:val="0"/>
                <w:szCs w:val="21"/>
                <w:lang w:eastAsia="zh-CN"/>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批复规模</w:t>
            </w:r>
          </w:p>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w:t>
            </w:r>
          </w:p>
        </w:tc>
        <w:tc>
          <w:tcPr>
            <w:tcW w:w="448" w:type="pct"/>
            <w:noWrap w:val="0"/>
            <w:vAlign w:val="center"/>
          </w:tcPr>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实际规模（㎡）</w:t>
            </w:r>
          </w:p>
        </w:tc>
        <w:tc>
          <w:tcPr>
            <w:tcW w:w="595" w:type="pct"/>
            <w:noWrap w:val="0"/>
            <w:vAlign w:val="center"/>
          </w:tcPr>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规模控制率</w:t>
            </w:r>
          </w:p>
        </w:tc>
        <w:tc>
          <w:tcPr>
            <w:tcW w:w="586" w:type="pct"/>
            <w:noWrap w:val="0"/>
            <w:vAlign w:val="center"/>
          </w:tcPr>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预算投资（万元）</w:t>
            </w:r>
          </w:p>
        </w:tc>
        <w:tc>
          <w:tcPr>
            <w:tcW w:w="512" w:type="pct"/>
            <w:noWrap w:val="0"/>
            <w:vAlign w:val="center"/>
          </w:tcPr>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实际投资（万元）</w:t>
            </w:r>
          </w:p>
        </w:tc>
        <w:tc>
          <w:tcPr>
            <w:tcW w:w="455" w:type="pct"/>
            <w:noWrap w:val="0"/>
            <w:vAlign w:val="center"/>
          </w:tcPr>
          <w:p>
            <w:pPr>
              <w:widowControl/>
              <w:spacing w:line="240" w:lineRule="exact"/>
              <w:jc w:val="center"/>
              <w:rPr>
                <w:rFonts w:hint="eastAsia" w:ascii="仿宋" w:hAnsi="仿宋" w:eastAsia="仿宋" w:cs="仿宋"/>
                <w:bCs/>
                <w:color w:val="000000" w:themeColor="text1"/>
                <w:kern w:val="0"/>
                <w:szCs w:val="21"/>
                <w14:textFill>
                  <w14:solidFill>
                    <w14:schemeClr w14:val="tx1"/>
                  </w14:solidFill>
                </w14:textFill>
              </w:rPr>
            </w:pPr>
            <w:r>
              <w:rPr>
                <w:rFonts w:hint="eastAsia" w:ascii="仿宋" w:hAnsi="仿宋" w:eastAsia="仿宋" w:cs="仿宋"/>
                <w:bCs/>
                <w:color w:val="000000" w:themeColor="text1"/>
                <w:kern w:val="0"/>
                <w:szCs w:val="21"/>
                <w14:textFill>
                  <w14:solidFill>
                    <w14:schemeClr w14:val="tx1"/>
                  </w14:solidFill>
                </w14:textFill>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vMerge w:val="continue"/>
            <w:noWrap w:val="0"/>
            <w:vAlign w:val="center"/>
          </w:tcPr>
          <w:p>
            <w:pPr>
              <w:widowControl/>
              <w:jc w:val="left"/>
              <w:rPr>
                <w:rFonts w:hint="eastAsia" w:ascii="仿宋" w:hAnsi="仿宋" w:eastAsia="仿宋" w:cs="仿宋"/>
                <w:color w:val="000000" w:themeColor="text1"/>
                <w:kern w:val="0"/>
                <w:szCs w:val="21"/>
                <w14:textFill>
                  <w14:solidFill>
                    <w14:schemeClr w14:val="tx1"/>
                  </w14:solidFill>
                </w14:textFill>
              </w:rPr>
            </w:pPr>
          </w:p>
        </w:tc>
        <w:tc>
          <w:tcPr>
            <w:tcW w:w="627" w:type="pct"/>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lang w:val="en-US" w:eastAsia="zh-CN"/>
                <w14:textFill>
                  <w14:solidFill>
                    <w14:schemeClr w14:val="tx1"/>
                  </w14:solidFill>
                </w14:textFill>
              </w:rPr>
              <w:t>0</w:t>
            </w:r>
            <w:r>
              <w:rPr>
                <w:rFonts w:hint="eastAsia" w:ascii="仿宋" w:hAnsi="仿宋" w:eastAsia="仿宋" w:cs="仿宋"/>
                <w:color w:val="000000" w:themeColor="text1"/>
                <w:kern w:val="0"/>
                <w:szCs w:val="21"/>
                <w14:textFill>
                  <w14:solidFill>
                    <w14:schemeClr w14:val="tx1"/>
                  </w14:solidFill>
                </w14:textFill>
              </w:rPr>
              <w:t>　</w:t>
            </w:r>
          </w:p>
        </w:tc>
        <w:tc>
          <w:tcPr>
            <w:tcW w:w="448" w:type="pct"/>
            <w:noWrap w:val="0"/>
            <w:vAlign w:val="center"/>
          </w:tcPr>
          <w:p>
            <w:pPr>
              <w:widowControl/>
              <w:jc w:val="left"/>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595" w:type="pct"/>
            <w:noWrap w:val="0"/>
            <w:vAlign w:val="center"/>
          </w:tcPr>
          <w:p>
            <w:pPr>
              <w:widowControl/>
              <w:jc w:val="left"/>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586" w:type="pct"/>
            <w:noWrap w:val="0"/>
            <w:vAlign w:val="center"/>
          </w:tcPr>
          <w:p>
            <w:pPr>
              <w:widowControl/>
              <w:jc w:val="left"/>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512" w:type="pct"/>
            <w:noWrap w:val="0"/>
            <w:vAlign w:val="center"/>
          </w:tcPr>
          <w:p>
            <w:pPr>
              <w:widowControl/>
              <w:jc w:val="left"/>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c>
          <w:tcPr>
            <w:tcW w:w="455" w:type="pct"/>
            <w:noWrap w:val="0"/>
            <w:vAlign w:val="center"/>
          </w:tcPr>
          <w:p>
            <w:pPr>
              <w:widowControl/>
              <w:jc w:val="left"/>
              <w:rPr>
                <w:rFonts w:hint="eastAsia" w:ascii="仿宋" w:hAnsi="仿宋" w:eastAsia="仿宋" w:cs="仿宋"/>
                <w:color w:val="000000" w:themeColor="text1"/>
                <w:kern w:val="0"/>
                <w:szCs w:val="21"/>
                <w:lang w:val="en-US" w:eastAsia="zh-CN"/>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　</w:t>
            </w:r>
            <w:r>
              <w:rPr>
                <w:rFonts w:hint="eastAsia" w:ascii="仿宋" w:hAnsi="仿宋" w:eastAsia="仿宋"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2" w:type="pct"/>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hint="eastAsia" w:ascii="仿宋" w:hAnsi="仿宋" w:eastAsia="仿宋" w:cs="仿宋"/>
                <w:color w:val="000000" w:themeColor="text1"/>
                <w:kern w:val="0"/>
                <w:szCs w:val="21"/>
                <w14:textFill>
                  <w14:solidFill>
                    <w14:schemeClr w14:val="tx1"/>
                  </w14:solidFill>
                </w14:textFill>
              </w:rPr>
              <w:t>厉行节约保障措施</w:t>
            </w:r>
          </w:p>
        </w:tc>
        <w:tc>
          <w:tcPr>
            <w:tcW w:w="3227" w:type="pct"/>
            <w:gridSpan w:val="6"/>
            <w:noWrap w:val="0"/>
            <w:vAlign w:val="center"/>
          </w:tcPr>
          <w:p>
            <w:pPr>
              <w:widowControl/>
              <w:jc w:val="center"/>
              <w:rPr>
                <w:rFonts w:hint="eastAsia" w:ascii="仿宋" w:hAnsi="仿宋" w:eastAsia="仿宋" w:cs="仿宋"/>
                <w:color w:val="000000" w:themeColor="text1"/>
                <w:kern w:val="0"/>
                <w:szCs w:val="21"/>
                <w14:textFill>
                  <w14:solidFill>
                    <w14:schemeClr w14:val="tx1"/>
                  </w14:solidFill>
                </w14:textFill>
              </w:rPr>
            </w:pPr>
            <w:r>
              <w:rPr>
                <w:rFonts w:eastAsia="仿宋_GB2312"/>
                <w:color w:val="000000" w:themeColor="text1"/>
                <w:kern w:val="0"/>
                <w:szCs w:val="21"/>
                <w14:textFill>
                  <w14:solidFill>
                    <w14:schemeClr w14:val="tx1"/>
                  </w14:solidFill>
                </w14:textFill>
              </w:rPr>
              <w:t>严格按照各项财务管理制度严控支出</w:t>
            </w:r>
            <w:r>
              <w:rPr>
                <w:rFonts w:hint="eastAsia" w:eastAsia="仿宋_GB2312"/>
                <w:color w:val="000000" w:themeColor="text1"/>
                <w:kern w:val="0"/>
                <w:szCs w:val="21"/>
                <w14:textFill>
                  <w14:solidFill>
                    <w14:schemeClr w14:val="tx1"/>
                  </w14:solidFill>
                </w14:textFill>
              </w:rPr>
              <w:t>，</w:t>
            </w:r>
            <w:r>
              <w:rPr>
                <w:rFonts w:eastAsia="仿宋_GB2312"/>
                <w:color w:val="000000" w:themeColor="text1"/>
                <w:kern w:val="0"/>
                <w:szCs w:val="21"/>
                <w14:textFill>
                  <w14:solidFill>
                    <w14:schemeClr w14:val="tx1"/>
                  </w14:solidFill>
                </w14:textFill>
              </w:rPr>
              <w:t>厉行节约</w:t>
            </w:r>
            <w:r>
              <w:rPr>
                <w:rFonts w:hint="eastAsia" w:ascii="仿宋" w:hAnsi="仿宋" w:eastAsia="仿宋" w:cs="仿宋"/>
                <w:color w:val="000000" w:themeColor="text1"/>
                <w:kern w:val="0"/>
                <w:szCs w:val="21"/>
                <w14:textFill>
                  <w14:solidFill>
                    <w14:schemeClr w14:val="tx1"/>
                  </w14:solidFill>
                </w14:textFill>
              </w:rPr>
              <w:t>　</w:t>
            </w:r>
          </w:p>
        </w:tc>
      </w:tr>
    </w:tbl>
    <w:p>
      <w:pPr>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说明：“项目支出”需要填报基本支出以外的所有项目支出情况，“公用经费”填报基本支出中的一般商品和服务支出。</w:t>
      </w:r>
    </w:p>
    <w:p>
      <w:pPr>
        <w:widowControl/>
        <w:spacing w:after="156" w:afterLines="50" w:line="400" w:lineRule="exact"/>
        <w:jc w:val="left"/>
        <w:rPr>
          <w:rFonts w:hint="eastAsia" w:ascii="方正黑体_GBK" w:eastAsia="方正黑体_GBK"/>
          <w:color w:val="000000" w:themeColor="text1"/>
          <w:kern w:val="0"/>
          <w:szCs w:val="21"/>
          <w14:textFill>
            <w14:solidFill>
              <w14:schemeClr w14:val="tx1"/>
            </w14:solidFill>
          </w14:textFill>
        </w:rPr>
        <w:sectPr>
          <w:footerReference r:id="rId3" w:type="default"/>
          <w:pgSz w:w="11906" w:h="16838"/>
          <w:pgMar w:top="1985" w:right="1474" w:bottom="1474" w:left="1474" w:header="851" w:footer="1134" w:gutter="0"/>
          <w:cols w:space="720" w:num="1"/>
          <w:docGrid w:type="lines" w:linePitch="312" w:charSpace="0"/>
        </w:sectPr>
      </w:pPr>
      <w:r>
        <w:rPr>
          <w:rFonts w:hint="eastAsia" w:ascii="方正黑体_GBK" w:eastAsia="方正黑体_GBK"/>
          <w:color w:val="000000" w:themeColor="text1"/>
          <w:kern w:val="0"/>
          <w:szCs w:val="21"/>
          <w14:textFill>
            <w14:solidFill>
              <w14:schemeClr w14:val="tx1"/>
            </w14:solidFill>
          </w14:textFill>
        </w:rPr>
        <w:t>填表人：</w:t>
      </w:r>
      <w:r>
        <w:rPr>
          <w:rFonts w:hint="eastAsia" w:ascii="方正黑体_GBK" w:eastAsia="方正黑体_GBK"/>
          <w:color w:val="000000" w:themeColor="text1"/>
          <w:kern w:val="0"/>
          <w:szCs w:val="21"/>
          <w:lang w:val="en-US" w:eastAsia="zh-CN"/>
          <w14:textFill>
            <w14:solidFill>
              <w14:schemeClr w14:val="tx1"/>
            </w14:solidFill>
          </w14:textFill>
        </w:rPr>
        <w:t>杨泓</w:t>
      </w:r>
      <w:r>
        <w:rPr>
          <w:rFonts w:hint="eastAsia" w:ascii="方正黑体_GBK" w:eastAsia="方正黑体_GBK"/>
          <w:color w:val="000000" w:themeColor="text1"/>
          <w:kern w:val="0"/>
          <w:szCs w:val="21"/>
          <w14:textFill>
            <w14:solidFill>
              <w14:schemeClr w14:val="tx1"/>
            </w14:solidFill>
          </w14:textFill>
        </w:rPr>
        <w:t xml:space="preserve">    填报日期：</w:t>
      </w:r>
      <w:r>
        <w:rPr>
          <w:rFonts w:hint="eastAsia" w:ascii="方正黑体_GBK" w:eastAsia="方正黑体_GBK"/>
          <w:color w:val="000000" w:themeColor="text1"/>
          <w:kern w:val="0"/>
          <w:szCs w:val="21"/>
          <w:lang w:val="en-US" w:eastAsia="zh-CN"/>
          <w14:textFill>
            <w14:solidFill>
              <w14:schemeClr w14:val="tx1"/>
            </w14:solidFill>
          </w14:textFill>
        </w:rPr>
        <w:t>2022.4.29</w:t>
      </w:r>
      <w:r>
        <w:rPr>
          <w:rFonts w:hint="eastAsia" w:ascii="方正黑体_GBK" w:eastAsia="方正黑体_GBK"/>
          <w:color w:val="000000" w:themeColor="text1"/>
          <w:kern w:val="0"/>
          <w:szCs w:val="21"/>
          <w14:textFill>
            <w14:solidFill>
              <w14:schemeClr w14:val="tx1"/>
            </w14:solidFill>
          </w14:textFill>
        </w:rPr>
        <w:t xml:space="preserve">   联系电话：</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0731-85693711</w:t>
      </w:r>
      <w:r>
        <w:rPr>
          <w:rFonts w:hint="eastAsia" w:ascii="微软雅黑" w:hAnsi="微软雅黑" w:eastAsia="微软雅黑" w:cs="微软雅黑"/>
          <w:color w:val="000000" w:themeColor="text1"/>
          <w:kern w:val="0"/>
          <w:szCs w:val="21"/>
          <w14:textFill>
            <w14:solidFill>
              <w14:schemeClr w14:val="tx1"/>
            </w14:solidFill>
          </w14:textFill>
        </w:rPr>
        <w:t xml:space="preserve"> </w:t>
      </w:r>
      <w:r>
        <w:rPr>
          <w:rFonts w:hint="eastAsia" w:ascii="方正黑体_GBK" w:eastAsia="方正黑体_GBK"/>
          <w:color w:val="000000" w:themeColor="text1"/>
          <w:kern w:val="0"/>
          <w:szCs w:val="21"/>
          <w14:textFill>
            <w14:solidFill>
              <w14:schemeClr w14:val="tx1"/>
            </w14:solidFill>
          </w14:textFill>
        </w:rPr>
        <w:t xml:space="preserve"> 单位负责人签字：</w:t>
      </w:r>
    </w:p>
    <w:p>
      <w:pPr>
        <w:widowControl/>
        <w:spacing w:line="600" w:lineRule="exact"/>
        <w:jc w:val="left"/>
        <w:outlineLvl w:val="0"/>
        <w:rPr>
          <w:rFonts w:hint="eastAsia"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附件3</w:t>
      </w:r>
    </w:p>
    <w:p>
      <w:pPr>
        <w:widowControl/>
        <w:spacing w:before="156" w:beforeLines="50" w:after="156" w:afterLines="50" w:line="600" w:lineRule="exact"/>
        <w:jc w:val="center"/>
        <w:rPr>
          <w:rFonts w:hint="eastAsia" w:ascii="方正小标宋_GBK" w:hAnsi="微软雅黑" w:eastAsia="方正小标宋_GBK" w:cs="微软雅黑"/>
          <w:color w:val="000000" w:themeColor="text1"/>
          <w:kern w:val="0"/>
          <w:sz w:val="44"/>
          <w:szCs w:val="44"/>
          <w14:textFill>
            <w14:solidFill>
              <w14:schemeClr w14:val="tx1"/>
            </w14:solidFill>
          </w14:textFill>
        </w:rPr>
      </w:pPr>
      <w:r>
        <w:rPr>
          <w:rFonts w:hint="eastAsia" w:ascii="方正小标宋_GBK" w:hAnsi="微软雅黑" w:eastAsia="方正小标宋_GBK" w:cs="微软雅黑"/>
          <w:color w:val="000000" w:themeColor="text1"/>
          <w:kern w:val="0"/>
          <w:sz w:val="44"/>
          <w:szCs w:val="44"/>
          <w14:textFill>
            <w14:solidFill>
              <w14:schemeClr w14:val="tx1"/>
            </w14:solidFill>
          </w14:textFill>
        </w:rPr>
        <w:t>2021年度单位整体支出绩效自评表</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0"/>
        <w:gridCol w:w="974"/>
        <w:gridCol w:w="860"/>
        <w:gridCol w:w="1129"/>
        <w:gridCol w:w="88"/>
        <w:gridCol w:w="1083"/>
        <w:gridCol w:w="1157"/>
        <w:gridCol w:w="640"/>
        <w:gridCol w:w="891"/>
        <w:gridCol w:w="122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预算单位名称</w:t>
            </w:r>
          </w:p>
        </w:tc>
        <w:tc>
          <w:tcPr>
            <w:tcW w:w="4461" w:type="pct"/>
            <w:gridSpan w:val="9"/>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湖南省食品和工业产品生产许可审查中心</w:t>
            </w: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年度预</w:t>
            </w:r>
          </w:p>
          <w:p>
            <w:pPr>
              <w:widowControl/>
              <w:spacing w:line="240" w:lineRule="exact"/>
              <w:jc w:val="center"/>
              <w:rPr>
                <w:rFonts w:hint="eastAsia" w:eastAsia="方正仿宋_GBK" w:cs="仿宋"/>
                <w:color w:val="000000" w:themeColor="text1"/>
                <w:kern w:val="0"/>
                <w:szCs w:val="21"/>
                <w:lang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算申请</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（万元）</w:t>
            </w:r>
          </w:p>
        </w:tc>
        <w:tc>
          <w:tcPr>
            <w:tcW w:w="1017" w:type="pct"/>
            <w:gridSpan w:val="2"/>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p>
        </w:tc>
        <w:tc>
          <w:tcPr>
            <w:tcW w:w="626"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年初</w:t>
            </w:r>
          </w:p>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预算数</w:t>
            </w:r>
          </w:p>
        </w:tc>
        <w:tc>
          <w:tcPr>
            <w:tcW w:w="649" w:type="pct"/>
            <w:gridSpan w:val="2"/>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全年预算数</w:t>
            </w:r>
          </w:p>
        </w:tc>
        <w:tc>
          <w:tcPr>
            <w:tcW w:w="641"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全年执行数</w:t>
            </w:r>
          </w:p>
        </w:tc>
        <w:tc>
          <w:tcPr>
            <w:tcW w:w="355"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分值</w:t>
            </w:r>
          </w:p>
        </w:tc>
        <w:tc>
          <w:tcPr>
            <w:tcW w:w="494"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执行率</w:t>
            </w:r>
          </w:p>
        </w:tc>
        <w:tc>
          <w:tcPr>
            <w:tcW w:w="677"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1017" w:type="pct"/>
            <w:gridSpan w:val="2"/>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年度资金总额</w:t>
            </w:r>
          </w:p>
        </w:tc>
        <w:tc>
          <w:tcPr>
            <w:tcW w:w="626" w:type="pct"/>
            <w:noWrap w:val="0"/>
            <w:vAlign w:val="center"/>
          </w:tcPr>
          <w:p>
            <w:pPr>
              <w:spacing w:line="240" w:lineRule="exact"/>
              <w:jc w:val="center"/>
              <w:rPr>
                <w:rFonts w:hint="default" w:eastAsia="方正仿宋_GBK" w:cs="仿宋"/>
                <w:color w:val="000000" w:themeColor="text1"/>
                <w:szCs w:val="21"/>
                <w:lang w:val="en-US"/>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432.4</w:t>
            </w:r>
          </w:p>
        </w:tc>
        <w:tc>
          <w:tcPr>
            <w:tcW w:w="649" w:type="pct"/>
            <w:gridSpan w:val="2"/>
            <w:noWrap w:val="0"/>
            <w:vAlign w:val="center"/>
          </w:tcPr>
          <w:p>
            <w:pPr>
              <w:spacing w:line="240" w:lineRule="exact"/>
              <w:jc w:val="center"/>
              <w:rPr>
                <w:rFonts w:hint="default" w:eastAsia="方正仿宋_GBK" w:cs="仿宋"/>
                <w:color w:val="000000" w:themeColor="text1"/>
                <w:szCs w:val="21"/>
                <w:lang w:val="en-US"/>
                <w14:textFill>
                  <w14:solidFill>
                    <w14:schemeClr w14:val="tx1"/>
                  </w14:solidFill>
                </w14:textFill>
              </w:rPr>
            </w:pPr>
            <w:r>
              <w:rPr>
                <w:rFonts w:hint="eastAsia" w:ascii="仿宋_GB2312" w:eastAsia="仿宋_GB2312"/>
                <w:color w:val="000000" w:themeColor="text1"/>
                <w:szCs w:val="21"/>
                <w:lang w:val="en-US" w:eastAsia="zh-CN"/>
                <w14:textFill>
                  <w14:solidFill>
                    <w14:schemeClr w14:val="tx1"/>
                  </w14:solidFill>
                </w14:textFill>
              </w:rPr>
              <w:t>419.7</w:t>
            </w:r>
          </w:p>
        </w:tc>
        <w:tc>
          <w:tcPr>
            <w:tcW w:w="641" w:type="pct"/>
            <w:noWrap w:val="0"/>
            <w:vAlign w:val="center"/>
          </w:tcPr>
          <w:p>
            <w:pPr>
              <w:spacing w:line="240" w:lineRule="exact"/>
              <w:jc w:val="center"/>
              <w:rPr>
                <w:rFonts w:hint="default" w:eastAsia="方正仿宋_GBK" w:cs="仿宋"/>
                <w:color w:val="000000" w:themeColor="text1"/>
                <w:szCs w:val="21"/>
                <w:lang w:val="en-US" w:eastAsia="zh-CN"/>
                <w14:textFill>
                  <w14:solidFill>
                    <w14:schemeClr w14:val="tx1"/>
                  </w14:solidFill>
                </w14:textFill>
              </w:rPr>
            </w:pPr>
            <w:r>
              <w:rPr>
                <w:rFonts w:hint="eastAsia" w:eastAsia="方正仿宋_GBK" w:cs="仿宋"/>
                <w:color w:val="000000" w:themeColor="text1"/>
                <w:szCs w:val="21"/>
                <w:lang w:val="en-US" w:eastAsia="zh-CN"/>
                <w14:textFill>
                  <w14:solidFill>
                    <w14:schemeClr w14:val="tx1"/>
                  </w14:solidFill>
                </w14:textFill>
              </w:rPr>
              <w:t>392.77</w:t>
            </w:r>
          </w:p>
        </w:tc>
        <w:tc>
          <w:tcPr>
            <w:tcW w:w="355" w:type="pct"/>
            <w:noWrap w:val="0"/>
            <w:vAlign w:val="center"/>
          </w:tcPr>
          <w:p>
            <w:pPr>
              <w:spacing w:line="24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10</w:t>
            </w:r>
          </w:p>
        </w:tc>
        <w:tc>
          <w:tcPr>
            <w:tcW w:w="494" w:type="pct"/>
            <w:noWrap w:val="0"/>
            <w:vAlign w:val="center"/>
          </w:tcPr>
          <w:p>
            <w:pPr>
              <w:spacing w:line="240" w:lineRule="exact"/>
              <w:jc w:val="center"/>
              <w:rPr>
                <w:rFonts w:hint="default" w:eastAsia="方正仿宋_GBK" w:cs="仿宋"/>
                <w:color w:val="000000" w:themeColor="text1"/>
                <w:szCs w:val="21"/>
                <w:lang w:val="en-US" w:eastAsia="zh-CN"/>
                <w14:textFill>
                  <w14:solidFill>
                    <w14:schemeClr w14:val="tx1"/>
                  </w14:solidFill>
                </w14:textFill>
              </w:rPr>
            </w:pPr>
            <w:r>
              <w:rPr>
                <w:rFonts w:hint="eastAsia" w:eastAsia="方正仿宋_GBK" w:cs="仿宋"/>
                <w:color w:val="000000" w:themeColor="text1"/>
                <w:szCs w:val="21"/>
                <w:lang w:val="en-US" w:eastAsia="zh-CN"/>
                <w14:textFill>
                  <w14:solidFill>
                    <w14:schemeClr w14:val="tx1"/>
                  </w14:solidFill>
                </w14:textFill>
              </w:rPr>
              <w:t>93.58%</w:t>
            </w:r>
          </w:p>
        </w:tc>
        <w:tc>
          <w:tcPr>
            <w:tcW w:w="677" w:type="pct"/>
            <w:noWrap w:val="0"/>
            <w:vAlign w:val="center"/>
          </w:tcPr>
          <w:p>
            <w:pPr>
              <w:spacing w:line="240" w:lineRule="exact"/>
              <w:jc w:val="center"/>
              <w:rPr>
                <w:rFonts w:hint="default" w:eastAsia="方正仿宋_GBK" w:cs="仿宋"/>
                <w:color w:val="000000" w:themeColor="text1"/>
                <w:szCs w:val="21"/>
                <w:lang w:val="en-US" w:eastAsia="zh-CN"/>
                <w14:textFill>
                  <w14:solidFill>
                    <w14:schemeClr w14:val="tx1"/>
                  </w14:solidFill>
                </w14:textFill>
              </w:rPr>
            </w:pPr>
            <w:r>
              <w:rPr>
                <w:rFonts w:hint="eastAsia" w:eastAsia="方正仿宋_GBK" w:cs="仿宋"/>
                <w:color w:val="000000" w:themeColor="text1"/>
                <w:szCs w:val="21"/>
                <w:lang w:val="en-US" w:eastAsia="zh-CN"/>
                <w14:textFill>
                  <w14:solidFill>
                    <w14:schemeClr w14:val="tx1"/>
                  </w14:solidFill>
                </w14:textFill>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按收入性质分：</w:t>
            </w:r>
          </w:p>
        </w:tc>
        <w:tc>
          <w:tcPr>
            <w:tcW w:w="2168" w:type="pct"/>
            <w:gridSpan w:val="4"/>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xml:space="preserve">  其中：  一般公共预算：</w:t>
            </w:r>
            <w:r>
              <w:rPr>
                <w:rFonts w:hint="eastAsia" w:eastAsia="方正仿宋_GBK" w:cs="仿宋"/>
                <w:color w:val="000000" w:themeColor="text1"/>
                <w:kern w:val="0"/>
                <w:szCs w:val="21"/>
                <w:lang w:val="en-US" w:eastAsia="zh-CN"/>
                <w14:textFill>
                  <w14:solidFill>
                    <w14:schemeClr w14:val="tx1"/>
                  </w14:solidFill>
                </w14:textFill>
              </w:rPr>
              <w:t>392.77</w:t>
            </w:r>
          </w:p>
        </w:tc>
        <w:tc>
          <w:tcPr>
            <w:tcW w:w="2168" w:type="pct"/>
            <w:gridSpan w:val="4"/>
            <w:noWrap w:val="0"/>
            <w:vAlign w:val="center"/>
          </w:tcPr>
          <w:p>
            <w:pPr>
              <w:widowControl/>
              <w:spacing w:line="24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其中：基本支出：</w:t>
            </w:r>
            <w:r>
              <w:rPr>
                <w:rFonts w:hint="eastAsia" w:eastAsia="方正仿宋_GBK" w:cs="仿宋"/>
                <w:color w:val="000000" w:themeColor="text1"/>
                <w:kern w:val="0"/>
                <w:szCs w:val="21"/>
                <w:lang w:val="en-US" w:eastAsia="zh-CN"/>
                <w14:textFill>
                  <w14:solidFill>
                    <w14:schemeClr w14:val="tx1"/>
                  </w14:solidFill>
                </w14:textFill>
              </w:rPr>
              <w:t>228.36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政府性基金拨款：</w:t>
            </w:r>
            <w:r>
              <w:rPr>
                <w:rFonts w:hint="eastAsia" w:eastAsia="方正仿宋_GBK" w:cs="仿宋"/>
                <w:color w:val="000000" w:themeColor="text1"/>
                <w:kern w:val="0"/>
                <w:szCs w:val="21"/>
                <w:lang w:val="en-US" w:eastAsia="zh-CN"/>
                <w14:textFill>
                  <w14:solidFill>
                    <w14:schemeClr w14:val="tx1"/>
                  </w14:solidFill>
                </w14:textFill>
              </w:rPr>
              <w:t>0</w:t>
            </w:r>
          </w:p>
        </w:tc>
        <w:tc>
          <w:tcPr>
            <w:tcW w:w="2168" w:type="pct"/>
            <w:gridSpan w:val="4"/>
            <w:noWrap w:val="0"/>
            <w:vAlign w:val="center"/>
          </w:tcPr>
          <w:p>
            <w:pPr>
              <w:widowControl/>
              <w:spacing w:line="24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项目支出：</w:t>
            </w:r>
            <w:r>
              <w:rPr>
                <w:rFonts w:hint="eastAsia" w:eastAsia="方正仿宋_GBK" w:cs="仿宋"/>
                <w:color w:val="000000" w:themeColor="text1"/>
                <w:kern w:val="0"/>
                <w:szCs w:val="21"/>
                <w:lang w:val="en-US" w:eastAsia="zh-CN"/>
                <w14:textFill>
                  <w14:solidFill>
                    <w14:schemeClr w14:val="tx1"/>
                  </w14:solidFill>
                </w14:textFill>
              </w:rPr>
              <w:t>164.41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纳入专户管理的非税收入拨款：</w:t>
            </w:r>
            <w:r>
              <w:rPr>
                <w:rFonts w:hint="eastAsia" w:eastAsia="方正仿宋_GBK" w:cs="仿宋"/>
                <w:color w:val="000000" w:themeColor="text1"/>
                <w:kern w:val="0"/>
                <w:szCs w:val="21"/>
                <w:lang w:val="en-US" w:eastAsia="zh-CN"/>
                <w14:textFill>
                  <w14:solidFill>
                    <w14:schemeClr w14:val="tx1"/>
                  </w14:solidFill>
                </w14:textFill>
              </w:rPr>
              <w:t>0</w:t>
            </w:r>
          </w:p>
        </w:tc>
        <w:tc>
          <w:tcPr>
            <w:tcW w:w="2168" w:type="pct"/>
            <w:gridSpan w:val="4"/>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其他资金：</w:t>
            </w:r>
            <w:r>
              <w:rPr>
                <w:rFonts w:hint="eastAsia" w:eastAsia="方正仿宋_GBK" w:cs="仿宋"/>
                <w:color w:val="000000" w:themeColor="text1"/>
                <w:kern w:val="0"/>
                <w:szCs w:val="21"/>
                <w:lang w:val="en-US" w:eastAsia="zh-CN"/>
                <w14:textFill>
                  <w14:solidFill>
                    <w14:schemeClr w14:val="tx1"/>
                  </w14:solidFill>
                </w14:textFill>
              </w:rPr>
              <w:t>0</w:t>
            </w:r>
          </w:p>
        </w:tc>
        <w:tc>
          <w:tcPr>
            <w:tcW w:w="2168" w:type="pct"/>
            <w:gridSpan w:val="4"/>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年度总体目标</w:t>
            </w:r>
          </w:p>
        </w:tc>
        <w:tc>
          <w:tcPr>
            <w:tcW w:w="2293" w:type="pct"/>
            <w:gridSpan w:val="5"/>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预期目标</w:t>
            </w:r>
          </w:p>
        </w:tc>
        <w:tc>
          <w:tcPr>
            <w:tcW w:w="2168" w:type="pct"/>
            <w:gridSpan w:val="4"/>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38" w:type="pct"/>
            <w:vMerge w:val="continue"/>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c>
          <w:tcPr>
            <w:tcW w:w="2293" w:type="pct"/>
            <w:gridSpan w:val="5"/>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2168" w:type="pct"/>
            <w:gridSpan w:val="4"/>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一级指标</w:t>
            </w:r>
          </w:p>
        </w:tc>
        <w:tc>
          <w:tcPr>
            <w:tcW w:w="4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二级</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675" w:type="pct"/>
            <w:gridSpan w:val="2"/>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三级指标</w:t>
            </w:r>
          </w:p>
        </w:tc>
        <w:tc>
          <w:tcPr>
            <w:tcW w:w="60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指标值</w:t>
            </w:r>
          </w:p>
        </w:tc>
        <w:tc>
          <w:tcPr>
            <w:tcW w:w="641" w:type="pct"/>
            <w:noWrap w:val="0"/>
            <w:vAlign w:val="center"/>
          </w:tcPr>
          <w:p>
            <w:pPr>
              <w:widowControl/>
              <w:spacing w:line="240" w:lineRule="exac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实际完成值</w:t>
            </w:r>
          </w:p>
        </w:tc>
        <w:tc>
          <w:tcPr>
            <w:tcW w:w="355"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分值</w:t>
            </w:r>
          </w:p>
        </w:tc>
        <w:tc>
          <w:tcPr>
            <w:tcW w:w="494"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得分</w:t>
            </w: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偏差原因</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分析及</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150"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产出指标</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(50分)</w:t>
            </w:r>
          </w:p>
        </w:tc>
        <w:tc>
          <w:tcPr>
            <w:tcW w:w="477"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数量</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675" w:type="pct"/>
            <w:gridSpan w:val="2"/>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企业申报许可审查完成率及证后监督检查完成率</w:t>
            </w:r>
          </w:p>
        </w:tc>
        <w:tc>
          <w:tcPr>
            <w:tcW w:w="600"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100%</w:t>
            </w:r>
          </w:p>
        </w:tc>
        <w:tc>
          <w:tcPr>
            <w:tcW w:w="641"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100%</w:t>
            </w:r>
          </w:p>
        </w:tc>
        <w:tc>
          <w:tcPr>
            <w:tcW w:w="355"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20</w:t>
            </w:r>
          </w:p>
        </w:tc>
        <w:tc>
          <w:tcPr>
            <w:tcW w:w="494"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20</w:t>
            </w: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10"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477"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质量</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675" w:type="pct"/>
            <w:gridSpan w:val="2"/>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许可审查及证后监督检查相关文件质量要求</w:t>
            </w:r>
          </w:p>
        </w:tc>
        <w:tc>
          <w:tcPr>
            <w:tcW w:w="600"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按文件要求质量完成</w:t>
            </w:r>
          </w:p>
        </w:tc>
        <w:tc>
          <w:tcPr>
            <w:tcW w:w="641"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按文件要求质量完成</w:t>
            </w:r>
          </w:p>
        </w:tc>
        <w:tc>
          <w:tcPr>
            <w:tcW w:w="355"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494"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10"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477"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时效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675" w:type="pct"/>
            <w:gridSpan w:val="2"/>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许可审查及证后监督检查相关文件时限要求</w:t>
            </w:r>
          </w:p>
        </w:tc>
        <w:tc>
          <w:tcPr>
            <w:tcW w:w="600"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按文件要求时限完成</w:t>
            </w:r>
          </w:p>
        </w:tc>
        <w:tc>
          <w:tcPr>
            <w:tcW w:w="641"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按文件要求时限完成</w:t>
            </w:r>
          </w:p>
        </w:tc>
        <w:tc>
          <w:tcPr>
            <w:tcW w:w="355"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494"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90"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477"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成本</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675" w:type="pct"/>
            <w:gridSpan w:val="2"/>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方正仿宋简体" w:eastAsia="方正仿宋简体"/>
                <w:color w:val="000000" w:themeColor="text1"/>
                <w:sz w:val="13"/>
                <w:szCs w:val="13"/>
                <w14:textFill>
                  <w14:solidFill>
                    <w14:schemeClr w14:val="tx1"/>
                  </w14:solidFill>
                </w14:textFill>
              </w:rPr>
              <w:t>按照《湖南省省直机关培训费管理办法》（湘财行[2017]7号，《湖南省省直机关差旅费管理办法》（湘财行[2018]67号，《湖南省政府采购项目评审劳务费报酬管理办法》（湘财购[2017]9号严控支出成本。</w:t>
            </w:r>
          </w:p>
        </w:tc>
        <w:tc>
          <w:tcPr>
            <w:tcW w:w="600"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按文件要求严控成本</w:t>
            </w:r>
          </w:p>
        </w:tc>
        <w:tc>
          <w:tcPr>
            <w:tcW w:w="64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按文件要求严控成本</w:t>
            </w:r>
          </w:p>
        </w:tc>
        <w:tc>
          <w:tcPr>
            <w:tcW w:w="355"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494"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10</w:t>
            </w: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0"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restar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效益指标</w:t>
            </w:r>
          </w:p>
          <w:p>
            <w:pPr>
              <w:widowControl/>
              <w:spacing w:line="240" w:lineRule="exact"/>
              <w:jc w:val="left"/>
              <w:rPr>
                <w:rFonts w:hint="eastAsia" w:eastAsia="方正仿宋_GBK" w:cs="仿宋"/>
                <w:color w:val="000000" w:themeColor="text1"/>
                <w:kern w:val="0"/>
                <w:szCs w:val="21"/>
                <w14:textFill>
                  <w14:solidFill>
                    <w14:schemeClr w14:val="tx1"/>
                  </w14:solidFill>
                </w14:textFill>
              </w:rPr>
            </w:pPr>
          </w:p>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（30分）</w:t>
            </w:r>
          </w:p>
        </w:tc>
        <w:tc>
          <w:tcPr>
            <w:tcW w:w="477"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经济效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75" w:type="pct"/>
            <w:gridSpan w:val="2"/>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不适用</w:t>
            </w:r>
          </w:p>
        </w:tc>
        <w:tc>
          <w:tcPr>
            <w:tcW w:w="60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41"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355"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494"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4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社会效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75" w:type="pct"/>
            <w:gridSpan w:val="2"/>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方正仿宋简体" w:eastAsia="方正仿宋简体"/>
                <w:color w:val="000000" w:themeColor="text1"/>
                <w:w w:val="95"/>
                <w:sz w:val="15"/>
                <w:szCs w:val="15"/>
                <w14:textFill>
                  <w14:solidFill>
                    <w14:schemeClr w14:val="tx1"/>
                  </w14:solidFill>
                </w14:textFill>
              </w:rPr>
              <w:t>督促企业落实质量安全主体责任，推动行业质量安全控制水平的提升。</w:t>
            </w:r>
          </w:p>
        </w:tc>
        <w:tc>
          <w:tcPr>
            <w:tcW w:w="600" w:type="pct"/>
            <w:noWrap w:val="0"/>
            <w:vAlign w:val="center"/>
          </w:tcPr>
          <w:p>
            <w:pPr>
              <w:adjustRightInd w:val="0"/>
              <w:snapToGrid w:val="0"/>
              <w:spacing w:line="240" w:lineRule="exac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达到该社会效益</w:t>
            </w:r>
          </w:p>
        </w:tc>
        <w:tc>
          <w:tcPr>
            <w:tcW w:w="64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达到该社会效益</w:t>
            </w:r>
          </w:p>
        </w:tc>
        <w:tc>
          <w:tcPr>
            <w:tcW w:w="355"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30</w:t>
            </w:r>
          </w:p>
        </w:tc>
        <w:tc>
          <w:tcPr>
            <w:tcW w:w="494"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30</w:t>
            </w:r>
          </w:p>
        </w:tc>
        <w:tc>
          <w:tcPr>
            <w:tcW w:w="677"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4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生态效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75" w:type="pct"/>
            <w:gridSpan w:val="2"/>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不适用</w:t>
            </w:r>
          </w:p>
        </w:tc>
        <w:tc>
          <w:tcPr>
            <w:tcW w:w="60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41"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355"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494"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restar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0"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可持续影响指标</w:t>
            </w:r>
          </w:p>
        </w:tc>
        <w:tc>
          <w:tcPr>
            <w:tcW w:w="675" w:type="pct"/>
            <w:gridSpan w:val="2"/>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不适用</w:t>
            </w:r>
          </w:p>
        </w:tc>
        <w:tc>
          <w:tcPr>
            <w:tcW w:w="60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41"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355"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494"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c>
          <w:tcPr>
            <w:tcW w:w="6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38" w:type="pct"/>
            <w:vMerge w:val="continue"/>
            <w:noWrap w:val="0"/>
            <w:vAlign w:val="center"/>
          </w:tcPr>
          <w:p>
            <w:pPr>
              <w:spacing w:line="240" w:lineRule="exact"/>
              <w:jc w:val="left"/>
              <w:rPr>
                <w:rFonts w:hint="eastAsia" w:eastAsia="方正仿宋_GBK" w:cs="仿宋"/>
                <w:color w:val="000000" w:themeColor="text1"/>
                <w:kern w:val="0"/>
                <w:szCs w:val="21"/>
                <w14:textFill>
                  <w14:solidFill>
                    <w14:schemeClr w14:val="tx1"/>
                  </w14:solidFill>
                </w14:textFill>
              </w:rPr>
            </w:pPr>
          </w:p>
        </w:tc>
        <w:tc>
          <w:tcPr>
            <w:tcW w:w="540"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满意度</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（10分）</w:t>
            </w:r>
          </w:p>
        </w:tc>
        <w:tc>
          <w:tcPr>
            <w:tcW w:w="477"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服务对象满意度指标</w:t>
            </w:r>
          </w:p>
        </w:tc>
        <w:tc>
          <w:tcPr>
            <w:tcW w:w="1217" w:type="dxa"/>
            <w:gridSpan w:val="2"/>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方正仿宋简体" w:eastAsia="方正仿宋简体"/>
                <w:color w:val="000000" w:themeColor="text1"/>
                <w:sz w:val="15"/>
                <w:szCs w:val="15"/>
                <w14:textFill>
                  <w14:solidFill>
                    <w14:schemeClr w14:val="tx1"/>
                  </w14:solidFill>
                </w14:textFill>
              </w:rPr>
              <w:t>全年企业有效投诉</w:t>
            </w:r>
          </w:p>
        </w:tc>
        <w:tc>
          <w:tcPr>
            <w:tcW w:w="1083"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0</w:t>
            </w:r>
          </w:p>
        </w:tc>
        <w:tc>
          <w:tcPr>
            <w:tcW w:w="1157"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0</w:t>
            </w:r>
          </w:p>
        </w:tc>
        <w:tc>
          <w:tcPr>
            <w:tcW w:w="64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w:t>
            </w:r>
          </w:p>
        </w:tc>
        <w:tc>
          <w:tcPr>
            <w:tcW w:w="891"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w:t>
            </w:r>
          </w:p>
        </w:tc>
        <w:tc>
          <w:tcPr>
            <w:tcW w:w="1222" w:type="dxa"/>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72" w:type="pct"/>
            <w:gridSpan w:val="7"/>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总分</w:t>
            </w:r>
          </w:p>
        </w:tc>
        <w:tc>
          <w:tcPr>
            <w:tcW w:w="355" w:type="pct"/>
            <w:noWrap w:val="0"/>
            <w:vAlign w:val="center"/>
          </w:tcPr>
          <w:p>
            <w:pPr>
              <w:widowControl/>
              <w:spacing w:line="24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100</w:t>
            </w:r>
          </w:p>
        </w:tc>
        <w:tc>
          <w:tcPr>
            <w:tcW w:w="494" w:type="pct"/>
            <w:noWrap w:val="0"/>
            <w:vAlign w:val="center"/>
          </w:tcPr>
          <w:p>
            <w:pPr>
              <w:widowControl/>
              <w:spacing w:line="24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100</w:t>
            </w:r>
          </w:p>
        </w:tc>
        <w:tc>
          <w:tcPr>
            <w:tcW w:w="677" w:type="pct"/>
            <w:noWrap w:val="0"/>
            <w:vAlign w:val="center"/>
          </w:tcPr>
          <w:p>
            <w:pPr>
              <w:widowControl/>
              <w:spacing w:line="24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100</w:t>
            </w:r>
          </w:p>
        </w:tc>
      </w:tr>
    </w:tbl>
    <w:p>
      <w:pPr>
        <w:widowControl/>
        <w:spacing w:after="156" w:afterLines="50"/>
        <w:jc w:val="left"/>
        <w:outlineLvl w:val="0"/>
        <w:rPr>
          <w:rFonts w:eastAsia="方正黑体_GBK"/>
          <w:color w:val="000000" w:themeColor="text1"/>
          <w:sz w:val="32"/>
          <w:szCs w:val="32"/>
          <w14:textFill>
            <w14:solidFill>
              <w14:schemeClr w14:val="tx1"/>
            </w14:solidFill>
          </w14:textFill>
        </w:rPr>
      </w:pPr>
      <w:r>
        <w:rPr>
          <w:rFonts w:hint="eastAsia" w:ascii="微软雅黑" w:hAnsi="微软雅黑" w:eastAsia="微软雅黑" w:cs="微软雅黑"/>
          <w:color w:val="000000" w:themeColor="text1"/>
          <w:kern w:val="0"/>
          <w:szCs w:val="21"/>
          <w14:textFill>
            <w14:solidFill>
              <w14:schemeClr w14:val="tx1"/>
            </w14:solidFill>
          </w14:textFill>
        </w:rPr>
        <w:t>填表人：</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杨泓</w:t>
      </w:r>
      <w:r>
        <w:rPr>
          <w:rFonts w:hint="eastAsia" w:ascii="微软雅黑" w:hAnsi="微软雅黑" w:eastAsia="微软雅黑" w:cs="微软雅黑"/>
          <w:color w:val="000000" w:themeColor="text1"/>
          <w:kern w:val="0"/>
          <w:szCs w:val="21"/>
          <w14:textFill>
            <w14:solidFill>
              <w14:schemeClr w14:val="tx1"/>
            </w14:solidFill>
          </w14:textFill>
        </w:rPr>
        <w:t xml:space="preserve">  填报日期：</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2022.4.29</w:t>
      </w:r>
      <w:r>
        <w:rPr>
          <w:rFonts w:hint="eastAsia" w:ascii="微软雅黑" w:hAnsi="微软雅黑" w:eastAsia="微软雅黑" w:cs="微软雅黑"/>
          <w:color w:val="000000" w:themeColor="text1"/>
          <w:kern w:val="0"/>
          <w:szCs w:val="21"/>
          <w14:textFill>
            <w14:solidFill>
              <w14:schemeClr w14:val="tx1"/>
            </w14:solidFill>
          </w14:textFill>
        </w:rPr>
        <w:t xml:space="preserve">     联系电话：</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0731-85693711</w:t>
      </w:r>
      <w:r>
        <w:rPr>
          <w:rFonts w:hint="eastAsia" w:ascii="微软雅黑" w:hAnsi="微软雅黑" w:eastAsia="微软雅黑" w:cs="微软雅黑"/>
          <w:color w:val="000000" w:themeColor="text1"/>
          <w:kern w:val="0"/>
          <w:szCs w:val="21"/>
          <w14:textFill>
            <w14:solidFill>
              <w14:schemeClr w14:val="tx1"/>
            </w14:solidFill>
          </w14:textFill>
        </w:rPr>
        <w:t xml:space="preserve">  单位负责人签字：</w:t>
      </w:r>
      <w:r>
        <w:rPr>
          <w:rFonts w:eastAsia="仿宋_GB2312"/>
          <w:color w:val="000000" w:themeColor="text1"/>
          <w:kern w:val="0"/>
          <w:szCs w:val="21"/>
          <w14:textFill>
            <w14:solidFill>
              <w14:schemeClr w14:val="tx1"/>
            </w14:solidFill>
          </w14:textFill>
        </w:rPr>
        <w:br w:type="page"/>
      </w:r>
      <w:r>
        <w:rPr>
          <w:rFonts w:hint="eastAsia" w:eastAsia="方正黑体_GBK"/>
          <w:color w:val="000000" w:themeColor="text1"/>
          <w:sz w:val="32"/>
          <w:szCs w:val="32"/>
          <w14:textFill>
            <w14:solidFill>
              <w14:schemeClr w14:val="tx1"/>
            </w14:solidFill>
          </w14:textFill>
        </w:rPr>
        <w:t>附件4</w:t>
      </w:r>
    </w:p>
    <w:p>
      <w:pPr>
        <w:widowControl/>
        <w:spacing w:before="156" w:beforeLines="50" w:after="156" w:afterLines="50" w:line="600" w:lineRule="exact"/>
        <w:jc w:val="center"/>
        <w:rPr>
          <w:rFonts w:hint="eastAsia" w:ascii="方正小标宋_GBK" w:hAnsi="微软雅黑" w:eastAsia="方正小标宋_GBK" w:cs="微软雅黑"/>
          <w:color w:val="000000" w:themeColor="text1"/>
          <w:spacing w:val="-8"/>
          <w:w w:val="95"/>
          <w:kern w:val="0"/>
          <w:sz w:val="44"/>
          <w:szCs w:val="44"/>
          <w14:textFill>
            <w14:solidFill>
              <w14:schemeClr w14:val="tx1"/>
            </w14:solidFill>
          </w14:textFill>
        </w:rPr>
      </w:pPr>
      <w:r>
        <w:rPr>
          <w:rFonts w:hint="eastAsia" w:ascii="方正小标宋_GBK" w:hAnsi="微软雅黑" w:eastAsia="方正小标宋_GBK" w:cs="微软雅黑"/>
          <w:color w:val="000000" w:themeColor="text1"/>
          <w:spacing w:val="-8"/>
          <w:w w:val="95"/>
          <w:kern w:val="0"/>
          <w:sz w:val="44"/>
          <w:szCs w:val="44"/>
          <w14:textFill>
            <w14:solidFill>
              <w14:schemeClr w14:val="tx1"/>
            </w14:solidFill>
          </w14:textFill>
        </w:rPr>
        <w:t>2021年度项目支出绩效自评表（业务工作经费）</w:t>
      </w:r>
    </w:p>
    <w:p>
      <w:pPr>
        <w:widowControl/>
        <w:spacing w:after="156" w:afterLines="50" w:line="400" w:lineRule="exact"/>
        <w:jc w:val="left"/>
        <w:rPr>
          <w:rFonts w:hint="default" w:ascii="微软雅黑" w:hAnsi="微软雅黑" w:eastAsia="微软雅黑" w:cs="微软雅黑"/>
          <w:color w:val="000000" w:themeColor="text1"/>
          <w:kern w:val="0"/>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Cs w:val="21"/>
          <w14:textFill>
            <w14:solidFill>
              <w14:schemeClr w14:val="tx1"/>
            </w14:solidFill>
          </w14:textFill>
        </w:rPr>
        <w:t>单位名称：</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湖南省食品和工业产品生产许可审查中心</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4"/>
        <w:gridCol w:w="981"/>
        <w:gridCol w:w="988"/>
        <w:gridCol w:w="1120"/>
        <w:gridCol w:w="1038"/>
        <w:gridCol w:w="1058"/>
        <w:gridCol w:w="754"/>
        <w:gridCol w:w="799"/>
        <w:gridCol w:w="13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项目支</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出名称</w:t>
            </w:r>
          </w:p>
        </w:tc>
        <w:tc>
          <w:tcPr>
            <w:tcW w:w="4458" w:type="pct"/>
            <w:gridSpan w:val="8"/>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xml:space="preserve"> </w:t>
            </w:r>
            <w:r>
              <w:rPr>
                <w:rFonts w:hint="eastAsia" w:ascii="仿宋_GB2312" w:hAnsi="宋体" w:eastAsia="仿宋_GB2312" w:cs="宋体"/>
                <w:color w:val="000000" w:themeColor="text1"/>
                <w:kern w:val="0"/>
                <w:sz w:val="18"/>
                <w:szCs w:val="18"/>
                <w14:textFill>
                  <w14:solidFill>
                    <w14:schemeClr w14:val="tx1"/>
                  </w14:solidFill>
                </w14:textFill>
              </w:rPr>
              <w:t>因公出国（境）费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主管部门</w:t>
            </w:r>
          </w:p>
        </w:tc>
        <w:tc>
          <w:tcPr>
            <w:tcW w:w="2289" w:type="pct"/>
            <w:gridSpan w:val="4"/>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湖南省市场监督管理局</w:t>
            </w:r>
          </w:p>
        </w:tc>
        <w:tc>
          <w:tcPr>
            <w:tcW w:w="58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实施单位</w:t>
            </w:r>
          </w:p>
        </w:tc>
        <w:tc>
          <w:tcPr>
            <w:tcW w:w="1583" w:type="pct"/>
            <w:gridSpan w:val="3"/>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湖南省食品和工业产品生产许可审查中心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lang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项目资金</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（万元）</w:t>
            </w: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62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年初</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预算数</w:t>
            </w:r>
          </w:p>
        </w:tc>
        <w:tc>
          <w:tcPr>
            <w:tcW w:w="57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全年</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预算数</w:t>
            </w:r>
          </w:p>
        </w:tc>
        <w:tc>
          <w:tcPr>
            <w:tcW w:w="585"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全年</w:t>
            </w:r>
          </w:p>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执行数</w:t>
            </w:r>
          </w:p>
        </w:tc>
        <w:tc>
          <w:tcPr>
            <w:tcW w:w="418"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分值</w:t>
            </w:r>
          </w:p>
        </w:tc>
        <w:tc>
          <w:tcPr>
            <w:tcW w:w="443"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执行率</w:t>
            </w:r>
          </w:p>
        </w:tc>
        <w:tc>
          <w:tcPr>
            <w:tcW w:w="722"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年度资金总额　</w:t>
            </w:r>
          </w:p>
        </w:tc>
        <w:tc>
          <w:tcPr>
            <w:tcW w:w="621"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5</w:t>
            </w:r>
          </w:p>
        </w:tc>
        <w:tc>
          <w:tcPr>
            <w:tcW w:w="575"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5</w:t>
            </w:r>
          </w:p>
        </w:tc>
        <w:tc>
          <w:tcPr>
            <w:tcW w:w="585"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c>
          <w:tcPr>
            <w:tcW w:w="418" w:type="pct"/>
            <w:noWrap w:val="0"/>
            <w:vAlign w:val="center"/>
          </w:tcPr>
          <w:p>
            <w:pPr>
              <w:widowControl/>
              <w:spacing w:line="260" w:lineRule="exact"/>
              <w:jc w:val="left"/>
              <w:rPr>
                <w:rFonts w:hint="eastAsia" w:eastAsia="方正仿宋_GBK" w:cs="仿宋"/>
                <w:color w:val="000000" w:themeColor="text1"/>
                <w:kern w:val="0"/>
                <w:szCs w:val="21"/>
                <w:lang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c>
          <w:tcPr>
            <w:tcW w:w="443"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c>
          <w:tcPr>
            <w:tcW w:w="722"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其中：当年财政拨款　</w:t>
            </w:r>
          </w:p>
        </w:tc>
        <w:tc>
          <w:tcPr>
            <w:tcW w:w="621"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5</w:t>
            </w:r>
          </w:p>
        </w:tc>
        <w:tc>
          <w:tcPr>
            <w:tcW w:w="575"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5</w:t>
            </w:r>
          </w:p>
        </w:tc>
        <w:tc>
          <w:tcPr>
            <w:tcW w:w="585"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c>
          <w:tcPr>
            <w:tcW w:w="418"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43" w:type="pct"/>
            <w:noWrap w:val="0"/>
            <w:vAlign w:val="center"/>
          </w:tcPr>
          <w:p>
            <w:pPr>
              <w:widowControl/>
              <w:spacing w:line="260" w:lineRule="exact"/>
              <w:ind w:firstLine="210" w:firstLineChars="100"/>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lang w:val="en-US" w:eastAsia="zh-CN"/>
                <w14:textFill>
                  <w14:solidFill>
                    <w14:schemeClr w14:val="tx1"/>
                  </w14:solidFill>
                </w14:textFill>
              </w:rPr>
              <w:t>0%</w:t>
            </w:r>
          </w:p>
        </w:tc>
        <w:tc>
          <w:tcPr>
            <w:tcW w:w="722"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ind w:firstLine="630" w:firstLineChars="300"/>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上年结转资金　</w:t>
            </w:r>
          </w:p>
        </w:tc>
        <w:tc>
          <w:tcPr>
            <w:tcW w:w="62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18"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43"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ind w:firstLine="630" w:firstLineChars="300"/>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其他资金</w:t>
            </w:r>
          </w:p>
        </w:tc>
        <w:tc>
          <w:tcPr>
            <w:tcW w:w="62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18"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43"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年度总体目标</w:t>
            </w:r>
          </w:p>
        </w:tc>
        <w:tc>
          <w:tcPr>
            <w:tcW w:w="2289"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预期目标</w:t>
            </w:r>
          </w:p>
        </w:tc>
        <w:tc>
          <w:tcPr>
            <w:tcW w:w="2168"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2289"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2168" w:type="pct"/>
            <w:gridSpan w:val="4"/>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4"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一级指标</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二级指标</w:t>
            </w:r>
          </w:p>
        </w:tc>
        <w:tc>
          <w:tcPr>
            <w:tcW w:w="62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三级指标</w:t>
            </w:r>
          </w:p>
        </w:tc>
        <w:tc>
          <w:tcPr>
            <w:tcW w:w="57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指标值</w:t>
            </w:r>
          </w:p>
        </w:tc>
        <w:tc>
          <w:tcPr>
            <w:tcW w:w="58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完成值</w:t>
            </w:r>
          </w:p>
        </w:tc>
        <w:tc>
          <w:tcPr>
            <w:tcW w:w="41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分值</w:t>
            </w:r>
          </w:p>
        </w:tc>
        <w:tc>
          <w:tcPr>
            <w:tcW w:w="443"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得分</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偏差原因</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分析及</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产出指标</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(50分)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数量指标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出国学习人次</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1人/次</w:t>
            </w:r>
          </w:p>
        </w:tc>
        <w:tc>
          <w:tcPr>
            <w:tcW w:w="585" w:type="pct"/>
            <w:noWrap w:val="0"/>
            <w:vAlign w:val="center"/>
          </w:tcPr>
          <w:p>
            <w:pPr>
              <w:widowControl/>
              <w:spacing w:line="200" w:lineRule="exact"/>
              <w:jc w:val="center"/>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w:t>
            </w:r>
          </w:p>
        </w:tc>
        <w:tc>
          <w:tcPr>
            <w:tcW w:w="799" w:type="dxa"/>
            <w:noWrap w:val="0"/>
            <w:vAlign w:val="center"/>
          </w:tcPr>
          <w:p>
            <w:pPr>
              <w:widowControl/>
              <w:ind w:firstLine="180" w:firstLineChars="100"/>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质量指标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出国考察部门学习交流、学习先进管理经验</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按要求考察</w:t>
            </w:r>
          </w:p>
        </w:tc>
        <w:tc>
          <w:tcPr>
            <w:tcW w:w="585" w:type="pct"/>
            <w:noWrap w:val="0"/>
            <w:vAlign w:val="center"/>
          </w:tcPr>
          <w:p>
            <w:pPr>
              <w:widowControl/>
              <w:spacing w:line="20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20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spacing w:line="22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时效指标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考察时间</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10天</w:t>
            </w:r>
          </w:p>
        </w:tc>
        <w:tc>
          <w:tcPr>
            <w:tcW w:w="585"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成本指标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人均成本</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5万元</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/人</w:t>
            </w:r>
          </w:p>
        </w:tc>
        <w:tc>
          <w:tcPr>
            <w:tcW w:w="585"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restar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效益指标</w:t>
            </w:r>
          </w:p>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（30分）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经济效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不适用</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1人/次</w:t>
            </w: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社会效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21"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不适用</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按要求考察</w:t>
            </w:r>
          </w:p>
        </w:tc>
        <w:tc>
          <w:tcPr>
            <w:tcW w:w="585"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30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spacing w:line="24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生态效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621"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不适用</w:t>
            </w:r>
          </w:p>
        </w:tc>
        <w:tc>
          <w:tcPr>
            <w:tcW w:w="575"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c>
          <w:tcPr>
            <w:tcW w:w="585"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4"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可持续影响指标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3"/>
                <w:szCs w:val="13"/>
                <w14:textFill>
                  <w14:solidFill>
                    <w14:schemeClr w14:val="tx1"/>
                  </w14:solidFill>
                </w14:textFill>
              </w:rPr>
              <w:t>学习借鉴先进管理经验，提升管理和服务水平</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0</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满意度</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服务对象满意度指标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不适用</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6" w:type="pct"/>
            <w:gridSpan w:val="6"/>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总分</w:t>
            </w:r>
          </w:p>
        </w:tc>
        <w:tc>
          <w:tcPr>
            <w:tcW w:w="41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100</w:t>
            </w:r>
          </w:p>
        </w:tc>
        <w:tc>
          <w:tcPr>
            <w:tcW w:w="443" w:type="pct"/>
            <w:noWrap w:val="0"/>
            <w:vAlign w:val="center"/>
          </w:tcPr>
          <w:p>
            <w:pPr>
              <w:widowControl/>
              <w:spacing w:line="260" w:lineRule="exact"/>
              <w:ind w:firstLine="210" w:firstLineChars="100"/>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lang w:val="en-US" w:eastAsia="zh-CN"/>
                <w14:textFill>
                  <w14:solidFill>
                    <w14:schemeClr w14:val="tx1"/>
                  </w14:solidFill>
                </w14:textFill>
              </w:rPr>
              <w:t>0</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r>
    </w:tbl>
    <w:p>
      <w:pPr>
        <w:widowControl/>
        <w:spacing w:line="480" w:lineRule="exact"/>
        <w:jc w:val="left"/>
        <w:rPr>
          <w:rFonts w:hint="eastAsia" w:ascii="微软雅黑" w:hAnsi="微软雅黑" w:eastAsia="微软雅黑" w:cs="微软雅黑"/>
          <w:color w:val="000000" w:themeColor="text1"/>
          <w:kern w:val="0"/>
          <w:szCs w:val="21"/>
          <w14:textFill>
            <w14:solidFill>
              <w14:schemeClr w14:val="tx1"/>
            </w14:solidFill>
          </w14:textFill>
        </w:rPr>
        <w:sectPr>
          <w:pgSz w:w="11906" w:h="16838"/>
          <w:pgMar w:top="1985" w:right="1474" w:bottom="1474" w:left="1474" w:header="851" w:footer="1134" w:gutter="0"/>
          <w:cols w:space="720" w:num="1"/>
          <w:docGrid w:type="lines" w:linePitch="312" w:charSpace="0"/>
        </w:sectPr>
      </w:pPr>
      <w:r>
        <w:rPr>
          <w:rFonts w:hint="eastAsia" w:ascii="微软雅黑" w:hAnsi="微软雅黑" w:eastAsia="微软雅黑" w:cs="微软雅黑"/>
          <w:color w:val="000000" w:themeColor="text1"/>
          <w:kern w:val="0"/>
          <w:szCs w:val="21"/>
          <w14:textFill>
            <w14:solidFill>
              <w14:schemeClr w14:val="tx1"/>
            </w14:solidFill>
          </w14:textFill>
        </w:rPr>
        <w:t>填表人：</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杨泓</w:t>
      </w:r>
      <w:r>
        <w:rPr>
          <w:rFonts w:hint="eastAsia" w:ascii="微软雅黑" w:hAnsi="微软雅黑" w:eastAsia="微软雅黑" w:cs="微软雅黑"/>
          <w:color w:val="000000" w:themeColor="text1"/>
          <w:kern w:val="0"/>
          <w:szCs w:val="21"/>
          <w14:textFill>
            <w14:solidFill>
              <w14:schemeClr w14:val="tx1"/>
            </w14:solidFill>
          </w14:textFill>
        </w:rPr>
        <w:t xml:space="preserve">  填报日期：</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2022.4.29</w:t>
      </w:r>
      <w:r>
        <w:rPr>
          <w:rFonts w:hint="eastAsia" w:ascii="微软雅黑" w:hAnsi="微软雅黑" w:eastAsia="微软雅黑" w:cs="微软雅黑"/>
          <w:color w:val="000000" w:themeColor="text1"/>
          <w:kern w:val="0"/>
          <w:szCs w:val="21"/>
          <w14:textFill>
            <w14:solidFill>
              <w14:schemeClr w14:val="tx1"/>
            </w14:solidFill>
          </w14:textFill>
        </w:rPr>
        <w:t xml:space="preserve">    联系电话：</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0731-85693711</w:t>
      </w:r>
      <w:r>
        <w:rPr>
          <w:rFonts w:hint="eastAsia" w:ascii="微软雅黑" w:hAnsi="微软雅黑" w:eastAsia="微软雅黑" w:cs="微软雅黑"/>
          <w:color w:val="000000" w:themeColor="text1"/>
          <w:kern w:val="0"/>
          <w:szCs w:val="21"/>
          <w14:textFill>
            <w14:solidFill>
              <w14:schemeClr w14:val="tx1"/>
            </w14:solidFill>
          </w14:textFill>
        </w:rPr>
        <w:t xml:space="preserve">  单位负责人签字：</w:t>
      </w:r>
    </w:p>
    <w:p>
      <w:pPr>
        <w:widowControl/>
        <w:spacing w:line="480" w:lineRule="exact"/>
        <w:jc w:val="left"/>
        <w:outlineLvl w:val="0"/>
        <w:rPr>
          <w:rFonts w:eastAsia="方正黑体_GBK"/>
          <w:color w:val="000000" w:themeColor="text1"/>
          <w:sz w:val="32"/>
          <w:szCs w:val="32"/>
          <w14:textFill>
            <w14:solidFill>
              <w14:schemeClr w14:val="tx1"/>
            </w14:solidFill>
          </w14:textFill>
        </w:rPr>
      </w:pPr>
      <w:r>
        <w:rPr>
          <w:rFonts w:hint="eastAsia" w:eastAsia="方正黑体_GBK"/>
          <w:color w:val="000000" w:themeColor="text1"/>
          <w:sz w:val="32"/>
          <w:szCs w:val="32"/>
          <w14:textFill>
            <w14:solidFill>
              <w14:schemeClr w14:val="tx1"/>
            </w14:solidFill>
          </w14:textFill>
        </w:rPr>
        <w:t>附件5</w:t>
      </w:r>
    </w:p>
    <w:p>
      <w:pPr>
        <w:widowControl/>
        <w:spacing w:before="156" w:beforeLines="50" w:after="156" w:afterLines="50" w:line="600" w:lineRule="exact"/>
        <w:jc w:val="center"/>
        <w:rPr>
          <w:rFonts w:hint="eastAsia" w:ascii="方正小标宋_GBK" w:hAnsi="微软雅黑" w:eastAsia="方正小标宋_GBK" w:cs="微软雅黑"/>
          <w:color w:val="000000" w:themeColor="text1"/>
          <w:spacing w:val="-8"/>
          <w:w w:val="95"/>
          <w:kern w:val="0"/>
          <w:sz w:val="44"/>
          <w:szCs w:val="44"/>
          <w14:textFill>
            <w14:solidFill>
              <w14:schemeClr w14:val="tx1"/>
            </w14:solidFill>
          </w14:textFill>
        </w:rPr>
      </w:pPr>
      <w:r>
        <w:rPr>
          <w:rFonts w:hint="eastAsia" w:ascii="方正小标宋_GBK" w:hAnsi="微软雅黑" w:eastAsia="方正小标宋_GBK" w:cs="微软雅黑"/>
          <w:color w:val="000000" w:themeColor="text1"/>
          <w:spacing w:val="-8"/>
          <w:w w:val="95"/>
          <w:kern w:val="0"/>
          <w:sz w:val="44"/>
          <w:szCs w:val="44"/>
          <w14:textFill>
            <w14:solidFill>
              <w14:schemeClr w14:val="tx1"/>
            </w14:solidFill>
          </w14:textFill>
        </w:rPr>
        <w:t>2021年度项目支出绩效自评表（运行维护专项）</w:t>
      </w:r>
    </w:p>
    <w:p>
      <w:pPr>
        <w:widowControl/>
        <w:spacing w:after="156" w:afterLines="50" w:line="400" w:lineRule="exact"/>
        <w:jc w:val="left"/>
        <w:rPr>
          <w:rFonts w:hint="default" w:ascii="微软雅黑" w:hAnsi="微软雅黑" w:eastAsia="微软雅黑" w:cs="微软雅黑"/>
          <w:color w:val="000000" w:themeColor="text1"/>
          <w:kern w:val="0"/>
          <w:szCs w:val="21"/>
          <w:lang w:val="en-US" w:eastAsia="zh-CN"/>
          <w14:textFill>
            <w14:solidFill>
              <w14:schemeClr w14:val="tx1"/>
            </w14:solidFill>
          </w14:textFill>
        </w:rPr>
      </w:pPr>
      <w:r>
        <w:rPr>
          <w:rFonts w:hint="eastAsia" w:ascii="微软雅黑" w:hAnsi="微软雅黑" w:eastAsia="微软雅黑" w:cs="微软雅黑"/>
          <w:color w:val="000000" w:themeColor="text1"/>
          <w:kern w:val="0"/>
          <w:szCs w:val="21"/>
          <w14:textFill>
            <w14:solidFill>
              <w14:schemeClr w14:val="tx1"/>
            </w14:solidFill>
          </w14:textFill>
        </w:rPr>
        <w:t>单位名称：</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湖南省食品和工业产品生产许可审查中心</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138"/>
        <w:gridCol w:w="1145"/>
        <w:gridCol w:w="1153"/>
        <w:gridCol w:w="1307"/>
        <w:gridCol w:w="1212"/>
        <w:gridCol w:w="1235"/>
        <w:gridCol w:w="880"/>
        <w:gridCol w:w="932"/>
        <w:gridCol w:w="152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项目支</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出名称</w:t>
            </w:r>
          </w:p>
        </w:tc>
        <w:tc>
          <w:tcPr>
            <w:tcW w:w="4458" w:type="pct"/>
            <w:gridSpan w:val="8"/>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eastAsia="zh-CN"/>
                <w14:textFill>
                  <w14:solidFill>
                    <w14:schemeClr w14:val="tx1"/>
                  </w14:solidFill>
                </w14:textFill>
              </w:rPr>
              <w:t>办公设备购置</w:t>
            </w: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主管部门</w:t>
            </w:r>
          </w:p>
        </w:tc>
        <w:tc>
          <w:tcPr>
            <w:tcW w:w="2289" w:type="pct"/>
            <w:gridSpan w:val="4"/>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8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实施单位</w:t>
            </w:r>
          </w:p>
        </w:tc>
        <w:tc>
          <w:tcPr>
            <w:tcW w:w="1583" w:type="pct"/>
            <w:gridSpan w:val="3"/>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lang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项目资金</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（万元）</w:t>
            </w: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62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年初</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预算数</w:t>
            </w:r>
          </w:p>
        </w:tc>
        <w:tc>
          <w:tcPr>
            <w:tcW w:w="57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全年</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预算数</w:t>
            </w:r>
          </w:p>
        </w:tc>
        <w:tc>
          <w:tcPr>
            <w:tcW w:w="585"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全年</w:t>
            </w:r>
          </w:p>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执行数</w:t>
            </w:r>
          </w:p>
        </w:tc>
        <w:tc>
          <w:tcPr>
            <w:tcW w:w="418"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分值</w:t>
            </w:r>
          </w:p>
        </w:tc>
        <w:tc>
          <w:tcPr>
            <w:tcW w:w="443"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执行率</w:t>
            </w:r>
          </w:p>
        </w:tc>
        <w:tc>
          <w:tcPr>
            <w:tcW w:w="722" w:type="pct"/>
            <w:noWrap w:val="0"/>
            <w:vAlign w:val="center"/>
          </w:tcPr>
          <w:p>
            <w:pPr>
              <w:spacing w:line="260" w:lineRule="exact"/>
              <w:jc w:val="center"/>
              <w:rPr>
                <w:rFonts w:hint="eastAsia" w:eastAsia="方正仿宋_GBK" w:cs="仿宋"/>
                <w:color w:val="000000" w:themeColor="text1"/>
                <w:szCs w:val="21"/>
                <w14:textFill>
                  <w14:solidFill>
                    <w14:schemeClr w14:val="tx1"/>
                  </w14:solidFill>
                </w14:textFill>
              </w:rPr>
            </w:pPr>
            <w:r>
              <w:rPr>
                <w:rFonts w:hint="eastAsia" w:eastAsia="方正仿宋_GBK" w:cs="仿宋"/>
                <w:color w:val="000000" w:themeColor="text1"/>
                <w:szCs w:val="21"/>
                <w14:textFill>
                  <w14:solidFill>
                    <w14:schemeClr w14:val="tx1"/>
                  </w14:solidFill>
                </w14:textFill>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年度资金总额　</w:t>
            </w:r>
          </w:p>
        </w:tc>
        <w:tc>
          <w:tcPr>
            <w:tcW w:w="621"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575"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585"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418"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10</w:t>
            </w:r>
          </w:p>
        </w:tc>
        <w:tc>
          <w:tcPr>
            <w:tcW w:w="443"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100%</w:t>
            </w:r>
          </w:p>
        </w:tc>
        <w:tc>
          <w:tcPr>
            <w:tcW w:w="722"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其中：当年财政拨款　</w:t>
            </w:r>
          </w:p>
        </w:tc>
        <w:tc>
          <w:tcPr>
            <w:tcW w:w="621"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575"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585" w:type="pct"/>
            <w:noWrap w:val="0"/>
            <w:vAlign w:val="center"/>
          </w:tcPr>
          <w:p>
            <w:pPr>
              <w:widowControl/>
              <w:spacing w:line="260" w:lineRule="exact"/>
              <w:jc w:val="left"/>
              <w:rPr>
                <w:rFonts w:hint="eastAsia"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4</w:t>
            </w:r>
          </w:p>
        </w:tc>
        <w:tc>
          <w:tcPr>
            <w:tcW w:w="418"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w:t>
            </w:r>
          </w:p>
        </w:tc>
        <w:tc>
          <w:tcPr>
            <w:tcW w:w="443"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100%</w:t>
            </w:r>
          </w:p>
        </w:tc>
        <w:tc>
          <w:tcPr>
            <w:tcW w:w="722" w:type="pct"/>
            <w:noWrap w:val="0"/>
            <w:vAlign w:val="center"/>
          </w:tcPr>
          <w:p>
            <w:pPr>
              <w:widowControl/>
              <w:spacing w:line="260" w:lineRule="exact"/>
              <w:jc w:val="left"/>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r>
              <w:rPr>
                <w:rFonts w:hint="eastAsia" w:eastAsia="方正仿宋_GBK" w:cs="仿宋"/>
                <w:color w:val="000000" w:themeColor="text1"/>
                <w:kern w:val="0"/>
                <w:szCs w:val="21"/>
                <w:lang w:val="en-US" w:eastAsia="zh-CN"/>
                <w14:textFill>
                  <w14:solidFill>
                    <w14:schemeClr w14:val="tx1"/>
                  </w14:solidFill>
                </w14:textFill>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ind w:firstLine="630" w:firstLineChars="300"/>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上年结转资金　</w:t>
            </w:r>
          </w:p>
        </w:tc>
        <w:tc>
          <w:tcPr>
            <w:tcW w:w="62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18"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43"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1092" w:type="pct"/>
            <w:gridSpan w:val="2"/>
            <w:noWrap w:val="0"/>
            <w:vAlign w:val="center"/>
          </w:tcPr>
          <w:p>
            <w:pPr>
              <w:widowControl/>
              <w:spacing w:line="260" w:lineRule="exact"/>
              <w:ind w:firstLine="630" w:firstLineChars="300"/>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其他资金</w:t>
            </w:r>
          </w:p>
        </w:tc>
        <w:tc>
          <w:tcPr>
            <w:tcW w:w="621"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7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85"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18"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443"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722"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年度总体目标</w:t>
            </w:r>
          </w:p>
        </w:tc>
        <w:tc>
          <w:tcPr>
            <w:tcW w:w="2289"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预期目标</w:t>
            </w:r>
          </w:p>
        </w:tc>
        <w:tc>
          <w:tcPr>
            <w:tcW w:w="2168"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p>
        </w:tc>
        <w:tc>
          <w:tcPr>
            <w:tcW w:w="2289" w:type="pct"/>
            <w:gridSpan w:val="4"/>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2168" w:type="pct"/>
            <w:gridSpan w:val="4"/>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4"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一级指标</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二级指标</w:t>
            </w:r>
          </w:p>
        </w:tc>
        <w:tc>
          <w:tcPr>
            <w:tcW w:w="621"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三级指标</w:t>
            </w:r>
          </w:p>
        </w:tc>
        <w:tc>
          <w:tcPr>
            <w:tcW w:w="57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年度</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指标值</w:t>
            </w:r>
          </w:p>
        </w:tc>
        <w:tc>
          <w:tcPr>
            <w:tcW w:w="585"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实际</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完成值</w:t>
            </w:r>
          </w:p>
        </w:tc>
        <w:tc>
          <w:tcPr>
            <w:tcW w:w="41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分值</w:t>
            </w:r>
          </w:p>
        </w:tc>
        <w:tc>
          <w:tcPr>
            <w:tcW w:w="443"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得分</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偏差原因</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分析及</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产出指标</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(50分)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数量指标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购置办公电脑数</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4台</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4台</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15</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15</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质量指标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设备验收合格率</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100%</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100%</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15</w:t>
            </w:r>
          </w:p>
        </w:tc>
        <w:tc>
          <w:tcPr>
            <w:tcW w:w="799" w:type="dxa"/>
            <w:noWrap w:val="0"/>
            <w:vAlign w:val="center"/>
          </w:tcPr>
          <w:p>
            <w:pPr>
              <w:widowControl/>
              <w:jc w:val="center"/>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15</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时效指标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购买办公设备时间</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202</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w:t>
            </w:r>
            <w:r>
              <w:rPr>
                <w:rFonts w:hint="eastAsia" w:ascii="仿宋_GB2312" w:hAnsi="宋体" w:eastAsia="仿宋_GB2312" w:cs="宋体"/>
                <w:color w:val="000000" w:themeColor="text1"/>
                <w:kern w:val="0"/>
                <w:sz w:val="18"/>
                <w:szCs w:val="18"/>
                <w14:textFill>
                  <w14:solidFill>
                    <w14:schemeClr w14:val="tx1"/>
                  </w14:solidFill>
                </w14:textFill>
              </w:rPr>
              <w:t>年12月31日</w:t>
            </w:r>
            <w:r>
              <w:rPr>
                <w:rFonts w:hint="eastAsia" w:ascii="仿宋_GB2312" w:hAnsi="宋体" w:eastAsia="仿宋_GB2312" w:cs="宋体"/>
                <w:color w:val="000000" w:themeColor="text1"/>
                <w:kern w:val="0"/>
                <w:sz w:val="18"/>
                <w:szCs w:val="18"/>
                <w:lang w:eastAsia="zh-CN"/>
                <w14:textFill>
                  <w14:solidFill>
                    <w14:schemeClr w14:val="tx1"/>
                  </w14:solidFill>
                </w14:textFill>
              </w:rPr>
              <w:t>前</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2021年11月已购置完成</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成本指标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购置成本</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1万元/台</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1万元/台</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ind w:firstLine="180" w:firstLineChars="100"/>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restar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效益指标</w:t>
            </w:r>
          </w:p>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（30分）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经济效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eastAsia="zh-CN"/>
                <w14:textFill>
                  <w14:solidFill>
                    <w14:schemeClr w14:val="tx1"/>
                  </w14:solidFill>
                </w14:textFill>
              </w:rPr>
              <w:t>不适用</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社会效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eastAsia="zh-CN"/>
                <w14:textFill>
                  <w14:solidFill>
                    <w14:schemeClr w14:val="tx1"/>
                  </w14:solidFill>
                </w14:textFill>
              </w:rPr>
              <w:t>不适用</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生态效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益指标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eastAsia="zh-CN"/>
                <w14:textFill>
                  <w14:solidFill>
                    <w14:schemeClr w14:val="tx1"/>
                  </w14:solidFill>
                </w14:textFill>
              </w:rPr>
              <w:t>不适用</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restar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绩效</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tc>
        <w:tc>
          <w:tcPr>
            <w:tcW w:w="544" w:type="pct"/>
            <w:noWrap w:val="0"/>
            <w:vAlign w:val="center"/>
          </w:tcPr>
          <w:p>
            <w:pPr>
              <w:widowControl/>
              <w:spacing w:line="260" w:lineRule="exact"/>
              <w:jc w:val="left"/>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　</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可持续影响指标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提供日常办公所需</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541" w:type="pct"/>
            <w:vMerge w:val="continue"/>
            <w:noWrap w:val="0"/>
            <w:vAlign w:val="center"/>
          </w:tcPr>
          <w:p>
            <w:pPr>
              <w:spacing w:line="260" w:lineRule="exact"/>
              <w:jc w:val="left"/>
              <w:rPr>
                <w:rFonts w:hint="eastAsia" w:eastAsia="方正仿宋_GBK" w:cs="仿宋"/>
                <w:color w:val="000000" w:themeColor="text1"/>
                <w:kern w:val="0"/>
                <w:szCs w:val="21"/>
                <w14:textFill>
                  <w14:solidFill>
                    <w14:schemeClr w14:val="tx1"/>
                  </w14:solidFill>
                </w14:textFill>
              </w:rPr>
            </w:pPr>
          </w:p>
        </w:tc>
        <w:tc>
          <w:tcPr>
            <w:tcW w:w="544"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满意度</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指标</w:t>
            </w:r>
          </w:p>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（10分）</w:t>
            </w:r>
          </w:p>
        </w:tc>
        <w:tc>
          <w:tcPr>
            <w:tcW w:w="54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服务对象满意度指标</w:t>
            </w:r>
          </w:p>
        </w:tc>
        <w:tc>
          <w:tcPr>
            <w:tcW w:w="1120"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设备使用对象满意度</w:t>
            </w:r>
          </w:p>
        </w:tc>
        <w:tc>
          <w:tcPr>
            <w:tcW w:w="1038"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100%</w:t>
            </w:r>
          </w:p>
        </w:tc>
        <w:tc>
          <w:tcPr>
            <w:tcW w:w="1055"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100%</w:t>
            </w:r>
          </w:p>
        </w:tc>
        <w:tc>
          <w:tcPr>
            <w:tcW w:w="754"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　</w:t>
            </w: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p>
        </w:tc>
        <w:tc>
          <w:tcPr>
            <w:tcW w:w="799" w:type="dxa"/>
            <w:noWrap w:val="0"/>
            <w:vAlign w:val="center"/>
          </w:tcPr>
          <w:p>
            <w:pPr>
              <w:widowControl/>
              <w:jc w:val="left"/>
              <w:rPr>
                <w:rFonts w:hint="eastAsia" w:eastAsia="方正仿宋_GBK" w:cs="仿宋"/>
                <w:color w:val="000000" w:themeColor="text1"/>
                <w:kern w:val="0"/>
                <w:szCs w:val="21"/>
                <w14:textFill>
                  <w14:solidFill>
                    <w14:schemeClr w14:val="tx1"/>
                  </w14:solidFill>
                </w14:textFill>
              </w:rPr>
            </w:pPr>
            <w:r>
              <w:rPr>
                <w:rFonts w:hint="eastAsia" w:ascii="仿宋_GB2312" w:hAnsi="宋体" w:eastAsia="仿宋_GB2312" w:cs="宋体"/>
                <w:color w:val="000000" w:themeColor="text1"/>
                <w:kern w:val="0"/>
                <w:sz w:val="18"/>
                <w:szCs w:val="18"/>
                <w:lang w:val="en-US" w:eastAsia="zh-CN"/>
                <w14:textFill>
                  <w14:solidFill>
                    <w14:schemeClr w14:val="tx1"/>
                  </w14:solidFill>
                </w14:textFill>
              </w:rPr>
              <w:t>10</w:t>
            </w:r>
            <w:r>
              <w:rPr>
                <w:rFonts w:hint="eastAsia" w:ascii="仿宋_GB2312" w:hAnsi="宋体" w:eastAsia="仿宋_GB2312" w:cs="宋体"/>
                <w:color w:val="000000" w:themeColor="text1"/>
                <w:kern w:val="0"/>
                <w:sz w:val="18"/>
                <w:szCs w:val="18"/>
                <w14:textFill>
                  <w14:solidFill>
                    <w14:schemeClr w14:val="tx1"/>
                  </w14:solidFill>
                </w14:textFill>
              </w:rPr>
              <w:t>　</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55" w:hRule="atLeast"/>
          <w:jc w:val="center"/>
        </w:trPr>
        <w:tc>
          <w:tcPr>
            <w:tcW w:w="3416" w:type="pct"/>
            <w:gridSpan w:val="6"/>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总分</w:t>
            </w:r>
          </w:p>
        </w:tc>
        <w:tc>
          <w:tcPr>
            <w:tcW w:w="418"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r>
              <w:rPr>
                <w:rFonts w:hint="eastAsia" w:eastAsia="方正仿宋_GBK" w:cs="仿宋"/>
                <w:color w:val="000000" w:themeColor="text1"/>
                <w:kern w:val="0"/>
                <w:szCs w:val="21"/>
                <w14:textFill>
                  <w14:solidFill>
                    <w14:schemeClr w14:val="tx1"/>
                  </w14:solidFill>
                </w14:textFill>
              </w:rPr>
              <w:t>100</w:t>
            </w:r>
          </w:p>
        </w:tc>
        <w:tc>
          <w:tcPr>
            <w:tcW w:w="443" w:type="pct"/>
            <w:noWrap w:val="0"/>
            <w:vAlign w:val="center"/>
          </w:tcPr>
          <w:p>
            <w:pPr>
              <w:widowControl/>
              <w:spacing w:line="260" w:lineRule="exact"/>
              <w:jc w:val="center"/>
              <w:rPr>
                <w:rFonts w:hint="default" w:eastAsia="方正仿宋_GBK" w:cs="仿宋"/>
                <w:color w:val="000000" w:themeColor="text1"/>
                <w:kern w:val="0"/>
                <w:szCs w:val="21"/>
                <w:lang w:val="en-US" w:eastAsia="zh-CN"/>
                <w14:textFill>
                  <w14:solidFill>
                    <w14:schemeClr w14:val="tx1"/>
                  </w14:solidFill>
                </w14:textFill>
              </w:rPr>
            </w:pPr>
            <w:r>
              <w:rPr>
                <w:rFonts w:hint="eastAsia" w:eastAsia="方正仿宋_GBK" w:cs="仿宋"/>
                <w:color w:val="000000" w:themeColor="text1"/>
                <w:kern w:val="0"/>
                <w:szCs w:val="21"/>
                <w:lang w:val="en-US" w:eastAsia="zh-CN"/>
                <w14:textFill>
                  <w14:solidFill>
                    <w14:schemeClr w14:val="tx1"/>
                  </w14:solidFill>
                </w14:textFill>
              </w:rPr>
              <w:t>100</w:t>
            </w:r>
          </w:p>
        </w:tc>
        <w:tc>
          <w:tcPr>
            <w:tcW w:w="722" w:type="pct"/>
            <w:noWrap w:val="0"/>
            <w:vAlign w:val="center"/>
          </w:tcPr>
          <w:p>
            <w:pPr>
              <w:widowControl/>
              <w:spacing w:line="260" w:lineRule="exact"/>
              <w:jc w:val="center"/>
              <w:rPr>
                <w:rFonts w:hint="eastAsia" w:eastAsia="方正仿宋_GBK" w:cs="仿宋"/>
                <w:color w:val="000000" w:themeColor="text1"/>
                <w:kern w:val="0"/>
                <w:szCs w:val="21"/>
                <w14:textFill>
                  <w14:solidFill>
                    <w14:schemeClr w14:val="tx1"/>
                  </w14:solidFill>
                </w14:textFill>
              </w:rPr>
            </w:pPr>
          </w:p>
        </w:tc>
      </w:tr>
    </w:tbl>
    <w:p>
      <w:pPr>
        <w:widowControl/>
        <w:jc w:val="left"/>
        <w:rPr>
          <w:rFonts w:hint="default" w:cs="黑体" w:asciiTheme="minorEastAsia" w:hAnsiTheme="minorEastAsia"/>
          <w:color w:val="000000" w:themeColor="text1"/>
          <w:kern w:val="0"/>
          <w:sz w:val="32"/>
          <w:szCs w:val="32"/>
          <w:lang w:val="en-US" w:eastAsia="zh-CN"/>
          <w14:textFill>
            <w14:solidFill>
              <w14:schemeClr w14:val="tx1"/>
            </w14:solidFill>
          </w14:textFill>
        </w:rPr>
        <w:sectPr>
          <w:pgSz w:w="11906" w:h="16838"/>
          <w:pgMar w:top="720" w:right="720" w:bottom="720" w:left="720" w:header="851" w:footer="992" w:gutter="0"/>
          <w:cols w:space="425" w:num="1"/>
          <w:docGrid w:type="linesAndChars" w:linePitch="312" w:charSpace="0"/>
        </w:sectPr>
      </w:pPr>
      <w:r>
        <w:rPr>
          <w:rFonts w:hint="eastAsia" w:ascii="微软雅黑" w:hAnsi="微软雅黑" w:eastAsia="微软雅黑" w:cs="微软雅黑"/>
          <w:color w:val="000000" w:themeColor="text1"/>
          <w:kern w:val="0"/>
          <w:szCs w:val="21"/>
          <w14:textFill>
            <w14:solidFill>
              <w14:schemeClr w14:val="tx1"/>
            </w14:solidFill>
          </w14:textFill>
        </w:rPr>
        <w:t>填表人：</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杨泓</w:t>
      </w:r>
      <w:r>
        <w:rPr>
          <w:rFonts w:hint="eastAsia" w:ascii="微软雅黑" w:hAnsi="微软雅黑" w:eastAsia="微软雅黑" w:cs="微软雅黑"/>
          <w:color w:val="000000" w:themeColor="text1"/>
          <w:kern w:val="0"/>
          <w:szCs w:val="21"/>
          <w14:textFill>
            <w14:solidFill>
              <w14:schemeClr w14:val="tx1"/>
            </w14:solidFill>
          </w14:textFill>
        </w:rPr>
        <w:t xml:space="preserve"> 填报日期：</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2022.4.29</w:t>
      </w:r>
      <w:r>
        <w:rPr>
          <w:rFonts w:hint="eastAsia" w:ascii="微软雅黑" w:hAnsi="微软雅黑" w:eastAsia="微软雅黑" w:cs="微软雅黑"/>
          <w:color w:val="000000" w:themeColor="text1"/>
          <w:kern w:val="0"/>
          <w:szCs w:val="21"/>
          <w14:textFill>
            <w14:solidFill>
              <w14:schemeClr w14:val="tx1"/>
            </w14:solidFill>
          </w14:textFill>
        </w:rPr>
        <w:t xml:space="preserve">   联系电话：</w:t>
      </w:r>
      <w:r>
        <w:rPr>
          <w:rFonts w:hint="eastAsia" w:ascii="微软雅黑" w:hAnsi="微软雅黑" w:eastAsia="微软雅黑" w:cs="微软雅黑"/>
          <w:color w:val="000000" w:themeColor="text1"/>
          <w:kern w:val="0"/>
          <w:szCs w:val="21"/>
          <w:lang w:val="en-US" w:eastAsia="zh-CN"/>
          <w14:textFill>
            <w14:solidFill>
              <w14:schemeClr w14:val="tx1"/>
            </w14:solidFill>
          </w14:textFill>
        </w:rPr>
        <w:t>0731-85693711</w:t>
      </w:r>
      <w:r>
        <w:rPr>
          <w:rFonts w:hint="eastAsia" w:ascii="微软雅黑" w:hAnsi="微软雅黑" w:eastAsia="微软雅黑" w:cs="微软雅黑"/>
          <w:color w:val="000000" w:themeColor="text1"/>
          <w:kern w:val="0"/>
          <w:szCs w:val="21"/>
          <w14:textFill>
            <w14:solidFill>
              <w14:schemeClr w14:val="tx1"/>
            </w14:solidFill>
          </w14:textFill>
        </w:rPr>
        <w:t xml:space="preserve">  单位负责人签字</w:t>
      </w:r>
      <w:r>
        <w:rPr>
          <w:rFonts w:hint="eastAsia" w:ascii="微软雅黑" w:hAnsi="微软雅黑" w:eastAsia="微软雅黑" w:cs="微软雅黑"/>
          <w:color w:val="000000" w:themeColor="text1"/>
          <w:kern w:val="0"/>
          <w:szCs w:val="21"/>
          <w:lang w:eastAsia="zh-CN"/>
          <w14:textFill>
            <w14:solidFill>
              <w14:schemeClr w14:val="tx1"/>
            </w14:solidFill>
          </w14:textFill>
        </w:rPr>
        <w:t>：</w:t>
      </w:r>
    </w:p>
    <w:p>
      <w:pPr>
        <w:widowControl/>
        <w:jc w:val="left"/>
        <w:rPr>
          <w:rFonts w:hint="default" w:cs="黑体" w:asciiTheme="minorEastAsia" w:hAnsiTheme="minorEastAsia"/>
          <w:color w:val="000000" w:themeColor="text1"/>
          <w:kern w:val="0"/>
          <w:sz w:val="32"/>
          <w:szCs w:val="32"/>
          <w:lang w:val="en-US" w:eastAsia="zh-CN"/>
          <w14:textFill>
            <w14:solidFill>
              <w14:schemeClr w14:val="tx1"/>
            </w14:solidFill>
          </w14:textFill>
        </w:rPr>
      </w:pPr>
    </w:p>
    <w:bookmarkEnd w:id="3"/>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sz w:val="28"/>
        <w:szCs w:val="28"/>
      </w:rPr>
    </w:pPr>
    <w:r>
      <w:rPr>
        <w:rStyle w:val="8"/>
        <w:rFonts w:hint="eastAsia"/>
        <w:sz w:val="28"/>
        <w:szCs w:val="28"/>
      </w:rPr>
      <w:t xml:space="preserve">— </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5</w:t>
    </w:r>
    <w:r>
      <w:rPr>
        <w:rStyle w:val="8"/>
        <w:sz w:val="28"/>
        <w:szCs w:val="28"/>
      </w:rPr>
      <w:fldChar w:fldCharType="end"/>
    </w:r>
    <w:r>
      <w:rPr>
        <w:rStyle w:val="8"/>
        <w:rFonts w:hint="eastAsia"/>
        <w:sz w:val="28"/>
        <w:szCs w:val="28"/>
      </w:rPr>
      <w:t xml:space="preserve"> —</w:t>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9A92DE"/>
    <w:multiLevelType w:val="singleLevel"/>
    <w:tmpl w:val="A09A92DE"/>
    <w:lvl w:ilvl="0" w:tentative="0">
      <w:start w:val="1"/>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162BD4"/>
    <w:multiLevelType w:val="singleLevel"/>
    <w:tmpl w:val="51162BD4"/>
    <w:lvl w:ilvl="0" w:tentative="0">
      <w:start w:val="1"/>
      <w:numFmt w:val="decimal"/>
      <w:suff w:val="nothing"/>
      <w:lvlText w:val="%1、"/>
      <w:lvlJc w:val="left"/>
    </w:lvl>
  </w:abstractNum>
  <w:abstractNum w:abstractNumId="3">
    <w:nsid w:val="57E7C666"/>
    <w:multiLevelType w:val="singleLevel"/>
    <w:tmpl w:val="57E7C666"/>
    <w:lvl w:ilvl="0" w:tentative="0">
      <w:start w:val="1"/>
      <w:numFmt w:val="decimal"/>
      <w:suff w:val="nothing"/>
      <w:lvlText w:val="%1、"/>
      <w:lvlJc w:val="left"/>
    </w:lvl>
  </w:abstractNum>
  <w:abstractNum w:abstractNumId="4">
    <w:nsid w:val="6596DEF7"/>
    <w:multiLevelType w:val="singleLevel"/>
    <w:tmpl w:val="6596DEF7"/>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YWM1MjlmNmM2M2ZmN2JmZTJiOGJhYmMxYzAyOWQ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C6ADC"/>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22437F"/>
    <w:rsid w:val="03F5628D"/>
    <w:rsid w:val="051028C6"/>
    <w:rsid w:val="06FC5663"/>
    <w:rsid w:val="088756A6"/>
    <w:rsid w:val="0A8845E7"/>
    <w:rsid w:val="0BE14922"/>
    <w:rsid w:val="0D6E42F3"/>
    <w:rsid w:val="1005785C"/>
    <w:rsid w:val="10207F6F"/>
    <w:rsid w:val="110747DF"/>
    <w:rsid w:val="111A1B4D"/>
    <w:rsid w:val="123A13FB"/>
    <w:rsid w:val="13381937"/>
    <w:rsid w:val="14EF13D1"/>
    <w:rsid w:val="162E08A6"/>
    <w:rsid w:val="18F77908"/>
    <w:rsid w:val="1B8B2562"/>
    <w:rsid w:val="1BE90917"/>
    <w:rsid w:val="1F6138CF"/>
    <w:rsid w:val="1FAE3695"/>
    <w:rsid w:val="206A49B9"/>
    <w:rsid w:val="21725D08"/>
    <w:rsid w:val="21E645B7"/>
    <w:rsid w:val="224650EC"/>
    <w:rsid w:val="22FA4207"/>
    <w:rsid w:val="2C593EDF"/>
    <w:rsid w:val="2D9A181B"/>
    <w:rsid w:val="2E0221C2"/>
    <w:rsid w:val="305320D5"/>
    <w:rsid w:val="3150593A"/>
    <w:rsid w:val="32352486"/>
    <w:rsid w:val="341B5F16"/>
    <w:rsid w:val="37585548"/>
    <w:rsid w:val="39BA7DF4"/>
    <w:rsid w:val="3D1A6389"/>
    <w:rsid w:val="3FB97BF0"/>
    <w:rsid w:val="404228F2"/>
    <w:rsid w:val="419966F4"/>
    <w:rsid w:val="44FB7C21"/>
    <w:rsid w:val="4861349E"/>
    <w:rsid w:val="49352181"/>
    <w:rsid w:val="49B072C8"/>
    <w:rsid w:val="4DDA383D"/>
    <w:rsid w:val="4E88694A"/>
    <w:rsid w:val="4E9F3C82"/>
    <w:rsid w:val="50071A41"/>
    <w:rsid w:val="500B6A7C"/>
    <w:rsid w:val="51A87059"/>
    <w:rsid w:val="53AE0197"/>
    <w:rsid w:val="548F26AB"/>
    <w:rsid w:val="557B2D67"/>
    <w:rsid w:val="569357FD"/>
    <w:rsid w:val="5A9D5154"/>
    <w:rsid w:val="60B13450"/>
    <w:rsid w:val="6161517B"/>
    <w:rsid w:val="623A208C"/>
    <w:rsid w:val="62AE572A"/>
    <w:rsid w:val="64991D49"/>
    <w:rsid w:val="6BCF0E23"/>
    <w:rsid w:val="6FC86089"/>
    <w:rsid w:val="702D55E3"/>
    <w:rsid w:val="70C92570"/>
    <w:rsid w:val="737A7719"/>
    <w:rsid w:val="73CB35BE"/>
    <w:rsid w:val="74E15BF8"/>
    <w:rsid w:val="776B7732"/>
    <w:rsid w:val="79816E84"/>
    <w:rsid w:val="7A1D31F9"/>
    <w:rsid w:val="7E045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semiHidden/>
    <w:unhideWhenUsed/>
    <w:qFormat/>
    <w:uiPriority w:val="99"/>
    <w:pPr>
      <w:snapToGrid w:val="0"/>
      <w:jc w:val="left"/>
    </w:pPr>
    <w:rPr>
      <w:sz w:val="18"/>
    </w:rPr>
  </w:style>
  <w:style w:type="character" w:styleId="8">
    <w:name w:val="page number"/>
    <w:basedOn w:val="7"/>
    <w:qFormat/>
    <w:uiPriority w:val="0"/>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35</Pages>
  <Words>11334</Words>
  <Characters>14370</Characters>
  <Lines>69</Lines>
  <Paragraphs>19</Paragraphs>
  <TotalTime>6</TotalTime>
  <ScaleCrop>false</ScaleCrop>
  <LinksUpToDate>false</LinksUpToDate>
  <CharactersWithSpaces>15885</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greatwall</cp:lastModifiedBy>
  <cp:lastPrinted>2022-07-27T20:55:00Z</cp:lastPrinted>
  <dcterms:modified xsi:type="dcterms:W3CDTF">2023-10-08T20:41:43Z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07C2B69502FE4FBE9827F41D380C3FD5_13</vt:lpwstr>
  </property>
</Properties>
</file>