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rFonts w:hint="eastAsia"/>
          <w:color w:val="000000" w:themeColor="text1"/>
          <w:sz w:val="56"/>
          <w:szCs w:val="56"/>
          <w14:textFill>
            <w14:solidFill>
              <w14:schemeClr w14:val="tx1"/>
            </w14:solidFill>
          </w14:textFill>
        </w:rPr>
      </w:pPr>
    </w:p>
    <w:p>
      <w:pPr>
        <w:pStyle w:val="12"/>
        <w:jc w:val="center"/>
        <w:rPr>
          <w:color w:val="000000" w:themeColor="text1"/>
          <w:sz w:val="56"/>
          <w:szCs w:val="56"/>
          <w14:textFill>
            <w14:solidFill>
              <w14:schemeClr w14:val="tx1"/>
            </w14:solidFill>
          </w14:textFill>
        </w:rPr>
      </w:pPr>
    </w:p>
    <w:p>
      <w:pPr>
        <w:pStyle w:val="12"/>
        <w:jc w:val="center"/>
        <w:rPr>
          <w:color w:val="000000" w:themeColor="text1"/>
          <w:sz w:val="84"/>
          <w:szCs w:val="84"/>
          <w14:textFill>
            <w14:solidFill>
              <w14:schemeClr w14:val="tx1"/>
            </w14:solidFill>
          </w14:textFill>
        </w:rPr>
      </w:pPr>
    </w:p>
    <w:p>
      <w:pPr>
        <w:pStyle w:val="12"/>
        <w:jc w:val="center"/>
        <w:rPr>
          <w:color w:val="000000" w:themeColor="text1"/>
          <w:sz w:val="84"/>
          <w:szCs w:val="84"/>
          <w14:textFill>
            <w14:solidFill>
              <w14:schemeClr w14:val="tx1"/>
            </w14:solidFill>
          </w14:textFill>
        </w:rPr>
      </w:pPr>
    </w:p>
    <w:p>
      <w:pPr>
        <w:pStyle w:val="12"/>
        <w:jc w:val="center"/>
        <w:rPr>
          <w:color w:val="000000" w:themeColor="text1"/>
          <w:sz w:val="84"/>
          <w:szCs w:val="84"/>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2021年度</w:t>
      </w: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湖南省质量技术评审中心</w:t>
      </w: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部门决算</w:t>
      </w:r>
    </w:p>
    <w:p>
      <w:pPr>
        <w:pStyle w:val="12"/>
        <w:jc w:val="center"/>
        <w:rPr>
          <w:color w:val="000000" w:themeColor="text1"/>
          <w:sz w:val="56"/>
          <w:szCs w:val="56"/>
          <w14:textFill>
            <w14:solidFill>
              <w14:schemeClr w14:val="tx1"/>
            </w14:solidFill>
          </w14:textFill>
        </w:rPr>
      </w:pPr>
    </w:p>
    <w:p>
      <w:pPr>
        <w:pStyle w:val="12"/>
        <w:jc w:val="center"/>
        <w:rPr>
          <w:color w:val="000000" w:themeColor="text1"/>
          <w:sz w:val="56"/>
          <w:szCs w:val="56"/>
          <w14:textFill>
            <w14:solidFill>
              <w14:schemeClr w14:val="tx1"/>
            </w14:solidFill>
          </w14:textFill>
        </w:rPr>
      </w:pPr>
    </w:p>
    <w:p>
      <w:pPr>
        <w:pStyle w:val="12"/>
        <w:jc w:val="center"/>
        <w:rPr>
          <w:color w:val="000000" w:themeColor="text1"/>
          <w:sz w:val="56"/>
          <w:szCs w:val="56"/>
          <w14:textFill>
            <w14:solidFill>
              <w14:schemeClr w14:val="tx1"/>
            </w14:solidFill>
          </w14:textFill>
        </w:rPr>
      </w:pPr>
    </w:p>
    <w:p>
      <w:pPr>
        <w:pStyle w:val="12"/>
        <w:jc w:val="center"/>
        <w:rPr>
          <w:color w:val="000000" w:themeColor="text1"/>
          <w:sz w:val="56"/>
          <w:szCs w:val="56"/>
          <w14:textFill>
            <w14:solidFill>
              <w14:schemeClr w14:val="tx1"/>
            </w14:solidFill>
          </w14:textFill>
        </w:rPr>
      </w:pPr>
    </w:p>
    <w:p>
      <w:pPr>
        <w:pStyle w:val="12"/>
        <w:jc w:val="center"/>
        <w:rPr>
          <w:color w:val="000000" w:themeColor="text1"/>
          <w:sz w:val="32"/>
          <w:szCs w:val="32"/>
          <w14:textFill>
            <w14:solidFill>
              <w14:schemeClr w14:val="tx1"/>
            </w14:solidFill>
          </w14:textFill>
        </w:rPr>
      </w:pPr>
    </w:p>
    <w:p>
      <w:pPr>
        <w:pStyle w:val="12"/>
        <w:jc w:val="center"/>
        <w:rPr>
          <w:color w:val="000000" w:themeColor="text1"/>
          <w:sz w:val="32"/>
          <w:szCs w:val="32"/>
          <w14:textFill>
            <w14:solidFill>
              <w14:schemeClr w14:val="tx1"/>
            </w14:solidFill>
          </w14:textFill>
        </w:rPr>
      </w:pPr>
    </w:p>
    <w:p>
      <w:pPr>
        <w:pStyle w:val="12"/>
        <w:jc w:val="center"/>
        <w:rPr>
          <w:color w:val="000000" w:themeColor="text1"/>
          <w:sz w:val="32"/>
          <w:szCs w:val="32"/>
          <w14:textFill>
            <w14:solidFill>
              <w14:schemeClr w14:val="tx1"/>
            </w14:solidFill>
          </w14:textFill>
        </w:rPr>
      </w:pPr>
    </w:p>
    <w:p>
      <w:pPr>
        <w:pStyle w:val="12"/>
        <w:jc w:val="center"/>
        <w:rPr>
          <w:color w:val="000000" w:themeColor="text1"/>
          <w:sz w:val="32"/>
          <w:szCs w:val="32"/>
          <w14:textFill>
            <w14:solidFill>
              <w14:schemeClr w14:val="tx1"/>
            </w14:solidFill>
          </w14:textFill>
        </w:rPr>
      </w:pPr>
    </w:p>
    <w:p>
      <w:pPr>
        <w:pStyle w:val="12"/>
        <w:spacing w:line="500" w:lineRule="exact"/>
        <w:jc w:val="center"/>
        <w:rPr>
          <w:rFonts w:hint="eastAsia"/>
          <w:b/>
          <w:color w:val="000000" w:themeColor="text1"/>
          <w:sz w:val="36"/>
          <w:szCs w:val="28"/>
          <w:lang w:val="en-US" w:eastAsia="zh-CN"/>
          <w14:textFill>
            <w14:solidFill>
              <w14:schemeClr w14:val="tx1"/>
            </w14:solidFill>
          </w14:textFill>
        </w:rPr>
      </w:pPr>
    </w:p>
    <w:p>
      <w:pPr>
        <w:pStyle w:val="12"/>
        <w:spacing w:line="500" w:lineRule="exact"/>
        <w:jc w:val="center"/>
        <w:rPr>
          <w:rFonts w:hint="eastAsia" w:eastAsia="黑体"/>
          <w:b/>
          <w:color w:val="000000" w:themeColor="text1"/>
          <w:sz w:val="36"/>
          <w:szCs w:val="28"/>
          <w:lang w:val="en-US" w:eastAsia="zh-CN"/>
          <w14:textFill>
            <w14:solidFill>
              <w14:schemeClr w14:val="tx1"/>
            </w14:solidFill>
          </w14:textFill>
        </w:rPr>
      </w:pPr>
      <w:r>
        <w:rPr>
          <w:rFonts w:hint="eastAsia"/>
          <w:b/>
          <w:color w:val="000000" w:themeColor="text1"/>
          <w:sz w:val="36"/>
          <w:szCs w:val="28"/>
          <w:lang w:val="en-US" w:eastAsia="zh-CN"/>
          <w14:textFill>
            <w14:solidFill>
              <w14:schemeClr w14:val="tx1"/>
            </w14:solidFill>
          </w14:textFill>
        </w:rPr>
        <w:t>目 录</w:t>
      </w:r>
    </w:p>
    <w:p>
      <w:pPr>
        <w:pStyle w:val="12"/>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第一部分湖南省质量技术评审中心</w:t>
      </w:r>
      <w:r>
        <w:rPr>
          <w:rFonts w:hint="eastAsia"/>
          <w:b/>
          <w:color w:val="000000" w:themeColor="text1"/>
          <w:sz w:val="28"/>
          <w:szCs w:val="28"/>
          <w14:textFill>
            <w14:solidFill>
              <w14:schemeClr w14:val="tx1"/>
            </w14:solidFill>
          </w14:textFill>
        </w:rPr>
        <w:t>单位概况</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一、部门职责</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二、机构设置</w:t>
      </w:r>
    </w:p>
    <w:p>
      <w:pPr>
        <w:pStyle w:val="12"/>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第二部分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21年度部门决算表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二、收入决算表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三、支出决算表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四、财政拨款收入支出决算总表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五、一般公共预算财政拨款支出决算表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六、一般公共预算财政拨款基本支出决算</w:t>
      </w:r>
      <w:r>
        <w:rPr>
          <w:rFonts w:hint="eastAsia" w:cs="仿宋_GB2312" w:asciiTheme="minorEastAsia" w:hAnsiTheme="minorEastAsia" w:eastAsiaTheme="minorEastAsia"/>
          <w:color w:val="000000" w:themeColor="text1"/>
          <w:sz w:val="28"/>
          <w:szCs w:val="28"/>
          <w14:textFill>
            <w14:solidFill>
              <w14:schemeClr w14:val="tx1"/>
            </w14:solidFill>
          </w14:textFill>
        </w:rPr>
        <w:t>明细</w:t>
      </w:r>
      <w:r>
        <w:rPr>
          <w:rFonts w:cs="仿宋_GB2312" w:asciiTheme="minorEastAsia" w:hAnsiTheme="minorEastAsia" w:eastAsiaTheme="minorEastAsia"/>
          <w:color w:val="000000" w:themeColor="text1"/>
          <w:sz w:val="28"/>
          <w:szCs w:val="28"/>
          <w14:textFill>
            <w14:solidFill>
              <w14:schemeClr w14:val="tx1"/>
            </w14:solidFill>
          </w14:textFill>
        </w:rPr>
        <w:t>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七、一般公共预算财政拨款“三公”经费支出决算表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八、政府性基金预算财政拨款收入支出决算表</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hint="eastAsia" w:cs="仿宋_GB2312" w:asciiTheme="minorEastAsia" w:hAnsiTheme="minorEastAsia" w:eastAsiaTheme="minorEastAsia"/>
          <w:color w:val="000000" w:themeColor="text1"/>
          <w:sz w:val="28"/>
          <w:szCs w:val="28"/>
          <w14:textFill>
            <w14:solidFill>
              <w14:schemeClr w14:val="tx1"/>
            </w14:solidFill>
          </w14:textFill>
        </w:rPr>
        <w:t>九、国有资本经营预算财政拨款支出决算表</w:t>
      </w:r>
    </w:p>
    <w:p>
      <w:pPr>
        <w:pStyle w:val="12"/>
        <w:spacing w:line="500" w:lineRule="exact"/>
        <w:rPr>
          <w:rFonts w:ascii="仿宋_GB2312" w:hAnsi="仿宋_GB2312" w:cs="仿宋_GB2312"/>
          <w:b/>
          <w:color w:val="000000" w:themeColor="text1"/>
          <w:sz w:val="28"/>
          <w:szCs w:val="28"/>
          <w14:textFill>
            <w14:solidFill>
              <w14:schemeClr w14:val="tx1"/>
            </w14:solidFill>
          </w14:textFill>
        </w:rPr>
      </w:pPr>
      <w:r>
        <w:rPr>
          <w:rFonts w:hint="eastAsia" w:hAnsi="仿宋_GB2312"/>
          <w:b/>
          <w:color w:val="000000" w:themeColor="text1"/>
          <w:sz w:val="28"/>
          <w:szCs w:val="28"/>
          <w14:textFill>
            <w14:solidFill>
              <w14:schemeClr w14:val="tx1"/>
            </w14:solidFill>
          </w14:textFill>
        </w:rPr>
        <w:t>第三部分</w:t>
      </w:r>
      <w:r>
        <w:rPr>
          <w:rFonts w:hAnsi="仿宋_GB2312"/>
          <w:b/>
          <w:color w:val="000000" w:themeColor="text1"/>
          <w:sz w:val="28"/>
          <w:szCs w:val="28"/>
          <w14:textFill>
            <w14:solidFill>
              <w14:schemeClr w14:val="tx1"/>
            </w14:solidFill>
          </w14:textFill>
        </w:rPr>
        <w:t>20</w:t>
      </w:r>
      <w:r>
        <w:rPr>
          <w:rFonts w:hint="eastAsia" w:hAnsi="仿宋_GB2312"/>
          <w:b/>
          <w:color w:val="000000" w:themeColor="text1"/>
          <w:sz w:val="28"/>
          <w:szCs w:val="28"/>
          <w14:textFill>
            <w14:solidFill>
              <w14:schemeClr w14:val="tx1"/>
            </w14:solidFill>
          </w14:textFill>
        </w:rPr>
        <w:t>21年度部门决算情况说明</w:t>
      </w:r>
    </w:p>
    <w:p>
      <w:pPr>
        <w:pStyle w:val="12"/>
        <w:spacing w:line="500" w:lineRule="exact"/>
        <w:ind w:firstLine="700" w:firstLineChars="250"/>
        <w:rPr>
          <w:rFonts w:cs="仿宋_GB2312" w:asciiTheme="minorEastAsia" w:hAnsiTheme="minorEastAsia" w:eastAsiaTheme="minorEastAsia"/>
          <w:color w:val="000000" w:themeColor="text1"/>
          <w:sz w:val="28"/>
          <w:szCs w:val="28"/>
          <w14:textFill>
            <w14:solidFill>
              <w14:schemeClr w14:val="tx1"/>
            </w14:solidFill>
          </w14:textFill>
        </w:rPr>
      </w:pPr>
      <w:r>
        <w:rPr>
          <w:rFonts w:cs="仿宋_GB2312" w:asciiTheme="minorEastAsia" w:hAnsiTheme="minorEastAsia" w:eastAsiaTheme="minorEastAsia"/>
          <w:color w:val="000000" w:themeColor="text1"/>
          <w:sz w:val="28"/>
          <w:szCs w:val="28"/>
          <w14:textFill>
            <w14:solidFill>
              <w14:schemeClr w14:val="tx1"/>
            </w14:solidFill>
          </w14:textFill>
        </w:rPr>
        <w:t>一、收入支出决算总体情况说明</w:t>
      </w:r>
    </w:p>
    <w:p>
      <w:pPr>
        <w:spacing w:line="500" w:lineRule="exact"/>
        <w:ind w:firstLine="700" w:firstLineChars="250"/>
        <w:jc w:val="left"/>
        <w:rPr>
          <w:rFonts w:ascii="仿宋_GB2312" w:hAnsi="仿宋_GB2312" w:cs="仿宋_GB2312"/>
          <w:color w:val="000000" w:themeColor="text1"/>
          <w:sz w:val="28"/>
          <w:szCs w:val="28"/>
          <w14:textFill>
            <w14:solidFill>
              <w14:schemeClr w14:val="tx1"/>
            </w14:solidFill>
          </w14:textFill>
        </w:rPr>
      </w:pPr>
      <w:r>
        <w:rPr>
          <w:rFonts w:ascii="仿宋_GB2312" w:hAnsi="仿宋_GB2312" w:cs="仿宋_GB2312"/>
          <w:color w:val="000000" w:themeColor="text1"/>
          <w:sz w:val="28"/>
          <w:szCs w:val="28"/>
          <w14:textFill>
            <w14:solidFill>
              <w14:schemeClr w14:val="tx1"/>
            </w14:solidFill>
          </w14:textFill>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ascii="仿宋_GB2312" w:hAnsi="仿宋_GB2312" w:cs="仿宋_GB2312"/>
          <w:color w:val="000000" w:themeColor="text1"/>
          <w:kern w:val="0"/>
          <w:sz w:val="28"/>
          <w:szCs w:val="28"/>
          <w14:textFill>
            <w14:solidFill>
              <w14:schemeClr w14:val="tx1"/>
            </w14:solidFill>
          </w14:textFill>
        </w:rPr>
        <w:t>七、一般公共预算财政拨款</w:t>
      </w:r>
      <w:r>
        <w:rPr>
          <w:rFonts w:hint="eastAsia" w:ascii="仿宋_GB2312" w:hAnsi="仿宋_GB2312" w:cs="仿宋_GB2312"/>
          <w:color w:val="000000" w:themeColor="text1"/>
          <w:kern w:val="0"/>
          <w:sz w:val="28"/>
          <w:szCs w:val="28"/>
          <w14:textFill>
            <w14:solidFill>
              <w14:schemeClr w14:val="tx1"/>
            </w14:solidFill>
          </w14:textFill>
        </w:rPr>
        <w:t>“</w:t>
      </w:r>
      <w:r>
        <w:rPr>
          <w:rFonts w:ascii="仿宋_GB2312" w:hAnsi="仿宋_GB2312" w:cs="仿宋_GB2312"/>
          <w:color w:val="000000" w:themeColor="text1"/>
          <w:kern w:val="0"/>
          <w:sz w:val="28"/>
          <w:szCs w:val="28"/>
          <w14:textFill>
            <w14:solidFill>
              <w14:schemeClr w14:val="tx1"/>
            </w14:solidFill>
          </w14:textFill>
        </w:rPr>
        <w:t>三公</w:t>
      </w:r>
      <w:r>
        <w:rPr>
          <w:rFonts w:hint="eastAsia" w:ascii="仿宋_GB2312" w:hAnsi="仿宋_GB2312" w:cs="仿宋_GB2312"/>
          <w:color w:val="000000" w:themeColor="text1"/>
          <w:kern w:val="0"/>
          <w:sz w:val="28"/>
          <w:szCs w:val="28"/>
          <w14:textFill>
            <w14:solidFill>
              <w14:schemeClr w14:val="tx1"/>
            </w14:solidFill>
          </w14:textFill>
        </w:rPr>
        <w:t>”</w:t>
      </w:r>
      <w:r>
        <w:rPr>
          <w:rFonts w:ascii="仿宋_GB2312" w:hAnsi="仿宋_GB2312" w:cs="仿宋_GB2312"/>
          <w:color w:val="000000" w:themeColor="text1"/>
          <w:kern w:val="0"/>
          <w:sz w:val="28"/>
          <w:szCs w:val="28"/>
          <w14:textFill>
            <w14:solidFill>
              <w14:schemeClr w14:val="tx1"/>
            </w14:solidFill>
          </w14:textFill>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八</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九</w:t>
      </w:r>
      <w:r>
        <w:rPr>
          <w:rFonts w:ascii="仿宋_GB2312" w:hAnsi="仿宋_GB2312" w:cs="仿宋_GB2312"/>
          <w:color w:val="000000" w:themeColor="text1"/>
          <w:kern w:val="0"/>
          <w:sz w:val="28"/>
          <w:szCs w:val="28"/>
          <w14:textFill>
            <w14:solidFill>
              <w14:schemeClr w14:val="tx1"/>
            </w14:solidFill>
          </w14:textFill>
        </w:rPr>
        <w:t>、</w:t>
      </w:r>
      <w:r>
        <w:rPr>
          <w:rFonts w:hint="eastAsia" w:ascii="仿宋_GB2312" w:hAnsi="仿宋_GB2312" w:cs="仿宋_GB2312"/>
          <w:color w:val="000000" w:themeColor="text1"/>
          <w:kern w:val="0"/>
          <w:sz w:val="28"/>
          <w:szCs w:val="28"/>
          <w14:textFill>
            <w14:solidFill>
              <w14:schemeClr w14:val="tx1"/>
            </w14:solidFill>
          </w14:textFill>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themeColor="text1"/>
          <w:kern w:val="0"/>
          <w:sz w:val="28"/>
          <w:szCs w:val="28"/>
          <w14:textFill>
            <w14:solidFill>
              <w14:schemeClr w14:val="tx1"/>
            </w14:solidFill>
          </w14:textFill>
        </w:rPr>
      </w:pPr>
      <w:r>
        <w:rPr>
          <w:rFonts w:hint="eastAsia" w:ascii="仿宋_GB2312" w:hAnsi="仿宋_GB2312" w:cs="仿宋_GB2312"/>
          <w:color w:val="000000" w:themeColor="text1"/>
          <w:kern w:val="0"/>
          <w:sz w:val="28"/>
          <w:szCs w:val="28"/>
          <w14:textFill>
            <w14:solidFill>
              <w14:schemeClr w14:val="tx1"/>
            </w14:solidFill>
          </w14:textFill>
        </w:rPr>
        <w:t>十一、政府采购支出说明</w:t>
      </w:r>
    </w:p>
    <w:p>
      <w:pPr>
        <w:pStyle w:val="12"/>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十二、国有资产占用情况说明</w:t>
      </w:r>
    </w:p>
    <w:p>
      <w:pPr>
        <w:pStyle w:val="12"/>
        <w:spacing w:line="500" w:lineRule="exact"/>
        <w:ind w:firstLine="700" w:firstLineChars="250"/>
        <w:rPr>
          <w:rFonts w:ascii="仿宋_GB2312" w:hAnsi="仿宋_GB2312" w:cs="仿宋_GB2312" w:eastAsiaTheme="minorEastAsia"/>
          <w:color w:val="000000" w:themeColor="text1"/>
          <w:sz w:val="28"/>
          <w:szCs w:val="28"/>
          <w14:textFill>
            <w14:solidFill>
              <w14:schemeClr w14:val="tx1"/>
            </w14:solidFill>
          </w14:textFill>
        </w:rPr>
      </w:pPr>
      <w:r>
        <w:rPr>
          <w:rFonts w:hint="eastAsia" w:ascii="仿宋_GB2312" w:hAnsi="仿宋_GB2312" w:cs="仿宋_GB2312" w:eastAsiaTheme="minorEastAsia"/>
          <w:color w:val="000000" w:themeColor="text1"/>
          <w:sz w:val="28"/>
          <w:szCs w:val="28"/>
          <w14:textFill>
            <w14:solidFill>
              <w14:schemeClr w14:val="tx1"/>
            </w14:solidFill>
          </w14:textFill>
        </w:rPr>
        <w:t>十三、</w:t>
      </w:r>
      <w:r>
        <w:rPr>
          <w:rFonts w:hint="eastAsia" w:cs="仿宋_GB2312" w:asciiTheme="minorEastAsia" w:hAnsiTheme="minorEastAsia" w:eastAsiaTheme="minorEastAsia"/>
          <w:color w:val="000000" w:themeColor="text1"/>
          <w:sz w:val="28"/>
          <w:szCs w:val="28"/>
          <w14:textFill>
            <w14:solidFill>
              <w14:schemeClr w14:val="tx1"/>
            </w14:solidFill>
          </w14:textFill>
        </w:rPr>
        <w:t>2021年</w:t>
      </w:r>
      <w:r>
        <w:rPr>
          <w:rFonts w:hint="eastAsia" w:ascii="仿宋_GB2312" w:hAnsi="仿宋_GB2312" w:cs="仿宋_GB2312" w:eastAsiaTheme="minorEastAsia"/>
          <w:color w:val="000000" w:themeColor="text1"/>
          <w:sz w:val="28"/>
          <w:szCs w:val="28"/>
          <w14:textFill>
            <w14:solidFill>
              <w14:schemeClr w14:val="tx1"/>
            </w14:solidFill>
          </w14:textFill>
        </w:rPr>
        <w:t>度预算绩效情况说明</w:t>
      </w:r>
    </w:p>
    <w:p>
      <w:pPr>
        <w:autoSpaceDE w:val="0"/>
        <w:autoSpaceDN w:val="0"/>
        <w:adjustRightInd w:val="0"/>
        <w:spacing w:line="500" w:lineRule="exact"/>
        <w:jc w:val="left"/>
        <w:rPr>
          <w:rFonts w:ascii="黑体" w:hAnsi="黑体" w:eastAsia="黑体" w:cs="黑体"/>
          <w:b/>
          <w:color w:val="000000" w:themeColor="text1"/>
          <w:kern w:val="0"/>
          <w:sz w:val="28"/>
          <w:szCs w:val="28"/>
          <w14:textFill>
            <w14:solidFill>
              <w14:schemeClr w14:val="tx1"/>
            </w14:solidFill>
          </w14:textFill>
        </w:rPr>
      </w:pPr>
      <w:r>
        <w:rPr>
          <w:rFonts w:ascii="黑体" w:hAnsi="黑体" w:eastAsia="黑体" w:cs="黑体"/>
          <w:b/>
          <w:color w:val="000000" w:themeColor="text1"/>
          <w:kern w:val="0"/>
          <w:sz w:val="28"/>
          <w:szCs w:val="28"/>
          <w14:textFill>
            <w14:solidFill>
              <w14:schemeClr w14:val="tx1"/>
            </w14:solidFill>
          </w14:textFill>
        </w:rPr>
        <w:t>第四部分名词解释</w:t>
      </w:r>
    </w:p>
    <w:p>
      <w:pPr>
        <w:autoSpaceDE w:val="0"/>
        <w:autoSpaceDN w:val="0"/>
        <w:adjustRightInd w:val="0"/>
        <w:spacing w:line="500" w:lineRule="exact"/>
        <w:jc w:val="left"/>
        <w:rPr>
          <w:rFonts w:ascii="黑体" w:hAnsi="黑体" w:eastAsia="黑体" w:cs="仿宋_GB2312"/>
          <w:b/>
          <w:color w:val="000000" w:themeColor="text1"/>
          <w:kern w:val="0"/>
          <w:sz w:val="28"/>
          <w:szCs w:val="28"/>
          <w14:textFill>
            <w14:solidFill>
              <w14:schemeClr w14:val="tx1"/>
            </w14:solidFill>
          </w14:textFill>
        </w:rPr>
      </w:pPr>
      <w:r>
        <w:rPr>
          <w:rFonts w:hint="eastAsia" w:ascii="黑体" w:hAnsi="黑体" w:eastAsia="黑体" w:cs="黑体"/>
          <w:b/>
          <w:color w:val="000000" w:themeColor="text1"/>
          <w:kern w:val="0"/>
          <w:sz w:val="28"/>
          <w:szCs w:val="28"/>
          <w14:textFill>
            <w14:solidFill>
              <w14:schemeClr w14:val="tx1"/>
            </w14:solidFill>
          </w14:textFill>
        </w:rPr>
        <w:t>第五部分附件</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rPr>
          <w:color w:val="000000" w:themeColor="text1"/>
          <w:sz w:val="72"/>
          <w:szCs w:val="72"/>
          <w14:textFill>
            <w14:solidFill>
              <w14:schemeClr w14:val="tx1"/>
            </w14:solidFill>
          </w14:textFill>
        </w:rPr>
      </w:pPr>
    </w:p>
    <w:p>
      <w:pPr>
        <w:rPr>
          <w:rFonts w:hint="eastAsia"/>
          <w:color w:val="000000" w:themeColor="text1"/>
          <w:sz w:val="84"/>
          <w:szCs w:val="84"/>
          <w14:textFill>
            <w14:solidFill>
              <w14:schemeClr w14:val="tx1"/>
            </w14:solidFill>
          </w14:textFill>
        </w:rPr>
      </w:pPr>
      <w:r>
        <w:rPr>
          <w:rFonts w:hint="eastAsia"/>
          <w:color w:val="000000" w:themeColor="text1"/>
          <w:sz w:val="84"/>
          <w:szCs w:val="84"/>
          <w14:textFill>
            <w14:solidFill>
              <w14:schemeClr w14:val="tx1"/>
            </w14:solidFill>
          </w14:textFill>
        </w:rPr>
        <w:br w:type="page"/>
      </w:r>
    </w:p>
    <w:p>
      <w:pPr>
        <w:pStyle w:val="12"/>
        <w:jc w:val="both"/>
        <w:rPr>
          <w:rFonts w:hint="eastAsia"/>
          <w:color w:val="000000" w:themeColor="text1"/>
          <w:sz w:val="84"/>
          <w:szCs w:val="84"/>
          <w14:textFill>
            <w14:solidFill>
              <w14:schemeClr w14:val="tx1"/>
            </w14:solidFill>
          </w14:textFill>
        </w:rPr>
      </w:pPr>
    </w:p>
    <w:p>
      <w:pPr>
        <w:pStyle w:val="12"/>
        <w:jc w:val="center"/>
        <w:rPr>
          <w:rFonts w:hint="eastAsia"/>
          <w:color w:val="000000" w:themeColor="text1"/>
          <w:sz w:val="84"/>
          <w:szCs w:val="84"/>
          <w14:textFill>
            <w14:solidFill>
              <w14:schemeClr w14:val="tx1"/>
            </w14:solidFill>
          </w14:textFill>
        </w:rPr>
      </w:pPr>
    </w:p>
    <w:p>
      <w:pPr>
        <w:pStyle w:val="12"/>
        <w:jc w:val="both"/>
        <w:rPr>
          <w:rFonts w:hint="eastAsia"/>
          <w:color w:val="000000" w:themeColor="text1"/>
          <w:sz w:val="84"/>
          <w:szCs w:val="84"/>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 xml:space="preserve">第一部分 </w:t>
      </w: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湖南省质量技术评审中心</w:t>
      </w: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概况</w:t>
      </w:r>
    </w:p>
    <w:p>
      <w:pPr>
        <w:pStyle w:val="12"/>
        <w:jc w:val="center"/>
        <w:rPr>
          <w:rFonts w:hint="eastAsia"/>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pStyle w:val="13"/>
        <w:ind w:left="720" w:firstLine="0" w:firstLineChars="0"/>
        <w:jc w:val="left"/>
        <w:rPr>
          <w:rFonts w:ascii="黑体" w:hAnsi="黑体" w:eastAsia="黑体"/>
          <w:color w:val="000000" w:themeColor="text1"/>
          <w:sz w:val="32"/>
          <w:szCs w:val="32"/>
          <w14:textFill>
            <w14:solidFill>
              <w14:schemeClr w14:val="tx1"/>
            </w14:solidFill>
          </w14:textFill>
        </w:rPr>
      </w:pPr>
    </w:p>
    <w:p>
      <w:pPr>
        <w:pStyle w:val="13"/>
        <w:ind w:left="720" w:firstLine="0" w:firstLineChars="0"/>
        <w:jc w:val="left"/>
        <w:rPr>
          <w:rFonts w:ascii="黑体" w:hAnsi="黑体" w:eastAsia="黑体"/>
          <w:color w:val="000000" w:themeColor="text1"/>
          <w:sz w:val="32"/>
          <w:szCs w:val="32"/>
          <w14:textFill>
            <w14:solidFill>
              <w14:schemeClr w14:val="tx1"/>
            </w14:solidFill>
          </w14:textFill>
        </w:rPr>
      </w:pPr>
    </w:p>
    <w:p>
      <w:pPr>
        <w:pStyle w:val="13"/>
        <w:ind w:left="720" w:firstLine="0" w:firstLineChars="0"/>
        <w:jc w:val="left"/>
        <w:rPr>
          <w:rFonts w:ascii="黑体" w:hAnsi="黑体" w:eastAsia="黑体"/>
          <w:color w:val="000000" w:themeColor="text1"/>
          <w:sz w:val="32"/>
          <w:szCs w:val="32"/>
          <w14:textFill>
            <w14:solidFill>
              <w14:schemeClr w14:val="tx1"/>
            </w14:solidFill>
          </w14:textFill>
        </w:rPr>
      </w:pPr>
    </w:p>
    <w:p>
      <w:pPr>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br w:type="page"/>
      </w:r>
    </w:p>
    <w:p>
      <w:pPr>
        <w:pStyle w:val="13"/>
        <w:numPr>
          <w:ilvl w:val="0"/>
          <w:numId w:val="0"/>
        </w:numPr>
        <w:ind w:leftChars="0"/>
        <w:jc w:val="left"/>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一、</w:t>
      </w:r>
      <w:r>
        <w:rPr>
          <w:rFonts w:ascii="黑体" w:hAnsi="黑体" w:eastAsia="黑体"/>
          <w:color w:val="000000" w:themeColor="text1"/>
          <w:sz w:val="32"/>
          <w:szCs w:val="32"/>
          <w14:textFill>
            <w14:solidFill>
              <w14:schemeClr w14:val="tx1"/>
            </w14:solidFill>
          </w14:textFill>
        </w:rPr>
        <w:t>部门职责</w:t>
      </w:r>
    </w:p>
    <w:p>
      <w:pPr>
        <w:widowControl/>
        <w:spacing w:line="600" w:lineRule="exact"/>
        <w:ind w:firstLine="640" w:firstLineChars="200"/>
        <w:rPr>
          <w:rFonts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湖南省质量技术评审中心（以下称评审中心）成立于2009年，是原省质监局下属的正处级差额拨款事业单位，原主要职能是与中国方圆标志认证集团的合作，推进湖南产品和管理体系认证工作。“三定”赋予的职能是为原质量技术监督系统开展质量综合管理、认证执法和认证监督管理提供技术支持，承担行政许可、产品和服务方面的技术评审等工作。</w:t>
      </w:r>
    </w:p>
    <w:p>
      <w:pPr>
        <w:widowControl/>
        <w:spacing w:line="600" w:lineRule="exact"/>
        <w:rPr>
          <w:rFonts w:ascii="黑体" w:hAnsi="黑体" w:eastAsia="黑体"/>
          <w:bCs/>
          <w:color w:val="000000" w:themeColor="text1"/>
          <w:kern w:val="0"/>
          <w:sz w:val="32"/>
          <w:szCs w:val="32"/>
          <w14:textFill>
            <w14:solidFill>
              <w14:schemeClr w14:val="tx1"/>
            </w14:solidFill>
          </w14:textFill>
        </w:rPr>
      </w:pPr>
      <w:r>
        <w:rPr>
          <w:rFonts w:hint="eastAsia" w:ascii="黑体" w:hAnsi="黑体" w:eastAsia="黑体"/>
          <w:bCs/>
          <w:color w:val="000000" w:themeColor="text1"/>
          <w:kern w:val="0"/>
          <w:sz w:val="32"/>
          <w:szCs w:val="32"/>
          <w14:textFill>
            <w14:solidFill>
              <w14:schemeClr w14:val="tx1"/>
            </w14:solidFill>
          </w14:textFill>
        </w:rPr>
        <w:t>二、机构设置及决算单位构成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14:textFill>
            <w14:solidFill>
              <w14:schemeClr w14:val="tx1"/>
            </w14:solidFill>
          </w14:textFill>
        </w:rPr>
        <w:t>（一）内设机构设置。</w:t>
      </w:r>
    </w:p>
    <w:p>
      <w:pPr>
        <w:widowControl/>
        <w:spacing w:line="600" w:lineRule="exact"/>
        <w:ind w:firstLine="640" w:firstLineChars="200"/>
        <w:rPr>
          <w:rFonts w:hint="eastAsia" w:asciiTheme="minorEastAsia" w:hAnsiTheme="minorEastAsia"/>
          <w:bCs/>
          <w:color w:val="000000" w:themeColor="text1"/>
          <w:kern w:val="0"/>
          <w:sz w:val="32"/>
          <w:szCs w:val="32"/>
          <w:lang w:val="en-US" w:eastAsia="zh-CN"/>
          <w14:textFill>
            <w14:solidFill>
              <w14:schemeClr w14:val="tx1"/>
            </w14:solidFill>
          </w14:textFill>
        </w:rPr>
      </w:pPr>
      <w:r>
        <w:rPr>
          <w:rFonts w:hint="eastAsia" w:asciiTheme="minorEastAsia" w:hAnsiTheme="minorEastAsia"/>
          <w:bCs/>
          <w:color w:val="000000" w:themeColor="text1"/>
          <w:kern w:val="0"/>
          <w:sz w:val="32"/>
          <w:szCs w:val="32"/>
          <w:lang w:val="en-US" w:eastAsia="zh-CN"/>
          <w14:textFill>
            <w14:solidFill>
              <w14:schemeClr w14:val="tx1"/>
            </w14:solidFill>
          </w14:textFill>
        </w:rPr>
        <w:t>我中心</w:t>
      </w:r>
      <w:r>
        <w:rPr>
          <w:rFonts w:asciiTheme="minorEastAsia" w:hAnsiTheme="minorEastAsia"/>
          <w:bCs/>
          <w:color w:val="000000" w:themeColor="text1"/>
          <w:kern w:val="0"/>
          <w:sz w:val="32"/>
          <w:szCs w:val="32"/>
          <w14:textFill>
            <w14:solidFill>
              <w14:schemeClr w14:val="tx1"/>
            </w14:solidFill>
          </w14:textFill>
        </w:rPr>
        <w:t>内设</w:t>
      </w:r>
      <w:r>
        <w:rPr>
          <w:rFonts w:hint="eastAsia" w:asciiTheme="minorEastAsia" w:hAnsiTheme="minorEastAsia"/>
          <w:bCs/>
          <w:color w:val="000000" w:themeColor="text1"/>
          <w:kern w:val="0"/>
          <w:sz w:val="32"/>
          <w:szCs w:val="32"/>
          <w14:textFill>
            <w14:solidFill>
              <w14:schemeClr w14:val="tx1"/>
            </w14:solidFill>
          </w14:textFill>
        </w:rPr>
        <w:t>3</w:t>
      </w:r>
      <w:r>
        <w:rPr>
          <w:rFonts w:asciiTheme="minorEastAsia" w:hAnsiTheme="minorEastAsia"/>
          <w:bCs/>
          <w:color w:val="000000" w:themeColor="text1"/>
          <w:kern w:val="0"/>
          <w:sz w:val="32"/>
          <w:szCs w:val="32"/>
          <w14:textFill>
            <w14:solidFill>
              <w14:schemeClr w14:val="tx1"/>
            </w14:solidFill>
          </w14:textFill>
        </w:rPr>
        <w:t>个职能处室</w:t>
      </w:r>
      <w:r>
        <w:rPr>
          <w:rFonts w:hint="eastAsia" w:asciiTheme="minorEastAsia" w:hAnsiTheme="minorEastAsia"/>
          <w:bCs/>
          <w:color w:val="000000" w:themeColor="text1"/>
          <w:kern w:val="0"/>
          <w:sz w:val="32"/>
          <w:szCs w:val="32"/>
          <w:lang w:eastAsia="zh-CN"/>
          <w14:textFill>
            <w14:solidFill>
              <w14:schemeClr w14:val="tx1"/>
            </w14:solidFill>
          </w14:textFill>
        </w:rPr>
        <w:t>，</w:t>
      </w:r>
      <w:r>
        <w:rPr>
          <w:rFonts w:hint="eastAsia" w:asciiTheme="minorEastAsia" w:hAnsiTheme="minorEastAsia"/>
          <w:bCs/>
          <w:color w:val="000000" w:themeColor="text1"/>
          <w:kern w:val="0"/>
          <w:sz w:val="32"/>
          <w:szCs w:val="32"/>
          <w:lang w:val="en-US" w:eastAsia="zh-CN"/>
          <w14:textFill>
            <w14:solidFill>
              <w14:schemeClr w14:val="tx1"/>
            </w14:solidFill>
          </w14:textFill>
        </w:rPr>
        <w:t>分别是</w:t>
      </w:r>
      <w:r>
        <w:rPr>
          <w:rFonts w:hint="eastAsia" w:asciiTheme="minorEastAsia" w:hAnsiTheme="minorEastAsia"/>
          <w:bCs/>
          <w:color w:val="000000" w:themeColor="text1"/>
          <w:kern w:val="0"/>
          <w:sz w:val="32"/>
          <w:szCs w:val="32"/>
          <w14:textFill>
            <w14:solidFill>
              <w14:schemeClr w14:val="tx1"/>
            </w14:solidFill>
          </w14:textFill>
        </w:rPr>
        <w:t>办公室、业务科、评审科。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Theme="minorEastAsia" w:hAnsiTheme="minorEastAsia"/>
          <w:bCs/>
          <w:color w:val="000000" w:themeColor="text1"/>
          <w:kern w:val="0"/>
          <w:sz w:val="32"/>
          <w:szCs w:val="32"/>
          <w14:textFill>
            <w14:solidFill>
              <w14:schemeClr w14:val="tx1"/>
            </w14:solidFill>
          </w14:textFill>
        </w:rPr>
      </w:pPr>
      <w:r>
        <w:rPr>
          <w:rFonts w:hint="eastAsia" w:asciiTheme="minorEastAsia" w:hAnsiTheme="minorEastAsia"/>
          <w:bCs/>
          <w:color w:val="000000" w:themeColor="text1"/>
          <w:kern w:val="0"/>
          <w:sz w:val="32"/>
          <w:szCs w:val="32"/>
          <w:lang w:eastAsia="zh-CN"/>
          <w14:textFill>
            <w14:solidFill>
              <w14:schemeClr w14:val="tx1"/>
            </w14:solidFill>
          </w14:textFill>
        </w:rPr>
        <w:t>（</w:t>
      </w:r>
      <w:r>
        <w:rPr>
          <w:rFonts w:hint="eastAsia" w:asciiTheme="minorEastAsia" w:hAnsiTheme="minorEastAsia"/>
          <w:bCs/>
          <w:color w:val="000000" w:themeColor="text1"/>
          <w:kern w:val="0"/>
          <w:sz w:val="32"/>
          <w:szCs w:val="32"/>
          <w:lang w:val="en-US" w:eastAsia="zh-CN"/>
          <w14:textFill>
            <w14:solidFill>
              <w14:schemeClr w14:val="tx1"/>
            </w14:solidFill>
          </w14:textFill>
        </w:rPr>
        <w:t>二</w:t>
      </w:r>
      <w:r>
        <w:rPr>
          <w:rFonts w:hint="eastAsia" w:asciiTheme="minorEastAsia" w:hAnsiTheme="minorEastAsia"/>
          <w:bCs/>
          <w:color w:val="000000" w:themeColor="text1"/>
          <w:kern w:val="0"/>
          <w:sz w:val="32"/>
          <w:szCs w:val="32"/>
          <w:lang w:eastAsia="zh-CN"/>
          <w14:textFill>
            <w14:solidFill>
              <w14:schemeClr w14:val="tx1"/>
            </w14:solidFill>
          </w14:textFill>
        </w:rPr>
        <w:t>）</w:t>
      </w:r>
      <w:r>
        <w:rPr>
          <w:rFonts w:hint="eastAsia" w:asciiTheme="minorEastAsia" w:hAnsiTheme="minorEastAsia"/>
          <w:bCs/>
          <w:color w:val="000000" w:themeColor="text1"/>
          <w:kern w:val="0"/>
          <w:sz w:val="32"/>
          <w:szCs w:val="32"/>
          <w14:textFill>
            <w14:solidFill>
              <w14:schemeClr w14:val="tx1"/>
            </w14:solidFill>
          </w14:textFill>
        </w:rPr>
        <w:t>决算单位构成。</w:t>
      </w:r>
    </w:p>
    <w:p>
      <w:pPr>
        <w:jc w:val="left"/>
        <w:rPr>
          <w:rFonts w:hint="default" w:ascii="仿宋_GB2312" w:eastAsia="仿宋_GB2312" w:hAnsiTheme="minorEastAsia"/>
          <w:color w:val="000000" w:themeColor="text1"/>
          <w:sz w:val="28"/>
          <w:szCs w:val="32"/>
          <w:lang w:val="en-US" w:eastAsia="zh-CN"/>
          <w14:textFill>
            <w14:solidFill>
              <w14:schemeClr w14:val="tx1"/>
            </w14:solidFill>
          </w14:textFill>
        </w:rPr>
      </w:pPr>
      <w:r>
        <w:rPr>
          <w:rFonts w:hint="eastAsia" w:ascii="仿宋_GB2312" w:eastAsia="仿宋_GB2312" w:hAnsiTheme="minorEastAsia"/>
          <w:color w:val="000000" w:themeColor="text1"/>
          <w:sz w:val="28"/>
          <w:szCs w:val="32"/>
          <w:lang w:val="en-US" w:eastAsia="zh-CN"/>
          <w14:textFill>
            <w14:solidFill>
              <w14:schemeClr w14:val="tx1"/>
            </w14:solidFill>
          </w14:textFill>
        </w:rPr>
        <w:t xml:space="preserve">  </w:t>
      </w:r>
      <w:r>
        <w:rPr>
          <w:rFonts w:hint="eastAsia" w:asciiTheme="minorEastAsia" w:hAnsiTheme="minorEastAsia"/>
          <w:bCs/>
          <w:color w:val="000000" w:themeColor="text1"/>
          <w:kern w:val="0"/>
          <w:sz w:val="32"/>
          <w:szCs w:val="32"/>
          <w:lang w:val="en-US" w:eastAsia="zh-CN"/>
          <w14:textFill>
            <w14:solidFill>
              <w14:schemeClr w14:val="tx1"/>
            </w14:solidFill>
          </w14:textFill>
        </w:rPr>
        <w:t xml:space="preserve"> 本单位无下级预算单位，</w:t>
      </w:r>
      <w:r>
        <w:rPr>
          <w:rFonts w:hint="eastAsia" w:asciiTheme="minorEastAsia" w:hAnsiTheme="minorEastAsia"/>
          <w:bCs/>
          <w:color w:val="000000" w:themeColor="text1"/>
          <w:kern w:val="0"/>
          <w:sz w:val="32"/>
          <w:szCs w:val="32"/>
          <w14:textFill>
            <w14:solidFill>
              <w14:schemeClr w14:val="tx1"/>
            </w14:solidFill>
          </w14:textFill>
        </w:rPr>
        <w:t>湖南省质量技术评审中心</w:t>
      </w:r>
      <w:r>
        <w:rPr>
          <w:rFonts w:asciiTheme="minorEastAsia" w:hAnsiTheme="minorEastAsia"/>
          <w:bCs/>
          <w:color w:val="000000" w:themeColor="text1"/>
          <w:kern w:val="0"/>
          <w:sz w:val="32"/>
          <w:szCs w:val="32"/>
          <w14:textFill>
            <w14:solidFill>
              <w14:schemeClr w14:val="tx1"/>
            </w14:solidFill>
          </w14:textFill>
        </w:rPr>
        <w:t>20</w:t>
      </w:r>
      <w:r>
        <w:rPr>
          <w:rFonts w:hint="eastAsia" w:asciiTheme="minorEastAsia" w:hAnsiTheme="minorEastAsia"/>
          <w:bCs/>
          <w:color w:val="000000" w:themeColor="text1"/>
          <w:kern w:val="0"/>
          <w:sz w:val="32"/>
          <w:szCs w:val="32"/>
          <w14:textFill>
            <w14:solidFill>
              <w14:schemeClr w14:val="tx1"/>
            </w14:solidFill>
          </w14:textFill>
        </w:rPr>
        <w:t>2</w:t>
      </w:r>
      <w:r>
        <w:rPr>
          <w:rFonts w:hint="eastAsia" w:asciiTheme="minorEastAsia" w:hAnsiTheme="minorEastAsia"/>
          <w:bCs/>
          <w:color w:val="000000" w:themeColor="text1"/>
          <w:kern w:val="0"/>
          <w:sz w:val="32"/>
          <w:szCs w:val="32"/>
          <w:lang w:val="en-US" w:eastAsia="zh-CN"/>
          <w14:textFill>
            <w14:solidFill>
              <w14:schemeClr w14:val="tx1"/>
            </w14:solidFill>
          </w14:textFill>
        </w:rPr>
        <w:t>1</w:t>
      </w:r>
      <w:r>
        <w:rPr>
          <w:rFonts w:hint="eastAsia" w:asciiTheme="minorEastAsia" w:hAnsiTheme="minorEastAsia"/>
          <w:bCs/>
          <w:color w:val="000000" w:themeColor="text1"/>
          <w:kern w:val="0"/>
          <w:sz w:val="32"/>
          <w:szCs w:val="32"/>
          <w14:textFill>
            <w14:solidFill>
              <w14:schemeClr w14:val="tx1"/>
            </w14:solidFill>
          </w14:textFill>
        </w:rPr>
        <w:t>年部门决算汇总公开单位构成包括：湖南省质量技术评审中心本级</w:t>
      </w:r>
      <w:r>
        <w:rPr>
          <w:rFonts w:hint="eastAsia" w:asciiTheme="minorEastAsia" w:hAnsiTheme="minorEastAsia"/>
          <w:bCs/>
          <w:color w:val="000000" w:themeColor="text1"/>
          <w:kern w:val="0"/>
          <w:sz w:val="32"/>
          <w:szCs w:val="32"/>
          <w:lang w:val="en-US" w:eastAsia="zh-CN"/>
          <w14:textFill>
            <w14:solidFill>
              <w14:schemeClr w14:val="tx1"/>
            </w14:solidFill>
          </w14:textFill>
        </w:rPr>
        <w:t>。</w:t>
      </w: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center"/>
        <w:rPr>
          <w:rFonts w:ascii="黑体" w:hAnsi="黑体" w:eastAsia="黑体"/>
          <w:color w:val="000000" w:themeColor="text1"/>
          <w:sz w:val="28"/>
          <w:szCs w:val="28"/>
          <w14:textFill>
            <w14:solidFill>
              <w14:schemeClr w14:val="tx1"/>
            </w14:solidFill>
          </w14:textFill>
        </w:rPr>
      </w:pPr>
    </w:p>
    <w:p>
      <w:pPr>
        <w:jc w:val="both"/>
        <w:rPr>
          <w:color w:val="000000" w:themeColor="text1"/>
          <w:sz w:val="72"/>
          <w:szCs w:val="72"/>
          <w14:textFill>
            <w14:solidFill>
              <w14:schemeClr w14:val="tx1"/>
            </w14:solidFill>
          </w14:textFill>
        </w:rPr>
      </w:pPr>
    </w:p>
    <w:p>
      <w:pPr>
        <w:pStyle w:val="12"/>
        <w:jc w:val="both"/>
        <w:rPr>
          <w:rFonts w:hint="eastAsia"/>
          <w:color w:val="000000" w:themeColor="text1"/>
          <w:sz w:val="84"/>
          <w:szCs w:val="84"/>
          <w14:textFill>
            <w14:solidFill>
              <w14:schemeClr w14:val="tx1"/>
            </w14:solidFill>
          </w14:textFill>
        </w:rPr>
      </w:pPr>
    </w:p>
    <w:p>
      <w:pPr>
        <w:pStyle w:val="12"/>
        <w:jc w:val="both"/>
        <w:rPr>
          <w:rFonts w:hint="eastAsia"/>
          <w:color w:val="000000" w:themeColor="text1"/>
          <w:sz w:val="84"/>
          <w:szCs w:val="84"/>
          <w14:textFill>
            <w14:solidFill>
              <w14:schemeClr w14:val="tx1"/>
            </w14:solidFill>
          </w14:textFill>
        </w:rPr>
      </w:pPr>
    </w:p>
    <w:p>
      <w:pPr>
        <w:pStyle w:val="12"/>
        <w:jc w:val="center"/>
        <w:rPr>
          <w:rFonts w:hint="eastAsia"/>
          <w:color w:val="000000" w:themeColor="text1"/>
          <w:sz w:val="84"/>
          <w:szCs w:val="84"/>
          <w14:textFill>
            <w14:solidFill>
              <w14:schemeClr w14:val="tx1"/>
            </w14:solidFill>
          </w14:textFill>
        </w:rPr>
      </w:pPr>
    </w:p>
    <w:p>
      <w:pPr>
        <w:pStyle w:val="12"/>
        <w:jc w:val="center"/>
        <w:rPr>
          <w:rFonts w:hint="eastAsia"/>
          <w:color w:val="000000" w:themeColor="text1"/>
          <w:sz w:val="84"/>
          <w:szCs w:val="84"/>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第二部分</w:t>
      </w: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部门决算表</w:t>
      </w: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center"/>
        <w:rPr>
          <w:color w:val="000000" w:themeColor="text1"/>
          <w:sz w:val="72"/>
          <w:szCs w:val="72"/>
          <w14:textFill>
            <w14:solidFill>
              <w14:schemeClr w14:val="tx1"/>
            </w14:solidFill>
          </w14:textFill>
        </w:rPr>
      </w:pPr>
    </w:p>
    <w:p>
      <w:pPr>
        <w:jc w:val="left"/>
        <w:rPr>
          <w:color w:val="000000" w:themeColor="text1"/>
          <w:sz w:val="32"/>
          <w:szCs w:val="32"/>
          <w14:textFill>
            <w14:solidFill>
              <w14:schemeClr w14:val="tx1"/>
            </w14:solidFill>
          </w14:textFill>
        </w:rPr>
      </w:pPr>
    </w:p>
    <w:p>
      <w:pPr>
        <w:jc w:val="left"/>
        <w:rPr>
          <w:rFonts w:asciiTheme="minorEastAsia" w:hAnsiTheme="minorEastAsia"/>
          <w:color w:val="000000" w:themeColor="text1"/>
          <w:sz w:val="32"/>
          <w:szCs w:val="32"/>
          <w14:textFill>
            <w14:solidFill>
              <w14:schemeClr w14:val="tx1"/>
            </w14:solidFill>
          </w14:textFill>
        </w:rPr>
        <w:sectPr>
          <w:pgSz w:w="11906" w:h="16838"/>
          <w:pgMar w:top="720" w:right="720" w:bottom="720" w:left="720" w:header="851" w:footer="992" w:gutter="0"/>
          <w:cols w:space="425" w:num="1"/>
          <w:docGrid w:type="lines" w:linePitch="312" w:charSpace="0"/>
        </w:sectPr>
      </w:pPr>
    </w:p>
    <w:tbl>
      <w:tblPr>
        <w:tblStyle w:val="7"/>
        <w:tblW w:w="14081" w:type="dxa"/>
        <w:jc w:val="center"/>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jc w:val="center"/>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收入支出决算总表</w:t>
            </w:r>
          </w:p>
        </w:tc>
      </w:tr>
      <w:tr>
        <w:tblPrEx>
          <w:tblCellMar>
            <w:top w:w="0" w:type="dxa"/>
            <w:left w:w="108" w:type="dxa"/>
            <w:bottom w:w="0" w:type="dxa"/>
            <w:right w:w="108" w:type="dxa"/>
          </w:tblCellMar>
        </w:tblPrEx>
        <w:trPr>
          <w:trHeight w:val="199" w:hRule="atLeast"/>
          <w:jc w:val="center"/>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公开01表</w:t>
            </w:r>
          </w:p>
        </w:tc>
      </w:tr>
      <w:tr>
        <w:tblPrEx>
          <w:tblCellMar>
            <w:top w:w="0" w:type="dxa"/>
            <w:left w:w="108" w:type="dxa"/>
            <w:bottom w:w="0" w:type="dxa"/>
            <w:right w:w="108" w:type="dxa"/>
          </w:tblCellMar>
        </w:tblPrEx>
        <w:trPr>
          <w:trHeight w:val="300" w:hRule="atLeast"/>
          <w:jc w:val="center"/>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w:t>
            </w:r>
            <w:r>
              <w:rPr>
                <w:rFonts w:ascii="宋体" w:hAnsi="宋体" w:eastAsia="宋体" w:cs="宋体"/>
                <w:color w:val="000000" w:themeColor="text1"/>
                <w:kern w:val="0"/>
                <w:sz w:val="20"/>
                <w:szCs w:val="20"/>
                <w14:textFill>
                  <w14:solidFill>
                    <w14:schemeClr w14:val="tx1"/>
                  </w14:solidFill>
                </w14:textFill>
              </w:rPr>
              <w:t xml:space="preserve"> </w:t>
            </w:r>
            <w:r>
              <w:rPr>
                <w:rFonts w:hint="eastAsia" w:ascii="宋体" w:hAnsi="宋体" w:eastAsia="宋体" w:cs="宋体"/>
                <w:color w:val="000000" w:themeColor="text1"/>
                <w:kern w:val="0"/>
                <w:sz w:val="20"/>
                <w:szCs w:val="20"/>
                <w14:textFill>
                  <w14:solidFill>
                    <w14:schemeClr w14:val="tx1"/>
                  </w14:solidFill>
                </w14:textFill>
              </w:rPr>
              <w:t>湖南省质量技术评审中心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340" w:hRule="atLeast"/>
          <w:jc w:val="center"/>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支出</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决算数</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kern w:val="2"/>
                <w:sz w:val="20"/>
                <w:szCs w:val="20"/>
                <w:u w:val="none"/>
                <w:lang w:val="en-US" w:eastAsia="zh-CN" w:bidi="ar-SA"/>
                <w14:textFill>
                  <w14:solidFill>
                    <w14:schemeClr w14:val="tx1"/>
                  </w14:solidFill>
                </w14:textFill>
              </w:rPr>
            </w:pPr>
            <w:r>
              <w:rPr>
                <w:rFonts w:hint="default" w:ascii="宋体" w:hAnsi="宋体" w:eastAsia="宋体" w:cs="宋体"/>
                <w:i w:val="0"/>
                <w:iCs w:val="0"/>
                <w:color w:val="000000" w:themeColor="text1"/>
                <w:kern w:val="2"/>
                <w:sz w:val="20"/>
                <w:szCs w:val="20"/>
                <w:u w:val="none"/>
                <w:lang w:val="en-US" w:eastAsia="zh-CN" w:bidi="ar-SA"/>
                <w14:textFill>
                  <w14:solidFill>
                    <w14:schemeClr w14:val="tx1"/>
                  </w14:solidFill>
                </w14:textFill>
              </w:rPr>
              <w:t>263.74</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315.16</w:t>
            </w:r>
          </w:p>
        </w:tc>
      </w:tr>
      <w:tr>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121.17</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lang w:eastAsia="zh-CN"/>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23.83</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八、</w:t>
            </w:r>
            <w:r>
              <w:rPr>
                <w:rFonts w:hint="eastAsia" w:ascii="宋体" w:hAnsi="宋体" w:eastAsia="宋体" w:cs="宋体"/>
                <w:color w:val="000000" w:themeColor="text1"/>
                <w:kern w:val="0"/>
                <w:sz w:val="22"/>
                <w14:textFill>
                  <w14:solidFill>
                    <w14:schemeClr w14:val="tx1"/>
                  </w14:solidFill>
                </w14:textFill>
              </w:rPr>
              <w:t>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九、住房保障支出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r>
      <w:tr>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384.91</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372.12</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5.55</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18.33</w:t>
            </w:r>
          </w:p>
        </w:tc>
      </w:tr>
      <w:tr>
        <w:tblPrEx>
          <w:tblCellMar>
            <w:top w:w="0" w:type="dxa"/>
            <w:left w:w="108" w:type="dxa"/>
            <w:bottom w:w="0" w:type="dxa"/>
            <w:right w:w="108" w:type="dxa"/>
          </w:tblCellMar>
        </w:tblPrEx>
        <w:trPr>
          <w:trHeight w:val="340" w:hRule="atLeast"/>
          <w:jc w:val="center"/>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390.46</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390.46</w:t>
            </w:r>
          </w:p>
        </w:tc>
      </w:tr>
      <w:tr>
        <w:trPr>
          <w:trHeight w:val="1020" w:hRule="atLeast"/>
          <w:jc w:val="center"/>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注：1.本表反映部门本年度的总收支和年末结转结余情况。</w:t>
            </w:r>
            <w:r>
              <w:rPr>
                <w:rFonts w:hint="eastAsia" w:ascii="宋体" w:hAnsi="宋体" w:eastAsia="宋体" w:cs="宋体"/>
                <w:color w:val="000000" w:themeColor="text1"/>
                <w:kern w:val="0"/>
                <w:sz w:val="24"/>
                <w:szCs w:val="24"/>
                <w14:textFill>
                  <w14:solidFill>
                    <w14:schemeClr w14:val="tx1"/>
                  </w14:solidFill>
                </w14:textFill>
              </w:rPr>
              <w:br w:type="textWrapping"/>
            </w:r>
            <w:r>
              <w:rPr>
                <w:rFonts w:hint="eastAsia" w:ascii="宋体" w:hAnsi="宋体" w:eastAsia="宋体" w:cs="宋体"/>
                <w:color w:val="000000" w:themeColor="text1"/>
                <w:kern w:val="0"/>
                <w:sz w:val="24"/>
                <w:szCs w:val="24"/>
                <w14:textFill>
                  <w14:solidFill>
                    <w14:schemeClr w14:val="tx1"/>
                  </w14:solidFill>
                </w14:textFill>
              </w:rPr>
              <w:t xml:space="preserve"> 2.本套报表金额单位转换时可能存在尾数误差。</w:t>
            </w:r>
          </w:p>
        </w:tc>
      </w:tr>
    </w:tbl>
    <w:p>
      <w:pPr>
        <w:jc w:val="center"/>
        <w:rPr>
          <w:rFonts w:ascii="黑体" w:hAnsi="黑体" w:eastAsia="黑体"/>
          <w:color w:val="000000" w:themeColor="text1"/>
          <w:sz w:val="28"/>
          <w:szCs w:val="28"/>
          <w14:textFill>
            <w14:solidFill>
              <w14:schemeClr w14:val="tx1"/>
            </w14:solidFill>
          </w14:textFill>
        </w:rPr>
        <w:sectPr>
          <w:pgSz w:w="16838" w:h="11906" w:orient="landscape"/>
          <w:pgMar w:top="1797" w:right="1440" w:bottom="1797" w:left="1440" w:header="851" w:footer="992" w:gutter="0"/>
          <w:cols w:space="425" w:num="1"/>
          <w:docGrid w:type="linesAndChars" w:linePitch="312" w:charSpace="0"/>
        </w:sectPr>
      </w:pPr>
    </w:p>
    <w:tbl>
      <w:tblPr>
        <w:tblStyle w:val="7"/>
        <w:tblW w:w="15428" w:type="dxa"/>
        <w:jc w:val="center"/>
        <w:tblLayout w:type="fixed"/>
        <w:tblCellMar>
          <w:top w:w="0" w:type="dxa"/>
          <w:left w:w="0" w:type="dxa"/>
          <w:bottom w:w="0" w:type="dxa"/>
          <w:right w:w="0" w:type="dxa"/>
        </w:tblCellMar>
      </w:tblPr>
      <w:tblGrid>
        <w:gridCol w:w="49"/>
        <w:gridCol w:w="1108"/>
        <w:gridCol w:w="4782"/>
        <w:gridCol w:w="1833"/>
        <w:gridCol w:w="1803"/>
        <w:gridCol w:w="926"/>
        <w:gridCol w:w="926"/>
        <w:gridCol w:w="926"/>
        <w:gridCol w:w="926"/>
        <w:gridCol w:w="2149"/>
      </w:tblGrid>
      <w:tr>
        <w:tblPrEx>
          <w:tblCellMar>
            <w:top w:w="0" w:type="dxa"/>
            <w:left w:w="0" w:type="dxa"/>
            <w:bottom w:w="0" w:type="dxa"/>
            <w:right w:w="0" w:type="dxa"/>
          </w:tblCellMar>
        </w:tblPrEx>
        <w:trPr>
          <w:trHeight w:val="769" w:hRule="atLeast"/>
          <w:jc w:val="center"/>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themeColor="text1"/>
                <w:sz w:val="32"/>
                <w:szCs w:val="32"/>
                <w14:textFill>
                  <w14:solidFill>
                    <w14:schemeClr w14:val="tx1"/>
                  </w14:solidFill>
                </w14:textFill>
              </w:rPr>
            </w:pPr>
            <w:r>
              <w:rPr>
                <w:rFonts w:hint="eastAsia" w:ascii="华文中宋" w:hAnsi="华文中宋" w:eastAsia="华文中宋"/>
                <w:color w:val="000000" w:themeColor="text1"/>
                <w:sz w:val="32"/>
                <w:szCs w:val="32"/>
                <w14:textFill>
                  <w14:solidFill>
                    <w14:schemeClr w14:val="tx1"/>
                  </w14:solidFill>
                </w14:textFill>
              </w:rPr>
              <w:t>收入决算表</w:t>
            </w:r>
          </w:p>
        </w:tc>
      </w:tr>
      <w:tr>
        <w:tblPrEx>
          <w:tblCellMar>
            <w:top w:w="0" w:type="dxa"/>
            <w:left w:w="0" w:type="dxa"/>
            <w:bottom w:w="0" w:type="dxa"/>
            <w:right w:w="0" w:type="dxa"/>
          </w:tblCellMar>
        </w:tblPrEx>
        <w:trPr>
          <w:trHeight w:val="393" w:hRule="atLeast"/>
          <w:jc w:val="center"/>
        </w:trPr>
        <w:tc>
          <w:tcPr>
            <w:tcW w:w="4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10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4782"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8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80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214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公开02表</w:t>
            </w:r>
          </w:p>
        </w:tc>
      </w:tr>
      <w:tr>
        <w:tblPrEx>
          <w:tblCellMar>
            <w:top w:w="0" w:type="dxa"/>
            <w:left w:w="0" w:type="dxa"/>
            <w:bottom w:w="0" w:type="dxa"/>
            <w:right w:w="0" w:type="dxa"/>
          </w:tblCellMar>
        </w:tblPrEx>
        <w:trPr>
          <w:trHeight w:val="393" w:hRule="atLeast"/>
          <w:jc w:val="center"/>
        </w:trPr>
        <w:tc>
          <w:tcPr>
            <w:tcW w:w="1157" w:type="dxa"/>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部门：</w:t>
            </w:r>
          </w:p>
        </w:tc>
        <w:tc>
          <w:tcPr>
            <w:tcW w:w="4782" w:type="dxa"/>
            <w:tcBorders>
              <w:top w:val="nil"/>
              <w:left w:val="nil"/>
              <w:bottom w:val="nil"/>
              <w:right w:val="nil"/>
            </w:tcBorders>
            <w:shd w:val="clear" w:color="000000" w:fill="FFFFFF"/>
            <w:noWrap/>
            <w:tcMar>
              <w:top w:w="15" w:type="dxa"/>
              <w:left w:w="15" w:type="dxa"/>
              <w:bottom w:w="0" w:type="dxa"/>
              <w:right w:w="15" w:type="dxa"/>
            </w:tcMar>
            <w:vAlign w:val="center"/>
          </w:tcPr>
          <w:p>
            <w:pPr>
              <w:jc w:val="both"/>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湖南省质量技术评审中心　</w:t>
            </w:r>
          </w:p>
        </w:tc>
        <w:tc>
          <w:tcPr>
            <w:tcW w:w="183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1803"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92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　</w:t>
            </w:r>
          </w:p>
        </w:tc>
        <w:tc>
          <w:tcPr>
            <w:tcW w:w="214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themeColor="text1"/>
                <w:sz w:val="20"/>
                <w:szCs w:val="20"/>
                <w14:textFill>
                  <w14:solidFill>
                    <w14:schemeClr w14:val="tx1"/>
                  </w14:solidFill>
                </w14:textFill>
              </w:rPr>
            </w:pPr>
            <w:r>
              <w:rPr>
                <w:rFonts w:hint="eastAsia"/>
                <w:color w:val="000000" w:themeColor="text1"/>
                <w:sz w:val="20"/>
                <w:szCs w:val="20"/>
                <w14:textFill>
                  <w14:solidFill>
                    <w14:schemeClr w14:val="tx1"/>
                  </w14:solidFill>
                </w14:textFill>
              </w:rPr>
              <w:t>单位：万元</w:t>
            </w:r>
          </w:p>
        </w:tc>
      </w:tr>
      <w:tr>
        <w:tblPrEx>
          <w:tblCellMar>
            <w:top w:w="0" w:type="dxa"/>
            <w:left w:w="0" w:type="dxa"/>
            <w:bottom w:w="0" w:type="dxa"/>
            <w:right w:w="0" w:type="dxa"/>
          </w:tblCellMar>
        </w:tblPrEx>
        <w:trPr>
          <w:trHeight w:val="405" w:hRule="atLeast"/>
          <w:jc w:val="center"/>
        </w:trPr>
        <w:tc>
          <w:tcPr>
            <w:tcW w:w="593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项    目</w:t>
            </w:r>
          </w:p>
        </w:tc>
        <w:tc>
          <w:tcPr>
            <w:tcW w:w="1833"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本年收入合计</w:t>
            </w:r>
          </w:p>
        </w:tc>
        <w:tc>
          <w:tcPr>
            <w:tcW w:w="180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财政拨款收入</w:t>
            </w:r>
          </w:p>
        </w:tc>
        <w:tc>
          <w:tcPr>
            <w:tcW w:w="92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上级补助收入</w:t>
            </w:r>
          </w:p>
        </w:tc>
        <w:tc>
          <w:tcPr>
            <w:tcW w:w="92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事业收入</w:t>
            </w:r>
          </w:p>
        </w:tc>
        <w:tc>
          <w:tcPr>
            <w:tcW w:w="92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经营收入</w:t>
            </w:r>
          </w:p>
        </w:tc>
        <w:tc>
          <w:tcPr>
            <w:tcW w:w="926"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附属单位上缴收入</w:t>
            </w:r>
          </w:p>
        </w:tc>
        <w:tc>
          <w:tcPr>
            <w:tcW w:w="2149"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其他收入</w:t>
            </w:r>
          </w:p>
        </w:tc>
      </w:tr>
      <w:tr>
        <w:tblPrEx>
          <w:tblCellMar>
            <w:top w:w="0" w:type="dxa"/>
            <w:left w:w="0" w:type="dxa"/>
            <w:bottom w:w="0" w:type="dxa"/>
            <w:right w:w="0" w:type="dxa"/>
          </w:tblCellMar>
        </w:tblPrEx>
        <w:trPr>
          <w:trHeight w:val="405" w:hRule="atLeast"/>
          <w:jc w:val="center"/>
        </w:trPr>
        <w:tc>
          <w:tcPr>
            <w:tcW w:w="1157"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功能分类科目编码</w:t>
            </w:r>
          </w:p>
        </w:tc>
        <w:tc>
          <w:tcPr>
            <w:tcW w:w="4782"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科目名称</w:t>
            </w:r>
          </w:p>
        </w:tc>
        <w:tc>
          <w:tcPr>
            <w:tcW w:w="18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214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1126" w:hRule="atLeast"/>
          <w:jc w:val="center"/>
        </w:trPr>
        <w:tc>
          <w:tcPr>
            <w:tcW w:w="11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4782"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83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1803"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926"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c>
          <w:tcPr>
            <w:tcW w:w="2149"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themeColor="text1"/>
                <w:sz w:val="24"/>
                <w:szCs w:val="24"/>
                <w14:textFill>
                  <w14:solidFill>
                    <w14:schemeClr w14:val="tx1"/>
                  </w14:solidFill>
                </w14:textFill>
              </w:rPr>
            </w:pPr>
          </w:p>
        </w:tc>
      </w:tr>
      <w:tr>
        <w:tblPrEx>
          <w:tblCellMar>
            <w:top w:w="0" w:type="dxa"/>
            <w:left w:w="0" w:type="dxa"/>
            <w:bottom w:w="0" w:type="dxa"/>
            <w:right w:w="0" w:type="dxa"/>
          </w:tblCellMar>
        </w:tblPrEx>
        <w:trPr>
          <w:trHeight w:val="405" w:hRule="atLeast"/>
          <w:jc w:val="center"/>
        </w:trPr>
        <w:tc>
          <w:tcPr>
            <w:tcW w:w="593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栏次</w:t>
            </w:r>
          </w:p>
        </w:tc>
        <w:tc>
          <w:tcPr>
            <w:tcW w:w="183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1</w:t>
            </w:r>
          </w:p>
        </w:tc>
        <w:tc>
          <w:tcPr>
            <w:tcW w:w="1803"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2</w:t>
            </w:r>
          </w:p>
        </w:tc>
        <w:tc>
          <w:tcPr>
            <w:tcW w:w="92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3</w:t>
            </w:r>
          </w:p>
        </w:tc>
        <w:tc>
          <w:tcPr>
            <w:tcW w:w="92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4</w:t>
            </w:r>
          </w:p>
        </w:tc>
        <w:tc>
          <w:tcPr>
            <w:tcW w:w="92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5</w:t>
            </w:r>
          </w:p>
        </w:tc>
        <w:tc>
          <w:tcPr>
            <w:tcW w:w="926"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6</w:t>
            </w:r>
          </w:p>
        </w:tc>
        <w:tc>
          <w:tcPr>
            <w:tcW w:w="214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7</w:t>
            </w:r>
          </w:p>
        </w:tc>
      </w:tr>
      <w:tr>
        <w:tblPrEx>
          <w:tblCellMar>
            <w:top w:w="0" w:type="dxa"/>
            <w:left w:w="0" w:type="dxa"/>
            <w:bottom w:w="0" w:type="dxa"/>
            <w:right w:w="0" w:type="dxa"/>
          </w:tblCellMar>
        </w:tblPrEx>
        <w:trPr>
          <w:trHeight w:val="405" w:hRule="atLeast"/>
          <w:jc w:val="center"/>
        </w:trPr>
        <w:tc>
          <w:tcPr>
            <w:tcW w:w="5939"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合计</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384.91</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263.74</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323.08</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201.91</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781"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华文中宋" w:hAnsi="华文中宋" w:eastAsia="华文中宋"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323.08</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201.91</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事业运行</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196.91</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196.91</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2013899</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其他市场监督管理事务</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126.17</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机关事业单位基本养老保险缴费支出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事业单位医疗</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color w:val="000000" w:themeColor="text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25.00</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405" w:hRule="atLeast"/>
          <w:jc w:val="center"/>
        </w:trPr>
        <w:tc>
          <w:tcPr>
            <w:tcW w:w="1157"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4782"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183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25.00</w:t>
            </w:r>
          </w:p>
        </w:tc>
        <w:tc>
          <w:tcPr>
            <w:tcW w:w="1803"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926"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149"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color w:val="000000" w:themeColor="text1"/>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0" w:type="dxa"/>
            <w:bottom w:w="0" w:type="dxa"/>
            <w:right w:w="0" w:type="dxa"/>
          </w:tblCellMar>
        </w:tblPrEx>
        <w:trPr>
          <w:trHeight w:val="393" w:hRule="atLeast"/>
          <w:jc w:val="center"/>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color w:val="000000" w:themeColor="text1"/>
                <w:sz w:val="24"/>
                <w:szCs w:val="24"/>
                <w14:textFill>
                  <w14:solidFill>
                    <w14:schemeClr w14:val="tx1"/>
                  </w14:solidFill>
                </w14:textFill>
              </w:rPr>
            </w:pPr>
            <w:r>
              <w:rPr>
                <w:rFonts w:hint="eastAsia"/>
                <w:color w:val="000000" w:themeColor="text1"/>
                <w14:textFill>
                  <w14:solidFill>
                    <w14:schemeClr w14:val="tx1"/>
                  </w14:solidFill>
                </w14:textFill>
              </w:rPr>
              <w:t>注：本表反映部门本年度取得的各项收入情况。</w:t>
            </w:r>
          </w:p>
        </w:tc>
      </w:tr>
    </w:tbl>
    <w:p>
      <w:pPr>
        <w:widowControl/>
        <w:jc w:val="left"/>
        <w:rPr>
          <w:rFonts w:ascii="Times New Roman" w:hAnsi="Times New Roman" w:eastAsia="黑体" w:cs="Times New Roman"/>
          <w:bCs/>
          <w:color w:val="000000" w:themeColor="text1"/>
          <w:kern w:val="0"/>
          <w:sz w:val="32"/>
          <w:szCs w:val="32"/>
          <w14:textFill>
            <w14:solidFill>
              <w14:schemeClr w14:val="tx1"/>
            </w14:solidFill>
          </w14:textFill>
        </w:rPr>
      </w:pPr>
    </w:p>
    <w:p>
      <w:pPr>
        <w:widowControl/>
        <w:rPr>
          <w:rFonts w:ascii="Times New Roman" w:hAnsi="Times New Roman" w:eastAsia="方正小标宋_GBK" w:cs="Times New Roman"/>
          <w:color w:val="000000" w:themeColor="text1"/>
          <w:kern w:val="0"/>
          <w:sz w:val="36"/>
          <w:szCs w:val="36"/>
          <w14:textFill>
            <w14:solidFill>
              <w14:schemeClr w14:val="tx1"/>
            </w14:solidFill>
          </w14:textFill>
        </w:rPr>
      </w:pPr>
    </w:p>
    <w:tbl>
      <w:tblPr>
        <w:tblStyle w:val="7"/>
        <w:tblW w:w="13820" w:type="dxa"/>
        <w:jc w:val="center"/>
        <w:tblLayout w:type="fixed"/>
        <w:tblCellMar>
          <w:top w:w="0" w:type="dxa"/>
          <w:left w:w="108" w:type="dxa"/>
          <w:bottom w:w="0" w:type="dxa"/>
          <w:right w:w="108" w:type="dxa"/>
        </w:tblCellMar>
      </w:tblPr>
      <w:tblGrid>
        <w:gridCol w:w="1090"/>
        <w:gridCol w:w="236"/>
        <w:gridCol w:w="3081"/>
        <w:gridCol w:w="1297"/>
        <w:gridCol w:w="1380"/>
        <w:gridCol w:w="1314"/>
        <w:gridCol w:w="1230"/>
        <w:gridCol w:w="1757"/>
        <w:gridCol w:w="2435"/>
      </w:tblGrid>
      <w:tr>
        <w:tblPrEx>
          <w:tblCellMar>
            <w:top w:w="0" w:type="dxa"/>
            <w:left w:w="108" w:type="dxa"/>
            <w:bottom w:w="0" w:type="dxa"/>
            <w:right w:w="108" w:type="dxa"/>
          </w:tblCellMar>
        </w:tblPrEx>
        <w:trPr>
          <w:trHeight w:val="649" w:hRule="atLeast"/>
          <w:jc w:val="center"/>
        </w:trPr>
        <w:tc>
          <w:tcPr>
            <w:tcW w:w="13820"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支出决算表</w:t>
            </w:r>
          </w:p>
        </w:tc>
      </w:tr>
      <w:tr>
        <w:tblPrEx>
          <w:tblCellMar>
            <w:top w:w="0" w:type="dxa"/>
            <w:left w:w="108" w:type="dxa"/>
            <w:bottom w:w="0" w:type="dxa"/>
            <w:right w:w="108" w:type="dxa"/>
          </w:tblCellMar>
        </w:tblPrEx>
        <w:trPr>
          <w:trHeight w:val="324" w:hRule="atLeast"/>
          <w:jc w:val="center"/>
        </w:trPr>
        <w:tc>
          <w:tcPr>
            <w:tcW w:w="109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3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081"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9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8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1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23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3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公开03表</w:t>
            </w:r>
          </w:p>
        </w:tc>
      </w:tr>
      <w:tr>
        <w:tblPrEx>
          <w:tblCellMar>
            <w:top w:w="0" w:type="dxa"/>
            <w:left w:w="108" w:type="dxa"/>
            <w:bottom w:w="0" w:type="dxa"/>
            <w:right w:w="108" w:type="dxa"/>
          </w:tblCellMar>
        </w:tblPrEx>
        <w:trPr>
          <w:trHeight w:val="324" w:hRule="atLeast"/>
          <w:jc w:val="center"/>
        </w:trPr>
        <w:tc>
          <w:tcPr>
            <w:tcW w:w="109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w:t>
            </w:r>
          </w:p>
        </w:tc>
        <w:tc>
          <w:tcPr>
            <w:tcW w:w="4614" w:type="dxa"/>
            <w:gridSpan w:val="3"/>
            <w:tcBorders>
              <w:top w:val="nil"/>
              <w:left w:val="nil"/>
              <w:bottom w:val="nil"/>
              <w:right w:val="nil"/>
            </w:tcBorders>
            <w:shd w:val="clear" w:color="000000" w:fill="FFFFFF"/>
            <w:noWrap/>
            <w:vAlign w:val="center"/>
          </w:tcPr>
          <w:p>
            <w:pPr>
              <w:widowControl/>
              <w:jc w:val="both"/>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14:textFill>
                  <w14:solidFill>
                    <w14:schemeClr w14:val="tx1"/>
                  </w14:solidFill>
                </w14:textFill>
              </w:rPr>
              <w:t>湖南省质量技术评审中心</w:t>
            </w:r>
          </w:p>
        </w:tc>
        <w:tc>
          <w:tcPr>
            <w:tcW w:w="138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14"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1230"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75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43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344" w:hRule="atLeast"/>
          <w:jc w:val="center"/>
        </w:trPr>
        <w:tc>
          <w:tcPr>
            <w:tcW w:w="4407"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129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本年支出合计</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基本支出</w:t>
            </w:r>
          </w:p>
        </w:tc>
        <w:tc>
          <w:tcPr>
            <w:tcW w:w="1314"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项目支出</w:t>
            </w:r>
          </w:p>
        </w:tc>
        <w:tc>
          <w:tcPr>
            <w:tcW w:w="123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上缴上级支出</w:t>
            </w:r>
          </w:p>
        </w:tc>
        <w:tc>
          <w:tcPr>
            <w:tcW w:w="1757"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经营支出</w:t>
            </w:r>
          </w:p>
        </w:tc>
        <w:tc>
          <w:tcPr>
            <w:tcW w:w="2435"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对附属单位补助支出</w:t>
            </w:r>
          </w:p>
        </w:tc>
      </w:tr>
      <w:tr>
        <w:tblPrEx>
          <w:tblCellMar>
            <w:top w:w="0" w:type="dxa"/>
            <w:left w:w="108" w:type="dxa"/>
            <w:bottom w:w="0" w:type="dxa"/>
            <w:right w:w="108" w:type="dxa"/>
          </w:tblCellMar>
        </w:tblPrEx>
        <w:trPr>
          <w:trHeight w:val="344" w:hRule="atLeast"/>
          <w:jc w:val="center"/>
        </w:trPr>
        <w:tc>
          <w:tcPr>
            <w:tcW w:w="1326"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功能分类科目编码</w:t>
            </w:r>
          </w:p>
        </w:tc>
        <w:tc>
          <w:tcPr>
            <w:tcW w:w="308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科目名称</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2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4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344" w:hRule="atLeast"/>
          <w:jc w:val="center"/>
        </w:trPr>
        <w:tc>
          <w:tcPr>
            <w:tcW w:w="13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08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29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3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23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17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4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344" w:hRule="atLeast"/>
          <w:jc w:val="center"/>
        </w:trPr>
        <w:tc>
          <w:tcPr>
            <w:tcW w:w="440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栏次</w:t>
            </w:r>
          </w:p>
        </w:tc>
        <w:tc>
          <w:tcPr>
            <w:tcW w:w="129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138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131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c>
          <w:tcPr>
            <w:tcW w:w="1230"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p>
        </w:tc>
        <w:tc>
          <w:tcPr>
            <w:tcW w:w="175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w:t>
            </w:r>
          </w:p>
        </w:tc>
        <w:tc>
          <w:tcPr>
            <w:tcW w:w="243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w:t>
            </w:r>
          </w:p>
        </w:tc>
      </w:tr>
      <w:tr>
        <w:tblPrEx>
          <w:tblCellMar>
            <w:top w:w="0" w:type="dxa"/>
            <w:left w:w="108" w:type="dxa"/>
            <w:bottom w:w="0" w:type="dxa"/>
            <w:right w:w="108" w:type="dxa"/>
          </w:tblCellMar>
        </w:tblPrEx>
        <w:trPr>
          <w:trHeight w:val="344" w:hRule="atLeast"/>
          <w:jc w:val="center"/>
        </w:trPr>
        <w:tc>
          <w:tcPr>
            <w:tcW w:w="4407"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372.12</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206.03</w:t>
            </w:r>
          </w:p>
        </w:tc>
        <w:tc>
          <w:tcPr>
            <w:tcW w:w="131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44.92</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b w:val="0"/>
                <w:bCs w:val="0"/>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121.17</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315.16</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131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44.92</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315.16</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131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44.92</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事业运行</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188.99</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131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39.92</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2013899</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其他市场监督管理事务</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126.17</w:t>
            </w:r>
          </w:p>
        </w:tc>
        <w:tc>
          <w:tcPr>
            <w:tcW w:w="138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p>
        </w:tc>
        <w:tc>
          <w:tcPr>
            <w:tcW w:w="131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121.17</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669"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机关事业单位基本养老保险缴费支出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hint="eastAsia"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事业单位医疗</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44" w:hRule="atLeast"/>
          <w:jc w:val="center"/>
        </w:trPr>
        <w:tc>
          <w:tcPr>
            <w:tcW w:w="1326"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2210201</w:t>
            </w:r>
          </w:p>
        </w:tc>
        <w:tc>
          <w:tcPr>
            <w:tcW w:w="3081"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住房公积金</w:t>
            </w:r>
          </w:p>
        </w:tc>
        <w:tc>
          <w:tcPr>
            <w:tcW w:w="1297"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8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14"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230"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1757"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c>
          <w:tcPr>
            <w:tcW w:w="2435"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 w:val="24"/>
                <w:szCs w:val="24"/>
                <w14:textFill>
                  <w14:solidFill>
                    <w14:schemeClr w14:val="tx1"/>
                  </w14:solidFill>
                </w14:textFill>
              </w:rPr>
            </w:pPr>
            <w:r>
              <w:rPr>
                <w:rFonts w:hint="eastAsia"/>
                <w:color w:val="000000" w:themeColor="text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92" w:hRule="atLeast"/>
          <w:jc w:val="center"/>
        </w:trPr>
        <w:tc>
          <w:tcPr>
            <w:tcW w:w="13820" w:type="dxa"/>
            <w:gridSpan w:val="9"/>
            <w:tcBorders>
              <w:top w:val="nil"/>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注：本表反映部门本年度各项支出情况。</w:t>
            </w:r>
          </w:p>
        </w:tc>
      </w:tr>
    </w:tbl>
    <w:p>
      <w:pPr>
        <w:widowControl/>
        <w:ind w:left="93"/>
        <w:jc w:val="center"/>
        <w:rPr>
          <w:rFonts w:ascii="Times New Roman" w:hAnsi="Times New Roman" w:eastAsia="方正小标宋_GBK" w:cs="Times New Roman"/>
          <w:color w:val="000000" w:themeColor="text1"/>
          <w:kern w:val="0"/>
          <w:sz w:val="36"/>
          <w:szCs w:val="21"/>
          <w14:textFill>
            <w14:solidFill>
              <w14:schemeClr w14:val="tx1"/>
            </w14:solidFill>
          </w14:textFill>
        </w:rPr>
      </w:pPr>
    </w:p>
    <w:tbl>
      <w:tblPr>
        <w:tblStyle w:val="7"/>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color w:val="000000" w:themeColor="text1"/>
                <w:kern w:val="0"/>
                <w:sz w:val="24"/>
                <w:szCs w:val="24"/>
                <w14:textFill>
                  <w14:solidFill>
                    <w14:schemeClr w14:val="tx1"/>
                  </w14:solidFill>
                </w14:textFill>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部门：湖南省质量技术评审中心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263.74</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15</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193.99</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193.99</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六</w:t>
            </w:r>
            <w:r>
              <w:rPr>
                <w:rFonts w:hint="eastAsia" w:ascii="宋体" w:hAnsi="宋体" w:eastAsia="宋体" w:cs="宋体"/>
                <w:color w:val="000000" w:themeColor="text1"/>
                <w:kern w:val="0"/>
                <w:sz w:val="22"/>
                <w14:textFill>
                  <w14:solidFill>
                    <w14:schemeClr w14:val="tx1"/>
                  </w14:solidFill>
                </w14:textFill>
              </w:rPr>
              <w:t>、社会保障和就业支出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20</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七</w:t>
            </w:r>
            <w:r>
              <w:rPr>
                <w:rFonts w:hint="eastAsia" w:ascii="宋体" w:hAnsi="宋体" w:eastAsia="宋体" w:cs="宋体"/>
                <w:color w:val="000000" w:themeColor="text1"/>
                <w:kern w:val="0"/>
                <w:sz w:val="22"/>
                <w14:textFill>
                  <w14:solidFill>
                    <w14:schemeClr w14:val="tx1"/>
                  </w14:solidFill>
                </w14:textFill>
              </w:rPr>
              <w:t>、卫生健康支出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21</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lang w:val="en-US" w:eastAsia="zh-CN"/>
                <w14:textFill>
                  <w14:solidFill>
                    <w14:schemeClr w14:val="tx1"/>
                  </w14:solidFill>
                </w14:textFill>
              </w:rPr>
              <w:t>八</w:t>
            </w:r>
            <w:r>
              <w:rPr>
                <w:rFonts w:hint="eastAsia" w:ascii="宋体" w:hAnsi="宋体" w:eastAsia="宋体" w:cs="宋体"/>
                <w:color w:val="000000" w:themeColor="text1"/>
                <w:kern w:val="0"/>
                <w:sz w:val="22"/>
                <w14:textFill>
                  <w14:solidFill>
                    <w14:schemeClr w14:val="tx1"/>
                  </w14:solidFill>
                </w14:textFill>
              </w:rPr>
              <w:t>、住房保障支出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22</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9</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263.74</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23</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250.95</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250.95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10</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5.07</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24</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17.86</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17.86</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11</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5.07</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14</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2"/>
                <w:sz w:val="22"/>
                <w:szCs w:val="22"/>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268.81</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color w:val="000000" w:themeColor="text1"/>
                <w:kern w:val="0"/>
                <w:sz w:val="22"/>
                <w14:textFill>
                  <w14:solidFill>
                    <w14:schemeClr w14:val="tx1"/>
                  </w14:solidFill>
                </w14:textFill>
              </w:rPr>
              <w:t>28</w:t>
            </w:r>
          </w:p>
        </w:tc>
        <w:tc>
          <w:tcPr>
            <w:tcW w:w="157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268.81</w:t>
            </w:r>
          </w:p>
        </w:tc>
        <w:tc>
          <w:tcPr>
            <w:tcW w:w="1394"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center"/>
              <w:textAlignment w:val="center"/>
              <w:rPr>
                <w:rFonts w:ascii="宋体" w:hAnsi="宋体" w:eastAsia="宋体" w:cs="宋体"/>
                <w:color w:val="000000" w:themeColor="text1"/>
                <w:kern w:val="0"/>
                <w:sz w:val="22"/>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268.81</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color w:val="000000" w:themeColor="text1"/>
                <w:kern w:val="0"/>
                <w:sz w:val="22"/>
                <w14:textFill>
                  <w14:solidFill>
                    <w14:schemeClr w14:val="tx1"/>
                  </w14:solidFill>
                </w14:textFill>
              </w:rPr>
            </w:pPr>
            <w:r>
              <w:rPr>
                <w:rFonts w:hint="eastAsia" w:ascii="宋体" w:hAnsi="宋体" w:eastAsia="宋体" w:cs="宋体"/>
                <w:b/>
                <w:bCs/>
                <w:color w:val="000000" w:themeColor="text1"/>
                <w:kern w:val="0"/>
                <w:sz w:val="22"/>
                <w14:textFill>
                  <w14:solidFill>
                    <w14:schemeClr w14:val="tx1"/>
                  </w14:solidFill>
                </w14:textFill>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p>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p>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ascii="Times New Roman" w:hAnsi="Times New Roman" w:eastAsia="方正小标宋_GBK" w:cs="Times New Roman"/>
          <w:color w:val="000000" w:themeColor="text1"/>
          <w:kern w:val="0"/>
          <w:sz w:val="36"/>
          <w:szCs w:val="36"/>
          <w14:textFill>
            <w14:solidFill>
              <w14:schemeClr w14:val="tx1"/>
            </w14:solidFill>
          </w14:textFill>
        </w:rPr>
        <w:t>一般公共预算财政拨款支出决算表</w:t>
      </w:r>
      <w:bookmarkEnd w:id="1"/>
    </w:p>
    <w:p>
      <w:pPr>
        <w:widowControl/>
        <w:spacing w:before="156" w:beforeLines="50"/>
        <w:jc w:val="lef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部门： </w:t>
      </w:r>
      <w:r>
        <w:rPr>
          <w:rFonts w:hint="eastAsia" w:ascii="Times New Roman" w:hAnsi="Times New Roman" w:eastAsia="仿宋_GB2312" w:cs="Times New Roman"/>
          <w:color w:val="000000" w:themeColor="text1"/>
          <w:kern w:val="0"/>
          <w:szCs w:val="21"/>
          <w14:textFill>
            <w14:solidFill>
              <w14:schemeClr w14:val="tx1"/>
            </w14:solidFill>
          </w14:textFill>
        </w:rPr>
        <w:t>湖南省质量技术评审中心</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公</w:t>
      </w:r>
      <w:r>
        <w:rPr>
          <w:rFonts w:ascii="Times New Roman" w:hAnsi="Times New Roman" w:eastAsia="仿宋_GB2312" w:cs="Times New Roman"/>
          <w:color w:val="000000" w:themeColor="text1"/>
          <w:kern w:val="0"/>
          <w:szCs w:val="21"/>
          <w14:textFill>
            <w14:solidFill>
              <w14:schemeClr w14:val="tx1"/>
            </w14:solidFill>
          </w14:textFill>
        </w:rPr>
        <w:t>开05表</w:t>
      </w:r>
    </w:p>
    <w:p>
      <w:pPr>
        <w:widowControl/>
        <w:jc w:val="left"/>
        <w:rPr>
          <w:rFonts w:ascii="Times New Roman" w:hAnsi="Times New Roman" w:eastAsia="宋体" w:cs="Times New Roman"/>
          <w:color w:val="000000" w:themeColor="text1"/>
          <w:kern w:val="0"/>
          <w:sz w:val="20"/>
          <w:szCs w:val="20"/>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单位：万元</w:t>
      </w:r>
    </w:p>
    <w:tbl>
      <w:tblPr>
        <w:tblStyle w:val="7"/>
        <w:tblW w:w="14179" w:type="dxa"/>
        <w:jc w:val="center"/>
        <w:tblLayout w:type="autofit"/>
        <w:tblCellMar>
          <w:top w:w="0" w:type="dxa"/>
          <w:left w:w="108" w:type="dxa"/>
          <w:bottom w:w="0" w:type="dxa"/>
          <w:right w:w="108" w:type="dxa"/>
        </w:tblCellMar>
      </w:tblPr>
      <w:tblGrid>
        <w:gridCol w:w="1195"/>
        <w:gridCol w:w="3753"/>
        <w:gridCol w:w="2755"/>
        <w:gridCol w:w="3481"/>
        <w:gridCol w:w="2995"/>
      </w:tblGrid>
      <w:tr>
        <w:tblPrEx>
          <w:tblCellMar>
            <w:top w:w="0" w:type="dxa"/>
            <w:left w:w="108" w:type="dxa"/>
            <w:bottom w:w="0" w:type="dxa"/>
            <w:right w:w="108" w:type="dxa"/>
          </w:tblCellMar>
        </w:tblPrEx>
        <w:trPr>
          <w:trHeight w:val="413" w:hRule="atLeast"/>
          <w:jc w:val="center"/>
        </w:trPr>
        <w:tc>
          <w:tcPr>
            <w:tcW w:w="4948"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项 </w:t>
            </w:r>
            <w:r>
              <w:rPr>
                <w:rFonts w:ascii="Times New Roman" w:hAnsi="Times New Roman" w:eastAsia="仿宋_GB2312" w:cs="Times New Roman"/>
                <w:b/>
                <w:color w:val="000000" w:themeColor="text1"/>
                <w:kern w:val="0"/>
                <w:szCs w:val="21"/>
                <w14:textFill>
                  <w14:solidFill>
                    <w14:schemeClr w14:val="tx1"/>
                  </w14:solidFill>
                </w14:textFill>
              </w:rPr>
              <w:t xml:space="preserve">   </w:t>
            </w:r>
            <w:r>
              <w:rPr>
                <w:rFonts w:ascii="Times New Roman" w:hAnsi="Times New Roman" w:eastAsia="仿宋_GB2312" w:cs="Times New Roman"/>
                <w:b/>
                <w:color w:val="000000" w:themeColor="text1"/>
                <w:kern w:val="0"/>
                <w:szCs w:val="21"/>
                <w14:textFill>
                  <w14:solidFill>
                    <w14:schemeClr w14:val="tx1"/>
                  </w14:solidFill>
                </w14:textFill>
              </w:rPr>
              <w:t>目</w:t>
            </w:r>
          </w:p>
        </w:tc>
        <w:tc>
          <w:tcPr>
            <w:tcW w:w="9231"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本年支出</w:t>
            </w:r>
          </w:p>
        </w:tc>
      </w:tr>
      <w:tr>
        <w:tblPrEx>
          <w:tblCellMar>
            <w:top w:w="0" w:type="dxa"/>
            <w:left w:w="108" w:type="dxa"/>
            <w:bottom w:w="0" w:type="dxa"/>
            <w:right w:w="108" w:type="dxa"/>
          </w:tblCellMar>
        </w:tblPrEx>
        <w:trPr>
          <w:trHeight w:val="379" w:hRule="atLeast"/>
          <w:jc w:val="center"/>
        </w:trPr>
        <w:tc>
          <w:tcPr>
            <w:tcW w:w="1195"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功能分类科目编码</w:t>
            </w:r>
          </w:p>
        </w:tc>
        <w:tc>
          <w:tcPr>
            <w:tcW w:w="375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科目名称</w:t>
            </w:r>
          </w:p>
        </w:tc>
        <w:tc>
          <w:tcPr>
            <w:tcW w:w="27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小计</w:t>
            </w:r>
          </w:p>
        </w:tc>
        <w:tc>
          <w:tcPr>
            <w:tcW w:w="348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基本支出</w:t>
            </w:r>
          </w:p>
        </w:tc>
        <w:tc>
          <w:tcPr>
            <w:tcW w:w="2995"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项目支出</w:t>
            </w:r>
          </w:p>
        </w:tc>
      </w:tr>
      <w:tr>
        <w:tblPrEx>
          <w:tblCellMar>
            <w:top w:w="0" w:type="dxa"/>
            <w:left w:w="108" w:type="dxa"/>
            <w:bottom w:w="0" w:type="dxa"/>
            <w:right w:w="108" w:type="dxa"/>
          </w:tblCellMar>
        </w:tblPrEx>
        <w:trPr>
          <w:trHeight w:val="367" w:hRule="atLeast"/>
          <w:jc w:val="center"/>
        </w:trPr>
        <w:tc>
          <w:tcPr>
            <w:tcW w:w="11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75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755"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481"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995"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1195"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753"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755"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3481"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995"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67" w:hRule="atLeast"/>
          <w:jc w:val="center"/>
        </w:trPr>
        <w:tc>
          <w:tcPr>
            <w:tcW w:w="4948"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栏次</w:t>
            </w:r>
          </w:p>
        </w:tc>
        <w:tc>
          <w:tcPr>
            <w:tcW w:w="275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3481"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2995"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r>
      <w:tr>
        <w:tblPrEx>
          <w:tblCellMar>
            <w:top w:w="0" w:type="dxa"/>
            <w:left w:w="108" w:type="dxa"/>
            <w:bottom w:w="0" w:type="dxa"/>
            <w:right w:w="108" w:type="dxa"/>
          </w:tblCellMar>
        </w:tblPrEx>
        <w:trPr>
          <w:trHeight w:val="367" w:hRule="atLeast"/>
          <w:jc w:val="center"/>
        </w:trPr>
        <w:tc>
          <w:tcPr>
            <w:tcW w:w="4948"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250.95</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206.03</w:t>
            </w:r>
          </w:p>
        </w:tc>
        <w:tc>
          <w:tcPr>
            <w:tcW w:w="2995"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b w:val="0"/>
                <w:bCs w:val="0"/>
                <w:color w:val="000000" w:themeColor="text1"/>
                <w:kern w:val="0"/>
                <w:szCs w:val="21"/>
                <w14:textFill>
                  <w14:solidFill>
                    <w14:schemeClr w14:val="tx1"/>
                  </w14:solidFill>
                </w14:textFill>
              </w:rPr>
            </w:pPr>
            <w:r>
              <w:rPr>
                <w:rFonts w:hint="eastAsia" w:ascii="宋体" w:hAnsi="宋体" w:eastAsia="宋体" w:cs="宋体"/>
                <w:b w:val="0"/>
                <w:bCs w:val="0"/>
                <w:i w:val="0"/>
                <w:iCs w:val="0"/>
                <w:color w:val="000000" w:themeColor="text1"/>
                <w:kern w:val="0"/>
                <w:sz w:val="22"/>
                <w:szCs w:val="22"/>
                <w:u w:val="none"/>
                <w:lang w:val="en-US" w:eastAsia="zh-CN" w:bidi="ar"/>
                <w14:textFill>
                  <w14:solidFill>
                    <w14:schemeClr w14:val="tx1"/>
                  </w14:solidFill>
                </w14:textFill>
              </w:rPr>
              <w:t>44.92</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一般公共服务支出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193.99</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2995"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44.92</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市场监督管理事务</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193.99</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2995"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44.92</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2013850</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事业运行</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188.99</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149.07</w:t>
            </w:r>
          </w:p>
        </w:tc>
        <w:tc>
          <w:tcPr>
            <w:tcW w:w="2995"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39.92</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2013899</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其他市场监督管理事务</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5.00</w:t>
            </w:r>
          </w:p>
        </w:tc>
        <w:tc>
          <w:tcPr>
            <w:tcW w:w="3481"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themeColor="text1"/>
                <w:kern w:val="0"/>
                <w:szCs w:val="21"/>
                <w:lang w:val="en-US" w:eastAsia="zh-CN"/>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2995"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5.00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社会保障和就业支出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行政事业单位养老支出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608"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2080505</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机关事业单位基本养老保险缴费支出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卫生健康支出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行政事业单位医疗</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2101102</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事业单位医疗</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住房保障支出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w:t>
            </w:r>
          </w:p>
        </w:tc>
        <w:tc>
          <w:tcPr>
            <w:tcW w:w="3753"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住房改革支出</w:t>
            </w:r>
          </w:p>
        </w:tc>
        <w:tc>
          <w:tcPr>
            <w:tcW w:w="275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3481"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2995" w:type="dxa"/>
            <w:tcBorders>
              <w:top w:val="nil"/>
              <w:left w:val="nil"/>
              <w:bottom w:val="single" w:color="auto" w:sz="4"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367" w:hRule="atLeast"/>
          <w:jc w:val="center"/>
        </w:trPr>
        <w:tc>
          <w:tcPr>
            <w:tcW w:w="1195" w:type="dxa"/>
            <w:tcBorders>
              <w:top w:val="single" w:color="auto" w:sz="4" w:space="0"/>
              <w:left w:val="single" w:color="auto" w:sz="8" w:space="0"/>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2210201</w:t>
            </w:r>
          </w:p>
        </w:tc>
        <w:tc>
          <w:tcPr>
            <w:tcW w:w="3753"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住房公积金</w:t>
            </w:r>
          </w:p>
        </w:tc>
        <w:tc>
          <w:tcPr>
            <w:tcW w:w="2755"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3481" w:type="dxa"/>
            <w:tcBorders>
              <w:top w:val="nil"/>
              <w:left w:val="nil"/>
              <w:bottom w:val="single" w:color="auto" w:sz="8" w:space="0"/>
              <w:right w:val="single" w:color="auto" w:sz="4" w:space="0"/>
            </w:tcBorders>
            <w:shd w:val="clear" w:color="auto" w:fill="auto"/>
            <w:vAlign w:val="center"/>
          </w:tcPr>
          <w:p>
            <w:pPr>
              <w:keepNext w:val="0"/>
              <w:keepLines w:val="0"/>
              <w:widowControl/>
              <w:suppressLineNumbers w:val="0"/>
              <w:jc w:val="center"/>
              <w:textAlignment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2995" w:type="dxa"/>
            <w:tcBorders>
              <w:top w:val="nil"/>
              <w:left w:val="nil"/>
              <w:bottom w:val="single" w:color="auto" w:sz="8" w:space="0"/>
              <w:right w:val="single" w:color="auto" w:sz="8" w:space="0"/>
            </w:tcBorders>
            <w:shd w:val="clear" w:color="auto" w:fill="auto"/>
            <w:vAlign w:val="center"/>
          </w:tcPr>
          <w:p>
            <w:pPr>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r>
        <w:tblPrEx>
          <w:tblCellMar>
            <w:top w:w="0" w:type="dxa"/>
            <w:left w:w="108" w:type="dxa"/>
            <w:bottom w:w="0" w:type="dxa"/>
            <w:right w:w="108" w:type="dxa"/>
          </w:tblCellMar>
        </w:tblPrEx>
        <w:trPr>
          <w:trHeight w:val="532" w:hRule="atLeast"/>
          <w:jc w:val="center"/>
        </w:trPr>
        <w:tc>
          <w:tcPr>
            <w:tcW w:w="1417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注：本表反映部门本年度一般公共预算财政拨款支出情况。</w:t>
            </w:r>
          </w:p>
        </w:tc>
      </w:tr>
    </w:tbl>
    <w:p>
      <w:pPr>
        <w:widowControl/>
        <w:jc w:val="left"/>
        <w:rPr>
          <w:rFonts w:ascii="Times New Roman" w:hAnsi="Times New Roman" w:eastAsia="仿宋_GB2312" w:cs="Times New Roman"/>
          <w:bCs/>
          <w:color w:val="000000" w:themeColor="text1"/>
          <w:kern w:val="0"/>
          <w:szCs w:val="21"/>
          <w14:textFill>
            <w14:solidFill>
              <w14:schemeClr w14:val="tx1"/>
            </w14:solidFill>
          </w14:textFill>
        </w:rPr>
      </w:pPr>
    </w:p>
    <w:tbl>
      <w:tblPr>
        <w:tblStyle w:val="7"/>
        <w:tblW w:w="0" w:type="auto"/>
        <w:tblInd w:w="0" w:type="dxa"/>
        <w:tblLayout w:type="autofit"/>
        <w:tblCellMar>
          <w:top w:w="0" w:type="dxa"/>
          <w:left w:w="108" w:type="dxa"/>
          <w:bottom w:w="0" w:type="dxa"/>
          <w:right w:w="108" w:type="dxa"/>
        </w:tblCellMar>
      </w:tblPr>
      <w:tblGrid>
        <w:gridCol w:w="1242"/>
        <w:gridCol w:w="2688"/>
        <w:gridCol w:w="988"/>
        <w:gridCol w:w="1351"/>
        <w:gridCol w:w="2144"/>
        <w:gridCol w:w="889"/>
        <w:gridCol w:w="1351"/>
        <w:gridCol w:w="4048"/>
        <w:gridCol w:w="913"/>
      </w:tblGrid>
      <w:tr>
        <w:tblPrEx>
          <w:tblCellMar>
            <w:top w:w="0" w:type="dxa"/>
            <w:left w:w="108" w:type="dxa"/>
            <w:bottom w:w="0" w:type="dxa"/>
            <w:right w:w="108" w:type="dxa"/>
          </w:tblCellMar>
        </w:tblPrEx>
        <w:trPr>
          <w:trHeight w:val="1599"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themeColor="text1"/>
                <w:kern w:val="0"/>
                <w:szCs w:val="32"/>
                <w14:textFill>
                  <w14:solidFill>
                    <w14:schemeClr w14:val="tx1"/>
                  </w14:solidFill>
                </w14:textFill>
              </w:rPr>
            </w:pPr>
            <w:bookmarkStart w:id="2" w:name="RANGE!A1:I34"/>
            <w:r>
              <w:rPr>
                <w:rFonts w:hint="eastAsia" w:ascii="华文中宋" w:hAnsi="华文中宋" w:eastAsia="华文中宋" w:cs="宋体"/>
                <w:color w:val="000000" w:themeColor="text1"/>
                <w:kern w:val="0"/>
                <w:szCs w:val="32"/>
                <w14:textFill>
                  <w14:solidFill>
                    <w14:schemeClr w14:val="tx1"/>
                  </w14:solidFill>
                </w14:textFill>
              </w:rPr>
              <w:t>一般公共预算财政拨款基本支出决算明细表</w:t>
            </w:r>
            <w:bookmarkEnd w:id="2"/>
          </w:p>
          <w:p>
            <w:pPr>
              <w:widowControl/>
              <w:wordWrap w:val="0"/>
              <w:jc w:val="righ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 xml:space="preserve">湖南省质量技术评审中心                                                                                                                        </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公开06表</w:t>
            </w:r>
          </w:p>
          <w:p>
            <w:pPr>
              <w:widowControl/>
              <w:jc w:val="right"/>
              <w:rPr>
                <w:rFonts w:ascii="华文中宋" w:hAnsi="华文中宋" w:eastAsia="华文中宋" w:cs="宋体"/>
                <w:color w:val="000000" w:themeColor="text1"/>
                <w:kern w:val="0"/>
                <w:szCs w:val="32"/>
                <w14:textFill>
                  <w14:solidFill>
                    <w14:schemeClr w14:val="tx1"/>
                  </w14:solidFill>
                </w14:textFill>
              </w:rPr>
            </w:pPr>
            <w:r>
              <w:rPr>
                <w:rFonts w:hint="eastAsia" w:ascii="Times New Roman" w:hAnsi="Times New Roman" w:eastAsia="仿宋_GB2312" w:cs="Times New Roman"/>
                <w:color w:val="000000" w:themeColor="text1"/>
                <w:kern w:val="0"/>
                <w:szCs w:val="21"/>
                <w14:textFill>
                  <w14:solidFill>
                    <w14:schemeClr w14:val="tx1"/>
                  </w14:solidFill>
                </w14:textFill>
              </w:rPr>
              <w:t>单位：万元</w:t>
            </w:r>
          </w:p>
        </w:tc>
      </w:tr>
      <w:tr>
        <w:tblPrEx>
          <w:tblCellMar>
            <w:top w:w="0" w:type="dxa"/>
            <w:left w:w="108" w:type="dxa"/>
            <w:bottom w:w="0" w:type="dxa"/>
            <w:right w:w="108" w:type="dxa"/>
          </w:tblCellMar>
        </w:tblPrEx>
        <w:trPr>
          <w:trHeight w:val="895" w:hRule="atLeast"/>
        </w:trPr>
        <w:tc>
          <w:tcPr>
            <w:tcW w:w="12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经济分类科目编码</w:t>
            </w:r>
          </w:p>
        </w:tc>
        <w:tc>
          <w:tcPr>
            <w:tcW w:w="264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决算数</w:t>
            </w: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工资福利支出</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191.20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商品和服务支出</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12.74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债务利息及费用支出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30101</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基本工资</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34.81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办公费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1.15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国内债务付息</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30102</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津贴补贴</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45.39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印刷费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1.09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国外债务付息</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30103</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奖金</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咨询费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资本性支出</w:t>
            </w:r>
          </w:p>
        </w:tc>
        <w:tc>
          <w:tcPr>
            <w:tcW w:w="88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2.09</w:t>
            </w: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30106</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伙食补助费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手续费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房屋建筑物购建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30107</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绩效工资</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45.83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水费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0.30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办公设备购置</w:t>
            </w:r>
          </w:p>
        </w:tc>
        <w:tc>
          <w:tcPr>
            <w:tcW w:w="88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2.09</w:t>
            </w: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30108</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机关事业单位基本养老保险缴费</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23.83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电费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4.38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专用设备购置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30109</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职业年金缴费</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6.81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邮电费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0.05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基础设施建设</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30110</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职工基本医疗保险缴费</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13.00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取暖费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大型修缮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30111</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公务员医疗补助缴费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物业管理费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信息网络及软件购置更新</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30112</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其他社会保障缴费</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差旅费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物资储备</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30113</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住房公积金</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20.14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因公出国（境）费用</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土地补偿</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30114</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医疗费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维修（护）费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安置补助</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30199</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其他工资福利支出</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租赁费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地上附着物和青苗补偿</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对个人和家庭的补助</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会议费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拆迁补偿</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30301</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离休费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培训费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公务用车购置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30302</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退休费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公务接待费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其他交通工具购置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30303</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退职（役）费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专用材料费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文物和陈列品购置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30304</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抚恤金</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被装购置费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无形资产购置</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30305</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生活补助</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专用燃料费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其他资本性支出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30306</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救济费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劳务费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其他支出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30307</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医疗费补助</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委托业务费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赠与</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30308</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助学金</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工会经费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1.46</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国家赔偿费用支出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30309</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奖励金</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福利费</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1.62</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对民间非营利组织和群众性自治组织补贴</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30310</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个人农业生产补贴</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公务用车运行维护费</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其他支出</w:t>
            </w: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30311</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代缴社会保险费</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其他交通费用</w:t>
            </w:r>
          </w:p>
        </w:tc>
        <w:tc>
          <w:tcPr>
            <w:tcW w:w="861"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0.74</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30399</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xml:space="preserve">  其他对个人和家庭的补助</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税金及附加费用</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121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c>
          <w:tcPr>
            <w:tcW w:w="264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其他商品和服务支出</w:t>
            </w:r>
          </w:p>
        </w:tc>
        <w:tc>
          <w:tcPr>
            <w:tcW w:w="861"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18"/>
                <w14:textFill>
                  <w14:solidFill>
                    <w14:schemeClr w14:val="tx1"/>
                  </w14:solidFill>
                </w14:textFill>
              </w:rPr>
            </w:pPr>
          </w:p>
        </w:tc>
        <w:tc>
          <w:tcPr>
            <w:tcW w:w="886" w:type="dxa"/>
            <w:tcBorders>
              <w:top w:val="nil"/>
              <w:left w:val="nil"/>
              <w:bottom w:val="single" w:color="auto" w:sz="4" w:space="0"/>
              <w:right w:val="single" w:color="auto" w:sz="4" w:space="0"/>
            </w:tcBorders>
            <w:shd w:val="clear" w:color="auto" w:fill="auto"/>
            <w:noWrap/>
            <w:vAlign w:val="center"/>
          </w:tcPr>
          <w:p>
            <w:pPr>
              <w:jc w:val="center"/>
              <w:rPr>
                <w:rFonts w:ascii="宋体" w:hAnsi="宋体" w:eastAsia="宋体" w:cs="宋体"/>
                <w:color w:val="000000" w:themeColor="text1"/>
                <w:kern w:val="0"/>
                <w:szCs w:val="20"/>
                <w14:textFill>
                  <w14:solidFill>
                    <w14:schemeClr w14:val="tx1"/>
                  </w14:solidFill>
                </w14:textFill>
              </w:rPr>
            </w:pPr>
          </w:p>
        </w:tc>
      </w:tr>
      <w:tr>
        <w:tblPrEx>
          <w:tblCellMar>
            <w:top w:w="0" w:type="dxa"/>
            <w:left w:w="108" w:type="dxa"/>
            <w:bottom w:w="0" w:type="dxa"/>
            <w:right w:w="108" w:type="dxa"/>
          </w:tblCellMar>
        </w:tblPrEx>
        <w:trPr>
          <w:trHeight w:val="255"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人员经费合计</w:t>
            </w:r>
          </w:p>
        </w:tc>
        <w:tc>
          <w:tcPr>
            <w:tcW w:w="95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191.20</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themeColor="text1"/>
                <w:kern w:val="0"/>
                <w:szCs w:val="20"/>
                <w14:textFill>
                  <w14:solidFill>
                    <w14:schemeClr w14:val="tx1"/>
                  </w14:solidFill>
                </w14:textFill>
              </w:rPr>
            </w:pPr>
            <w:r>
              <w:rPr>
                <w:rFonts w:hint="eastAsia" w:ascii="宋体" w:hAnsi="宋体" w:eastAsia="宋体" w:cs="宋体"/>
                <w:color w:val="000000" w:themeColor="text1"/>
                <w:kern w:val="0"/>
                <w:szCs w:val="20"/>
                <w14:textFill>
                  <w14:solidFill>
                    <w14:schemeClr w14:val="tx1"/>
                  </w14:solidFill>
                </w14:textFill>
              </w:rPr>
              <w:t>公用经费合计</w:t>
            </w:r>
          </w:p>
        </w:tc>
        <w:tc>
          <w:tcPr>
            <w:tcW w:w="88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eastAsia="宋体" w:cs="宋体"/>
                <w:color w:val="000000" w:themeColor="text1"/>
                <w:kern w:val="0"/>
                <w:szCs w:val="18"/>
                <w14:textFill>
                  <w14:solidFill>
                    <w14:schemeClr w14:val="tx1"/>
                  </w14:solidFill>
                </w14:textFill>
              </w:rPr>
            </w:pPr>
            <w:r>
              <w:rPr>
                <w:rFonts w:hint="eastAsia" w:ascii="宋体" w:hAnsi="宋体" w:eastAsia="宋体" w:cs="宋体"/>
                <w:i w:val="0"/>
                <w:iCs w:val="0"/>
                <w:color w:val="000000" w:themeColor="text1"/>
                <w:kern w:val="0"/>
                <w:sz w:val="22"/>
                <w:szCs w:val="22"/>
                <w:u w:val="none"/>
                <w:lang w:val="en-US" w:eastAsia="zh-CN" w:bidi="ar"/>
                <w14:textFill>
                  <w14:solidFill>
                    <w14:schemeClr w14:val="tx1"/>
                  </w14:solidFill>
                </w14:textFill>
              </w:rPr>
              <w:t>14.83</w:t>
            </w:r>
          </w:p>
        </w:tc>
      </w:tr>
      <w:tr>
        <w:tblPrEx>
          <w:tblCellMar>
            <w:top w:w="0" w:type="dxa"/>
            <w:left w:w="108" w:type="dxa"/>
            <w:bottom w:w="0" w:type="dxa"/>
            <w:right w:w="108" w:type="dxa"/>
          </w:tblCellMar>
        </w:tblPrEx>
        <w:trPr>
          <w:trHeight w:val="255"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themeColor="text1"/>
                <w:kern w:val="0"/>
                <w:szCs w:val="24"/>
                <w14:textFill>
                  <w14:solidFill>
                    <w14:schemeClr w14:val="tx1"/>
                  </w14:solidFill>
                </w14:textFill>
              </w:rPr>
            </w:pPr>
            <w:r>
              <w:rPr>
                <w:rFonts w:hint="eastAsia" w:ascii="宋体" w:hAnsi="宋体" w:eastAsia="宋体" w:cs="宋体"/>
                <w:color w:val="000000" w:themeColor="text1"/>
                <w:kern w:val="0"/>
                <w:szCs w:val="24"/>
                <w14:textFill>
                  <w14:solidFill>
                    <w14:schemeClr w14:val="tx1"/>
                  </w14:solidFill>
                </w14:textFill>
              </w:rPr>
              <w:t>注：本表反映部门本年度一般公共预算财政拨款基本支出明细情况。</w:t>
            </w:r>
          </w:p>
        </w:tc>
      </w:tr>
    </w:tbl>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hint="eastAsia" w:ascii="Times New Roman" w:hAnsi="Times New Roman" w:eastAsia="方正小标宋_GBK" w:cs="Times New Roman"/>
          <w:color w:val="000000" w:themeColor="text1"/>
          <w:kern w:val="0"/>
          <w:sz w:val="36"/>
          <w:szCs w:val="36"/>
          <w14:textFill>
            <w14:solidFill>
              <w14:schemeClr w14:val="tx1"/>
            </w14:solidFill>
          </w14:textFill>
        </w:rPr>
        <w:t>一般公共预算财政拨款“三公”经费支出决算表</w:t>
      </w:r>
    </w:p>
    <w:p>
      <w:pPr>
        <w:widowControl/>
        <w:ind w:left="14070" w:hanging="14070" w:hangingChars="6700"/>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部门：</w:t>
      </w:r>
      <w:r>
        <w:rPr>
          <w:rFonts w:hint="eastAsia" w:ascii="Times New Roman" w:hAnsi="Times New Roman" w:eastAsia="仿宋_GB2312" w:cs="Times New Roman"/>
          <w:color w:val="000000" w:themeColor="text1"/>
          <w:kern w:val="0"/>
          <w:szCs w:val="21"/>
          <w14:textFill>
            <w14:solidFill>
              <w14:schemeClr w14:val="tx1"/>
            </w14:solidFill>
          </w14:textFill>
        </w:rPr>
        <w:t>湖南省质量技术评审中心</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       公开0</w:t>
      </w:r>
      <w:r>
        <w:rPr>
          <w:rFonts w:hint="eastAsia" w:ascii="Times New Roman" w:hAnsi="Times New Roman" w:eastAsia="仿宋_GB2312" w:cs="Times New Roman"/>
          <w:color w:val="000000" w:themeColor="text1"/>
          <w:kern w:val="0"/>
          <w:szCs w:val="21"/>
          <w14:textFill>
            <w14:solidFill>
              <w14:schemeClr w14:val="tx1"/>
            </w14:solidFill>
          </w14:textFill>
        </w:rPr>
        <w:t>7</w:t>
      </w:r>
      <w:r>
        <w:rPr>
          <w:rFonts w:ascii="Times New Roman" w:hAnsi="Times New Roman" w:eastAsia="仿宋_GB2312" w:cs="Times New Roman"/>
          <w:color w:val="000000" w:themeColor="text1"/>
          <w:kern w:val="0"/>
          <w:szCs w:val="21"/>
          <w14:textFill>
            <w14:solidFill>
              <w14:schemeClr w14:val="tx1"/>
            </w14:solidFill>
          </w14:textFill>
        </w:rPr>
        <w:t>表</w:t>
      </w:r>
    </w:p>
    <w:p>
      <w:pPr>
        <w:widowControl/>
        <w:ind w:right="420"/>
        <w:jc w:val="righ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单位：万元</w:t>
      </w:r>
    </w:p>
    <w:tbl>
      <w:tblPr>
        <w:tblStyle w:val="7"/>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r>
              <w:rPr>
                <w:rFonts w:ascii="Times New Roman" w:hAnsi="Times New Roman" w:eastAsia="仿宋_GB2312" w:cs="Times New Roman"/>
                <w:color w:val="000000" w:themeColor="text1"/>
                <w:kern w:val="0"/>
                <w:szCs w:val="21"/>
                <w14:textFill>
                  <w14:solidFill>
                    <w14:schemeClr w14:val="tx1"/>
                  </w14:solidFill>
                </w14:textFill>
              </w:rPr>
              <w:br w:type="textWrapping"/>
            </w:r>
            <w:r>
              <w:rPr>
                <w:rFonts w:ascii="Times New Roman" w:hAnsi="Times New Roman" w:eastAsia="仿宋_GB2312" w:cs="Times New Roman"/>
                <w:color w:val="000000" w:themeColor="text1"/>
                <w:kern w:val="0"/>
                <w:szCs w:val="21"/>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r>
              <w:rPr>
                <w:rFonts w:ascii="Times New Roman" w:hAnsi="Times New Roman" w:eastAsia="仿宋_GB2312" w:cs="Times New Roman"/>
                <w:color w:val="000000" w:themeColor="text1"/>
                <w:kern w:val="0"/>
                <w:szCs w:val="21"/>
                <w14:textFill>
                  <w14:solidFill>
                    <w14:schemeClr w14:val="tx1"/>
                  </w14:solidFill>
                </w14:textFill>
              </w:rPr>
              <w:br w:type="textWrapping"/>
            </w:r>
            <w:r>
              <w:rPr>
                <w:rFonts w:ascii="Times New Roman" w:hAnsi="Times New Roman" w:eastAsia="仿宋_GB2312" w:cs="Times New Roman"/>
                <w:color w:val="000000" w:themeColor="text1"/>
                <w:kern w:val="0"/>
                <w:szCs w:val="21"/>
                <w14:textFill>
                  <w14:solidFill>
                    <w14:schemeClr w14:val="tx1"/>
                  </w14:solidFill>
                </w14:textFill>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r>
              <w:rPr>
                <w:rFonts w:ascii="Times New Roman" w:hAnsi="Times New Roman" w:eastAsia="仿宋_GB2312" w:cs="Times New Roman"/>
                <w:color w:val="000000" w:themeColor="text1"/>
                <w:kern w:val="0"/>
                <w:szCs w:val="21"/>
                <w14:textFill>
                  <w14:solidFill>
                    <w14:schemeClr w14:val="tx1"/>
                  </w14:solidFill>
                </w14:textFill>
              </w:rPr>
              <w:br w:type="textWrapping"/>
            </w:r>
            <w:r>
              <w:rPr>
                <w:rFonts w:ascii="Times New Roman" w:hAnsi="Times New Roman" w:eastAsia="仿宋_GB2312" w:cs="Times New Roman"/>
                <w:color w:val="000000" w:themeColor="text1"/>
                <w:kern w:val="0"/>
                <w:szCs w:val="21"/>
                <w14:textFill>
                  <w14:solidFill>
                    <w14:schemeClr w14:val="tx1"/>
                  </w14:solidFill>
                </w14:textFill>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公务用车</w:t>
            </w:r>
            <w:r>
              <w:rPr>
                <w:rFonts w:ascii="Times New Roman" w:hAnsi="Times New Roman" w:eastAsia="仿宋_GB2312" w:cs="Times New Roman"/>
                <w:color w:val="000000" w:themeColor="text1"/>
                <w:kern w:val="0"/>
                <w:szCs w:val="21"/>
                <w14:textFill>
                  <w14:solidFill>
                    <w14:schemeClr w14:val="tx1"/>
                  </w14:solidFill>
                </w14:textFill>
              </w:rPr>
              <w:br w:type="textWrapping"/>
            </w:r>
            <w:r>
              <w:rPr>
                <w:rFonts w:ascii="Times New Roman" w:hAnsi="Times New Roman" w:eastAsia="仿宋_GB2312" w:cs="Times New Roman"/>
                <w:color w:val="000000" w:themeColor="text1"/>
                <w:kern w:val="0"/>
                <w:szCs w:val="21"/>
                <w14:textFill>
                  <w14:solidFill>
                    <w14:schemeClr w14:val="tx1"/>
                  </w14:solidFill>
                </w14:textFill>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themeColor="text1"/>
                <w:kern w:val="0"/>
                <w:szCs w:val="21"/>
                <w:lang w:val="en-US" w:eastAsia="zh-CN"/>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nil"/>
              <w:bottom w:val="single" w:color="auto" w:sz="8" w:space="0"/>
              <w:right w:val="nil"/>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0.00</w:t>
            </w:r>
          </w:p>
        </w:tc>
      </w:tr>
    </w:tbl>
    <w:p>
      <w:pPr>
        <w:widowControl/>
        <w:jc w:val="left"/>
        <w:rPr>
          <w:rFonts w:ascii="宋体" w:eastAsia="宋体" w:cs="宋体"/>
          <w:color w:val="000000" w:themeColor="text1"/>
          <w:kern w:val="0"/>
          <w:sz w:val="24"/>
          <w:szCs w:val="24"/>
          <w14:textFill>
            <w14:solidFill>
              <w14:schemeClr w14:val="tx1"/>
            </w14:solidFill>
          </w14:textFill>
        </w:rPr>
      </w:pPr>
      <w:r>
        <w:rPr>
          <w:rFonts w:hint="eastAsia" w:ascii="宋体" w:eastAsia="宋体" w:cs="宋体"/>
          <w:color w:val="000000" w:themeColor="text1"/>
          <w:kern w:val="0"/>
          <w:sz w:val="24"/>
          <w:szCs w:val="24"/>
          <w14:textFill>
            <w14:solidFill>
              <w14:schemeClr w14:val="tx1"/>
            </w14:solidFill>
          </w14:textFill>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color w:val="000000" w:themeColor="text1"/>
          <w:kern w:val="0"/>
          <w:sz w:val="24"/>
          <w:szCs w:val="24"/>
          <w14:textFill>
            <w14:solidFill>
              <w14:schemeClr w14:val="tx1"/>
            </w14:solidFill>
          </w14:textFill>
        </w:rPr>
        <w:br w:type="page"/>
      </w:r>
    </w:p>
    <w:p>
      <w:pPr>
        <w:autoSpaceDE w:val="0"/>
        <w:autoSpaceDN w:val="0"/>
        <w:adjustRightInd w:val="0"/>
        <w:ind w:left="315" w:leftChars="150"/>
        <w:jc w:val="left"/>
        <w:rPr>
          <w:rFonts w:ascii="宋体" w:eastAsia="宋体" w:cs="宋体"/>
          <w:color w:val="000000" w:themeColor="text1"/>
          <w:kern w:val="0"/>
          <w:sz w:val="24"/>
          <w:szCs w:val="24"/>
          <w14:textFill>
            <w14:solidFill>
              <w14:schemeClr w14:val="tx1"/>
            </w14:solidFill>
          </w14:textFill>
        </w:rPr>
      </w:pPr>
    </w:p>
    <w:p>
      <w:pPr>
        <w:widowControl/>
        <w:jc w:val="center"/>
        <w:rPr>
          <w:rFonts w:ascii="Times New Roman" w:hAnsi="Times New Roman" w:eastAsia="方正小标宋_GBK" w:cs="Times New Roman"/>
          <w:color w:val="000000" w:themeColor="text1"/>
          <w:kern w:val="0"/>
          <w:sz w:val="36"/>
          <w:szCs w:val="36"/>
          <w14:textFill>
            <w14:solidFill>
              <w14:schemeClr w14:val="tx1"/>
            </w14:solidFill>
          </w14:textFill>
        </w:rPr>
      </w:pPr>
      <w:r>
        <w:rPr>
          <w:rFonts w:ascii="Times New Roman" w:hAnsi="Times New Roman" w:eastAsia="方正小标宋_GBK" w:cs="Times New Roman"/>
          <w:color w:val="000000" w:themeColor="text1"/>
          <w:kern w:val="0"/>
          <w:sz w:val="36"/>
          <w:szCs w:val="36"/>
          <w14:textFill>
            <w14:solidFill>
              <w14:schemeClr w14:val="tx1"/>
            </w14:solidFill>
          </w14:textFill>
        </w:rPr>
        <w:t>政府性基金预算财政拨款收入支出决算表</w:t>
      </w:r>
    </w:p>
    <w:p>
      <w:pPr>
        <w:widowControl/>
        <w:wordWrap w:val="0"/>
        <w:jc w:val="center"/>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 xml:space="preserve">部门：  </w:t>
      </w:r>
      <w:r>
        <w:rPr>
          <w:rFonts w:hint="eastAsia" w:ascii="Times New Roman" w:hAnsi="Times New Roman" w:eastAsia="仿宋_GB2312" w:cs="Times New Roman"/>
          <w:color w:val="000000" w:themeColor="text1"/>
          <w:kern w:val="0"/>
          <w:szCs w:val="21"/>
          <w14:textFill>
            <w14:solidFill>
              <w14:schemeClr w14:val="tx1"/>
            </w14:solidFill>
          </w14:textFill>
        </w:rPr>
        <w:t>湖南省质量技术评审中心</w:t>
      </w:r>
      <w:r>
        <w:rPr>
          <w:rFonts w:ascii="Times New Roman" w:hAnsi="Times New Roman" w:eastAsia="仿宋_GB2312" w:cs="Times New Roman"/>
          <w:color w:val="000000" w:themeColor="text1"/>
          <w:kern w:val="0"/>
          <w:szCs w:val="21"/>
          <w14:textFill>
            <w14:solidFill>
              <w14:schemeClr w14:val="tx1"/>
            </w14:solidFill>
          </w14:textFill>
        </w:rPr>
        <w:t xml:space="preserve">                                                                                                                     </w:t>
      </w:r>
      <w:r>
        <w:rPr>
          <w:rFonts w:hint="eastAsia" w:ascii="Times New Roman" w:hAnsi="Times New Roman" w:eastAsia="仿宋_GB2312"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公开08表</w:t>
      </w:r>
    </w:p>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hint="default" w:ascii="Times New Roman" w:hAnsi="Times New Roman" w:eastAsia="仿宋_GB2312" w:cs="Times New Roman"/>
          <w:color w:val="000000" w:themeColor="text1"/>
          <w:kern w:val="0"/>
          <w:szCs w:val="21"/>
          <w:lang w:val="en-US"/>
          <w14:textFill>
            <w14:solidFill>
              <w14:schemeClr w14:val="tx1"/>
            </w14:solidFill>
          </w14:textFill>
        </w:rPr>
        <w:t xml:space="preserve">                                                                                                                              </w:t>
      </w:r>
      <w:r>
        <w:rPr>
          <w:rFonts w:ascii="Times New Roman" w:hAnsi="Times New Roman" w:eastAsia="仿宋_GB2312" w:cs="Times New Roman"/>
          <w:color w:val="000000" w:themeColor="text1"/>
          <w:kern w:val="0"/>
          <w:szCs w:val="21"/>
          <w14:textFill>
            <w14:solidFill>
              <w14:schemeClr w14:val="tx1"/>
            </w14:solidFill>
          </w14:textFill>
        </w:rPr>
        <w:t>单位：万元</w:t>
      </w:r>
    </w:p>
    <w:tbl>
      <w:tblPr>
        <w:tblStyle w:val="7"/>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项 </w:t>
            </w:r>
            <w:r>
              <w:rPr>
                <w:rFonts w:ascii="Times New Roman" w:hAnsi="Times New Roman" w:eastAsia="仿宋_GB2312" w:cs="Times New Roman"/>
                <w:b/>
                <w:color w:val="000000" w:themeColor="text1"/>
                <w:kern w:val="0"/>
                <w:szCs w:val="21"/>
                <w14:textFill>
                  <w14:solidFill>
                    <w14:schemeClr w14:val="tx1"/>
                  </w14:solidFill>
                </w14:textFill>
              </w:rPr>
              <w:t xml:space="preserve">   </w:t>
            </w:r>
            <w:r>
              <w:rPr>
                <w:rFonts w:ascii="Times New Roman" w:hAnsi="Times New Roman" w:eastAsia="仿宋_GB2312" w:cs="Times New Roman"/>
                <w:b/>
                <w:color w:val="000000" w:themeColor="text1"/>
                <w:kern w:val="0"/>
                <w:szCs w:val="21"/>
                <w14:textFill>
                  <w14:solidFill>
                    <w14:schemeClr w14:val="tx1"/>
                  </w14:solidFill>
                </w14:textFill>
              </w:rPr>
              <w:t>目</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科目名称</w:t>
            </w:r>
          </w:p>
        </w:tc>
        <w:tc>
          <w:tcPr>
            <w:tcW w:w="2000"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小计</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color w:val="000000" w:themeColor="text1"/>
                <w:kern w:val="0"/>
                <w:szCs w:val="21"/>
                <w14:textFill>
                  <w14:solidFill>
                    <w14:schemeClr w14:val="tx1"/>
                  </w14:solidFill>
                </w14:textFill>
              </w:rPr>
            </w:pPr>
            <w:r>
              <w:rPr>
                <w:rFonts w:ascii="Times New Roman" w:hAnsi="Times New Roman" w:eastAsia="仿宋_GB2312" w:cs="Times New Roman"/>
                <w:b/>
                <w:color w:val="000000" w:themeColor="text1"/>
                <w:kern w:val="0"/>
                <w:szCs w:val="21"/>
                <w14:textFill>
                  <w14:solidFill>
                    <w14:schemeClr w14:val="tx1"/>
                  </w14:solidFill>
                </w14:textFill>
              </w:rPr>
              <w:t>项目支出</w:t>
            </w:r>
          </w:p>
        </w:tc>
        <w:tc>
          <w:tcPr>
            <w:tcW w:w="2000" w:type="dxa"/>
            <w:vMerge w:val="continue"/>
            <w:vAlign w:val="center"/>
          </w:tcPr>
          <w:p>
            <w:pPr>
              <w:widowControl/>
              <w:jc w:val="left"/>
              <w:rPr>
                <w:rFonts w:ascii="Times New Roman" w:hAnsi="Times New Roman" w:eastAsia="仿宋_GB2312" w:cs="Times New Roman"/>
                <w:b/>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3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32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2000" w:type="dxa"/>
            <w:vMerge w:val="continue"/>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栏次</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1</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2</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3</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4</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5</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合计</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200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132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c>
          <w:tcPr>
            <w:tcW w:w="2000" w:type="dxa"/>
            <w:shd w:val="clear" w:color="auto" w:fill="auto"/>
            <w:vAlign w:val="center"/>
          </w:tcPr>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　</w:t>
            </w:r>
          </w:p>
        </w:tc>
      </w:tr>
    </w:tbl>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注：本表反映部门本年度政府性基金预算财政拨款收入、支出及结转和结余情况</w:t>
      </w:r>
    </w:p>
    <w:p>
      <w:pPr>
        <w:widowControl/>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(若本单位无政府性基金收支</w:t>
      </w:r>
      <w:r>
        <w:rPr>
          <w:rFonts w:hint="eastAsia" w:ascii="Times New Roman" w:hAnsi="Times New Roman" w:eastAsia="仿宋_GB2312" w:cs="Times New Roman"/>
          <w:color w:val="000000" w:themeColor="text1"/>
          <w:kern w:val="0"/>
          <w:szCs w:val="21"/>
          <w14:textFill>
            <w14:solidFill>
              <w14:schemeClr w14:val="tx1"/>
            </w14:solidFill>
          </w14:textFill>
        </w:rPr>
        <w:t>,请说明：</w:t>
      </w:r>
      <w:r>
        <w:rPr>
          <w:rFonts w:hint="eastAsia" w:ascii="Times New Roman" w:hAnsi="Times New Roman" w:eastAsia="仿宋_GB2312" w:cs="Times New Roman"/>
          <w:color w:val="000000" w:themeColor="text1"/>
          <w:kern w:val="0"/>
          <w:szCs w:val="21"/>
          <w14:textFill>
            <w14:solidFill>
              <w14:schemeClr w14:val="tx1"/>
            </w14:solidFill>
          </w14:textFill>
        </w:rPr>
        <w:t>湖南省质量技术评审中心</w:t>
      </w:r>
      <w:r>
        <w:rPr>
          <w:rFonts w:hint="eastAsia" w:ascii="Times New Roman" w:hAnsi="Times New Roman" w:eastAsia="仿宋_GB2312" w:cs="Times New Roman"/>
          <w:color w:val="000000" w:themeColor="text1"/>
          <w:kern w:val="0"/>
          <w:szCs w:val="21"/>
          <w14:textFill>
            <w14:solidFill>
              <w14:schemeClr w14:val="tx1"/>
            </w14:solidFill>
          </w14:textFill>
        </w:rPr>
        <w:t>单位没有政府性基金收入，也没有使用政府性基金安排的支出，故本表无数据</w:t>
      </w:r>
      <w:r>
        <w:rPr>
          <w:rFonts w:ascii="Times New Roman" w:hAnsi="Times New Roman" w:eastAsia="仿宋_GB2312" w:cs="Times New Roman"/>
          <w:color w:val="000000" w:themeColor="text1"/>
          <w:kern w:val="0"/>
          <w:szCs w:val="21"/>
          <w14:textFill>
            <w14:solidFill>
              <w14:schemeClr w14:val="tx1"/>
            </w14:solidFill>
          </w14:textFill>
        </w:rPr>
        <w:t>)。</w:t>
      </w:r>
    </w:p>
    <w:p>
      <w:pPr>
        <w:widowControl/>
        <w:jc w:val="left"/>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br w:type="page"/>
      </w:r>
    </w:p>
    <w:tbl>
      <w:tblPr>
        <w:tblStyle w:val="7"/>
        <w:tblW w:w="14190" w:type="dxa"/>
        <w:jc w:val="center"/>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color w:val="000000" w:themeColor="text1"/>
                <w:kern w:val="0"/>
                <w:sz w:val="32"/>
                <w:szCs w:val="32"/>
                <w14:textFill>
                  <w14:solidFill>
                    <w14:schemeClr w14:val="tx1"/>
                  </w14:solidFill>
                </w14:textFill>
              </w:rPr>
            </w:pPr>
            <w:r>
              <w:rPr>
                <w:rFonts w:hint="eastAsia" w:ascii="华文中宋" w:hAnsi="华文中宋" w:eastAsia="华文中宋" w:cs="宋体"/>
                <w:color w:val="000000" w:themeColor="text1"/>
                <w:kern w:val="0"/>
                <w:sz w:val="32"/>
                <w:szCs w:val="32"/>
                <w14:textFill>
                  <w14:solidFill>
                    <w14:schemeClr w14:val="tx1"/>
                  </w14:solidFill>
                </w14:textFill>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公开09表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部门：</w:t>
            </w:r>
          </w:p>
        </w:tc>
        <w:tc>
          <w:tcPr>
            <w:tcW w:w="3775" w:type="dxa"/>
            <w:gridSpan w:val="3"/>
            <w:tcBorders>
              <w:top w:val="nil"/>
              <w:left w:val="nil"/>
              <w:bottom w:val="nil"/>
              <w:right w:val="nil"/>
            </w:tcBorders>
            <w:shd w:val="clear" w:color="000000" w:fill="FFFFFF"/>
            <w:vAlign w:val="center"/>
          </w:tcPr>
          <w:p>
            <w:pPr>
              <w:widowControl/>
              <w:jc w:val="both"/>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湖南省质量技术评审中心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单位：万元</w:t>
            </w: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项 </w:t>
            </w:r>
            <w:r>
              <w:rPr>
                <w:rFonts w:hint="eastAsia" w:ascii="宋体" w:hAnsi="宋体" w:eastAsia="宋体" w:cs="宋体"/>
                <w:color w:val="000000" w:themeColor="text1"/>
                <w:kern w:val="0"/>
                <w:sz w:val="22"/>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ascii="Times New Roman" w:hAnsi="Times New Roman" w:eastAsia="仿宋_GB2312" w:cs="Times New Roman"/>
                <w:color w:val="000000" w:themeColor="text1"/>
                <w:kern w:val="0"/>
                <w:szCs w:val="21"/>
                <w14:textFill>
                  <w14:solidFill>
                    <w14:schemeClr w14:val="tx1"/>
                  </w14:solidFill>
                </w14:textFill>
              </w:rPr>
              <w:t>无</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注：本表反映部门本年度国有资本经营预算财政拨款支出情况。</w:t>
            </w:r>
          </w:p>
        </w:tc>
      </w:tr>
    </w:tbl>
    <w:p>
      <w:pPr>
        <w:pStyle w:val="12"/>
        <w:rPr>
          <w:color w:val="000000" w:themeColor="text1"/>
          <w:sz w:val="72"/>
          <w:szCs w:val="72"/>
          <w14:textFill>
            <w14:solidFill>
              <w14:schemeClr w14:val="tx1"/>
            </w14:solidFill>
          </w14:textFill>
        </w:rPr>
        <w:sectPr>
          <w:pgSz w:w="16838" w:h="11906" w:orient="landscape"/>
          <w:pgMar w:top="720" w:right="720" w:bottom="720" w:left="720" w:header="851" w:footer="992" w:gutter="0"/>
          <w:cols w:space="425" w:num="1"/>
          <w:docGrid w:type="lines" w:linePitch="312" w:charSpace="0"/>
        </w:sectPr>
      </w:pPr>
    </w:p>
    <w:p>
      <w:pPr>
        <w:pStyle w:val="12"/>
        <w:rPr>
          <w:color w:val="000000" w:themeColor="text1"/>
          <w:sz w:val="72"/>
          <w:szCs w:val="72"/>
          <w14:textFill>
            <w14:solidFill>
              <w14:schemeClr w14:val="tx1"/>
            </w14:solidFill>
          </w14:textFill>
        </w:rPr>
      </w:pPr>
    </w:p>
    <w:p>
      <w:pPr>
        <w:pStyle w:val="12"/>
        <w:rPr>
          <w:color w:val="000000" w:themeColor="text1"/>
          <w:sz w:val="72"/>
          <w:szCs w:val="72"/>
          <w14:textFill>
            <w14:solidFill>
              <w14:schemeClr w14:val="tx1"/>
            </w14:solidFill>
          </w14:textFill>
        </w:rPr>
      </w:pPr>
    </w:p>
    <w:p>
      <w:pPr>
        <w:pStyle w:val="12"/>
        <w:rPr>
          <w:color w:val="000000" w:themeColor="text1"/>
          <w:sz w:val="72"/>
          <w:szCs w:val="72"/>
          <w14:textFill>
            <w14:solidFill>
              <w14:schemeClr w14:val="tx1"/>
            </w14:solidFill>
          </w14:textFill>
        </w:rPr>
      </w:pPr>
    </w:p>
    <w:p>
      <w:pPr>
        <w:pStyle w:val="12"/>
        <w:jc w:val="center"/>
        <w:rPr>
          <w:color w:val="000000" w:themeColor="text1"/>
          <w:sz w:val="72"/>
          <w:szCs w:val="72"/>
          <w14:textFill>
            <w14:solidFill>
              <w14:schemeClr w14:val="tx1"/>
            </w14:solidFill>
          </w14:textFill>
        </w:rPr>
      </w:pPr>
    </w:p>
    <w:p>
      <w:pPr>
        <w:pStyle w:val="12"/>
        <w:jc w:val="center"/>
        <w:rPr>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第三部分</w:t>
      </w: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2021年度部门决算情况说明</w:t>
      </w:r>
    </w:p>
    <w:p>
      <w:pPr>
        <w:widowControl/>
        <w:jc w:val="left"/>
        <w:rPr>
          <w:rFonts w:ascii="黑体" w:eastAsia="黑体" w:cs="黑体"/>
          <w:color w:val="000000" w:themeColor="text1"/>
          <w:kern w:val="0"/>
          <w:sz w:val="70"/>
          <w:szCs w:val="70"/>
          <w14:textFill>
            <w14:solidFill>
              <w14:schemeClr w14:val="tx1"/>
            </w14:solidFill>
          </w14:textFill>
        </w:rPr>
      </w:pPr>
      <w:r>
        <w:rPr>
          <w:color w:val="000000" w:themeColor="text1"/>
          <w:sz w:val="70"/>
          <w:szCs w:val="70"/>
          <w14:textFill>
            <w14:solidFill>
              <w14:schemeClr w14:val="tx1"/>
            </w14:solidFill>
          </w14:textFill>
        </w:rPr>
        <w:br w:type="page"/>
      </w:r>
    </w:p>
    <w:p>
      <w:pPr>
        <w:pStyle w:val="12"/>
        <w:rPr>
          <w:rFonts w:asciiTheme="minorEastAsia" w:hAnsiTheme="minorEastAsia" w:eastAsiaTheme="minorEastAsia"/>
          <w:color w:val="000000" w:themeColor="text1"/>
          <w:sz w:val="32"/>
          <w:szCs w:val="32"/>
          <w14:textFill>
            <w14:solidFill>
              <w14:schemeClr w14:val="tx1"/>
            </w14:solidFill>
          </w14:textFill>
        </w:rPr>
      </w:pP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一、收入支出决算总体情况说明</w:t>
      </w:r>
    </w:p>
    <w:p>
      <w:pPr>
        <w:pStyle w:val="12"/>
        <w:ind w:firstLine="640" w:firstLineChars="20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2021年度收、支总计390.46万元。与上年</w:t>
      </w:r>
      <w:bookmarkStart w:id="3" w:name="_GoBack"/>
      <w:bookmarkEnd w:id="3"/>
      <w:r>
        <w:rPr>
          <w:rFonts w:hint="eastAsia" w:asciiTheme="minorEastAsia" w:hAnsiTheme="minorEastAsia" w:eastAsiaTheme="minorEastAsia"/>
          <w:color w:val="000000" w:themeColor="text1"/>
          <w:sz w:val="32"/>
          <w:szCs w:val="32"/>
          <w14:textFill>
            <w14:solidFill>
              <w14:schemeClr w14:val="tx1"/>
            </w14:solidFill>
          </w14:textFill>
        </w:rPr>
        <w:t>相比，减少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186.36</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47.73</w:t>
      </w:r>
      <w:r>
        <w:rPr>
          <w:rFonts w:hint="eastAsia" w:asciiTheme="minorEastAsia" w:hAnsiTheme="minorEastAsia" w:eastAsiaTheme="minorEastAsia"/>
          <w:color w:val="000000" w:themeColor="text1"/>
          <w:sz w:val="32"/>
          <w:szCs w:val="32"/>
          <w14:textFill>
            <w14:solidFill>
              <w14:schemeClr w14:val="tx1"/>
            </w14:solidFill>
          </w14:textFill>
        </w:rPr>
        <w:t>%，主要是因为本年度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经营收入和其他收入</w:t>
      </w:r>
      <w:r>
        <w:rPr>
          <w:rFonts w:hint="eastAsia" w:asciiTheme="minorEastAsia" w:hAnsiTheme="minorEastAsia" w:eastAsiaTheme="minorEastAsia"/>
          <w:color w:val="000000" w:themeColor="text1"/>
          <w:sz w:val="32"/>
          <w:szCs w:val="32"/>
          <w14:textFill>
            <w14:solidFill>
              <w14:schemeClr w14:val="tx1"/>
            </w14:solidFill>
          </w14:textFill>
        </w:rPr>
        <w:t>减少。</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二、收入决算情况说明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2021年度收入合计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384.91</w:t>
      </w:r>
      <w:r>
        <w:rPr>
          <w:rFonts w:hint="eastAsia" w:asciiTheme="minorEastAsia" w:hAnsiTheme="minorEastAsia" w:eastAsiaTheme="minorEastAsia"/>
          <w:color w:val="000000" w:themeColor="text1"/>
          <w:sz w:val="32"/>
          <w:szCs w:val="32"/>
          <w14:textFill>
            <w14:solidFill>
              <w14:schemeClr w14:val="tx1"/>
            </w14:solidFill>
          </w14:textFill>
        </w:rPr>
        <w:t>万元，其中：财政拨款收入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263.74</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68.52</w:t>
      </w:r>
      <w:r>
        <w:rPr>
          <w:rFonts w:hint="eastAsia" w:asciiTheme="minorEastAsia" w:hAnsiTheme="minorEastAsia" w:eastAsiaTheme="minorEastAsia"/>
          <w:color w:val="000000" w:themeColor="text1"/>
          <w:sz w:val="32"/>
          <w:szCs w:val="32"/>
          <w14:textFill>
            <w14:solidFill>
              <w14:schemeClr w14:val="tx1"/>
            </w14:solidFill>
          </w14:textFill>
        </w:rPr>
        <w:t>%；上级补助收入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；事业收入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；经营收入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121.17</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31.48</w:t>
      </w:r>
      <w:r>
        <w:rPr>
          <w:rFonts w:hint="eastAsia" w:asciiTheme="minorEastAsia" w:hAnsiTheme="minorEastAsia" w:eastAsiaTheme="minorEastAsia"/>
          <w:color w:val="000000" w:themeColor="text1"/>
          <w:sz w:val="32"/>
          <w:szCs w:val="32"/>
          <w14:textFill>
            <w14:solidFill>
              <w14:schemeClr w14:val="tx1"/>
            </w14:solidFill>
          </w14:textFill>
        </w:rPr>
        <w:t>%；附属单位上缴收入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0万</w:t>
      </w:r>
      <w:r>
        <w:rPr>
          <w:rFonts w:hint="eastAsia" w:asciiTheme="minorEastAsia" w:hAnsiTheme="minorEastAsia" w:eastAsiaTheme="minorEastAsia"/>
          <w:color w:val="000000" w:themeColor="text1"/>
          <w:sz w:val="32"/>
          <w:szCs w:val="32"/>
          <w14:textFill>
            <w14:solidFill>
              <w14:schemeClr w14:val="tx1"/>
            </w14:solidFill>
          </w14:textFill>
        </w:rPr>
        <w:t>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；其他收入</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三、支出决算情况说明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2021年度支出合计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372.12</w:t>
      </w:r>
      <w:r>
        <w:rPr>
          <w:rFonts w:hint="eastAsia" w:asciiTheme="minorEastAsia" w:hAnsiTheme="minorEastAsia" w:eastAsiaTheme="minorEastAsia"/>
          <w:color w:val="000000" w:themeColor="text1"/>
          <w:sz w:val="32"/>
          <w:szCs w:val="32"/>
          <w14:textFill>
            <w14:solidFill>
              <w14:schemeClr w14:val="tx1"/>
            </w14:solidFill>
          </w14:textFill>
        </w:rPr>
        <w:t>万元，其中：基本支出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206.03</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55.37</w:t>
      </w:r>
      <w:r>
        <w:rPr>
          <w:rFonts w:hint="eastAsia" w:asciiTheme="minorEastAsia" w:hAnsiTheme="minorEastAsia" w:eastAsiaTheme="minorEastAsia"/>
          <w:color w:val="000000" w:themeColor="text1"/>
          <w:sz w:val="32"/>
          <w:szCs w:val="32"/>
          <w14:textFill>
            <w14:solidFill>
              <w14:schemeClr w14:val="tx1"/>
            </w14:solidFill>
          </w14:textFill>
        </w:rPr>
        <w:t>%；项目支出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44.92</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12.07</w:t>
      </w:r>
      <w:r>
        <w:rPr>
          <w:rFonts w:hint="eastAsia" w:asciiTheme="minorEastAsia" w:hAnsiTheme="minorEastAsia" w:eastAsiaTheme="minorEastAsia"/>
          <w:color w:val="000000" w:themeColor="text1"/>
          <w:sz w:val="32"/>
          <w:szCs w:val="32"/>
          <w14:textFill>
            <w14:solidFill>
              <w14:schemeClr w14:val="tx1"/>
            </w14:solidFill>
          </w14:textFill>
        </w:rPr>
        <w:t>%；上缴上级支出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；经营支出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121.17</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32.56</w:t>
      </w:r>
      <w:r>
        <w:rPr>
          <w:rFonts w:hint="eastAsia" w:asciiTheme="minorEastAsia" w:hAnsiTheme="minorEastAsia" w:eastAsiaTheme="minorEastAsia"/>
          <w:color w:val="000000" w:themeColor="text1"/>
          <w:sz w:val="32"/>
          <w:szCs w:val="32"/>
          <w14:textFill>
            <w14:solidFill>
              <w14:schemeClr w14:val="tx1"/>
            </w14:solidFill>
          </w14:textFill>
        </w:rPr>
        <w:t>%；对附属单位补助支出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四、财政拨款收入支出决算总体情况说明</w:t>
      </w:r>
    </w:p>
    <w:p>
      <w:pPr>
        <w:pStyle w:val="12"/>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2021年度财政拨款收、支总计268.81万元，与上年相比，</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增加29.07</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增长12.13</w:t>
      </w:r>
      <w:r>
        <w:rPr>
          <w:rFonts w:hint="eastAsia" w:asciiTheme="minorEastAsia" w:hAnsiTheme="minorEastAsia" w:eastAsiaTheme="minorEastAsia"/>
          <w:color w:val="000000" w:themeColor="text1"/>
          <w:sz w:val="32"/>
          <w:szCs w:val="32"/>
          <w14:textFill>
            <w14:solidFill>
              <w14:schemeClr w14:val="tx1"/>
            </w14:solidFill>
          </w14:textFill>
        </w:rPr>
        <w:t>%，主要是因为本年度一般公共预算</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财政拨款收入增加</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五、一般公共预算财政拨款支出决算情况说明</w:t>
      </w:r>
    </w:p>
    <w:p>
      <w:pPr>
        <w:pStyle w:val="12"/>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（一）财政拨款支出决算总体情况</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250.95</w:t>
      </w:r>
      <w:r>
        <w:rPr>
          <w:rFonts w:hint="eastAsia" w:asciiTheme="minorEastAsia" w:hAnsiTheme="minorEastAsia" w:eastAsiaTheme="minorEastAsia"/>
          <w:color w:val="000000" w:themeColor="text1"/>
          <w:sz w:val="32"/>
          <w:szCs w:val="32"/>
          <w14:textFill>
            <w14:solidFill>
              <w14:schemeClr w14:val="tx1"/>
            </w14:solidFill>
          </w14:textFill>
        </w:rPr>
        <w:t>万元，占本年支出合计的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67.44</w:t>
      </w:r>
      <w:r>
        <w:rPr>
          <w:rFonts w:hint="eastAsia" w:asciiTheme="minorEastAsia" w:hAnsiTheme="minorEastAsia" w:eastAsiaTheme="minorEastAsia"/>
          <w:color w:val="000000" w:themeColor="text1"/>
          <w:sz w:val="32"/>
          <w:szCs w:val="32"/>
          <w14:textFill>
            <w14:solidFill>
              <w14:schemeClr w14:val="tx1"/>
            </w14:solidFill>
          </w14:textFill>
        </w:rPr>
        <w:t>%，与上年相比，财政拨款支出减少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11.21</w:t>
      </w:r>
      <w:r>
        <w:rPr>
          <w:rFonts w:hint="eastAsia" w:asciiTheme="minorEastAsia" w:hAnsiTheme="minorEastAsia" w:eastAsiaTheme="minorEastAsia"/>
          <w:color w:val="000000" w:themeColor="text1"/>
          <w:sz w:val="32"/>
          <w:szCs w:val="32"/>
          <w14:textFill>
            <w14:solidFill>
              <w14:schemeClr w14:val="tx1"/>
            </w14:solidFill>
          </w14:textFill>
        </w:rPr>
        <w:t>万元，减少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4.68</w:t>
      </w:r>
      <w:r>
        <w:rPr>
          <w:rFonts w:hint="eastAsia" w:asciiTheme="minorEastAsia" w:hAnsiTheme="minorEastAsia" w:eastAsiaTheme="minorEastAsia"/>
          <w:color w:val="000000" w:themeColor="text1"/>
          <w:sz w:val="32"/>
          <w:szCs w:val="32"/>
          <w14:textFill>
            <w14:solidFill>
              <w14:schemeClr w14:val="tx1"/>
            </w14:solidFill>
          </w14:textFill>
        </w:rPr>
        <w:t>%，主要是因为本年度一般公共预算收入减少。</w:t>
      </w:r>
    </w:p>
    <w:p>
      <w:pPr>
        <w:pStyle w:val="12"/>
        <w:ind w:firstLine="480" w:firstLineChars="15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（二）财政拨款支出决算结构情况</w:t>
      </w:r>
    </w:p>
    <w:p>
      <w:pPr>
        <w:pStyle w:val="12"/>
        <w:ind w:firstLine="640" w:firstLineChars="200"/>
        <w:rPr>
          <w:rFonts w:hint="default"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250.95</w:t>
      </w:r>
      <w:r>
        <w:rPr>
          <w:rFonts w:hint="eastAsia" w:asciiTheme="minorEastAsia" w:hAnsiTheme="minorEastAsia" w:eastAsiaTheme="minorEastAsia"/>
          <w:color w:val="000000" w:themeColor="text1"/>
          <w:sz w:val="32"/>
          <w:szCs w:val="32"/>
          <w14:textFill>
            <w14:solidFill>
              <w14:schemeClr w14:val="tx1"/>
            </w14:solidFill>
          </w14:textFill>
        </w:rPr>
        <w:t>万元，主要用于以下方面：一般公共服务（类）支出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193.99</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77.30</w:t>
      </w:r>
      <w:r>
        <w:rPr>
          <w:rFonts w:hint="eastAsia" w:asciiTheme="minorEastAsia" w:hAnsiTheme="minorEastAsia" w:eastAsiaTheme="minorEastAsia"/>
          <w:color w:val="000000" w:themeColor="text1"/>
          <w:sz w:val="32"/>
          <w:szCs w:val="32"/>
          <w14:textFill>
            <w14:solidFill>
              <w14:schemeClr w14:val="tx1"/>
            </w14:solidFill>
          </w14:textFill>
        </w:rPr>
        <w:t>%；社会保障和就业支出（类）支出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23.83</w:t>
      </w:r>
      <w:r>
        <w:rPr>
          <w:rFonts w:hint="eastAsia" w:asciiTheme="minorEastAsia" w:hAnsiTheme="minorEastAsia" w:eastAsiaTheme="minorEastAsia"/>
          <w:color w:val="000000" w:themeColor="text1"/>
          <w:sz w:val="32"/>
          <w:szCs w:val="32"/>
          <w14:textFill>
            <w14:solidFill>
              <w14:schemeClr w14:val="tx1"/>
            </w14:solidFill>
          </w14:textFill>
        </w:rPr>
        <w:t>万元，占</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9.50</w:t>
      </w:r>
      <w:r>
        <w:rPr>
          <w:rFonts w:hint="eastAsia" w:asciiTheme="minorEastAsia" w:hAnsiTheme="minorEastAsia" w:eastAsiaTheme="minorEastAsia"/>
          <w:color w:val="000000" w:themeColor="text1"/>
          <w:sz w:val="32"/>
          <w:szCs w:val="32"/>
          <w14:textFill>
            <w14:solidFill>
              <w14:schemeClr w14:val="tx1"/>
            </w14:solidFill>
          </w14:textFill>
        </w:rPr>
        <w:t>%;卫生健康支出</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类</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13万元，占5.18%；住房保障支出（类）20.14万元，占8.02%。</w:t>
      </w:r>
    </w:p>
    <w:p>
      <w:pPr>
        <w:pStyle w:val="12"/>
        <w:ind w:firstLine="800" w:firstLineChars="25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（三）财政拨款支出决算具体情况</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2021年度财政拨款支出年初预算数为228.84万元，支出决算数为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250.95</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109.66</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12"/>
        <w:ind w:firstLine="800" w:firstLineChars="250"/>
        <w:rPr>
          <w:rFonts w:asciiTheme="minorEastAsia" w:hAnsiTheme="minorEastAsia" w:eastAsiaTheme="minorEastAsia"/>
          <w:color w:val="000000" w:themeColor="text1"/>
          <w:sz w:val="32"/>
          <w:szCs w:val="32"/>
          <w:highlight w:val="none"/>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1、一般公共服务支出（类）市场监督管理事务（款</w:t>
      </w:r>
      <w:r>
        <w:rPr>
          <w:rFonts w:hint="eastAsia" w:asciiTheme="minorEastAsia" w:hAnsiTheme="minorEastAsia" w:eastAsiaTheme="minorEastAsia"/>
          <w:color w:val="000000" w:themeColor="text1"/>
          <w:sz w:val="32"/>
          <w:szCs w:val="32"/>
          <w:highlight w:val="none"/>
          <w:lang w:eastAsia="zh-CN"/>
          <w14:textFill>
            <w14:solidFill>
              <w14:schemeClr w14:val="tx1"/>
            </w14:solidFill>
          </w14:textFill>
        </w:rPr>
        <w:t>）</w:t>
      </w:r>
      <w:r>
        <w:rPr>
          <w:rFonts w:hint="eastAsia" w:asciiTheme="minorEastAsia" w:hAnsiTheme="minorEastAsia" w:eastAsiaTheme="minorEastAsia"/>
          <w:color w:val="000000" w:themeColor="text1"/>
          <w:sz w:val="32"/>
          <w:szCs w:val="32"/>
          <w:highlight w:val="none"/>
          <w14:textFill>
            <w14:solidFill>
              <w14:schemeClr w14:val="tx1"/>
            </w14:solidFill>
          </w14:textFill>
        </w:rPr>
        <w:t>事业运行（项）。</w:t>
      </w:r>
    </w:p>
    <w:p>
      <w:pPr>
        <w:pStyle w:val="12"/>
        <w:ind w:firstLine="800" w:firstLineChars="250"/>
        <w:rPr>
          <w:rFonts w:hint="default"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年初预算为162.01万元，支出决算为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188.99</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116.65</w:t>
      </w:r>
      <w:r>
        <w:rPr>
          <w:rFonts w:hint="eastAsia" w:asciiTheme="minorEastAsia" w:hAnsiTheme="minorEastAsia" w:eastAsiaTheme="minorEastAsia"/>
          <w:color w:val="000000" w:themeColor="text1"/>
          <w:sz w:val="32"/>
          <w:szCs w:val="32"/>
          <w:highlight w:val="none"/>
          <w14:textFill>
            <w14:solidFill>
              <w14:schemeClr w14:val="tx1"/>
            </w14:solidFill>
          </w14:textFill>
        </w:rPr>
        <w:t>%，决算数大于年初预算数的主要原因是</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年中追加项目预算。</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2、一般公共服务支出（类）市场监督管理事务（款）其他市场监督管理事务（项）。</w:t>
      </w:r>
    </w:p>
    <w:p>
      <w:pPr>
        <w:pStyle w:val="12"/>
        <w:ind w:firstLine="800" w:firstLineChars="250"/>
        <w:rPr>
          <w:rFonts w:hint="eastAsia" w:asciiTheme="minorEastAsia" w:hAnsiTheme="minorEastAsia" w:eastAsiaTheme="minorEastAsia"/>
          <w:color w:val="000000" w:themeColor="text1"/>
          <w:sz w:val="32"/>
          <w:szCs w:val="32"/>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年初预算为5万元，支出决算为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5</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决算数与年初预算数持平</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3</w:t>
      </w:r>
      <w:r>
        <w:rPr>
          <w:rFonts w:hint="eastAsia" w:asciiTheme="minorEastAsia" w:hAnsiTheme="minorEastAsia" w:eastAsiaTheme="minorEastAsia"/>
          <w:color w:val="000000" w:themeColor="text1"/>
          <w:sz w:val="32"/>
          <w:szCs w:val="32"/>
          <w14:textFill>
            <w14:solidFill>
              <w14:schemeClr w14:val="tx1"/>
            </w14:solidFill>
          </w14:textFill>
        </w:rPr>
        <w:t>、社会保障和就业支出（类）行政事业单位养老支出（款）机关事业单位基本养老保险缴费支出（项）。</w:t>
      </w:r>
    </w:p>
    <w:p>
      <w:pPr>
        <w:pStyle w:val="12"/>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年初预算为23.83万元，支出决算为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23.83</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决算数与年初预算数持平</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4</w:t>
      </w:r>
      <w:r>
        <w:rPr>
          <w:rFonts w:hint="eastAsia" w:asciiTheme="minorEastAsia" w:hAnsiTheme="minorEastAsia" w:eastAsiaTheme="minorEastAsia"/>
          <w:color w:val="000000" w:themeColor="text1"/>
          <w:sz w:val="32"/>
          <w:szCs w:val="32"/>
          <w14:textFill>
            <w14:solidFill>
              <w14:schemeClr w14:val="tx1"/>
            </w14:solidFill>
          </w14:textFill>
        </w:rPr>
        <w:t>、卫生健康支出（类）行政事业单位医疗（款）事业单位医疗（项）。</w:t>
      </w:r>
    </w:p>
    <w:p>
      <w:pPr>
        <w:pStyle w:val="12"/>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年初预算为13万元，支出决算为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13</w:t>
      </w:r>
      <w:r>
        <w:rPr>
          <w:rFonts w:hint="eastAsia" w:asciiTheme="minorEastAsia" w:hAnsiTheme="minorEastAsia" w:eastAsiaTheme="minorEastAsia"/>
          <w:color w:val="000000" w:themeColor="text1"/>
          <w:sz w:val="32"/>
          <w:szCs w:val="32"/>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100</w:t>
      </w:r>
      <w:r>
        <w:rPr>
          <w:rFonts w:hint="eastAsia" w:asciiTheme="minorEastAsia" w:hAnsiTheme="minorEastAsia" w:eastAsiaTheme="minorEastAsia"/>
          <w:color w:val="000000" w:themeColor="text1"/>
          <w:sz w:val="32"/>
          <w:szCs w:val="32"/>
          <w14:textFill>
            <w14:solidFill>
              <w14:schemeClr w14:val="tx1"/>
            </w14:solidFill>
          </w14:textFill>
        </w:rPr>
        <w:t>%</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决算数与年初预算数持平</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lang w:val="en-US" w:eastAsia="zh-CN"/>
          <w14:textFill>
            <w14:solidFill>
              <w14:schemeClr w14:val="tx1"/>
            </w14:solidFill>
          </w14:textFill>
        </w:rPr>
        <w:t>5</w:t>
      </w:r>
      <w:r>
        <w:rPr>
          <w:rFonts w:hint="eastAsia" w:asciiTheme="minorEastAsia" w:hAnsiTheme="minorEastAsia" w:eastAsiaTheme="minorEastAsia"/>
          <w:color w:val="000000" w:themeColor="text1"/>
          <w:sz w:val="32"/>
          <w:szCs w:val="32"/>
          <w14:textFill>
            <w14:solidFill>
              <w14:schemeClr w14:val="tx1"/>
            </w14:solidFill>
          </w14:textFill>
        </w:rPr>
        <w:t>、住房保障支出（类）住房改革支出（款）住房公积金（项）。</w:t>
      </w:r>
    </w:p>
    <w:p>
      <w:pPr>
        <w:pStyle w:val="12"/>
        <w:ind w:firstLine="800" w:firstLineChars="250"/>
        <w:rPr>
          <w:rFonts w:hint="default" w:asciiTheme="minorEastAsia" w:hAnsiTheme="minorEastAsia" w:eastAsiaTheme="minorEastAsia"/>
          <w:color w:val="000000" w:themeColor="text1"/>
          <w:sz w:val="32"/>
          <w:szCs w:val="32"/>
          <w:highlight w:val="yellow"/>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14:textFill>
            <w14:solidFill>
              <w14:schemeClr w14:val="tx1"/>
            </w14:solidFill>
          </w14:textFill>
        </w:rPr>
        <w:t>年初预算为25万元，支出决算为</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20.14</w:t>
      </w:r>
      <w:r>
        <w:rPr>
          <w:rFonts w:hint="eastAsia" w:asciiTheme="minorEastAsia" w:hAnsiTheme="minorEastAsia" w:eastAsiaTheme="minorEastAsia"/>
          <w:color w:val="000000" w:themeColor="text1"/>
          <w:sz w:val="32"/>
          <w:szCs w:val="32"/>
          <w:highlight w:val="none"/>
          <w14:textFill>
            <w14:solidFill>
              <w14:schemeClr w14:val="tx1"/>
            </w14:solidFill>
          </w14:textFill>
        </w:rPr>
        <w:t>万元，完成年初预算的</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80.56</w:t>
      </w:r>
      <w:r>
        <w:rPr>
          <w:rFonts w:hint="eastAsia" w:asciiTheme="minorEastAsia" w:hAnsiTheme="minorEastAsia" w:eastAsiaTheme="minorEastAsia"/>
          <w:color w:val="000000" w:themeColor="text1"/>
          <w:sz w:val="32"/>
          <w:szCs w:val="32"/>
          <w:highlight w:val="none"/>
          <w14:textFill>
            <w14:solidFill>
              <w14:schemeClr w14:val="tx1"/>
            </w14:solidFill>
          </w14:textFill>
        </w:rPr>
        <w:t>%，决算数小于年初预算数的主要原因是</w:t>
      </w: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本单位机构改革，人员调整。</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六、一般公共预算财政拨款基本支出决算情况说明</w:t>
      </w:r>
    </w:p>
    <w:p>
      <w:pPr>
        <w:pStyle w:val="12"/>
        <w:ind w:firstLine="640" w:firstLineChars="200"/>
        <w:rPr>
          <w:rFonts w:asciiTheme="minorEastAsia" w:hAnsiTheme="minorEastAsia" w:eastAsiaTheme="minorEastAsia"/>
          <w:i/>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2021年度财政拨款基本支出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206.03</w:t>
      </w:r>
      <w:r>
        <w:rPr>
          <w:rFonts w:hint="eastAsia" w:asciiTheme="minorEastAsia" w:hAnsiTheme="minorEastAsia" w:eastAsiaTheme="minorEastAsia"/>
          <w:color w:val="000000" w:themeColor="text1"/>
          <w:sz w:val="32"/>
          <w:szCs w:val="32"/>
          <w14:textFill>
            <w14:solidFill>
              <w14:schemeClr w14:val="tx1"/>
            </w14:solidFill>
          </w14:textFill>
        </w:rPr>
        <w:t>万元，其中：人员经费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191.20</w:t>
      </w:r>
      <w:r>
        <w:rPr>
          <w:rFonts w:hint="eastAsia" w:asciiTheme="minorEastAsia" w:hAnsiTheme="minorEastAsia" w:eastAsiaTheme="minorEastAsia"/>
          <w:color w:val="000000" w:themeColor="text1"/>
          <w:sz w:val="32"/>
          <w:szCs w:val="32"/>
          <w14:textFill>
            <w14:solidFill>
              <w14:schemeClr w14:val="tx1"/>
            </w14:solidFill>
          </w14:textFill>
        </w:rPr>
        <w:t>万元，占基本支出的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92.80</w:t>
      </w:r>
      <w:r>
        <w:rPr>
          <w:rFonts w:hint="eastAsia" w:asciiTheme="minorEastAsia" w:hAnsiTheme="minorEastAsia" w:eastAsiaTheme="minorEastAsia"/>
          <w:color w:val="000000" w:themeColor="text1"/>
          <w:sz w:val="32"/>
          <w:szCs w:val="32"/>
          <w14:textFill>
            <w14:solidFill>
              <w14:schemeClr w14:val="tx1"/>
            </w14:solidFill>
          </w14:textFill>
        </w:rPr>
        <w:t>%,主要包括基本工资、津贴补贴、绩效工资</w:t>
      </w:r>
      <w:r>
        <w:rPr>
          <w:rFonts w:hint="eastAsia" w:asciiTheme="minorEastAsia" w:hAnsiTheme="minorEastAsia" w:eastAsiaTheme="minorEastAsia"/>
          <w:color w:val="000000" w:themeColor="text1"/>
          <w:sz w:val="32"/>
          <w:szCs w:val="32"/>
          <w:lang w:eastAsia="zh-CN"/>
          <w14:textFill>
            <w14:solidFill>
              <w14:schemeClr w14:val="tx1"/>
            </w14:solidFill>
          </w14:textFill>
        </w:rPr>
        <w:t>、机关事业单位基本养老保险缴费、职业年金缴费、职工基本医疗保险缴费、其他社会保障缴费、住房公积金</w:t>
      </w:r>
      <w:r>
        <w:rPr>
          <w:rFonts w:hint="eastAsia" w:asciiTheme="minorEastAsia" w:hAnsiTheme="minorEastAsia" w:eastAsiaTheme="minorEastAsia"/>
          <w:color w:val="000000" w:themeColor="text1"/>
          <w:sz w:val="32"/>
          <w:szCs w:val="32"/>
          <w14:textFill>
            <w14:solidFill>
              <w14:schemeClr w14:val="tx1"/>
            </w14:solidFill>
          </w14:textFill>
        </w:rPr>
        <w:t>；公用经费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14.83</w:t>
      </w:r>
      <w:r>
        <w:rPr>
          <w:rFonts w:hint="eastAsia" w:asciiTheme="minorEastAsia" w:hAnsiTheme="minorEastAsia" w:eastAsiaTheme="minorEastAsia"/>
          <w:color w:val="000000" w:themeColor="text1"/>
          <w:sz w:val="32"/>
          <w:szCs w:val="32"/>
          <w14:textFill>
            <w14:solidFill>
              <w14:schemeClr w14:val="tx1"/>
            </w14:solidFill>
          </w14:textFill>
        </w:rPr>
        <w:t>万元，占基本支出的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7.20</w:t>
      </w:r>
      <w:r>
        <w:rPr>
          <w:rFonts w:hint="eastAsia" w:asciiTheme="minorEastAsia" w:hAnsiTheme="minorEastAsia" w:eastAsiaTheme="minorEastAsia"/>
          <w:color w:val="000000" w:themeColor="text1"/>
          <w:sz w:val="32"/>
          <w:szCs w:val="32"/>
          <w14:textFill>
            <w14:solidFill>
              <w14:schemeClr w14:val="tx1"/>
            </w14:solidFill>
          </w14:textFill>
        </w:rPr>
        <w:t>%，主要包括办公费、印刷费、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水费、电费、物业管理费、工会经费、福利费、其他交通费、办公设备购置</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七、一般公共预算财政拨款“三公”经费支出决算情况说明</w:t>
      </w:r>
    </w:p>
    <w:p>
      <w:pPr>
        <w:pStyle w:val="12"/>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（一）“三公”经费财政拨款支出决算总体情况说明</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因公出国（境）费支出预算为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p>
    <w:p>
      <w:pPr>
        <w:pStyle w:val="12"/>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公务接待费支出预算为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p>
    <w:p>
      <w:pPr>
        <w:pStyle w:val="12"/>
        <w:ind w:firstLine="800" w:firstLineChars="25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公务用车购置费支出预算为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p>
    <w:p>
      <w:pPr>
        <w:pStyle w:val="12"/>
        <w:ind w:firstLine="800" w:firstLineChars="25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公务用车运行维护费支出预算为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（由于预算数为0，无法计算百分比）</w:t>
      </w:r>
    </w:p>
    <w:p>
      <w:pPr>
        <w:pStyle w:val="12"/>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b/>
          <w:color w:val="000000" w:themeColor="text1"/>
          <w:sz w:val="32"/>
          <w:szCs w:val="32"/>
          <w14:textFill>
            <w14:solidFill>
              <w14:schemeClr w14:val="tx1"/>
            </w14:solidFill>
          </w14:textFill>
        </w:rPr>
        <w:t>（二）“三公”经费财政拨款支出决算具体情况说明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2021年度“三公”经费财政拨款支出决算中，公务接待费支出决算</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w:t>
      </w:r>
      <w:r>
        <w:rPr>
          <w:rFonts w:hint="eastAsia" w:asciiTheme="minorEastAsia" w:hAnsiTheme="minorEastAsia" w:eastAsiaTheme="minorEastAsia"/>
          <w:color w:val="000000" w:themeColor="text1"/>
          <w:sz w:val="32"/>
          <w:szCs w:val="32"/>
          <w14:textFill>
            <w14:solidFill>
              <w14:schemeClr w14:val="tx1"/>
            </w14:solidFill>
          </w14:textFill>
        </w:rPr>
        <w:t>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因公出国（境）费支出决算</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公务用车购置费及运行维护费支出决算</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（由于决算数为0，无法计算百分比）。</w:t>
      </w:r>
      <w:r>
        <w:rPr>
          <w:rFonts w:hint="eastAsia" w:asciiTheme="minorEastAsia" w:hAnsiTheme="minorEastAsia" w:eastAsiaTheme="minorEastAsia"/>
          <w:color w:val="000000" w:themeColor="text1"/>
          <w:sz w:val="32"/>
          <w:szCs w:val="32"/>
          <w14:textFill>
            <w14:solidFill>
              <w14:schemeClr w14:val="tx1"/>
            </w14:solidFill>
          </w14:textFill>
        </w:rPr>
        <w:t>其中：</w:t>
      </w:r>
    </w:p>
    <w:p>
      <w:pPr>
        <w:pStyle w:val="12"/>
        <w:ind w:firstLine="640" w:firstLineChars="200"/>
        <w:rPr>
          <w:rFonts w:asciiTheme="minorEastAsia" w:hAnsiTheme="minorEastAsia" w:eastAsiaTheme="minorEastAsia"/>
          <w:b/>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1、因公出国（境）费支出决算为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万元，全年安排因公出国（境）团组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个，累计</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人次,开支内容包括：</w:t>
      </w:r>
    </w:p>
    <w:p>
      <w:pPr>
        <w:pStyle w:val="12"/>
        <w:ind w:firstLine="800" w:firstLineChars="25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2、公务接待费支出决算为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万元，全年共接待来访团组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个、来宾</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人次。</w:t>
      </w:r>
    </w:p>
    <w:p>
      <w:pPr>
        <w:ind w:firstLine="800" w:firstLineChars="250"/>
        <w:rPr>
          <w:rFonts w:cs="黑体" w:asciiTheme="minorEastAsia" w:hAnsiTheme="minorEastAsia"/>
          <w:color w:val="000000" w:themeColor="text1"/>
          <w:kern w:val="0"/>
          <w:sz w:val="32"/>
          <w:szCs w:val="32"/>
          <w14:textFill>
            <w14:solidFill>
              <w14:schemeClr w14:val="tx1"/>
            </w14:solidFill>
          </w14:textFill>
        </w:rPr>
      </w:pPr>
      <w:r>
        <w:rPr>
          <w:rFonts w:hint="eastAsia" w:asciiTheme="minorEastAsia" w:hAnsiTheme="minorEastAsia"/>
          <w:color w:val="000000" w:themeColor="text1"/>
          <w:sz w:val="32"/>
          <w:szCs w:val="32"/>
          <w14:textFill>
            <w14:solidFill>
              <w14:schemeClr w14:val="tx1"/>
            </w14:solidFill>
          </w14:textFill>
        </w:rPr>
        <w:t>3、公务用车购置费及运行维护费支出决算为</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万元，其中：公务用车购置费</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万元，更新公务用车</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color w:val="000000" w:themeColor="text1"/>
          <w:sz w:val="32"/>
          <w:szCs w:val="32"/>
          <w14:textFill>
            <w14:solidFill>
              <w14:schemeClr w14:val="tx1"/>
            </w14:solidFill>
          </w14:textFill>
        </w:rPr>
        <w:t>公务用车运行维护费</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万元，截止2021年12月31日，我单位开支财政拨款的公务用车保有量为</w:t>
      </w:r>
      <w:r>
        <w:rPr>
          <w:rFonts w:hint="eastAsia" w:asciiTheme="minorEastAsia" w:hAnsiTheme="minorEastAsia"/>
          <w:color w:val="000000" w:themeColor="text1"/>
          <w:sz w:val="32"/>
          <w:szCs w:val="32"/>
          <w:lang w:val="en-US" w:eastAsia="zh-CN"/>
          <w14:textFill>
            <w14:solidFill>
              <w14:schemeClr w14:val="tx1"/>
            </w14:solidFill>
          </w14:textFill>
        </w:rPr>
        <w:t>0</w:t>
      </w:r>
      <w:r>
        <w:rPr>
          <w:rFonts w:hint="eastAsia" w:asciiTheme="minorEastAsia" w:hAnsiTheme="minorEastAsia"/>
          <w:color w:val="000000" w:themeColor="text1"/>
          <w:sz w:val="32"/>
          <w:szCs w:val="32"/>
          <w14:textFill>
            <w14:solidFill>
              <w14:schemeClr w14:val="tx1"/>
            </w14:solidFill>
          </w14:textFill>
        </w:rPr>
        <w:t>辆。</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八、政府性基金预算收入支出决算情况</w:t>
      </w:r>
    </w:p>
    <w:p>
      <w:pPr>
        <w:pStyle w:val="12"/>
        <w:ind w:firstLine="640" w:firstLineChars="200"/>
        <w:rPr>
          <w:rFonts w:hint="eastAsia"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stheme="minorBidi"/>
          <w:color w:val="000000" w:themeColor="text1"/>
          <w:kern w:val="2"/>
          <w:sz w:val="32"/>
          <w:szCs w:val="32"/>
          <w14:textFill>
            <w14:solidFill>
              <w14:schemeClr w14:val="tx1"/>
            </w14:solidFill>
          </w14:textFill>
        </w:rPr>
        <w:t xml:space="preserve"> </w:t>
      </w:r>
      <w:r>
        <w:rPr>
          <w:rFonts w:hint="eastAsia" w:asciiTheme="minorEastAsia" w:hAnsiTheme="minorEastAsia" w:eastAsiaTheme="minorEastAsia"/>
          <w:color w:val="000000" w:themeColor="text1"/>
          <w:sz w:val="32"/>
          <w:szCs w:val="32"/>
          <w14:textFill>
            <w14:solidFill>
              <w14:schemeClr w14:val="tx1"/>
            </w14:solidFill>
          </w14:textFill>
        </w:rPr>
        <w:t>湖南省质量技术评审中心</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2021年</w:t>
      </w:r>
      <w:r>
        <w:rPr>
          <w:rFonts w:hint="eastAsia" w:asciiTheme="minorEastAsia" w:hAnsiTheme="minorEastAsia" w:eastAsiaTheme="minorEastAsia"/>
          <w:color w:val="000000" w:themeColor="text1"/>
          <w:sz w:val="32"/>
          <w:szCs w:val="32"/>
          <w14:textFill>
            <w14:solidFill>
              <w14:schemeClr w14:val="tx1"/>
            </w14:solidFill>
          </w14:textFill>
        </w:rPr>
        <w:t>没有政府性基金收入，也没有使用政府性基金安排的支出。</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九、机关运行经费支出说明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湖南省质量技术评审中心2021年度机关运行经费支出14.83万元，比上年决算数减少</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45.54</w:t>
      </w:r>
      <w:r>
        <w:rPr>
          <w:rFonts w:hint="eastAsia" w:asciiTheme="minorEastAsia" w:hAnsiTheme="minorEastAsia" w:eastAsiaTheme="minorEastAsia"/>
          <w:color w:val="000000" w:themeColor="text1"/>
          <w:sz w:val="32"/>
          <w:szCs w:val="32"/>
          <w14:textFill>
            <w14:solidFill>
              <w14:schemeClr w14:val="tx1"/>
            </w14:solidFill>
          </w14:textFill>
        </w:rPr>
        <w:t>万元，降低</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75.43</w:t>
      </w:r>
      <w:r>
        <w:rPr>
          <w:rFonts w:hint="eastAsia" w:asciiTheme="minorEastAsia" w:hAnsiTheme="minorEastAsia" w:eastAsiaTheme="minorEastAsia"/>
          <w:color w:val="000000" w:themeColor="text1"/>
          <w:sz w:val="32"/>
          <w:szCs w:val="32"/>
          <w14:textFill>
            <w14:solidFill>
              <w14:schemeClr w14:val="tx1"/>
            </w14:solidFill>
          </w14:textFill>
        </w:rPr>
        <w:t>%。主要原因是</w:t>
      </w:r>
      <w:r>
        <w:rPr>
          <w:rFonts w:hint="eastAsia" w:asciiTheme="minorEastAsia" w:hAnsiTheme="minorEastAsia" w:eastAsiaTheme="minorEastAsia" w:cstheme="minorBidi"/>
          <w:color w:val="000000" w:themeColor="text1"/>
          <w:kern w:val="2"/>
          <w:sz w:val="32"/>
          <w:szCs w:val="32"/>
          <w14:textFill>
            <w14:solidFill>
              <w14:schemeClr w14:val="tx1"/>
            </w14:solidFill>
          </w14:textFill>
        </w:rPr>
        <w:t>本单位节约开支</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十、一般性支出情况说明</w:t>
      </w:r>
    </w:p>
    <w:p>
      <w:pPr>
        <w:pStyle w:val="12"/>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2021年本部门开支会议费</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万元，开支</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培训费0</w:t>
      </w:r>
      <w:r>
        <w:rPr>
          <w:rFonts w:hint="eastAsia" w:asciiTheme="minorEastAsia" w:hAnsiTheme="minorEastAsia" w:eastAsiaTheme="minorEastAsia"/>
          <w:color w:val="000000" w:themeColor="text1"/>
          <w:sz w:val="32"/>
          <w:szCs w:val="32"/>
          <w14:textFill>
            <w14:solidFill>
              <w14:schemeClr w14:val="tx1"/>
            </w14:solidFill>
          </w14:textFill>
        </w:rPr>
        <w:t>万元</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十一、政府采购支出说明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本部门2021年度政府采购支出总额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万元，其中：政府采购货物支出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 xml:space="preserve"> 万元、政府采购工程支出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万元、政府采购服务支出</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万元。授予中小企业合同金额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万元，占政府采购支出总额的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%，其中：授予小微企业合同金额</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万元，占授予中小企业合同金额的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%；货物采购授予中小企业合同金额占货物支出金额的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%，工程采购授予中小企业合同金额占工程支出金额的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%，服务采购授予中小企业合同金额占服务支出金额的</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十二、国有资产占用情况说明</w:t>
      </w:r>
    </w:p>
    <w:p>
      <w:pPr>
        <w:pStyle w:val="12"/>
        <w:ind w:firstLine="640" w:firstLineChars="200"/>
        <w:rPr>
          <w:rFonts w:asciiTheme="minorEastAsia" w:hAnsiTheme="minorEastAsia" w:eastAsiaTheme="minorEastAsia"/>
          <w:color w:val="000000" w:themeColor="text1"/>
          <w:sz w:val="32"/>
          <w:szCs w:val="32"/>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截至2021年12月31日，部门（单位）共有车辆</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辆，其中，主要领导干部用车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辆，机要通信用车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辆、应急保障用车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辆、执法执勤用车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辆、特种专业技术用车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辆、其他用车</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辆</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r>
        <w:rPr>
          <w:rFonts w:hint="eastAsia" w:asciiTheme="minorEastAsia" w:hAnsiTheme="minorEastAsia" w:eastAsiaTheme="minorEastAsia"/>
          <w:color w:val="000000" w:themeColor="text1"/>
          <w:sz w:val="32"/>
          <w:szCs w:val="32"/>
          <w14:textFill>
            <w14:solidFill>
              <w14:schemeClr w14:val="tx1"/>
            </w14:solidFill>
          </w14:textFill>
        </w:rPr>
        <w:t>单位价值50万元以上通用设备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台（套）；单位价值100万元以上专用设备</w:t>
      </w:r>
      <w:r>
        <w:rPr>
          <w:rFonts w:hint="eastAsia" w:asciiTheme="minorEastAsia" w:hAnsiTheme="minorEastAsia" w:eastAsiaTheme="minorEastAsia"/>
          <w:color w:val="000000" w:themeColor="text1"/>
          <w:sz w:val="32"/>
          <w:szCs w:val="32"/>
          <w:lang w:val="en-US" w:eastAsia="zh-CN"/>
          <w14:textFill>
            <w14:solidFill>
              <w14:schemeClr w14:val="tx1"/>
            </w14:solidFill>
          </w14:textFill>
        </w:rPr>
        <w:t>0</w:t>
      </w:r>
      <w:r>
        <w:rPr>
          <w:rFonts w:hint="eastAsia" w:asciiTheme="minorEastAsia" w:hAnsiTheme="minorEastAsia" w:eastAsiaTheme="minorEastAsia"/>
          <w:color w:val="000000" w:themeColor="text1"/>
          <w:sz w:val="32"/>
          <w:szCs w:val="32"/>
          <w14:textFill>
            <w14:solidFill>
              <w14:schemeClr w14:val="tx1"/>
            </w14:solidFill>
          </w14:textFill>
        </w:rPr>
        <w:t>台（套）。</w:t>
      </w:r>
    </w:p>
    <w:p>
      <w:pPr>
        <w:pStyle w:val="12"/>
        <w:rPr>
          <w:rFonts w:hAnsi="黑体"/>
          <w:b/>
          <w:color w:val="000000" w:themeColor="text1"/>
          <w:sz w:val="32"/>
          <w:szCs w:val="32"/>
          <w14:textFill>
            <w14:solidFill>
              <w14:schemeClr w14:val="tx1"/>
            </w14:solidFill>
          </w14:textFill>
        </w:rPr>
      </w:pPr>
      <w:r>
        <w:rPr>
          <w:rFonts w:hint="eastAsia" w:hAnsi="黑体"/>
          <w:b/>
          <w:color w:val="000000" w:themeColor="text1"/>
          <w:sz w:val="32"/>
          <w:szCs w:val="32"/>
          <w14:textFill>
            <w14:solidFill>
              <w14:schemeClr w14:val="tx1"/>
            </w14:solidFill>
          </w14:textFill>
        </w:rPr>
        <w:t>十三、2021年度预算绩效情况说明</w:t>
      </w:r>
    </w:p>
    <w:p>
      <w:pPr>
        <w:pStyle w:val="12"/>
        <w:tabs>
          <w:tab w:val="left" w:pos="5880"/>
        </w:tabs>
        <w:ind w:firstLine="640" w:firstLineChars="200"/>
        <w:rPr>
          <w:rFonts w:hint="eastAsia" w:asciiTheme="minorEastAsia" w:hAnsiTheme="minorEastAsia" w:eastAsiaTheme="minorEastAsia"/>
          <w:color w:val="000000" w:themeColor="text1"/>
          <w:sz w:val="32"/>
          <w:szCs w:val="32"/>
          <w:lang w:eastAsia="zh-CN"/>
          <w14:textFill>
            <w14:solidFill>
              <w14:schemeClr w14:val="tx1"/>
            </w14:solidFill>
          </w14:textFill>
        </w:rPr>
      </w:pPr>
      <w:r>
        <w:rPr>
          <w:rFonts w:hint="eastAsia" w:asciiTheme="minorEastAsia" w:hAnsiTheme="minorEastAsia" w:eastAsiaTheme="minorEastAsia"/>
          <w:color w:val="000000" w:themeColor="text1"/>
          <w:sz w:val="32"/>
          <w:szCs w:val="32"/>
          <w14:textFill>
            <w14:solidFill>
              <w14:schemeClr w14:val="tx1"/>
            </w14:solidFill>
          </w14:textFill>
        </w:rPr>
        <w:t>本部门预算绩效管理开展情况、绩效目标和绩效评价报告等，详见附件《2021年度湖南省质量技术评审中心整体支出绩效自评报告》</w:t>
      </w:r>
      <w:r>
        <w:rPr>
          <w:rFonts w:hint="eastAsia" w:asciiTheme="minorEastAsia" w:hAnsiTheme="minorEastAsia" w:eastAsiaTheme="minorEastAsia"/>
          <w:color w:val="000000" w:themeColor="text1"/>
          <w:sz w:val="32"/>
          <w:szCs w:val="32"/>
          <w:lang w:eastAsia="zh-CN"/>
          <w14:textFill>
            <w14:solidFill>
              <w14:schemeClr w14:val="tx1"/>
            </w14:solidFill>
          </w14:textFill>
        </w:rPr>
        <w:t>；</w:t>
      </w:r>
    </w:p>
    <w:p>
      <w:pPr>
        <w:pStyle w:val="12"/>
        <w:jc w:val="center"/>
        <w:rPr>
          <w:color w:val="000000" w:themeColor="text1"/>
          <w:sz w:val="72"/>
          <w:szCs w:val="72"/>
          <w14:textFill>
            <w14:solidFill>
              <w14:schemeClr w14:val="tx1"/>
            </w14:solidFill>
          </w14:textFill>
        </w:rPr>
      </w:pPr>
    </w:p>
    <w:p>
      <w:pPr>
        <w:pStyle w:val="12"/>
        <w:jc w:val="both"/>
        <w:rPr>
          <w:color w:val="000000" w:themeColor="text1"/>
          <w:sz w:val="72"/>
          <w:szCs w:val="72"/>
          <w14:textFill>
            <w14:solidFill>
              <w14:schemeClr w14:val="tx1"/>
            </w14:solidFill>
          </w14:textFill>
        </w:rPr>
      </w:pPr>
    </w:p>
    <w:p>
      <w:pPr>
        <w:pStyle w:val="12"/>
        <w:jc w:val="both"/>
        <w:rPr>
          <w:color w:val="000000" w:themeColor="text1"/>
          <w:sz w:val="72"/>
          <w:szCs w:val="72"/>
          <w14:textFill>
            <w14:solidFill>
              <w14:schemeClr w14:val="tx1"/>
            </w14:solidFill>
          </w14:textFill>
        </w:rPr>
      </w:pPr>
    </w:p>
    <w:p>
      <w:pPr>
        <w:pStyle w:val="12"/>
        <w:jc w:val="center"/>
        <w:rPr>
          <w:color w:val="000000" w:themeColor="text1"/>
          <w:sz w:val="72"/>
          <w:szCs w:val="72"/>
          <w14:textFill>
            <w14:solidFill>
              <w14:schemeClr w14:val="tx1"/>
            </w14:solidFill>
          </w14:textFill>
        </w:rPr>
      </w:pPr>
    </w:p>
    <w:p>
      <w:pPr>
        <w:pStyle w:val="12"/>
        <w:jc w:val="both"/>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第四部分</w:t>
      </w: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名词解释</w:t>
      </w:r>
    </w:p>
    <w:p>
      <w:pPr>
        <w:widowControl/>
        <w:jc w:val="left"/>
        <w:rPr>
          <w:rFonts w:ascii="黑体" w:eastAsia="黑体" w:cs="黑体"/>
          <w:color w:val="000000" w:themeColor="text1"/>
          <w:kern w:val="0"/>
          <w:sz w:val="70"/>
          <w:szCs w:val="70"/>
          <w14:textFill>
            <w14:solidFill>
              <w14:schemeClr w14:val="tx1"/>
            </w14:solidFill>
          </w14:textFill>
        </w:rPr>
      </w:pPr>
      <w:r>
        <w:rPr>
          <w:rFonts w:ascii="黑体" w:eastAsia="黑体" w:cs="黑体"/>
          <w:color w:val="000000" w:themeColor="text1"/>
          <w:kern w:val="0"/>
          <w:sz w:val="70"/>
          <w:szCs w:val="70"/>
          <w14:textFill>
            <w14:solidFill>
              <w14:schemeClr w14:val="tx1"/>
            </w14:solidFill>
          </w14:textFill>
        </w:rPr>
        <w:br w:type="page"/>
      </w:r>
    </w:p>
    <w:p>
      <w:pPr>
        <w:autoSpaceDE w:val="0"/>
        <w:autoSpaceDN w:val="0"/>
        <w:adjustRightInd w:val="0"/>
        <w:ind w:firstLine="640" w:firstLineChars="200"/>
        <w:jc w:val="left"/>
        <w:rPr>
          <w:rFonts w:hint="eastAsia" w:cs="黑体" w:asciiTheme="minorEastAsia" w:hAnsiTheme="minorEastAsia"/>
          <w:color w:val="000000" w:themeColor="text1"/>
          <w:kern w:val="0"/>
          <w:sz w:val="32"/>
          <w:szCs w:val="32"/>
          <w14:textFill>
            <w14:solidFill>
              <w14:schemeClr w14:val="tx1"/>
            </w14:solidFill>
          </w14:textFill>
        </w:rPr>
      </w:pP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 xml:space="preserve">财政拨款收入：指中央财政当年拨付的资金。 </w:t>
      </w: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其他收入：指除“财政拨款收入”、“事业收入”、“经营收入”等以外的收入。主要是按规定动用的售房收入、存款利息收入等。</w:t>
      </w: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基本支出：指为保障机构正常运转、完成日常工作任务而发生的人员支出和公用支出。</w:t>
      </w: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项目支出：指在基本支出之外为完成特定行政任务和事业发展目标所发生的支出。</w:t>
      </w: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 xml:space="preserve">“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桥过路费、保险费、安全奖励费用等支出；公务接待费反映单位按规定开支的各类公务接待（含外宾接待）支出。 </w:t>
      </w:r>
    </w:p>
    <w:p>
      <w:pPr>
        <w:numPr>
          <w:ilvl w:val="0"/>
          <w:numId w:val="1"/>
        </w:numPr>
        <w:autoSpaceDE w:val="0"/>
        <w:autoSpaceDN w:val="0"/>
        <w:adjustRightInd w:val="0"/>
        <w:ind w:firstLine="640" w:firstLineChars="200"/>
        <w:jc w:val="left"/>
        <w:rPr>
          <w:rFonts w:hint="eastAsia" w:cs="黑体" w:asciiTheme="minorEastAsia" w:hAnsiTheme="minorEastAsia"/>
          <w:b w:val="0"/>
          <w:bCs w:val="0"/>
          <w:color w:val="000000" w:themeColor="text1"/>
          <w:kern w:val="0"/>
          <w:sz w:val="32"/>
          <w:szCs w:val="32"/>
          <w14:textFill>
            <w14:solidFill>
              <w14:schemeClr w14:val="tx1"/>
            </w14:solidFill>
          </w14:textFill>
        </w:rPr>
      </w:pPr>
      <w:r>
        <w:rPr>
          <w:rFonts w:hint="eastAsia" w:cs="黑体" w:asciiTheme="minorEastAsia" w:hAnsiTheme="minorEastAsia"/>
          <w:b w:val="0"/>
          <w:bCs w:val="0"/>
          <w:color w:val="000000" w:themeColor="text1"/>
          <w:kern w:val="0"/>
          <w:sz w:val="32"/>
          <w:szCs w:val="32"/>
          <w14:textFill>
            <w14:solidFill>
              <w14:schemeClr w14:val="tx1"/>
            </w14:solidFill>
          </w14:textFill>
        </w:rPr>
        <w:t>机关运行经费：为保障行政单位（含参照公务员法管理的的事业单位）运行用于购买货物和服务的各项资金，包括办公费、印刷费、邮电费、差旅费、会议费、福利费、日常维修费、专用材料费、一般设备购置费、水电费、取暖费、公务用车运行维护费以及其他费用。</w:t>
      </w:r>
    </w:p>
    <w:p>
      <w:pPr>
        <w:pStyle w:val="12"/>
        <w:jc w:val="center"/>
        <w:rPr>
          <w:color w:val="000000" w:themeColor="text1"/>
          <w:sz w:val="72"/>
          <w:szCs w:val="72"/>
          <w14:textFill>
            <w14:solidFill>
              <w14:schemeClr w14:val="tx1"/>
            </w14:solidFill>
          </w14:textFill>
        </w:rPr>
      </w:pPr>
    </w:p>
    <w:p>
      <w:pPr>
        <w:pStyle w:val="12"/>
        <w:jc w:val="center"/>
        <w:rPr>
          <w:color w:val="000000" w:themeColor="text1"/>
          <w:sz w:val="72"/>
          <w:szCs w:val="72"/>
          <w14:textFill>
            <w14:solidFill>
              <w14:schemeClr w14:val="tx1"/>
            </w14:solidFill>
          </w14:textFill>
        </w:rPr>
      </w:pPr>
    </w:p>
    <w:p>
      <w:pPr>
        <w:pStyle w:val="12"/>
        <w:jc w:val="both"/>
        <w:rPr>
          <w:rFonts w:hint="eastAsia"/>
          <w:color w:val="000000" w:themeColor="text1"/>
          <w:sz w:val="72"/>
          <w:szCs w:val="72"/>
          <w14:textFill>
            <w14:solidFill>
              <w14:schemeClr w14:val="tx1"/>
            </w14:solidFill>
          </w14:textFill>
        </w:rPr>
      </w:pPr>
    </w:p>
    <w:p>
      <w:pPr>
        <w:pStyle w:val="12"/>
        <w:jc w:val="both"/>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第五部分</w:t>
      </w:r>
    </w:p>
    <w:p>
      <w:pPr>
        <w:pStyle w:val="12"/>
        <w:jc w:val="center"/>
        <w:rPr>
          <w:rFonts w:hint="eastAsia"/>
          <w:color w:val="000000" w:themeColor="text1"/>
          <w:sz w:val="72"/>
          <w:szCs w:val="72"/>
          <w14:textFill>
            <w14:solidFill>
              <w14:schemeClr w14:val="tx1"/>
            </w14:solidFill>
          </w14:textFill>
        </w:rPr>
      </w:pP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t>附件</w:t>
      </w:r>
    </w:p>
    <w:p>
      <w:pPr>
        <w:pStyle w:val="12"/>
        <w:jc w:val="center"/>
        <w:rPr>
          <w:rFonts w:hint="eastAsia"/>
          <w:color w:val="000000" w:themeColor="text1"/>
          <w:sz w:val="72"/>
          <w:szCs w:val="72"/>
          <w14:textFill>
            <w14:solidFill>
              <w14:schemeClr w14:val="tx1"/>
            </w14:solidFill>
          </w14:textFill>
        </w:rPr>
      </w:pPr>
      <w:r>
        <w:rPr>
          <w:rFonts w:hint="eastAsia"/>
          <w:color w:val="000000" w:themeColor="text1"/>
          <w:sz w:val="72"/>
          <w:szCs w:val="72"/>
          <w14:textFill>
            <w14:solidFill>
              <w14:schemeClr w14:val="tx1"/>
            </w14:solidFill>
          </w14:textFill>
        </w:rPr>
        <w:br w:type="page"/>
      </w:r>
    </w:p>
    <w:p>
      <w:pPr>
        <w:jc w:val="center"/>
        <w:rPr>
          <w:rFonts w:ascii="黑体" w:eastAsia="黑体" w:cs="黑体"/>
          <w:color w:val="000000" w:themeColor="text1"/>
          <w:kern w:val="0"/>
          <w:sz w:val="70"/>
          <w:szCs w:val="70"/>
          <w14:textFill>
            <w14:solidFill>
              <w14:schemeClr w14:val="tx1"/>
            </w14:solidFill>
          </w14:textFill>
        </w:rPr>
      </w:pPr>
    </w:p>
    <w:p>
      <w:pPr>
        <w:spacing w:line="600" w:lineRule="exact"/>
        <w:rPr>
          <w:rFonts w:eastAsia="黑体"/>
          <w:color w:val="000000" w:themeColor="text1"/>
          <w:kern w:val="0"/>
          <w:sz w:val="32"/>
          <w:szCs w:val="32"/>
          <w14:textFill>
            <w14:solidFill>
              <w14:schemeClr w14:val="tx1"/>
            </w14:solidFill>
          </w14:textFill>
        </w:rPr>
      </w:pPr>
    </w:p>
    <w:p>
      <w:pPr>
        <w:spacing w:line="600" w:lineRule="exact"/>
        <w:rPr>
          <w:rFonts w:eastAsia="黑体"/>
          <w:color w:val="000000" w:themeColor="text1"/>
          <w:kern w:val="0"/>
          <w:sz w:val="32"/>
          <w:szCs w:val="32"/>
          <w14:textFill>
            <w14:solidFill>
              <w14:schemeClr w14:val="tx1"/>
            </w14:solidFill>
          </w14:textFill>
        </w:rPr>
      </w:pPr>
    </w:p>
    <w:p>
      <w:pPr>
        <w:spacing w:line="600" w:lineRule="exact"/>
        <w:rPr>
          <w:rFonts w:eastAsia="黑体"/>
          <w:color w:val="000000" w:themeColor="text1"/>
          <w:kern w:val="0"/>
          <w:sz w:val="32"/>
          <w:szCs w:val="32"/>
          <w14:textFill>
            <w14:solidFill>
              <w14:schemeClr w14:val="tx1"/>
            </w14:solidFill>
          </w14:textFill>
        </w:rPr>
      </w:pPr>
    </w:p>
    <w:p>
      <w:pPr>
        <w:jc w:val="center"/>
        <w:rPr>
          <w:rFonts w:ascii="方正小标宋简体" w:hAnsi="方正小标宋简体" w:eastAsia="方正小标宋简体" w:cs="方正小标宋简体"/>
          <w:color w:val="000000" w:themeColor="text1"/>
          <w:w w:val="96"/>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w w:val="96"/>
          <w:sz w:val="44"/>
          <w:szCs w:val="44"/>
          <w14:textFill>
            <w14:solidFill>
              <w14:schemeClr w14:val="tx1"/>
            </w14:solidFill>
          </w14:textFill>
        </w:rPr>
        <w:t>2021年度湖南省质量技术评审中心整体支出</w:t>
      </w:r>
    </w:p>
    <w:p>
      <w:pPr>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绩效自评报告</w:t>
      </w: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湖南省质量技术评审中心</w:t>
      </w:r>
    </w:p>
    <w:p>
      <w:pPr>
        <w:jc w:val="center"/>
        <w:rPr>
          <w:rFonts w:eastAsia="黑体"/>
          <w:color w:val="000000" w:themeColor="text1"/>
          <w:sz w:val="44"/>
          <w:szCs w:val="44"/>
          <w14:textFill>
            <w14:solidFill>
              <w14:schemeClr w14:val="tx1"/>
            </w14:solidFill>
          </w14:textFill>
        </w:rPr>
      </w:pPr>
      <w:r>
        <w:rPr>
          <w:rFonts w:hint="eastAsia" w:eastAsia="黑体"/>
          <w:color w:val="000000" w:themeColor="text1"/>
          <w:sz w:val="32"/>
          <w:szCs w:val="32"/>
          <w14:textFill>
            <w14:solidFill>
              <w14:schemeClr w14:val="tx1"/>
            </w14:solidFill>
          </w14:textFill>
        </w:rPr>
        <w:t>2022年4月29日</w:t>
      </w:r>
    </w:p>
    <w:p>
      <w:pPr>
        <w:pStyle w:val="13"/>
        <w:widowControl/>
        <w:spacing w:line="580" w:lineRule="exact"/>
        <w:ind w:firstLine="640"/>
        <w:rPr>
          <w:rFonts w:eastAsia="黑体"/>
          <w:color w:val="000000" w:themeColor="text1"/>
          <w:sz w:val="32"/>
          <w:szCs w:val="32"/>
          <w14:textFill>
            <w14:solidFill>
              <w14:schemeClr w14:val="tx1"/>
            </w14:solidFill>
          </w14:textFill>
        </w:rPr>
      </w:pPr>
    </w:p>
    <w:p>
      <w:pPr>
        <w:pStyle w:val="13"/>
        <w:widowControl/>
        <w:spacing w:line="580" w:lineRule="exact"/>
        <w:ind w:firstLine="640"/>
        <w:rPr>
          <w:rFonts w:eastAsia="黑体"/>
          <w:color w:val="000000" w:themeColor="text1"/>
          <w:sz w:val="32"/>
          <w:szCs w:val="32"/>
          <w14:textFill>
            <w14:solidFill>
              <w14:schemeClr w14:val="tx1"/>
            </w14:solidFill>
          </w14:textFill>
        </w:rPr>
      </w:pPr>
    </w:p>
    <w:p>
      <w:pPr>
        <w:rPr>
          <w:rFonts w:hint="eastAsia"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br w:type="page"/>
      </w:r>
    </w:p>
    <w:p>
      <w:pPr>
        <w:pStyle w:val="13"/>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一、单位</w:t>
      </w:r>
      <w:r>
        <w:rPr>
          <w:rFonts w:eastAsia="黑体"/>
          <w:color w:val="000000" w:themeColor="text1"/>
          <w:sz w:val="32"/>
          <w:szCs w:val="32"/>
          <w14:textFill>
            <w14:solidFill>
              <w14:schemeClr w14:val="tx1"/>
            </w14:solidFill>
          </w14:textFill>
        </w:rPr>
        <w:t>基本情况</w:t>
      </w:r>
    </w:p>
    <w:p>
      <w:pPr>
        <w:widowControl/>
        <w:spacing w:line="360" w:lineRule="auto"/>
        <w:ind w:firstLine="56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湖南省质量技术评审中心成立于2011年4月，是湖南省市场监督管理局直属的差额拨款二类事业单位，主要职能有：</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1．贯彻宣传《湖南省人民政府关于实施质量兴湘战略的意见》，指导企业建立质量、环境、职业健康安全等管理体系；</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2．为省市场监督管理系统开展质量综合管理、认证执法和认证监管提供技术支持。</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3．为社会和企业建立标准体系提供咨询指导，管理诊断及质量改进服务，认证培训、咨询及技术服务；</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4．为企业提供节能环保、清洁生产等方面的技术评审及技术服务工作；</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5．承担地方人民政府和省质量技术监督局授权的质量技术评审工作，包括质量信用等级评定、检验检测机构资质认定现场评审等；</w:t>
      </w:r>
    </w:p>
    <w:p>
      <w:pPr>
        <w:widowControl/>
        <w:shd w:val="clear" w:color="auto" w:fill="FFFFFF"/>
        <w:spacing w:line="360" w:lineRule="auto"/>
        <w:ind w:firstLine="800" w:firstLineChars="25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6．承担省市场监督管理局授权的其他工作。</w:t>
      </w:r>
    </w:p>
    <w:p>
      <w:pPr>
        <w:widowControl/>
        <w:spacing w:line="360" w:lineRule="auto"/>
        <w:ind w:firstLine="640" w:firstLineChars="200"/>
        <w:rPr>
          <w:rFonts w:ascii="仿宋" w:hAnsi="仿宋" w:eastAsia="仿宋" w:cs="仿宋"/>
          <w:color w:val="000000" w:themeColor="text1"/>
          <w:kern w:val="0"/>
          <w:sz w:val="32"/>
          <w:szCs w:val="32"/>
          <w:shd w:val="clear" w:color="auto" w:fill="FFFFFF"/>
          <w14:textFill>
            <w14:solidFill>
              <w14:schemeClr w14:val="tx1"/>
            </w14:solidFill>
          </w14:textFill>
        </w:rPr>
      </w:pPr>
      <w:r>
        <w:rPr>
          <w:rFonts w:hint="eastAsia" w:ascii="仿宋" w:hAnsi="仿宋" w:eastAsia="仿宋" w:cs="仿宋"/>
          <w:color w:val="000000" w:themeColor="text1"/>
          <w:kern w:val="0"/>
          <w:sz w:val="32"/>
          <w:szCs w:val="32"/>
          <w:shd w:val="clear" w:color="auto" w:fill="FFFFFF"/>
          <w14:textFill>
            <w14:solidFill>
              <w14:schemeClr w14:val="tx1"/>
            </w14:solidFill>
          </w14:textFill>
        </w:rPr>
        <w:t>中心技术力量雄厚，下设办公室、技术评审科及业务科三个正科级部门。现有编制人数13人，实际在岗管理人员11人，各类兼职评审员及技术专家200多名，其中包括国家质量奖评审员4名、湖南省省长质量奖评审员6名，国家清洁生产审核师5名，国家标委服务标准化评审专家1名。目前主要承担原湖南省质量技术监督局授权的湖南省企业质量信用等级评定和检验检测机构资质认定现场评审工作，同时还开展了其他技术服务及培训业务：认证认可相关标准培训和技术服务、节能量审核技术服务、能源审计技术服务、清洁生产、安全标准化咨询服务、卓越绩效模式导入技术服务等。</w:t>
      </w:r>
    </w:p>
    <w:p>
      <w:pPr>
        <w:rPr>
          <w:rFonts w:hint="eastAsia"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br w:type="page"/>
      </w:r>
    </w:p>
    <w:p>
      <w:pPr>
        <w:pStyle w:val="13"/>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二、</w:t>
      </w:r>
      <w:r>
        <w:rPr>
          <w:rFonts w:eastAsia="黑体"/>
          <w:color w:val="000000" w:themeColor="text1"/>
          <w:sz w:val="32"/>
          <w:szCs w:val="32"/>
          <w14:textFill>
            <w14:solidFill>
              <w14:schemeClr w14:val="tx1"/>
            </w14:solidFill>
          </w14:textFill>
        </w:rPr>
        <w:t>一般公共预算支出情况</w:t>
      </w:r>
    </w:p>
    <w:p>
      <w:pPr>
        <w:pStyle w:val="13"/>
        <w:widowControl/>
        <w:spacing w:line="580" w:lineRule="exact"/>
        <w:ind w:firstLine="64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（一）基本支出情况</w:t>
      </w:r>
    </w:p>
    <w:p>
      <w:pPr>
        <w:pStyle w:val="13"/>
        <w:widowControl/>
        <w:spacing w:line="580" w:lineRule="exact"/>
        <w:ind w:firstLine="0"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 xml:space="preserve">    </w:t>
      </w:r>
      <w:r>
        <w:rPr>
          <w:rFonts w:hint="eastAsia" w:ascii="楷体" w:hAnsi="楷体" w:eastAsia="楷体" w:cs="楷体"/>
          <w:color w:val="000000" w:themeColor="text1"/>
          <w:sz w:val="32"/>
          <w:szCs w:val="32"/>
          <w14:textFill>
            <w14:solidFill>
              <w14:schemeClr w14:val="tx1"/>
            </w14:solidFill>
          </w14:textFill>
        </w:rPr>
        <w:tab/>
      </w:r>
      <w:r>
        <w:rPr>
          <w:rFonts w:hint="eastAsia" w:ascii="仿宋_GB2312" w:hAnsi="仿宋_GB2312" w:eastAsia="仿宋_GB2312" w:cs="仿宋_GB2312"/>
          <w:color w:val="000000" w:themeColor="text1"/>
          <w:sz w:val="32"/>
          <w:szCs w:val="32"/>
          <w14:textFill>
            <w14:solidFill>
              <w14:schemeClr w14:val="tx1"/>
            </w14:solidFill>
          </w14:textFill>
        </w:rPr>
        <w:t>我单位一般公共预算基本支出上年结余</w:t>
      </w:r>
      <w:r>
        <w:rPr>
          <w:rFonts w:ascii="仿宋_GB2312" w:hAnsi="仿宋_GB2312" w:eastAsia="仿宋_GB2312" w:cs="仿宋_GB2312"/>
          <w:color w:val="000000" w:themeColor="text1"/>
          <w:sz w:val="32"/>
          <w:szCs w:val="32"/>
          <w14:textFill>
            <w14:solidFill>
              <w14:schemeClr w14:val="tx1"/>
            </w14:solidFill>
          </w14:textFill>
        </w:rPr>
        <w:t>5.07</w:t>
      </w:r>
      <w:r>
        <w:rPr>
          <w:rFonts w:hint="eastAsia" w:ascii="仿宋_GB2312" w:hAnsi="仿宋_GB2312" w:eastAsia="仿宋_GB2312" w:cs="仿宋_GB2312"/>
          <w:color w:val="000000" w:themeColor="text1"/>
          <w:sz w:val="32"/>
          <w:szCs w:val="32"/>
          <w14:textFill>
            <w14:solidFill>
              <w14:schemeClr w14:val="tx1"/>
            </w14:solidFill>
          </w14:textFill>
        </w:rPr>
        <w:t>万元，本年一般公共预算收入</w:t>
      </w:r>
      <w:r>
        <w:rPr>
          <w:rFonts w:ascii="仿宋_GB2312" w:hAnsi="仿宋_GB2312" w:eastAsia="仿宋_GB2312" w:cs="仿宋_GB2312"/>
          <w:color w:val="000000" w:themeColor="text1"/>
          <w:sz w:val="32"/>
          <w:szCs w:val="32"/>
          <w14:textFill>
            <w14:solidFill>
              <w14:schemeClr w14:val="tx1"/>
            </w14:solidFill>
          </w14:textFill>
        </w:rPr>
        <w:t>218.74</w:t>
      </w:r>
      <w:r>
        <w:rPr>
          <w:rFonts w:hint="eastAsia" w:ascii="仿宋_GB2312" w:hAnsi="仿宋_GB2312" w:eastAsia="仿宋_GB2312" w:cs="仿宋_GB2312"/>
          <w:color w:val="000000" w:themeColor="text1"/>
          <w:sz w:val="32"/>
          <w:szCs w:val="32"/>
          <w14:textFill>
            <w14:solidFill>
              <w14:schemeClr w14:val="tx1"/>
            </w14:solidFill>
          </w14:textFill>
        </w:rPr>
        <w:t>万元，实际使用</w:t>
      </w:r>
      <w:r>
        <w:rPr>
          <w:rFonts w:ascii="仿宋_GB2312" w:hAnsi="仿宋_GB2312" w:eastAsia="仿宋_GB2312" w:cs="仿宋_GB2312"/>
          <w:color w:val="000000" w:themeColor="text1"/>
          <w:sz w:val="32"/>
          <w:szCs w:val="32"/>
          <w14:textFill>
            <w14:solidFill>
              <w14:schemeClr w14:val="tx1"/>
            </w14:solidFill>
          </w14:textFill>
        </w:rPr>
        <w:t>206.03</w:t>
      </w:r>
      <w:r>
        <w:rPr>
          <w:rFonts w:hint="eastAsia" w:ascii="仿宋_GB2312" w:hAnsi="仿宋_GB2312" w:eastAsia="仿宋_GB2312" w:cs="仿宋_GB2312"/>
          <w:color w:val="000000" w:themeColor="text1"/>
          <w:sz w:val="32"/>
          <w:szCs w:val="32"/>
          <w14:textFill>
            <w14:solidFill>
              <w14:schemeClr w14:val="tx1"/>
            </w14:solidFill>
          </w14:textFill>
        </w:rPr>
        <w:t>万元（其中人员经费</w:t>
      </w:r>
      <w:r>
        <w:rPr>
          <w:rFonts w:ascii="仿宋_GB2312" w:hAnsi="仿宋_GB2312" w:eastAsia="仿宋_GB2312" w:cs="仿宋_GB2312"/>
          <w:color w:val="000000" w:themeColor="text1"/>
          <w:sz w:val="32"/>
          <w:szCs w:val="32"/>
          <w14:textFill>
            <w14:solidFill>
              <w14:schemeClr w14:val="tx1"/>
            </w14:solidFill>
          </w14:textFill>
        </w:rPr>
        <w:t>191.20</w:t>
      </w:r>
      <w:r>
        <w:rPr>
          <w:rFonts w:hint="eastAsia" w:ascii="仿宋_GB2312" w:hAnsi="仿宋_GB2312" w:eastAsia="仿宋_GB2312" w:cs="仿宋_GB2312"/>
          <w:color w:val="000000" w:themeColor="text1"/>
          <w:sz w:val="32"/>
          <w:szCs w:val="32"/>
          <w14:textFill>
            <w14:solidFill>
              <w14:schemeClr w14:val="tx1"/>
            </w14:solidFill>
          </w14:textFill>
        </w:rPr>
        <w:t>万元，日常公用经费</w:t>
      </w:r>
      <w:r>
        <w:rPr>
          <w:rFonts w:ascii="仿宋_GB2312" w:hAnsi="仿宋_GB2312" w:eastAsia="仿宋_GB2312" w:cs="仿宋_GB2312"/>
          <w:color w:val="000000" w:themeColor="text1"/>
          <w:sz w:val="32"/>
          <w:szCs w:val="32"/>
          <w14:textFill>
            <w14:solidFill>
              <w14:schemeClr w14:val="tx1"/>
            </w14:solidFill>
          </w14:textFill>
        </w:rPr>
        <w:t>14.83</w:t>
      </w:r>
      <w:r>
        <w:rPr>
          <w:rFonts w:hint="eastAsia" w:ascii="仿宋_GB2312" w:hAnsi="仿宋_GB2312" w:eastAsia="仿宋_GB2312" w:cs="仿宋_GB2312"/>
          <w:color w:val="000000" w:themeColor="text1"/>
          <w:sz w:val="32"/>
          <w:szCs w:val="32"/>
          <w14:textFill>
            <w14:solidFill>
              <w14:schemeClr w14:val="tx1"/>
            </w14:solidFill>
          </w14:textFill>
        </w:rPr>
        <w:t>万元，）,结余</w:t>
      </w:r>
      <w:r>
        <w:rPr>
          <w:rFonts w:ascii="仿宋_GB2312" w:hAnsi="仿宋_GB2312" w:eastAsia="仿宋_GB2312" w:cs="仿宋_GB2312"/>
          <w:color w:val="000000" w:themeColor="text1"/>
          <w:sz w:val="32"/>
          <w:szCs w:val="32"/>
          <w14:textFill>
            <w14:solidFill>
              <w14:schemeClr w14:val="tx1"/>
            </w14:solidFill>
          </w14:textFill>
        </w:rPr>
        <w:t>17.86</w:t>
      </w:r>
      <w:r>
        <w:rPr>
          <w:rFonts w:hint="eastAsia" w:ascii="仿宋_GB2312" w:hAnsi="仿宋_GB2312" w:eastAsia="仿宋_GB2312" w:cs="仿宋_GB2312"/>
          <w:color w:val="000000" w:themeColor="text1"/>
          <w:sz w:val="32"/>
          <w:szCs w:val="32"/>
          <w14:textFill>
            <w14:solidFill>
              <w14:schemeClr w14:val="tx1"/>
            </w14:solidFill>
          </w14:textFill>
        </w:rPr>
        <w:t>万元，其中：基本支出结余</w:t>
      </w:r>
      <w:r>
        <w:rPr>
          <w:rFonts w:ascii="仿宋_GB2312" w:hAnsi="仿宋_GB2312" w:eastAsia="仿宋_GB2312" w:cs="仿宋_GB2312"/>
          <w:color w:val="000000" w:themeColor="text1"/>
          <w:sz w:val="32"/>
          <w:szCs w:val="32"/>
          <w14:textFill>
            <w14:solidFill>
              <w14:schemeClr w14:val="tx1"/>
            </w14:solidFill>
          </w14:textFill>
        </w:rPr>
        <w:t>17.78</w:t>
      </w:r>
      <w:r>
        <w:rPr>
          <w:rFonts w:hint="eastAsia" w:ascii="仿宋_GB2312" w:hAnsi="仿宋_GB2312" w:eastAsia="仿宋_GB2312" w:cs="仿宋_GB2312"/>
          <w:color w:val="000000" w:themeColor="text1"/>
          <w:sz w:val="32"/>
          <w:szCs w:val="32"/>
          <w14:textFill>
            <w14:solidFill>
              <w14:schemeClr w14:val="tx1"/>
            </w14:solidFill>
          </w14:textFill>
        </w:rPr>
        <w:t>万元，其中：2021年综治文明奖3.07万元（按规定不发放本年度综治文明奖），维修（护）费0.06万元，劳务费0.24万元，基本工资5.55万元，津贴补贴3.99万元，住房公积金4.86万元。</w:t>
      </w:r>
    </w:p>
    <w:p>
      <w:pPr>
        <w:pStyle w:val="13"/>
        <w:widowControl/>
        <w:spacing w:line="580" w:lineRule="exact"/>
        <w:ind w:firstLine="64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（二）项目支出情况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ab/>
      </w:r>
      <w:r>
        <w:rPr>
          <w:rFonts w:hint="eastAsia" w:ascii="仿宋_GB2312" w:hAnsi="仿宋_GB2312" w:eastAsia="仿宋_GB2312" w:cs="仿宋_GB2312"/>
          <w:color w:val="000000" w:themeColor="text1"/>
          <w:sz w:val="32"/>
          <w:szCs w:val="32"/>
          <w14:textFill>
            <w14:solidFill>
              <w14:schemeClr w14:val="tx1"/>
            </w14:solidFill>
          </w14:textFill>
        </w:rPr>
        <w:t>我单位一般公共预算项目支出上年结余0万元，本年一般公共预算收入</w:t>
      </w:r>
      <w:r>
        <w:rPr>
          <w:rFonts w:ascii="仿宋_GB2312" w:hAnsi="仿宋_GB2312" w:eastAsia="仿宋_GB2312" w:cs="仿宋_GB2312"/>
          <w:color w:val="000000" w:themeColor="text1"/>
          <w:sz w:val="32"/>
          <w:szCs w:val="32"/>
          <w14:textFill>
            <w14:solidFill>
              <w14:schemeClr w14:val="tx1"/>
            </w14:solidFill>
          </w14:textFill>
        </w:rPr>
        <w:t>45.00</w:t>
      </w:r>
      <w:r>
        <w:rPr>
          <w:rFonts w:hint="eastAsia" w:ascii="仿宋_GB2312" w:hAnsi="仿宋_GB2312" w:eastAsia="仿宋_GB2312" w:cs="仿宋_GB2312"/>
          <w:color w:val="000000" w:themeColor="text1"/>
          <w:sz w:val="32"/>
          <w:szCs w:val="32"/>
          <w14:textFill>
            <w14:solidFill>
              <w14:schemeClr w14:val="tx1"/>
            </w14:solidFill>
          </w14:textFill>
        </w:rPr>
        <w:t>万元，实际使用</w:t>
      </w:r>
      <w:r>
        <w:rPr>
          <w:rFonts w:ascii="仿宋_GB2312" w:hAnsi="仿宋_GB2312" w:eastAsia="仿宋_GB2312" w:cs="仿宋_GB2312"/>
          <w:color w:val="000000" w:themeColor="text1"/>
          <w:sz w:val="32"/>
          <w:szCs w:val="32"/>
          <w14:textFill>
            <w14:solidFill>
              <w14:schemeClr w14:val="tx1"/>
            </w14:solidFill>
          </w14:textFill>
        </w:rPr>
        <w:t>44.92</w:t>
      </w:r>
      <w:r>
        <w:rPr>
          <w:rFonts w:hint="eastAsia" w:ascii="仿宋_GB2312" w:hAnsi="仿宋_GB2312" w:eastAsia="仿宋_GB2312" w:cs="仿宋_GB2312"/>
          <w:color w:val="000000" w:themeColor="text1"/>
          <w:sz w:val="32"/>
          <w:szCs w:val="32"/>
          <w14:textFill>
            <w14:solidFill>
              <w14:schemeClr w14:val="tx1"/>
            </w14:solidFill>
          </w14:textFill>
        </w:rPr>
        <w:t>万元，结余劳务费0.08万元。</w:t>
      </w:r>
    </w:p>
    <w:p>
      <w:pPr>
        <w:spacing w:line="58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三、</w:t>
      </w:r>
      <w:r>
        <w:rPr>
          <w:rFonts w:eastAsia="黑体"/>
          <w:color w:val="000000" w:themeColor="text1"/>
          <w:sz w:val="32"/>
          <w:szCs w:val="32"/>
          <w14:textFill>
            <w14:solidFill>
              <w14:schemeClr w14:val="tx1"/>
            </w14:solidFill>
          </w14:textFill>
        </w:rPr>
        <w:t>政府性基金预算支出情况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pStyle w:val="13"/>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四、</w:t>
      </w:r>
      <w:r>
        <w:rPr>
          <w:rFonts w:eastAsia="黑体"/>
          <w:color w:val="000000" w:themeColor="text1"/>
          <w:sz w:val="32"/>
          <w:szCs w:val="32"/>
          <w14:textFill>
            <w14:solidFill>
              <w14:schemeClr w14:val="tx1"/>
            </w14:solidFill>
          </w14:textFill>
        </w:rPr>
        <w:t>国有资本经营预算支出情况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pStyle w:val="13"/>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五、</w:t>
      </w:r>
      <w:r>
        <w:rPr>
          <w:rFonts w:eastAsia="黑体"/>
          <w:color w:val="000000" w:themeColor="text1"/>
          <w:sz w:val="32"/>
          <w:szCs w:val="32"/>
          <w14:textFill>
            <w14:solidFill>
              <w14:schemeClr w14:val="tx1"/>
            </w14:solidFill>
          </w14:textFill>
        </w:rPr>
        <w:t>社会保险基金预算支出情况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widowControl/>
        <w:spacing w:line="580" w:lineRule="exact"/>
        <w:ind w:firstLine="640" w:firstLineChars="200"/>
        <w:rPr>
          <w:rFonts w:hint="eastAsia"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六、</w:t>
      </w:r>
      <w:r>
        <w:rPr>
          <w:rFonts w:eastAsia="黑体"/>
          <w:color w:val="000000" w:themeColor="text1"/>
          <w:sz w:val="32"/>
          <w:szCs w:val="32"/>
          <w14:textFill>
            <w14:solidFill>
              <w14:schemeClr w14:val="tx1"/>
            </w14:solidFill>
          </w14:textFill>
        </w:rPr>
        <w:t>部门整体支出绩效情况</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2021年，随着机构改革的进一步深化，湖南省产商品评审中心由湖南省质量技术评审中心、湖南省食品安全审评认证中心、湖南省食品和工业产品生产许可审查中心合并而成，三个中心凭借着各自领域的技术优势，在业务工作中各展风采，出色完成了各项工作任务。</w:t>
      </w:r>
    </w:p>
    <w:p>
      <w:pPr>
        <w:spacing w:line="360" w:lineRule="auto"/>
        <w:ind w:firstLine="572" w:firstLineChars="179"/>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（一）高效协同，原审查中心审查检查工作规范有序</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按照国家深化行政许可改革的要求，根据省局部署安排，中心不断深化商事制度改革，做好了食品相关产品、重要工业产品、检验检测机构资质认定等许可审查检查组织工作。</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是巩固深化“放管服”改革成果，在全力实现“一件事一次办”的同时为许可事项事前、事中、事后监督管理提供强有力的技术支撑和保证。根据相关制度改革和上级工作要求，中心组织对内部业务规范进一步修订，制定实施《工业产品生产许可审查工作内部管理规范》《食品相关产品例行监督检查工作内部管理规范》《计量行政许可审查工作内部管理规范》《检验检测机构资质认定工作内部管理规范》等，实现审查工作质量和效率再提升。</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是将审查检查业务工作与党史学习教育紧密结合，努力打造为民服务送技术、解难题新名片。在审查检查工作过程中，我们组织专家调研企业生产经营状况，帮助企业技术升级；政务窗口值班过程中，开展政务政策答难，帮扶群众节约资源成本；充分发挥中心在检验检测资质认定技术上的优势，指导企业开展标准制修订、提升检验检测能力；组织编印《工业产品生产许可证申证业务指南》《食品相关产品申证指南》《检验检测机构资质认定100问》等技术指导资料，免费发放给服务对象，减少服务对象“走弯路”现象。三是克服人员紧张、疫情防控的压力，坚守政务大厅窗口。承担网上受理、业务咨询，办理政务窗口受理审查666件，落实了心系人民、服务全局、高效协同的要求。截至11月，中心组织安排各类许可审查检查516家，上报审查检查结论518 份。</w:t>
      </w:r>
    </w:p>
    <w:p>
      <w:pPr>
        <w:spacing w:line="360" w:lineRule="auto"/>
        <w:ind w:firstLine="572" w:firstLineChars="179"/>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（二）原食审中心各部门守岗尽责严格按照省局要求开展党史学习、业务工作、课题调研、培训指导等，各项工作推进有序。</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一、做好课题项目研究，为省局决策提供参考依据。</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针对湖南调味面制品行业食品添加剂使用问题，对长沙市灵猫生物科技有限公司等企业进行调研，分析了调味面制品中添加食品用香精存在的主要风险，向省局提交了《关于对长沙市灵猫生物科技有限公司调研的情况报告》。</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湘产浓香型白酒生产全过程靶向有害物质风险监控体系研究》课题全面启动。该项目研究按照计划已全面启动。三是完成中央厨房规范管理和风险防控课题设计工作，开始组织开展中央厨房的调研工作，目前已调研3家中央厨房。</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二、起草食品安全系列标准、审查细则等，实现有据可依。</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起草制定《茶油小作坊生产许可审查细则》。多次到长沙浏阳市、衡阳常宁市茶油小作坊实地调研，先后召开了3次有政府部门、行业主管部门、监管部门和小作坊代表参加的座谈讨论会，听取了多方面的意见。在此基础上起草了《茶油小作坊生产许可审查细则》，已通过省局组织的专家评审。</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2.《风味熟制小鱼干》团体标准发布。中心全程参与《风味熟制小鱼干》团体标准起草制定工作。该标准于2021年5月18日发布，于2021年6月18日实施。</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根据省局工作安排，依据《湖南省食品生产加工小作坊小餐饮和食品摊贩管理条例》《湖南省小餐饮经营许可和食品摊贩登记管理办法》等规定，制定《湖南省小餐饮小摊贩食品安全管理规范》初稿。四是组织起草了《学校食堂建设和食品安全管理规范》征求意见稿，征求全省各级市场、教育、卫建等部门和各级专家的意见，共收集意见20余条，完善征求意见稿，目前为标准公示期，现已完成标准送审稿和编制说明，即将送审。</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做好省局特殊食品监管有力技术支撑。配合省局做好保健食品注册双轨制改革后产品注册与备案技术审查工作。对4家婴幼儿配方乳粉生产企业调研，征求特殊食品监管的建议和意见，同时助力企业发展。此外，完成国家总局食品审评中心委托对4个保健食品注册品种进行复核。</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四、参加省局完成食品安全示范创建评价验收。根据省食安办的部署安排，中心派专家对天心区、南岳区、资兴市、韶山市、娄星区、花垣县和新晃县7个县级市开展湖南省食品安全示范县市区省级评价验收。</w:t>
      </w:r>
    </w:p>
    <w:p>
      <w:pPr>
        <w:spacing w:line="360" w:lineRule="auto"/>
        <w:ind w:firstLine="572" w:firstLineChars="179"/>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（三）评审工作有序开展</w:t>
      </w:r>
    </w:p>
    <w:p>
      <w:pPr>
        <w:spacing w:line="360" w:lineRule="auto"/>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1.根据湖南省市场监督管理局《关于开展2021年认证活动“双随机、一公开”监督检查工作的通知》（湘市监办发﹝2021﹞53号）要求，受省市场监管局委托，负责认证活动（事中） “双随机、一公开”监督检查工作的具体实施，于2021年6月至11月组成39个监督检查组、出动检查人员600多人次共对140家认证组织进行了认证活动（事中）“双随机、一公开”监督检查。</w:t>
      </w:r>
    </w:p>
    <w:p>
      <w:pPr>
        <w:spacing w:line="360" w:lineRule="auto"/>
        <w:ind w:firstLine="572" w:firstLineChars="17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认证活动（事中）“双随机、一公开”监督检查共对140家认证组织进行了监督检查，监督检查的认证组织覆盖全省的十四个市州，涉及到的认证机构有73家。其中强制性产品认证机构有7家，涉及19家强制性产品认证组织，涉及到的自愿性认证机构有66家，涉及121家自愿性认证组织。自愿性认证涉及到的认证领域有质量、环境、职业健康安全、食品安全管理体系、TS16949汽车行业质量管理体系、ISO20000信息技术服务管理体系、ISO27001信息安全管理体系等，共计235张证书。</w:t>
      </w:r>
    </w:p>
    <w:p>
      <w:pPr>
        <w:spacing w:line="360" w:lineRule="auto"/>
        <w:ind w:firstLine="572" w:firstLineChars="17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监督检查结果表明：通过近三年来事中监督检查，进一步规范了认证活动，有效遏制了虚假认证、买证卖证等“认证乱象”的发生，认证机构对认证活动的主体责任进一步落实，增强了认证的公信力和有效性，促进了认证组织内部管理和产品/服务质量提升。</w:t>
      </w:r>
    </w:p>
    <w:p>
      <w:pPr>
        <w:spacing w:line="360" w:lineRule="auto"/>
        <w:ind w:firstLine="572" w:firstLineChars="179"/>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规范开展检验检测机构资质认定评审工作。严格按照检验检测机构资质评定有关要求，规范开展检验检测机构资质评定工作，全面完成省局下达的评审任务，2020年下达检验检测机构资质认定评审计划61家，已完成现场评审提交发证59家；委托计量器具型式评价计划9家/次，已完成提交发证8家/次；组织完成4家机构的计量器具核准，并提交发证。未发生服务对象的重大投诉，未发生任何评审质量事故。</w:t>
      </w:r>
    </w:p>
    <w:p>
      <w:pPr>
        <w:pStyle w:val="13"/>
        <w:widowControl/>
        <w:spacing w:line="580" w:lineRule="exact"/>
        <w:ind w:firstLine="640"/>
        <w:rPr>
          <w:rFonts w:hint="eastAsia"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七、</w:t>
      </w:r>
      <w:r>
        <w:rPr>
          <w:rFonts w:eastAsia="黑体"/>
          <w:color w:val="000000" w:themeColor="text1"/>
          <w:sz w:val="32"/>
          <w:szCs w:val="32"/>
          <w14:textFill>
            <w14:solidFill>
              <w14:schemeClr w14:val="tx1"/>
            </w14:solidFill>
          </w14:textFill>
        </w:rPr>
        <w:t>存在的问题及</w:t>
      </w:r>
      <w:r>
        <w:rPr>
          <w:rFonts w:hint="eastAsia" w:eastAsia="黑体"/>
          <w:color w:val="000000" w:themeColor="text1"/>
          <w:sz w:val="32"/>
          <w:szCs w:val="32"/>
          <w14:textFill>
            <w14:solidFill>
              <w14:schemeClr w14:val="tx1"/>
            </w14:solidFill>
          </w14:textFill>
        </w:rPr>
        <w:t>原因分析</w:t>
      </w:r>
    </w:p>
    <w:p>
      <w:pPr>
        <w:pStyle w:val="13"/>
        <w:widowControl/>
        <w:spacing w:line="580" w:lineRule="exact"/>
        <w:ind w:firstLine="640"/>
        <w:rPr>
          <w:rStyle w:val="9"/>
          <w:rFonts w:ascii="仿宋" w:hAnsi="仿宋" w:eastAsia="仿宋" w:cs="仿宋_GB2312"/>
          <w:b w:val="0"/>
          <w:bCs/>
          <w:color w:val="000000" w:themeColor="text1"/>
          <w:sz w:val="32"/>
          <w:szCs w:val="32"/>
          <w14:textFill>
            <w14:solidFill>
              <w14:schemeClr w14:val="tx1"/>
            </w14:solidFill>
          </w14:textFill>
        </w:rPr>
      </w:pPr>
      <w:r>
        <w:rPr>
          <w:rFonts w:ascii="仿宋_GB2312" w:eastAsia="仿宋_GB2312" w:cs="Times New Roman"/>
          <w:color w:val="000000" w:themeColor="text1"/>
          <w:sz w:val="32"/>
          <w:szCs w:val="32"/>
          <w14:textFill>
            <w14:solidFill>
              <w14:schemeClr w14:val="tx1"/>
            </w14:solidFill>
          </w14:textFill>
        </w:rPr>
        <w:t>由于目前的预算管理在编制和实施中还存在编制不细、预算调整较多、</w:t>
      </w:r>
      <w:r>
        <w:rPr>
          <w:rFonts w:hint="eastAsia" w:ascii="仿宋_GB2312" w:eastAsia="仿宋_GB2312" w:cs="Times New Roman"/>
          <w:color w:val="000000" w:themeColor="text1"/>
          <w:sz w:val="32"/>
          <w:szCs w:val="32"/>
          <w14:textFill>
            <w14:solidFill>
              <w14:schemeClr w14:val="tx1"/>
            </w14:solidFill>
          </w14:textFill>
        </w:rPr>
        <w:t>年中</w:t>
      </w:r>
      <w:r>
        <w:rPr>
          <w:rFonts w:ascii="仿宋_GB2312" w:eastAsia="仿宋_GB2312" w:cs="Times New Roman"/>
          <w:color w:val="000000" w:themeColor="text1"/>
          <w:sz w:val="32"/>
          <w:szCs w:val="32"/>
          <w14:textFill>
            <w14:solidFill>
              <w14:schemeClr w14:val="tx1"/>
            </w14:solidFill>
          </w14:textFill>
        </w:rPr>
        <w:t>追加预算比重较大等现象，因此项目预算执行的准确性还有待加强，同时分析手段和技术水平.上还有待完善。</w:t>
      </w:r>
    </w:p>
    <w:p>
      <w:pPr>
        <w:spacing w:line="58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八、下一步改进措施</w:t>
      </w:r>
    </w:p>
    <w:p>
      <w:pPr>
        <w:spacing w:line="580" w:lineRule="exact"/>
        <w:ind w:firstLine="640" w:firstLineChars="200"/>
        <w:rPr>
          <w:rFonts w:hint="eastAsia" w:ascii="仿宋_GB2312" w:hAnsi="Times New Roman" w:eastAsia="仿宋_GB2312" w:cs="Times New Roman"/>
          <w:color w:val="000000" w:themeColor="text1"/>
          <w:sz w:val="32"/>
          <w:szCs w:val="32"/>
          <w14:textFill>
            <w14:solidFill>
              <w14:schemeClr w14:val="tx1"/>
            </w14:solidFill>
          </w14:textFill>
        </w:rPr>
      </w:pPr>
      <w:r>
        <w:rPr>
          <w:rFonts w:ascii="仿宋_GB2312" w:hAnsi="Times New Roman" w:eastAsia="仿宋_GB2312" w:cs="Times New Roman"/>
          <w:color w:val="000000" w:themeColor="text1"/>
          <w:sz w:val="32"/>
          <w:szCs w:val="32"/>
          <w14:textFill>
            <w14:solidFill>
              <w14:schemeClr w14:val="tx1"/>
            </w14:solidFill>
          </w14:textFill>
        </w:rPr>
        <w:t>1、从源头上强化对专项资金预算管理。实行专项资金预算管理，结合单位实际，按轻重缓急统筹安排编制预算，提高预算编制科学性和合理性，优化资金结构。</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w:t>
      </w:r>
      <w:r>
        <w:rPr>
          <w:rFonts w:ascii="仿宋_GB2312" w:hAnsi="Times New Roman" w:eastAsia="仿宋_GB2312" w:cs="Times New Roman"/>
          <w:color w:val="000000" w:themeColor="text1"/>
          <w:sz w:val="32"/>
          <w:szCs w:val="32"/>
          <w14:textFill>
            <w14:solidFill>
              <w14:schemeClr w14:val="tx1"/>
            </w14:solidFill>
          </w14:textFill>
        </w:rPr>
        <w:t>、按时间进度分解资金使用计划。专项资金的使用，要事前做计划，事中进行控制，事后总结提高。合理安排资金使用，充分体现资金投向的目标和效益。</w:t>
      </w:r>
    </w:p>
    <w:p>
      <w:pPr>
        <w:spacing w:line="58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九、绩效自评结果拟应用和公开情况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按文件要求在指定网站上进行公开。</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十、其他需要说明的情况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widowControl/>
        <w:spacing w:line="6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附件1：2021年度部门整体支出绩效评价基础数据表</w:t>
      </w:r>
    </w:p>
    <w:p>
      <w:pPr>
        <w:widowControl/>
        <w:spacing w:line="600" w:lineRule="exact"/>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附件2：2021年度部门整体支出绩效自评表</w:t>
      </w: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widowControl/>
        <w:spacing w:line="600" w:lineRule="exact"/>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附件1</w:t>
      </w:r>
    </w:p>
    <w:p>
      <w:pPr>
        <w:widowControl/>
        <w:spacing w:line="600" w:lineRule="exact"/>
        <w:jc w:val="center"/>
        <w:rPr>
          <w:rFonts w:ascii="微软雅黑" w:hAnsi="微软雅黑" w:eastAsia="微软雅黑" w:cs="微软雅黑"/>
          <w:color w:val="000000" w:themeColor="text1"/>
          <w:kern w:val="0"/>
          <w:sz w:val="28"/>
          <w:szCs w:val="28"/>
          <w14:textFill>
            <w14:solidFill>
              <w14:schemeClr w14:val="tx1"/>
            </w14:solidFill>
          </w14:textFill>
        </w:rPr>
      </w:pPr>
      <w:r>
        <w:rPr>
          <w:rFonts w:hint="eastAsia" w:ascii="方正小标宋简体" w:hAnsi="Times New Roman" w:eastAsia="方正小标宋简体"/>
          <w:color w:val="000000" w:themeColor="text1"/>
          <w:kern w:val="0"/>
          <w:sz w:val="40"/>
          <w:szCs w:val="40"/>
          <w14:textFill>
            <w14:solidFill>
              <w14:schemeClr w14:val="tx1"/>
            </w14:solidFill>
          </w14:textFill>
        </w:rPr>
        <w:t>2021年度部门整体支出绩效评价基础数据表</w:t>
      </w:r>
    </w:p>
    <w:p>
      <w:pPr>
        <w:spacing w:line="600" w:lineRule="exact"/>
        <w:jc w:val="center"/>
        <w:rPr>
          <w:rFonts w:ascii="仿宋" w:hAnsi="仿宋" w:eastAsia="仿宋" w:cs="仿宋"/>
          <w:b/>
          <w:bCs/>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36"/>
          <w:szCs w:val="36"/>
          <w14:textFill>
            <w14:solidFill>
              <w14:schemeClr w14:val="tx1"/>
            </w14:solidFill>
          </w14:textFill>
        </w:rPr>
        <w:t>湖南省质量技术评审中心</w:t>
      </w:r>
    </w:p>
    <w:tbl>
      <w:tblPr>
        <w:tblStyle w:val="7"/>
        <w:tblW w:w="4998" w:type="pct"/>
        <w:jc w:val="center"/>
        <w:tblLayout w:type="autofit"/>
        <w:tblCellMar>
          <w:top w:w="0" w:type="dxa"/>
          <w:left w:w="108" w:type="dxa"/>
          <w:bottom w:w="0" w:type="dxa"/>
          <w:right w:w="108" w:type="dxa"/>
        </w:tblCellMar>
      </w:tblPr>
      <w:tblGrid>
        <w:gridCol w:w="3919"/>
        <w:gridCol w:w="2217"/>
        <w:gridCol w:w="2377"/>
        <w:gridCol w:w="2165"/>
      </w:tblGrid>
      <w:tr>
        <w:tblPrEx>
          <w:tblCellMar>
            <w:top w:w="0" w:type="dxa"/>
            <w:left w:w="108" w:type="dxa"/>
            <w:bottom w:w="0" w:type="dxa"/>
            <w:right w:w="108" w:type="dxa"/>
          </w:tblCellMar>
        </w:tblPrEx>
        <w:trPr>
          <w:trHeight w:val="510" w:hRule="atLeast"/>
          <w:jc w:val="center"/>
        </w:trPr>
        <w:tc>
          <w:tcPr>
            <w:tcW w:w="1835"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财政供养人员情况</w:t>
            </w:r>
          </w:p>
        </w:tc>
        <w:tc>
          <w:tcPr>
            <w:tcW w:w="1038" w:type="pct"/>
            <w:tcBorders>
              <w:top w:val="single" w:color="auto" w:sz="4" w:space="0"/>
              <w:left w:val="nil"/>
              <w:bottom w:val="nil"/>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编制数</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2021年</w:t>
            </w:r>
          </w:p>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实际在职人数</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控制率</w:t>
            </w:r>
          </w:p>
        </w:tc>
      </w:tr>
      <w:tr>
        <w:tblPrEx>
          <w:tblCellMar>
            <w:top w:w="0" w:type="dxa"/>
            <w:left w:w="108" w:type="dxa"/>
            <w:bottom w:w="0" w:type="dxa"/>
            <w:right w:w="108" w:type="dxa"/>
          </w:tblCellMar>
        </w:tblPrEx>
        <w:trPr>
          <w:trHeight w:val="510" w:hRule="atLeast"/>
          <w:jc w:val="center"/>
        </w:trPr>
        <w:tc>
          <w:tcPr>
            <w:tcW w:w="1835" w:type="pct"/>
            <w:vMerge w:val="continue"/>
            <w:tcBorders>
              <w:left w:val="single" w:color="auto" w:sz="4" w:space="0"/>
              <w:bottom w:val="nil"/>
              <w:right w:val="single" w:color="auto" w:sz="4" w:space="0"/>
            </w:tcBorders>
            <w:vAlign w:val="center"/>
          </w:tcPr>
          <w:p>
            <w:pPr>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nil"/>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11</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11</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yellow"/>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100%</w:t>
            </w:r>
          </w:p>
        </w:tc>
      </w:tr>
      <w:tr>
        <w:tblPrEx>
          <w:tblCellMar>
            <w:top w:w="0" w:type="dxa"/>
            <w:left w:w="108" w:type="dxa"/>
            <w:bottom w:w="0" w:type="dxa"/>
            <w:right w:w="108" w:type="dxa"/>
          </w:tblCellMar>
        </w:tblPrEx>
        <w:trPr>
          <w:trHeight w:val="510" w:hRule="atLeast"/>
          <w:jc w:val="center"/>
        </w:trPr>
        <w:tc>
          <w:tcPr>
            <w:tcW w:w="1835"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经费控制情况（万元）</w:t>
            </w:r>
          </w:p>
        </w:tc>
        <w:tc>
          <w:tcPr>
            <w:tcW w:w="1038" w:type="pct"/>
            <w:tcBorders>
              <w:top w:val="single" w:color="auto" w:sz="4" w:space="0"/>
              <w:left w:val="nil"/>
              <w:bottom w:val="nil"/>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2020年决算数</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2021年预算数</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2021年决算数</w:t>
            </w:r>
          </w:p>
        </w:tc>
      </w:tr>
      <w:tr>
        <w:tblPrEx>
          <w:tblCellMar>
            <w:top w:w="0" w:type="dxa"/>
            <w:left w:w="108" w:type="dxa"/>
            <w:bottom w:w="0" w:type="dxa"/>
            <w:right w:w="108" w:type="dxa"/>
          </w:tblCellMar>
        </w:tblPrEx>
        <w:trPr>
          <w:trHeight w:val="510" w:hRule="atLeast"/>
          <w:jc w:val="center"/>
        </w:trPr>
        <w:tc>
          <w:tcPr>
            <w:tcW w:w="1835" w:type="pct"/>
            <w:vMerge w:val="continue"/>
            <w:tcBorders>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r>
      <w:tr>
        <w:tblPrEx>
          <w:tblCellMar>
            <w:top w:w="0" w:type="dxa"/>
            <w:left w:w="108" w:type="dxa"/>
            <w:bottom w:w="0" w:type="dxa"/>
            <w:right w:w="108" w:type="dxa"/>
          </w:tblCellMar>
        </w:tblPrEx>
        <w:trPr>
          <w:trHeight w:val="510" w:hRule="atLeast"/>
          <w:jc w:val="center"/>
        </w:trPr>
        <w:tc>
          <w:tcPr>
            <w:tcW w:w="1835"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三公经费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0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xml:space="preserve">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1、公务用车购置和维护经费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w:t>
            </w: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其中：公车购置</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公车运行维护</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2、出国经费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3、公务接待</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项目支出：</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10.00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10.10</w:t>
            </w: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44.92</w:t>
            </w: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1、业务工作经费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10.00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10.10</w:t>
            </w: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44.92</w:t>
            </w: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2、运行维护经费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3、省级专项资金</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公用经费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60.38</w:t>
            </w:r>
            <w:r>
              <w:rPr>
                <w:rFonts w:hint="eastAsia" w:ascii="仿宋_GB2312" w:hAnsi="仿宋_GB2312" w:eastAsia="仿宋_GB2312" w:cs="仿宋_GB2312"/>
                <w:color w:val="000000" w:themeColor="text1"/>
                <w:kern w:val="0"/>
                <w:sz w:val="24"/>
                <w14:textFill>
                  <w14:solidFill>
                    <w14:schemeClr w14:val="tx1"/>
                  </w14:solidFill>
                </w14:textFill>
              </w:rPr>
              <w:t xml:space="preserve">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46.71</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 xml:space="preserve">14.83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其中：办公经费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6.96</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8.00</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2.06</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水费、电费、差旅费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32.18</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5.00</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27.74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会议费、培训费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12.68</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0.00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1.48</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政府采购金额</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0.00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0.00　</w:t>
            </w:r>
          </w:p>
        </w:tc>
        <w:tc>
          <w:tcPr>
            <w:tcW w:w="1014" w:type="pct"/>
            <w:tcBorders>
              <w:top w:val="single" w:color="auto" w:sz="4" w:space="0"/>
              <w:left w:val="nil"/>
              <w:bottom w:val="single" w:color="auto" w:sz="4" w:space="0"/>
              <w:right w:val="single" w:color="000000"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0.00　</w:t>
            </w:r>
          </w:p>
        </w:tc>
      </w:tr>
      <w:tr>
        <w:tblPrEx>
          <w:tblCellMar>
            <w:top w:w="0" w:type="dxa"/>
            <w:left w:w="108" w:type="dxa"/>
            <w:bottom w:w="0" w:type="dxa"/>
            <w:right w:w="108" w:type="dxa"/>
          </w:tblCellMar>
        </w:tblPrEx>
        <w:trPr>
          <w:trHeight w:val="510" w:hRule="atLeast"/>
          <w:jc w:val="center"/>
        </w:trPr>
        <w:tc>
          <w:tcPr>
            <w:tcW w:w="1835"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部门基本支出预算调整 </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b/>
                <w:bCs/>
                <w:color w:val="000000" w:themeColor="text1"/>
                <w:kern w:val="0"/>
                <w:sz w:val="24"/>
                <w14:textFill>
                  <w14:solidFill>
                    <w14:schemeClr w14:val="tx1"/>
                  </w14:solidFill>
                </w14:textFill>
              </w:rPr>
            </w:pP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000000" w:sz="4" w:space="0"/>
            </w:tcBorders>
            <w:vAlign w:val="center"/>
          </w:tcPr>
          <w:p>
            <w:pPr>
              <w:widowControl/>
              <w:spacing w:line="300" w:lineRule="exact"/>
              <w:jc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5"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楼堂馆所控制情况</w:t>
            </w:r>
          </w:p>
        </w:tc>
        <w:tc>
          <w:tcPr>
            <w:tcW w:w="3165" w:type="pct"/>
            <w:gridSpan w:val="3"/>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35"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（2021年完工项目）</w:t>
            </w:r>
          </w:p>
        </w:tc>
        <w:tc>
          <w:tcPr>
            <w:tcW w:w="3165" w:type="pct"/>
            <w:gridSpan w:val="3"/>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p>
        </w:tc>
      </w:tr>
    </w:tbl>
    <w:p>
      <w:pPr>
        <w:rPr>
          <w:rFonts w:hint="eastAsia"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br w:type="page"/>
      </w:r>
    </w:p>
    <w:p>
      <w:pPr>
        <w:widowControl/>
        <w:spacing w:line="600" w:lineRule="exact"/>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附件2</w:t>
      </w:r>
    </w:p>
    <w:p>
      <w:pPr>
        <w:widowControl/>
        <w:spacing w:line="600" w:lineRule="exact"/>
        <w:jc w:val="center"/>
        <w:rPr>
          <w:rFonts w:ascii="方正小标宋简体" w:hAnsi="Times New Roman" w:eastAsia="方正小标宋简体"/>
          <w:color w:val="000000" w:themeColor="text1"/>
          <w:kern w:val="0"/>
          <w:sz w:val="40"/>
          <w:szCs w:val="40"/>
          <w14:textFill>
            <w14:solidFill>
              <w14:schemeClr w14:val="tx1"/>
            </w14:solidFill>
          </w14:textFill>
        </w:rPr>
      </w:pPr>
      <w:r>
        <w:rPr>
          <w:rFonts w:hint="eastAsia" w:ascii="方正小标宋简体" w:hAnsi="Times New Roman" w:eastAsia="方正小标宋简体"/>
          <w:color w:val="000000" w:themeColor="text1"/>
          <w:kern w:val="0"/>
          <w:sz w:val="40"/>
          <w:szCs w:val="40"/>
          <w14:textFill>
            <w14:solidFill>
              <w14:schemeClr w14:val="tx1"/>
            </w14:solidFill>
          </w14:textFill>
        </w:rPr>
        <w:t>2021年度部门整体支出绩效自评表</w:t>
      </w:r>
    </w:p>
    <w:tbl>
      <w:tblPr>
        <w:tblStyle w:val="7"/>
        <w:tblW w:w="9851" w:type="dxa"/>
        <w:jc w:val="center"/>
        <w:tblLayout w:type="fixed"/>
        <w:tblCellMar>
          <w:top w:w="0" w:type="dxa"/>
          <w:left w:w="108" w:type="dxa"/>
          <w:bottom w:w="0" w:type="dxa"/>
          <w:right w:w="108" w:type="dxa"/>
        </w:tblCellMar>
      </w:tblPr>
      <w:tblGrid>
        <w:gridCol w:w="839"/>
        <w:gridCol w:w="1215"/>
        <w:gridCol w:w="660"/>
        <w:gridCol w:w="210"/>
        <w:gridCol w:w="1078"/>
        <w:gridCol w:w="1127"/>
        <w:gridCol w:w="336"/>
        <w:gridCol w:w="714"/>
        <w:gridCol w:w="382"/>
        <w:gridCol w:w="518"/>
        <w:gridCol w:w="578"/>
        <w:gridCol w:w="82"/>
        <w:gridCol w:w="585"/>
        <w:gridCol w:w="429"/>
        <w:gridCol w:w="1098"/>
      </w:tblGrid>
      <w:tr>
        <w:tblPrEx>
          <w:tblCellMar>
            <w:top w:w="0" w:type="dxa"/>
            <w:left w:w="108" w:type="dxa"/>
            <w:bottom w:w="0" w:type="dxa"/>
            <w:right w:w="108" w:type="dxa"/>
          </w:tblCellMar>
        </w:tblPrEx>
        <w:trPr>
          <w:jc w:val="center"/>
        </w:trPr>
        <w:tc>
          <w:tcPr>
            <w:tcW w:w="8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省级</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部门</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名称</w:t>
            </w:r>
          </w:p>
        </w:tc>
        <w:tc>
          <w:tcPr>
            <w:tcW w:w="9012" w:type="dxa"/>
            <w:gridSpan w:val="1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湖南省质量技术评审中心</w:t>
            </w:r>
          </w:p>
        </w:tc>
      </w:tr>
      <w:tr>
        <w:tblPrEx>
          <w:tblCellMar>
            <w:top w:w="0" w:type="dxa"/>
            <w:left w:w="108" w:type="dxa"/>
            <w:bottom w:w="0" w:type="dxa"/>
            <w:right w:w="108" w:type="dxa"/>
          </w:tblCellMar>
        </w:tblPrEx>
        <w:trPr>
          <w:trHeight w:val="147" w:hRule="atLeast"/>
          <w:jc w:val="center"/>
        </w:trPr>
        <w:tc>
          <w:tcPr>
            <w:tcW w:w="839"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申请</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（万元）</w:t>
            </w:r>
          </w:p>
        </w:tc>
        <w:tc>
          <w:tcPr>
            <w:tcW w:w="1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年初</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预算数</w:t>
            </w:r>
          </w:p>
        </w:tc>
        <w:tc>
          <w:tcPr>
            <w:tcW w:w="14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执行数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分值</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执行率</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得分</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color w:val="000000" w:themeColor="text1"/>
                <w14:textFill>
                  <w14:solidFill>
                    <w14:schemeClr w14:val="tx1"/>
                  </w14:solidFill>
                </w14:textFill>
              </w:rPr>
            </w:pPr>
          </w:p>
        </w:tc>
        <w:tc>
          <w:tcPr>
            <w:tcW w:w="1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年度资金总额</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278.84</w:t>
            </w:r>
          </w:p>
        </w:tc>
        <w:tc>
          <w:tcPr>
            <w:tcW w:w="14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390.46</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372.12</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95.30%</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按收入性质分：</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按支出性质分：</w:t>
            </w:r>
          </w:p>
        </w:tc>
      </w:tr>
      <w:tr>
        <w:tblPrEx>
          <w:tblCellMar>
            <w:top w:w="0" w:type="dxa"/>
            <w:left w:w="108" w:type="dxa"/>
            <w:bottom w:w="0" w:type="dxa"/>
            <w:right w:w="108" w:type="dxa"/>
          </w:tblCellMar>
        </w:tblPrEx>
        <w:trPr>
          <w:trHeight w:val="90"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其中：  一般公共预算：</w:t>
            </w:r>
            <w:r>
              <w:rPr>
                <w:rFonts w:ascii="Times New Roman" w:hAnsi="Times New Roman" w:eastAsia="仿宋_GB2312"/>
                <w:color w:val="000000" w:themeColor="text1"/>
                <w:kern w:val="0"/>
                <w:szCs w:val="21"/>
                <w14:textFill>
                  <w14:solidFill>
                    <w14:schemeClr w14:val="tx1"/>
                  </w14:solidFill>
                </w14:textFill>
              </w:rPr>
              <w:t>268.81</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其中：基本支出：</w:t>
            </w:r>
            <w:r>
              <w:rPr>
                <w:rFonts w:ascii="Times New Roman" w:hAnsi="Times New Roman" w:eastAsia="仿宋_GB2312"/>
                <w:color w:val="000000" w:themeColor="text1"/>
                <w:kern w:val="0"/>
                <w:szCs w:val="21"/>
                <w14:textFill>
                  <w14:solidFill>
                    <w14:schemeClr w14:val="tx1"/>
                  </w14:solidFill>
                </w14:textFill>
              </w:rPr>
              <w:t>206.03</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ind w:firstLine="840" w:firstLineChars="400"/>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政府性基金拨款：0.00</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ind w:firstLine="630" w:firstLineChars="300"/>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项目支出：</w:t>
            </w:r>
            <w:r>
              <w:rPr>
                <w:rFonts w:ascii="Times New Roman" w:hAnsi="Times New Roman" w:eastAsia="仿宋_GB2312"/>
                <w:color w:val="000000" w:themeColor="text1"/>
                <w:kern w:val="0"/>
                <w:szCs w:val="21"/>
                <w14:textFill>
                  <w14:solidFill>
                    <w14:schemeClr w14:val="tx1"/>
                  </w14:solidFill>
                </w14:textFill>
              </w:rPr>
              <w:t>44.92</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纳入专户管理的非税收入拨款：</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其他资金：</w:t>
            </w:r>
            <w:r>
              <w:rPr>
                <w:rFonts w:ascii="Times New Roman" w:hAnsi="Times New Roman" w:eastAsia="仿宋_GB2312"/>
                <w:color w:val="000000" w:themeColor="text1"/>
                <w:kern w:val="0"/>
                <w:szCs w:val="21"/>
                <w14:textFill>
                  <w14:solidFill>
                    <w14:schemeClr w14:val="tx1"/>
                  </w14:solidFill>
                </w14:textFill>
              </w:rPr>
              <w:t>121.17</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总体</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目标</w:t>
            </w:r>
          </w:p>
        </w:tc>
        <w:tc>
          <w:tcPr>
            <w:tcW w:w="5340"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预期目标</w:t>
            </w:r>
          </w:p>
        </w:tc>
        <w:tc>
          <w:tcPr>
            <w:tcW w:w="3672"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实际完成情况　</w:t>
            </w:r>
          </w:p>
        </w:tc>
      </w:tr>
      <w:tr>
        <w:tblPrEx>
          <w:tblCellMar>
            <w:top w:w="0" w:type="dxa"/>
            <w:left w:w="108" w:type="dxa"/>
            <w:bottom w:w="0" w:type="dxa"/>
            <w:right w:w="108" w:type="dxa"/>
          </w:tblCellMar>
        </w:tblPrEx>
        <w:trPr>
          <w:trHeight w:val="3835" w:hRule="atLeast"/>
          <w:jc w:val="center"/>
        </w:trPr>
        <w:tc>
          <w:tcPr>
            <w:tcW w:w="8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5340"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left"/>
              <w:rPr>
                <w:rFonts w:hAnsi="宋体"/>
                <w:color w:val="000000" w:themeColor="text1"/>
                <w:szCs w:val="21"/>
                <w14:textFill>
                  <w14:solidFill>
                    <w14:schemeClr w14:val="tx1"/>
                  </w14:solidFill>
                </w14:textFill>
              </w:rPr>
            </w:pPr>
          </w:p>
        </w:tc>
        <w:tc>
          <w:tcPr>
            <w:tcW w:w="3672"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标</w:t>
            </w:r>
          </w:p>
        </w:tc>
        <w:tc>
          <w:tcPr>
            <w:tcW w:w="121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一级指标</w:t>
            </w:r>
          </w:p>
        </w:tc>
        <w:tc>
          <w:tcPr>
            <w:tcW w:w="87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二级</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三级指标</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指标值</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实际</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完成值</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分值</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得分</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偏差原因</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分析及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改进措施</w:t>
            </w:r>
          </w:p>
        </w:tc>
      </w:tr>
      <w:tr>
        <w:tblPrEx>
          <w:tblCellMar>
            <w:top w:w="0" w:type="dxa"/>
            <w:left w:w="108" w:type="dxa"/>
            <w:bottom w:w="0" w:type="dxa"/>
            <w:right w:w="108" w:type="dxa"/>
          </w:tblCellMar>
        </w:tblPrEx>
        <w:trPr>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产出指标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w:t>
            </w:r>
            <w:r>
              <w:rPr>
                <w:rFonts w:hint="eastAsia" w:ascii="Times New Roman" w:hAnsi="Times New Roman" w:eastAsia="仿宋_GB2312"/>
                <w:color w:val="000000" w:themeColor="text1"/>
                <w:kern w:val="0"/>
                <w:szCs w:val="21"/>
                <w14:textFill>
                  <w14:solidFill>
                    <w14:schemeClr w14:val="tx1"/>
                  </w14:solidFill>
                </w14:textFill>
              </w:rPr>
              <w:t>4</w:t>
            </w:r>
            <w:r>
              <w:rPr>
                <w:rFonts w:ascii="Times New Roman" w:hAnsi="Times New Roman" w:eastAsia="仿宋_GB2312"/>
                <w:color w:val="000000" w:themeColor="text1"/>
                <w:kern w:val="0"/>
                <w:szCs w:val="21"/>
                <w14:textFill>
                  <w14:solidFill>
                    <w14:schemeClr w14:val="tx1"/>
                  </w14:solidFill>
                </w14:textFill>
              </w:rPr>
              <w:t>0分)</w:t>
            </w:r>
          </w:p>
        </w:tc>
        <w:tc>
          <w:tcPr>
            <w:tcW w:w="87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数量</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网上业务咨询受理</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650件</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666</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安排各类许可审查检查</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500家</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516家</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认证“双随机、一公开”监督检查</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130家</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140家</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20" w:hRule="atLeast"/>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下达检验检测机构资质认定评审</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60家</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59家</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质量</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质量、环境、职业健康安全、食品安全管理体系证书</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100张</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112张</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hint="eastAsia"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TS16949汽车行业质量管理体系、ISO20000信息技术服务管理体系、ISO27001信息安全管理体系证书</w:t>
            </w:r>
          </w:p>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100张</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123张</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top w:val="single" w:color="auto" w:sz="4" w:space="0"/>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时效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各项任务按期完成率</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7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已完成提交发证</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61家</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59家</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2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hint="eastAsia" w:ascii="Times New Roman" w:hAnsi="Times New Roman" w:eastAsia="仿宋_GB2312"/>
                <w:color w:val="000000" w:themeColor="text1"/>
                <w:kern w:val="0"/>
                <w:szCs w:val="21"/>
                <w14:textFill>
                  <w14:solidFill>
                    <w14:schemeClr w14:val="tx1"/>
                  </w14:solidFill>
                </w14:textFill>
              </w:rPr>
            </w:pPr>
          </w:p>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自筹资金到位率</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效益指标</w:t>
            </w:r>
          </w:p>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（30分）</w:t>
            </w: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经济</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项目收入（该项目本年度产生的利润情况）</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100万元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s="Times New Roman"/>
                <w:color w:val="000000" w:themeColor="text1"/>
                <w:kern w:val="0"/>
                <w:sz w:val="22"/>
                <w14:textFill>
                  <w14:solidFill>
                    <w14:schemeClr w14:val="tx1"/>
                  </w14:solidFill>
                </w14:textFill>
              </w:rPr>
              <w:t>121.17</w:t>
            </w:r>
            <w:r>
              <w:rPr>
                <w:rFonts w:hint="eastAsia" w:ascii="Times New Roman" w:hAnsi="Times New Roman" w:eastAsia="仿宋_GB2312" w:cs="Times New Roman"/>
                <w:color w:val="000000" w:themeColor="text1"/>
                <w:kern w:val="0"/>
                <w:sz w:val="22"/>
                <w14:textFill>
                  <w14:solidFill>
                    <w14:schemeClr w14:val="tx1"/>
                  </w14:solidFill>
                </w14:textFill>
              </w:rPr>
              <w:t>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86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利润收入（该项目本年度产生的利润情况）</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20万元</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21.17万元</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86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hint="eastAsia"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经费控制在预算内</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hint="eastAsia"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390.46</w:t>
            </w:r>
            <w:r>
              <w:rPr>
                <w:rFonts w:hint="eastAsia" w:ascii="Times New Roman" w:hAnsi="Times New Roman" w:eastAsia="仿宋_GB2312"/>
                <w:color w:val="000000" w:themeColor="text1"/>
                <w:kern w:val="0"/>
                <w:szCs w:val="21"/>
                <w14:textFill>
                  <w14:solidFill>
                    <w14:schemeClr w14:val="tx1"/>
                  </w14:solidFill>
                </w14:textFill>
              </w:rPr>
              <w:t>万元</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hint="eastAsia" w:ascii="Times New Roman" w:hAnsi="Times New Roman" w:eastAsia="仿宋_GB2312" w:cs="Times New Roman"/>
                <w:color w:val="000000" w:themeColor="text1"/>
                <w:kern w:val="0"/>
                <w:sz w:val="22"/>
                <w14:textFill>
                  <w14:solidFill>
                    <w14:schemeClr w14:val="tx1"/>
                  </w14:solidFill>
                </w14:textFill>
              </w:rPr>
            </w:pPr>
            <w:r>
              <w:rPr>
                <w:rFonts w:ascii="Times New Roman" w:hAnsi="Times New Roman" w:eastAsia="仿宋_GB2312" w:cs="Times New Roman"/>
                <w:color w:val="000000" w:themeColor="text1"/>
                <w:kern w:val="0"/>
                <w:sz w:val="22"/>
                <w14:textFill>
                  <w14:solidFill>
                    <w14:schemeClr w14:val="tx1"/>
                  </w14:solidFill>
                </w14:textFill>
              </w:rPr>
              <w:t>372.12</w:t>
            </w:r>
            <w:r>
              <w:rPr>
                <w:rFonts w:hint="eastAsia" w:ascii="Times New Roman" w:hAnsi="Times New Roman" w:eastAsia="仿宋_GB2312" w:cs="Times New Roman"/>
                <w:color w:val="000000" w:themeColor="text1"/>
                <w:kern w:val="0"/>
                <w:sz w:val="22"/>
                <w14:textFill>
                  <w14:solidFill>
                    <w14:schemeClr w14:val="tx1"/>
                  </w14:solidFill>
                </w14:textFill>
              </w:rPr>
              <w:t>万元</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hint="eastAsia"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hint="eastAsia"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3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社会</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自愿性认证组织</w:t>
            </w:r>
          </w:p>
        </w:tc>
        <w:tc>
          <w:tcPr>
            <w:tcW w:w="105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100家</w:t>
            </w:r>
          </w:p>
        </w:tc>
        <w:tc>
          <w:tcPr>
            <w:tcW w:w="90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121家</w:t>
            </w:r>
          </w:p>
        </w:tc>
        <w:tc>
          <w:tcPr>
            <w:tcW w:w="66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66"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强制性认证组织</w:t>
            </w:r>
          </w:p>
        </w:tc>
        <w:tc>
          <w:tcPr>
            <w:tcW w:w="1050" w:type="dxa"/>
            <w:gridSpan w:val="2"/>
            <w:tcBorders>
              <w:top w:val="nil"/>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20家</w:t>
            </w:r>
          </w:p>
        </w:tc>
        <w:tc>
          <w:tcPr>
            <w:tcW w:w="900" w:type="dxa"/>
            <w:gridSpan w:val="2"/>
            <w:tcBorders>
              <w:top w:val="nil"/>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19</w:t>
            </w:r>
          </w:p>
        </w:tc>
        <w:tc>
          <w:tcPr>
            <w:tcW w:w="660" w:type="dxa"/>
            <w:gridSpan w:val="2"/>
            <w:tcBorders>
              <w:top w:val="nil"/>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w:t>
            </w:r>
          </w:p>
        </w:tc>
        <w:tc>
          <w:tcPr>
            <w:tcW w:w="1527" w:type="dxa"/>
            <w:gridSpan w:val="2"/>
            <w:tcBorders>
              <w:top w:val="nil"/>
              <w:left w:val="nil"/>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30" w:hRule="atLeast"/>
          <w:jc w:val="center"/>
        </w:trPr>
        <w:tc>
          <w:tcPr>
            <w:tcW w:w="839"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标</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可持续影响指标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（10分）</w:t>
            </w:r>
          </w:p>
        </w:tc>
        <w:tc>
          <w:tcPr>
            <w:tcW w:w="870"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可持</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续影</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响</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重大投诉</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9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0</w:t>
            </w:r>
          </w:p>
        </w:tc>
        <w:tc>
          <w:tcPr>
            <w:tcW w:w="6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3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评审质量事故</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7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满意度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p>
            <w:pPr>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（10分）</w:t>
            </w:r>
          </w:p>
        </w:tc>
        <w:tc>
          <w:tcPr>
            <w:tcW w:w="870" w:type="dxa"/>
            <w:gridSpan w:val="2"/>
            <w:vMerge w:val="restart"/>
            <w:tcBorders>
              <w:top w:val="single" w:color="auto" w:sz="4" w:space="0"/>
              <w:left w:val="nil"/>
              <w:right w:val="single" w:color="auto" w:sz="4" w:space="0"/>
            </w:tcBorders>
            <w:shd w:val="clear" w:color="auto" w:fill="auto"/>
            <w:vAlign w:val="center"/>
          </w:tcPr>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服务</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对象</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满意</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度</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认证机构评价</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85" w:hRule="atLeast"/>
          <w:jc w:val="center"/>
        </w:trPr>
        <w:tc>
          <w:tcPr>
            <w:tcW w:w="839" w:type="dxa"/>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nil"/>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bottom w:val="single" w:color="auto" w:sz="4" w:space="0"/>
              <w:right w:val="single" w:color="auto" w:sz="4" w:space="0"/>
            </w:tcBorders>
            <w:shd w:val="clear" w:color="auto" w:fill="auto"/>
            <w:vAlign w:val="center"/>
          </w:tcPr>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认定企业评价</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50" w:hRule="atLeast"/>
          <w:jc w:val="center"/>
        </w:trPr>
        <w:tc>
          <w:tcPr>
            <w:tcW w:w="7079" w:type="dxa"/>
            <w:gridSpan w:val="10"/>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总分</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100</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98</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填表人：        填报日期：          联系电话：           单位负责人签字：</w:t>
      </w:r>
    </w:p>
    <w:p>
      <w:pPr>
        <w:rPr>
          <w:color w:val="000000" w:themeColor="text1"/>
          <w14:textFill>
            <w14:solidFill>
              <w14:schemeClr w14:val="tx1"/>
            </w14:solidFill>
          </w14:textFill>
        </w:rPr>
      </w:pPr>
    </w:p>
    <w:p>
      <w:pPr>
        <w:ind w:firstLine="640" w:firstLineChars="200"/>
        <w:jc w:val="left"/>
        <w:rPr>
          <w:rFonts w:cs="黑体" w:asciiTheme="minorEastAsia" w:hAnsiTheme="minorEastAsia"/>
          <w:color w:val="000000" w:themeColor="text1"/>
          <w:kern w:val="0"/>
          <w:sz w:val="32"/>
          <w:szCs w:val="32"/>
          <w14:textFill>
            <w14:solidFill>
              <w14:schemeClr w14:val="tx1"/>
            </w14:solidFill>
          </w14:textFill>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仿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2F3FBF"/>
    <w:multiLevelType w:val="singleLevel"/>
    <w:tmpl w:val="6E2F3FB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5YjBlOGViNDQwYTdkODFjNjI3NzUzYmZhOTA5NjA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5B082F"/>
    <w:rsid w:val="06DF3FC3"/>
    <w:rsid w:val="08AE2D60"/>
    <w:rsid w:val="0BA11D6D"/>
    <w:rsid w:val="0FB636A9"/>
    <w:rsid w:val="12CA5B28"/>
    <w:rsid w:val="1A7F2BA1"/>
    <w:rsid w:val="1D3A0DA9"/>
    <w:rsid w:val="1E5B1707"/>
    <w:rsid w:val="22EB72EC"/>
    <w:rsid w:val="25E33E3D"/>
    <w:rsid w:val="26B15BC6"/>
    <w:rsid w:val="292B1AFC"/>
    <w:rsid w:val="2A157EC8"/>
    <w:rsid w:val="2B714F0E"/>
    <w:rsid w:val="2C362D7B"/>
    <w:rsid w:val="326673D2"/>
    <w:rsid w:val="32C35DD8"/>
    <w:rsid w:val="347E08EA"/>
    <w:rsid w:val="36415AEF"/>
    <w:rsid w:val="369D6EEF"/>
    <w:rsid w:val="374B7707"/>
    <w:rsid w:val="3801286A"/>
    <w:rsid w:val="39B54250"/>
    <w:rsid w:val="3B7711C4"/>
    <w:rsid w:val="3CC0462F"/>
    <w:rsid w:val="3D1D0093"/>
    <w:rsid w:val="3FE910E5"/>
    <w:rsid w:val="4EF07C2A"/>
    <w:rsid w:val="562C0154"/>
    <w:rsid w:val="56DF5225"/>
    <w:rsid w:val="591331DD"/>
    <w:rsid w:val="59AD31BD"/>
    <w:rsid w:val="5C015819"/>
    <w:rsid w:val="5D246ADA"/>
    <w:rsid w:val="5E51200E"/>
    <w:rsid w:val="5E627AF1"/>
    <w:rsid w:val="5F55164C"/>
    <w:rsid w:val="5FD5A51E"/>
    <w:rsid w:val="630A30B5"/>
    <w:rsid w:val="633069D1"/>
    <w:rsid w:val="63AF0FFB"/>
    <w:rsid w:val="67B14460"/>
    <w:rsid w:val="6D6B5502"/>
    <w:rsid w:val="6EE926DB"/>
    <w:rsid w:val="739131A8"/>
    <w:rsid w:val="74064084"/>
    <w:rsid w:val="76412D9F"/>
    <w:rsid w:val="78F51DA1"/>
    <w:rsid w:val="7B431C03"/>
    <w:rsid w:val="7C28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footnote text"/>
    <w:basedOn w:val="1"/>
    <w:semiHidden/>
    <w:unhideWhenUsed/>
    <w:qFormat/>
    <w:uiPriority w:val="99"/>
    <w:pPr>
      <w:snapToGrid w:val="0"/>
      <w:jc w:val="left"/>
    </w:pPr>
    <w:rPr>
      <w:sz w:val="18"/>
    </w:rPr>
  </w:style>
  <w:style w:type="paragraph" w:styleId="3">
    <w:name w:val="Balloon Text"/>
    <w:basedOn w:val="1"/>
    <w:link w:val="14"/>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33</Pages>
  <Words>10802</Words>
  <Characters>13086</Characters>
  <Lines>69</Lines>
  <Paragraphs>19</Paragraphs>
  <TotalTime>1</TotalTime>
  <ScaleCrop>false</ScaleCrop>
  <LinksUpToDate>false</LinksUpToDate>
  <CharactersWithSpaces>14440</CharactersWithSpaces>
  <Application>WPS Office_11.8.2.11653_F1E327BC-269C-435d-A152-05C5408002CA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greatwall</cp:lastModifiedBy>
  <cp:lastPrinted>2022-07-27T20:55:00Z</cp:lastPrinted>
  <dcterms:modified xsi:type="dcterms:W3CDTF">2023-10-08T20:44:24Z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2052-11.8.2.11653</vt:lpwstr>
  </property>
  <property fmtid="{D5CDD505-2E9C-101B-9397-08002B2CF9AE}" pid="3" name="ICV">
    <vt:lpwstr>DAAECAE3A3A3485082703B4036E2DAF3_13</vt:lpwstr>
  </property>
</Properties>
</file>