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rFonts w:hint="eastAsia"/>
          <w:sz w:val="56"/>
          <w:szCs w:val="56"/>
        </w:rPr>
      </w:pPr>
    </w:p>
    <w:p>
      <w:pPr>
        <w:pStyle w:val="10"/>
        <w:jc w:val="center"/>
        <w:rPr>
          <w:rFonts w:hint="eastAsia"/>
          <w:sz w:val="56"/>
          <w:szCs w:val="56"/>
        </w:rPr>
      </w:pPr>
    </w:p>
    <w:p>
      <w:pPr>
        <w:pStyle w:val="10"/>
        <w:jc w:val="center"/>
        <w:rPr>
          <w:rFonts w:hint="eastAsia"/>
          <w:sz w:val="84"/>
          <w:szCs w:val="84"/>
        </w:rPr>
      </w:pPr>
    </w:p>
    <w:p>
      <w:pPr>
        <w:pStyle w:val="10"/>
        <w:jc w:val="center"/>
        <w:rPr>
          <w:rFonts w:hint="eastAsia"/>
          <w:sz w:val="84"/>
          <w:szCs w:val="84"/>
        </w:rPr>
      </w:pPr>
    </w:p>
    <w:p>
      <w:pPr>
        <w:pStyle w:val="10"/>
        <w:jc w:val="center"/>
        <w:rPr>
          <w:rFonts w:hint="eastAsia"/>
          <w:sz w:val="84"/>
          <w:szCs w:val="84"/>
        </w:rPr>
      </w:pPr>
      <w:r>
        <w:rPr>
          <w:rFonts w:hint="eastAsia"/>
          <w:sz w:val="84"/>
          <w:szCs w:val="84"/>
        </w:rPr>
        <w:t>2021年度</w:t>
      </w:r>
    </w:p>
    <w:p>
      <w:pPr>
        <w:pStyle w:val="10"/>
        <w:jc w:val="center"/>
        <w:rPr>
          <w:rFonts w:hint="eastAsia"/>
          <w:sz w:val="84"/>
          <w:szCs w:val="84"/>
        </w:rPr>
      </w:pPr>
      <w:r>
        <w:rPr>
          <w:rFonts w:hint="eastAsia"/>
          <w:sz w:val="84"/>
          <w:szCs w:val="84"/>
        </w:rPr>
        <w:t>湖南省产商品质量监督检验研究院部门决算</w:t>
      </w:r>
    </w:p>
    <w:p>
      <w:pPr>
        <w:pStyle w:val="10"/>
        <w:jc w:val="center"/>
        <w:rPr>
          <w:rFonts w:hint="eastAsia"/>
          <w:sz w:val="56"/>
          <w:szCs w:val="56"/>
        </w:rPr>
      </w:pPr>
    </w:p>
    <w:p>
      <w:pPr>
        <w:pStyle w:val="10"/>
        <w:jc w:val="center"/>
        <w:rPr>
          <w:rFonts w:hint="eastAsia"/>
          <w:sz w:val="56"/>
          <w:szCs w:val="56"/>
        </w:rPr>
      </w:pPr>
    </w:p>
    <w:p>
      <w:pPr>
        <w:pStyle w:val="10"/>
        <w:jc w:val="center"/>
        <w:rPr>
          <w:rFonts w:hint="eastAsia"/>
          <w:sz w:val="56"/>
          <w:szCs w:val="56"/>
        </w:rPr>
      </w:pPr>
    </w:p>
    <w:p>
      <w:pPr>
        <w:pStyle w:val="10"/>
        <w:jc w:val="center"/>
        <w:rPr>
          <w:rFonts w:hint="eastAsia"/>
          <w:sz w:val="56"/>
          <w:szCs w:val="56"/>
        </w:rPr>
      </w:pPr>
    </w:p>
    <w:p>
      <w:pPr>
        <w:pStyle w:val="10"/>
        <w:jc w:val="center"/>
        <w:rPr>
          <w:rFonts w:hint="eastAsia"/>
          <w:sz w:val="32"/>
          <w:szCs w:val="32"/>
        </w:rPr>
      </w:pPr>
    </w:p>
    <w:p>
      <w:pPr>
        <w:pStyle w:val="10"/>
        <w:jc w:val="center"/>
        <w:rPr>
          <w:rFonts w:hint="eastAsia"/>
          <w:sz w:val="32"/>
          <w:szCs w:val="32"/>
        </w:rPr>
      </w:pPr>
    </w:p>
    <w:p>
      <w:pPr>
        <w:pStyle w:val="10"/>
        <w:jc w:val="center"/>
        <w:rPr>
          <w:rFonts w:hint="eastAsia"/>
          <w:sz w:val="32"/>
          <w:szCs w:val="32"/>
        </w:rPr>
      </w:pPr>
    </w:p>
    <w:p>
      <w:pPr>
        <w:pStyle w:val="10"/>
        <w:jc w:val="center"/>
        <w:rPr>
          <w:rFonts w:hint="eastAsia"/>
          <w:sz w:val="32"/>
          <w:szCs w:val="32"/>
        </w:rPr>
      </w:pPr>
    </w:p>
    <w:p>
      <w:pPr>
        <w:pStyle w:val="10"/>
        <w:spacing w:line="500" w:lineRule="exact"/>
        <w:jc w:val="both"/>
        <w:rPr>
          <w:rFonts w:hint="eastAsia"/>
          <w:b/>
          <w:sz w:val="36"/>
          <w:szCs w:val="28"/>
        </w:rPr>
      </w:pPr>
    </w:p>
    <w:p>
      <w:pPr>
        <w:pStyle w:val="10"/>
        <w:spacing w:line="500" w:lineRule="exact"/>
        <w:jc w:val="both"/>
        <w:rPr>
          <w:rFonts w:hint="eastAsia"/>
          <w:b/>
          <w:sz w:val="36"/>
          <w:szCs w:val="28"/>
        </w:rPr>
      </w:pPr>
    </w:p>
    <w:p>
      <w:pPr>
        <w:pStyle w:val="10"/>
        <w:spacing w:line="500" w:lineRule="exact"/>
        <w:jc w:val="center"/>
        <w:rPr>
          <w:rFonts w:hint="eastAsia"/>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w:t>
      </w:r>
      <w:r>
        <w:rPr>
          <w:rFonts w:hint="eastAsia" w:hAnsi="仿宋_GB2312"/>
          <w:b/>
          <w:sz w:val="28"/>
          <w:szCs w:val="28"/>
        </w:rPr>
        <w:t>部分湖南省产商品质量监督检验研究院单位概况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color w:val="auto"/>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kern w:val="0"/>
          <w:sz w:val="28"/>
          <w:szCs w:val="28"/>
        </w:rPr>
        <w:t>第四部</w:t>
      </w:r>
      <w:r>
        <w:rPr>
          <w:rFonts w:ascii="黑体" w:hAnsi="黑体" w:eastAsia="黑体" w:cs="黑体"/>
          <w:b/>
          <w:color w:val="000000"/>
          <w:kern w:val="0"/>
          <w:sz w:val="28"/>
          <w:szCs w:val="28"/>
        </w:rPr>
        <w:t>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rPr>
          <w:rFonts w:hint="eastAsia"/>
          <w:sz w:val="72"/>
          <w:szCs w:val="72"/>
        </w:rPr>
      </w:pPr>
    </w:p>
    <w:p>
      <w:pPr>
        <w:pStyle w:val="10"/>
        <w:jc w:val="center"/>
        <w:rPr>
          <w:rFonts w:hint="eastAsia"/>
          <w:sz w:val="84"/>
          <w:szCs w:val="84"/>
        </w:rPr>
      </w:pPr>
      <w:r>
        <w:rPr>
          <w:rFonts w:hint="eastAsia"/>
          <w:sz w:val="84"/>
          <w:szCs w:val="84"/>
        </w:rPr>
        <w:t>第一部分</w:t>
      </w:r>
      <w:r>
        <w:rPr>
          <w:sz w:val="84"/>
          <w:szCs w:val="84"/>
        </w:rPr>
        <w:t xml:space="preserve"> </w:t>
      </w:r>
    </w:p>
    <w:p>
      <w:pPr>
        <w:pStyle w:val="10"/>
        <w:jc w:val="center"/>
        <w:rPr>
          <w:rFonts w:hint="eastAsia"/>
          <w:sz w:val="84"/>
          <w:szCs w:val="84"/>
        </w:rPr>
      </w:pPr>
    </w:p>
    <w:p>
      <w:pPr>
        <w:pStyle w:val="10"/>
        <w:jc w:val="center"/>
        <w:rPr>
          <w:rFonts w:hint="eastAsia"/>
          <w:sz w:val="84"/>
          <w:szCs w:val="84"/>
        </w:rPr>
      </w:pPr>
      <w:r>
        <w:rPr>
          <w:rFonts w:hint="eastAsia"/>
          <w:sz w:val="84"/>
          <w:szCs w:val="84"/>
        </w:rPr>
        <w:t>湖南省产商品质量监督检验研究院单位概况</w:t>
      </w: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jc w:val="center"/>
        <w:rPr>
          <w:rFonts w:hint="eastAsia"/>
          <w:sz w:val="72"/>
          <w:szCs w:val="7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部门职责</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湖南省产商品质量监督检验研究院（以下简称“湖南省质检院”）成立  于1981年，是湖南省市场监督管理局直属的、具有独立法人资格的省级综合性产品质量监督检验机构，公益二类事业单位。主要职责是：</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（一）为保证产品质量提供检验保障；</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（二）授权产品范围质量监督检验、仲裁检验与鉴定、生产许可证检验、相关委托检验；</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（三）产品安全性能与质量评价、产品继续使用性能与条件评价；</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（四）政府委托产品安全检查；</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（五）检测技术方法与标准手段研究；</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（六）检测设备研制；</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（七）检测人员与工程设备监理人员培训；</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（八）相关社会服务；</w:t>
      </w:r>
    </w:p>
    <w:p>
      <w:pPr>
        <w:widowControl/>
        <w:spacing w:line="600" w:lineRule="exact"/>
        <w:ind w:firstLine="627" w:firstLineChars="196"/>
        <w:rPr>
          <w:rFonts w:asciiTheme="minorEastAsia" w:hAnsiTheme="minorEastAsia"/>
          <w:bCs/>
          <w:kern w:val="0"/>
          <w:sz w:val="32"/>
          <w:szCs w:val="32"/>
        </w:rPr>
      </w:pPr>
      <w:r>
        <w:rPr>
          <w:rFonts w:hint="eastAsia" w:asciiTheme="minorEastAsia" w:hAnsiTheme="minorEastAsia"/>
          <w:bCs/>
          <w:kern w:val="0"/>
          <w:sz w:val="32"/>
          <w:szCs w:val="32"/>
        </w:rPr>
        <w:t>（九）省局交办的其他工作。</w:t>
      </w:r>
    </w:p>
    <w:p>
      <w:pPr>
        <w:pStyle w:val="11"/>
        <w:ind w:firstLine="0" w:firstLineChars="0"/>
        <w:jc w:val="left"/>
        <w:rPr>
          <w:rFonts w:ascii="黑体" w:hAnsi="黑体" w:eastAsia="黑体"/>
          <w:sz w:val="32"/>
          <w:szCs w:val="32"/>
        </w:rPr>
      </w:pPr>
      <w:r>
        <w:rPr>
          <w:rFonts w:hint="eastAsia" w:ascii="黑体" w:hAnsi="黑体" w:eastAsia="黑体"/>
          <w:sz w:val="32"/>
          <w:szCs w:val="32"/>
        </w:rPr>
        <w:t>二、机构设置及决算单位构成</w:t>
      </w:r>
    </w:p>
    <w:p>
      <w:pPr>
        <w:widowControl/>
        <w:spacing w:line="600" w:lineRule="exact"/>
        <w:ind w:firstLine="627" w:firstLineChars="196"/>
        <w:rPr>
          <w:rFonts w:asciiTheme="minorEastAsia" w:hAnsiTheme="minorEastAsia"/>
          <w:bCs/>
          <w:kern w:val="0"/>
          <w:sz w:val="32"/>
          <w:szCs w:val="32"/>
          <w:highlight w:val="none"/>
        </w:rPr>
      </w:pPr>
      <w:r>
        <w:rPr>
          <w:rFonts w:hint="eastAsia" w:asciiTheme="minorEastAsia" w:hAnsiTheme="minorEastAsia"/>
          <w:bCs/>
          <w:kern w:val="0"/>
          <w:sz w:val="32"/>
          <w:szCs w:val="32"/>
        </w:rPr>
        <w:t>（一）内设机构设置。省质检院无下属单位，内部机构设置明细如下：党委办、办公室、人力资源部、计划财务部、质量控制部、科研开发部、客户服务中心、技术中心、市场策划中心、区域事业部、抽样部、食品农副检验中心、石油化工检验中心、电工电器检验中心、综合化学检验中心、包装材料检验中心、轻工林副中心、装饰建材中心、纺织服装中心、智能检测中心、液压件及机器人中心、机械汽配中</w:t>
      </w:r>
      <w:bookmarkStart w:id="0" w:name="_GoBack"/>
      <w:r>
        <w:rPr>
          <w:rFonts w:hint="eastAsia" w:asciiTheme="minorEastAsia" w:hAnsiTheme="minorEastAsia"/>
          <w:bCs/>
          <w:kern w:val="0"/>
          <w:sz w:val="32"/>
          <w:szCs w:val="32"/>
          <w:highlight w:val="none"/>
        </w:rPr>
        <w:t>心、环境检测中心、食品农副事业部、石油化工事业部、包装材料事业部、电工电器事业部、信息化项目组、认证工作项目组、湖南省食品安全抽检监测承检机构考核管理办公室、绩效考核办、星沙项目基建办、星沙项目装修办。（二）决算单位构成。</w:t>
      </w:r>
      <w:r>
        <w:rPr>
          <w:rFonts w:hint="eastAsia" w:asciiTheme="minorEastAsia" w:hAnsiTheme="minorEastAsia"/>
          <w:bCs/>
          <w:kern w:val="0"/>
          <w:sz w:val="32"/>
          <w:szCs w:val="32"/>
          <w:highlight w:val="none"/>
          <w:lang w:val="en-US" w:eastAsia="zh-CN"/>
        </w:rPr>
        <w:t>本单位无下级预算单位，</w:t>
      </w:r>
      <w:r>
        <w:rPr>
          <w:rFonts w:hint="eastAsia" w:asciiTheme="minorEastAsia" w:hAnsiTheme="minorEastAsia"/>
          <w:bCs/>
          <w:kern w:val="0"/>
          <w:sz w:val="32"/>
          <w:szCs w:val="32"/>
          <w:highlight w:val="none"/>
        </w:rPr>
        <w:t>本</w:t>
      </w:r>
      <w:r>
        <w:rPr>
          <w:rFonts w:hint="eastAsia" w:asciiTheme="minorEastAsia" w:hAnsiTheme="minorEastAsia"/>
          <w:bCs/>
          <w:kern w:val="0"/>
          <w:sz w:val="32"/>
          <w:szCs w:val="32"/>
          <w:highlight w:val="none"/>
          <w:lang w:val="en-US" w:eastAsia="zh-CN"/>
        </w:rPr>
        <w:t>次</w:t>
      </w:r>
      <w:r>
        <w:rPr>
          <w:rFonts w:hint="eastAsia" w:asciiTheme="minorEastAsia" w:hAnsiTheme="minorEastAsia"/>
          <w:bCs/>
          <w:kern w:val="0"/>
          <w:sz w:val="32"/>
          <w:szCs w:val="32"/>
          <w:highlight w:val="none"/>
        </w:rPr>
        <w:t>决算</w:t>
      </w:r>
      <w:r>
        <w:rPr>
          <w:rFonts w:hint="eastAsia" w:asciiTheme="minorEastAsia" w:hAnsiTheme="minorEastAsia"/>
          <w:bCs/>
          <w:kern w:val="0"/>
          <w:sz w:val="32"/>
          <w:szCs w:val="32"/>
          <w:highlight w:val="none"/>
          <w:lang w:val="en-US" w:eastAsia="zh-CN"/>
        </w:rPr>
        <w:t>公开</w:t>
      </w:r>
      <w:r>
        <w:rPr>
          <w:rFonts w:hint="eastAsia" w:asciiTheme="minorEastAsia" w:hAnsiTheme="minorEastAsia"/>
          <w:bCs/>
          <w:kern w:val="0"/>
          <w:sz w:val="32"/>
          <w:szCs w:val="32"/>
          <w:highlight w:val="none"/>
        </w:rPr>
        <w:t>仅</w:t>
      </w:r>
      <w:r>
        <w:rPr>
          <w:rFonts w:hint="eastAsia" w:asciiTheme="minorEastAsia" w:hAnsiTheme="minorEastAsia"/>
          <w:bCs/>
          <w:kern w:val="0"/>
          <w:sz w:val="32"/>
          <w:szCs w:val="32"/>
          <w:highlight w:val="none"/>
          <w:lang w:val="en-US" w:eastAsia="zh-CN"/>
        </w:rPr>
        <w:t>包括</w:t>
      </w:r>
      <w:r>
        <w:rPr>
          <w:rFonts w:hint="eastAsia" w:asciiTheme="minorEastAsia" w:hAnsiTheme="minorEastAsia"/>
          <w:bCs/>
          <w:kern w:val="0"/>
          <w:sz w:val="32"/>
          <w:szCs w:val="32"/>
          <w:highlight w:val="none"/>
        </w:rPr>
        <w:t>湖南省产商品质量监督检验研究院本级。</w:t>
      </w:r>
    </w:p>
    <w:p>
      <w:pPr>
        <w:widowControl/>
        <w:spacing w:line="600" w:lineRule="exact"/>
        <w:ind w:firstLine="627" w:firstLineChars="196"/>
        <w:rPr>
          <w:rFonts w:asciiTheme="minorEastAsia" w:hAnsiTheme="minorEastAsia"/>
          <w:bCs/>
          <w:kern w:val="0"/>
          <w:sz w:val="32"/>
          <w:szCs w:val="32"/>
          <w:highlight w:val="none"/>
        </w:rPr>
      </w:pPr>
      <w:r>
        <w:rPr>
          <w:rFonts w:hint="eastAsia" w:asciiTheme="minorEastAsia" w:hAnsiTheme="minorEastAsia"/>
          <w:bCs/>
          <w:kern w:val="0"/>
          <w:sz w:val="32"/>
          <w:szCs w:val="32"/>
          <w:highlight w:val="none"/>
        </w:rPr>
        <w:t>2021年6月，根据中共湖南省委机构编制委员会《关于省市场监督管理局深化事业单位改革试点有关事项的批复》（湘编复字〔2021〕2号）总体要求，整合湖南省产商品质量监督检验研究院和湖南省食品质量监督检验研究院，组建湖南省产商品质量检验研究院。因会计年度、预算指标执行等因素，整合后仍按原单位进行会计核算，预算资金统筹使用。</w:t>
      </w:r>
    </w:p>
    <w:p>
      <w:pPr>
        <w:widowControl/>
        <w:spacing w:line="600" w:lineRule="exact"/>
        <w:ind w:firstLine="627" w:firstLineChars="196"/>
        <w:rPr>
          <w:rFonts w:asciiTheme="minorEastAsia" w:hAnsiTheme="minorEastAsia"/>
          <w:bCs/>
          <w:kern w:val="0"/>
          <w:sz w:val="32"/>
          <w:szCs w:val="32"/>
          <w:highlight w:val="none"/>
        </w:rPr>
      </w:pPr>
    </w:p>
    <w:p>
      <w:pPr>
        <w:widowControl/>
        <w:spacing w:line="600" w:lineRule="exact"/>
        <w:rPr>
          <w:rFonts w:asciiTheme="minorEastAsia" w:hAnsiTheme="minorEastAsia"/>
          <w:bCs/>
          <w:kern w:val="0"/>
          <w:sz w:val="32"/>
          <w:szCs w:val="32"/>
          <w:highlight w:val="none"/>
        </w:rPr>
      </w:pPr>
    </w:p>
    <w:p>
      <w:pPr>
        <w:jc w:val="center"/>
        <w:rPr>
          <w:rFonts w:ascii="黑体" w:hAnsi="黑体" w:eastAsia="黑体"/>
          <w:sz w:val="28"/>
          <w:szCs w:val="28"/>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rPr>
          <w:rFonts w:hint="eastAsia"/>
          <w:sz w:val="72"/>
          <w:szCs w:val="72"/>
          <w:highlight w:val="none"/>
        </w:rPr>
      </w:pPr>
    </w:p>
    <w:p>
      <w:pPr>
        <w:jc w:val="center"/>
        <w:rPr>
          <w:rFonts w:hint="eastAsia"/>
          <w:sz w:val="72"/>
          <w:szCs w:val="72"/>
          <w:highlight w:val="none"/>
        </w:rPr>
      </w:pPr>
    </w:p>
    <w:p>
      <w:pPr>
        <w:jc w:val="center"/>
        <w:rPr>
          <w:rFonts w:hint="eastAsia"/>
          <w:sz w:val="72"/>
          <w:szCs w:val="72"/>
          <w:highlight w:val="none"/>
        </w:rPr>
      </w:pPr>
    </w:p>
    <w:p>
      <w:pPr>
        <w:jc w:val="center"/>
        <w:rPr>
          <w:rFonts w:hint="eastAsia"/>
          <w:sz w:val="72"/>
          <w:szCs w:val="72"/>
          <w:highlight w:val="none"/>
        </w:rPr>
      </w:pPr>
      <w:r>
        <w:rPr>
          <w:rFonts w:hint="eastAsia"/>
          <w:sz w:val="72"/>
          <w:szCs w:val="72"/>
          <w:highlight w:val="none"/>
        </w:rPr>
        <w:t>第二部分</w:t>
      </w:r>
    </w:p>
    <w:p>
      <w:pPr>
        <w:jc w:val="center"/>
        <w:rPr>
          <w:rFonts w:hint="eastAsia"/>
          <w:sz w:val="72"/>
          <w:szCs w:val="72"/>
          <w:highlight w:val="none"/>
        </w:rPr>
      </w:pPr>
    </w:p>
    <w:p>
      <w:pPr>
        <w:jc w:val="center"/>
        <w:rPr>
          <w:rFonts w:hint="eastAsia"/>
          <w:sz w:val="72"/>
          <w:szCs w:val="72"/>
          <w:highlight w:val="none"/>
        </w:rPr>
      </w:pPr>
      <w:r>
        <w:rPr>
          <w:rFonts w:hint="eastAsia"/>
          <w:sz w:val="72"/>
          <w:szCs w:val="72"/>
          <w:highlight w:val="none"/>
        </w:rPr>
        <w:t>部门决算表</w:t>
      </w:r>
    </w:p>
    <w:p>
      <w:pPr>
        <w:jc w:val="center"/>
        <w:rPr>
          <w:rFonts w:hint="eastAsia"/>
          <w:sz w:val="72"/>
          <w:szCs w:val="72"/>
          <w:highlight w:val="none"/>
        </w:rPr>
      </w:pPr>
    </w:p>
    <w:p>
      <w:pPr>
        <w:widowControl/>
        <w:spacing w:line="600" w:lineRule="exact"/>
        <w:ind w:firstLine="627" w:firstLineChars="196"/>
        <w:jc w:val="center"/>
        <w:rPr>
          <w:rFonts w:asciiTheme="minorEastAsia" w:hAnsiTheme="minorEastAsia"/>
          <w:bCs/>
          <w:kern w:val="0"/>
          <w:sz w:val="32"/>
          <w:szCs w:val="32"/>
          <w:highlight w:val="none"/>
        </w:rPr>
      </w:pPr>
      <w:r>
        <w:rPr>
          <w:rFonts w:hint="eastAsia" w:asciiTheme="minorEastAsia" w:hAnsiTheme="minorEastAsia"/>
          <w:bCs/>
          <w:kern w:val="0"/>
          <w:sz w:val="32"/>
          <w:szCs w:val="32"/>
          <w:highlight w:val="none"/>
        </w:rPr>
        <w:t>部门决算表（见附件）</w:t>
      </w:r>
    </w:p>
    <w:p>
      <w:pPr>
        <w:jc w:val="center"/>
        <w:rPr>
          <w:rFonts w:hint="eastAsia"/>
          <w:sz w:val="72"/>
          <w:szCs w:val="72"/>
          <w:highlight w:val="none"/>
        </w:rPr>
      </w:pPr>
    </w:p>
    <w:p>
      <w:pPr>
        <w:jc w:val="center"/>
        <w:rPr>
          <w:rFonts w:hint="eastAsia"/>
          <w:sz w:val="72"/>
          <w:szCs w:val="72"/>
          <w:highlight w:val="none"/>
        </w:rPr>
      </w:pPr>
    </w:p>
    <w:p>
      <w:pPr>
        <w:jc w:val="center"/>
        <w:rPr>
          <w:rFonts w:hint="eastAsia"/>
          <w:sz w:val="72"/>
          <w:szCs w:val="72"/>
          <w:highlight w:val="none"/>
        </w:rPr>
      </w:pPr>
    </w:p>
    <w:p>
      <w:pPr>
        <w:jc w:val="center"/>
        <w:rPr>
          <w:rFonts w:hint="eastAsia"/>
          <w:sz w:val="72"/>
          <w:szCs w:val="72"/>
          <w:highlight w:val="none"/>
        </w:rPr>
      </w:pPr>
    </w:p>
    <w:p>
      <w:pPr>
        <w:jc w:val="center"/>
        <w:rPr>
          <w:rFonts w:hint="eastAsia"/>
          <w:sz w:val="72"/>
          <w:szCs w:val="72"/>
          <w:highlight w:val="none"/>
        </w:rPr>
      </w:pPr>
    </w:p>
    <w:p>
      <w:pPr>
        <w:jc w:val="left"/>
        <w:rPr>
          <w:rFonts w:hint="eastAsia"/>
          <w:sz w:val="32"/>
          <w:szCs w:val="32"/>
          <w:highlight w:val="none"/>
        </w:rPr>
      </w:pPr>
    </w:p>
    <w:p>
      <w:pPr>
        <w:jc w:val="left"/>
        <w:rPr>
          <w:rFonts w:asciiTheme="minorEastAsia" w:hAnsiTheme="minorEastAsia"/>
          <w:sz w:val="32"/>
          <w:szCs w:val="32"/>
          <w:highlight w:val="none"/>
        </w:rPr>
        <w:sectPr>
          <w:pgSz w:w="11906" w:h="16838"/>
          <w:pgMar w:top="720" w:right="720" w:bottom="720" w:left="720" w:header="851" w:footer="992" w:gutter="0"/>
          <w:cols w:space="425" w:num="1"/>
          <w:docGrid w:type="lines" w:linePitch="312" w:charSpace="0"/>
        </w:sectPr>
      </w:pPr>
    </w:p>
    <w:p>
      <w:pPr>
        <w:pStyle w:val="10"/>
        <w:rPr>
          <w:rFonts w:hint="eastAsia"/>
          <w:sz w:val="72"/>
          <w:szCs w:val="72"/>
          <w:highlight w:val="none"/>
        </w:rPr>
      </w:pPr>
    </w:p>
    <w:p>
      <w:pPr>
        <w:pStyle w:val="10"/>
        <w:rPr>
          <w:rFonts w:hint="eastAsia"/>
          <w:sz w:val="72"/>
          <w:szCs w:val="72"/>
          <w:highlight w:val="none"/>
        </w:rPr>
      </w:pPr>
    </w:p>
    <w:p>
      <w:pPr>
        <w:pStyle w:val="10"/>
        <w:rPr>
          <w:rFonts w:hint="eastAsia"/>
          <w:sz w:val="72"/>
          <w:szCs w:val="72"/>
          <w:highlight w:val="none"/>
        </w:rPr>
      </w:pPr>
    </w:p>
    <w:p>
      <w:pPr>
        <w:pStyle w:val="10"/>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r>
        <w:rPr>
          <w:rFonts w:hint="eastAsia"/>
          <w:sz w:val="72"/>
          <w:szCs w:val="72"/>
          <w:highlight w:val="none"/>
        </w:rPr>
        <w:t>第三部分</w:t>
      </w:r>
    </w:p>
    <w:p>
      <w:pPr>
        <w:pStyle w:val="10"/>
        <w:jc w:val="center"/>
        <w:rPr>
          <w:rFonts w:hint="eastAsia"/>
          <w:sz w:val="70"/>
          <w:szCs w:val="70"/>
          <w:highlight w:val="none"/>
        </w:rPr>
      </w:pPr>
    </w:p>
    <w:p>
      <w:pPr>
        <w:pStyle w:val="10"/>
        <w:jc w:val="center"/>
        <w:rPr>
          <w:rFonts w:hint="eastAsia"/>
          <w:sz w:val="70"/>
          <w:szCs w:val="70"/>
          <w:highlight w:val="none"/>
        </w:rPr>
      </w:pPr>
      <w:r>
        <w:rPr>
          <w:sz w:val="70"/>
          <w:szCs w:val="70"/>
          <w:highlight w:val="none"/>
        </w:rPr>
        <w:t>20</w:t>
      </w:r>
      <w:r>
        <w:rPr>
          <w:rFonts w:hint="eastAsia"/>
          <w:sz w:val="70"/>
          <w:szCs w:val="70"/>
          <w:highlight w:val="none"/>
        </w:rPr>
        <w:t>21年度部门决算情况说明</w:t>
      </w:r>
    </w:p>
    <w:p>
      <w:pPr>
        <w:widowControl/>
        <w:jc w:val="left"/>
        <w:rPr>
          <w:rFonts w:hint="eastAsia" w:ascii="黑体" w:eastAsia="黑体" w:cs="黑体"/>
          <w:color w:val="000000"/>
          <w:kern w:val="0"/>
          <w:sz w:val="70"/>
          <w:szCs w:val="70"/>
          <w:highlight w:val="none"/>
        </w:rPr>
      </w:pPr>
      <w:r>
        <w:rPr>
          <w:sz w:val="70"/>
          <w:szCs w:val="70"/>
          <w:highlight w:val="none"/>
        </w:rPr>
        <w:br w:type="page"/>
      </w:r>
    </w:p>
    <w:p>
      <w:pPr>
        <w:pStyle w:val="10"/>
        <w:rPr>
          <w:rFonts w:asciiTheme="minorEastAsia" w:hAnsiTheme="minorEastAsia" w:eastAsiaTheme="minorEastAsia"/>
          <w:sz w:val="32"/>
          <w:szCs w:val="32"/>
          <w:highlight w:val="none"/>
        </w:rPr>
      </w:pPr>
    </w:p>
    <w:p>
      <w:pPr>
        <w:pStyle w:val="10"/>
        <w:rPr>
          <w:rFonts w:hAnsi="黑体"/>
          <w:b/>
          <w:sz w:val="32"/>
          <w:szCs w:val="32"/>
          <w:highlight w:val="none"/>
        </w:rPr>
      </w:pPr>
      <w:r>
        <w:rPr>
          <w:rFonts w:hint="eastAsia" w:hAnsi="黑体"/>
          <w:b/>
          <w:sz w:val="32"/>
          <w:szCs w:val="32"/>
          <w:highlight w:val="none"/>
        </w:rPr>
        <w:t>一、收入支出决算总体情况说明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2021年度收、支总计16839.17万元。与上年相比，减少1792.5万元，减少10.64%，主要是因为我院提倡“厉行节约，反对浪费”，进行精细化管理，按成本核算到部门，鼓励科技创新提质增效，总支出控制较好。</w:t>
      </w:r>
    </w:p>
    <w:p>
      <w:pPr>
        <w:pStyle w:val="10"/>
        <w:rPr>
          <w:rFonts w:hAnsi="黑体"/>
          <w:b/>
          <w:sz w:val="32"/>
          <w:szCs w:val="32"/>
          <w:highlight w:val="none"/>
        </w:rPr>
      </w:pPr>
      <w:r>
        <w:rPr>
          <w:rFonts w:hint="eastAsia" w:hAnsi="黑体"/>
          <w:b/>
          <w:sz w:val="32"/>
          <w:szCs w:val="32"/>
          <w:highlight w:val="none"/>
        </w:rPr>
        <w:t>二、收入决算情况说明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2021年度收入合计12560.27万元，其中：财政拨款收入6104.57万元，占49%；经营收入6396.15万元，占50%；其他收入59.55万元，占1%。</w:t>
      </w:r>
    </w:p>
    <w:p>
      <w:pPr>
        <w:pStyle w:val="10"/>
        <w:rPr>
          <w:rFonts w:hAnsi="黑体"/>
          <w:b/>
          <w:sz w:val="32"/>
          <w:szCs w:val="32"/>
          <w:highlight w:val="none"/>
        </w:rPr>
      </w:pPr>
      <w:r>
        <w:rPr>
          <w:rFonts w:hint="eastAsia" w:hAnsi="黑体"/>
          <w:b/>
          <w:sz w:val="32"/>
          <w:szCs w:val="32"/>
          <w:highlight w:val="none"/>
        </w:rPr>
        <w:t>三、支出决算情况说明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2021年度支出合计13482.44万元，其中：基本支出1109.84万元，占8%；项目支出5976.45万元，占44%；经营支出6396.15万元，占48%。</w:t>
      </w:r>
    </w:p>
    <w:p>
      <w:pPr>
        <w:pStyle w:val="10"/>
        <w:rPr>
          <w:rFonts w:hAnsi="黑体"/>
          <w:b/>
          <w:sz w:val="32"/>
          <w:szCs w:val="32"/>
          <w:highlight w:val="none"/>
        </w:rPr>
      </w:pPr>
      <w:r>
        <w:rPr>
          <w:rFonts w:hint="eastAsia" w:hAnsi="黑体"/>
          <w:b/>
          <w:sz w:val="32"/>
          <w:szCs w:val="32"/>
          <w:highlight w:val="none"/>
        </w:rPr>
        <w:t>四、财政拨款收入支出决算总体情况说明</w:t>
      </w:r>
    </w:p>
    <w:p>
      <w:pPr>
        <w:pStyle w:val="1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 xml:space="preserve">    2021年度财政拨款收、支总计6104.57万元，与上年相比，增加4052.78万元,增长198%，增加的主要是因为2021年度食品抽检经费和产商品质量抽查与风险监测专项资金的下达方式由2020年的政府购买服务通过银行转账支付改为财政直接下达指标，各项抽检业务支出均通过财政指标支出，导致财政拨款支出比上年大幅增加。</w:t>
      </w:r>
    </w:p>
    <w:p>
      <w:pPr>
        <w:pStyle w:val="10"/>
        <w:rPr>
          <w:rFonts w:hAnsi="黑体"/>
          <w:b/>
          <w:sz w:val="32"/>
          <w:szCs w:val="32"/>
          <w:highlight w:val="none"/>
        </w:rPr>
      </w:pPr>
      <w:r>
        <w:rPr>
          <w:rFonts w:hint="eastAsia" w:hAnsi="黑体"/>
          <w:b/>
          <w:sz w:val="32"/>
          <w:szCs w:val="32"/>
          <w:highlight w:val="none"/>
        </w:rPr>
        <w:t>五、一般公共预算财政拨款支出决算情况说明</w:t>
      </w:r>
    </w:p>
    <w:p>
      <w:pPr>
        <w:pStyle w:val="10"/>
        <w:ind w:firstLine="640" w:firstLineChars="20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（一）财政拨款支出决算总体情况</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6096.81万元，占本年支出合计的100%，与上年相比，财政拨款支出增加4045.02万元，增长197%，主要是因为2021年度食品抽检经费和产商品质量抽查与风险监测专项资金的下达方式由2020年的政府购买服务通过银行转账支付改为财政直接下达指标，各项抽检业务支出均通过财政指标支出，导致财政拨款支出比上年大幅增加。</w:t>
      </w:r>
    </w:p>
    <w:p>
      <w:pPr>
        <w:pStyle w:val="10"/>
        <w:ind w:firstLine="480" w:firstLineChars="1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（二）财政拨款支出决算结构情况</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6096.81万元，主要用于以下方面：一般公共服务（类）支出5626.97万元，占92%；社会保障和就业（类）支出202.00万元，占3%;卫生健康（类）支出102.74万元，占2%;住房保障（类）支出165.10万元，占3%。</w:t>
      </w:r>
    </w:p>
    <w:p>
      <w:pPr>
        <w:pStyle w:val="10"/>
        <w:ind w:firstLine="800" w:firstLineChars="25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（三）财政拨款支出决算具体情况</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2021年度财政拨款支出年初预算数为5475.84万元，支出决算数为6096.81万元，完成年初预算的111%，其中：</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1、一般公共服务支出（类）市场监督管理事务（款） 市场主体管理（项）。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年初预算为3780万元，支出决算为3773.73万元，完成年初预算的99.83%，决算数小于年初预算数的主要原因是：科研项目经费按项目完成进度形成支出，结余指标结转至次年使用。</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2、一般公共服务支出（类）市场监督管理事务（款） 质量基础（项）。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年初预算为586万元，支出决算为1013.25万元，完成年初预算的172.9%，决算数大于年初预算数的主要原因是：年中追加财政拨款资金427.25万元。</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3、一般公共服务支出（类）市场监督管理事务（款）质量安全监管（项）。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年初预算为0万元，支出决算为200.00万元，决算数大于年初预算数的主要原因是：年中追加财政拨款资金200万元。</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4、一般公共服务支出（类）市场监督管理事务（款）事业运行（项）。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年初预算为640.00万元，支出决算为640.00万元，完成年初预算的100%，决算数等于年初预算数。</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5、社会保障和就业支出（类）行政事业单位养老支出（款）机关事业单位基本养老保险缴费支出（项）。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年初预算为190.00万元，支出决算为190.00万元，完成年初预算的100%，决算数等于年初预算数。</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6、社会保障和就业支出（类）政事业单位养老支出（款）机关事业单位职业年金缴费支出（项）。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年初预算为12.00万元，支出决算为12.00万元，完成年初预算的100%，决算数等于年初预算数。</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7、卫生健康支出（类）行政事业单位医疗（款）事业单位医疗（项）。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年初预算为102.74万元，支出决算为102.74万元，完成年初预算的100%，决算数等于年初预算数。</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8、住房保障支出（类）住房改革支出（款）住房公积金（项）。</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年初预算为165.10万元，支出决算为165.10万元，完成年初预算的100%，决算数等于年初预算数。</w:t>
      </w:r>
    </w:p>
    <w:p>
      <w:pPr>
        <w:pStyle w:val="10"/>
        <w:rPr>
          <w:rFonts w:hAnsi="黑体"/>
          <w:b/>
          <w:sz w:val="32"/>
          <w:szCs w:val="32"/>
          <w:highlight w:val="none"/>
        </w:rPr>
      </w:pPr>
      <w:r>
        <w:rPr>
          <w:rFonts w:hint="eastAsia" w:hAnsi="黑体"/>
          <w:b/>
          <w:sz w:val="32"/>
          <w:szCs w:val="32"/>
          <w:highlight w:val="none"/>
        </w:rPr>
        <w:t>六、一般公共预算财政拨款基本支出决算情况说明</w:t>
      </w:r>
    </w:p>
    <w:p>
      <w:pPr>
        <w:pStyle w:val="10"/>
        <w:ind w:firstLine="640" w:firstLineChars="200"/>
        <w:rPr>
          <w:rFonts w:asciiTheme="minorEastAsia" w:hAnsiTheme="minorEastAsia" w:eastAsiaTheme="minorEastAsia"/>
          <w:i/>
          <w:color w:val="FF0000"/>
          <w:sz w:val="32"/>
          <w:szCs w:val="32"/>
          <w:highlight w:val="none"/>
        </w:rPr>
      </w:pPr>
      <w:r>
        <w:rPr>
          <w:rFonts w:hint="eastAsia" w:asciiTheme="minorEastAsia" w:hAnsiTheme="minorEastAsia" w:eastAsiaTheme="minorEastAsia"/>
          <w:sz w:val="32"/>
          <w:szCs w:val="32"/>
          <w:highlight w:val="none"/>
        </w:rPr>
        <w:t>2021年度财政拨款基本支出1109.84万元，其中：人员经费1109.84万元，占基本支出的100%,主要包括基本工资、津贴补贴、奖金、伙食补助费、绩效工资、机关事业单位基本养老保险缴费、职业年金缴费、职工基本医疗保险缴费、住房公积金；公用经费0.00万元，占基本支出的0%。</w:t>
      </w:r>
    </w:p>
    <w:p>
      <w:pPr>
        <w:pStyle w:val="10"/>
        <w:rPr>
          <w:rFonts w:hAnsi="黑体"/>
          <w:b/>
          <w:sz w:val="32"/>
          <w:szCs w:val="32"/>
          <w:highlight w:val="none"/>
        </w:rPr>
      </w:pPr>
      <w:r>
        <w:rPr>
          <w:rFonts w:hint="eastAsia" w:hAnsi="黑体"/>
          <w:b/>
          <w:sz w:val="32"/>
          <w:szCs w:val="32"/>
          <w:highlight w:val="none"/>
        </w:rPr>
        <w:t>七、一般公共预算财政拨款“三公”经费支出决算情况说明</w:t>
      </w:r>
    </w:p>
    <w:p>
      <w:pPr>
        <w:pStyle w:val="1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（一）“三公”经费财政拨款支出决算总体情况说明</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2021年度“三公”经费财政拨款支出预算为0.00万元，支出决算为0.00万元，与年初预算数相同</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由于预算数为0，无法计算百分比，其中：</w:t>
      </w:r>
    </w:p>
    <w:p>
      <w:pPr>
        <w:pStyle w:val="10"/>
        <w:ind w:firstLine="800" w:firstLineChars="25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因公出国（境）费支出预算为0.00万元，支出决算为0.00万元，与年初预算数相同</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由于预算数为0，无法计算百分比</w:t>
      </w:r>
      <w:r>
        <w:rPr>
          <w:rFonts w:hint="eastAsia" w:asciiTheme="minorEastAsia" w:hAnsiTheme="minorEastAsia" w:eastAsiaTheme="minorEastAsia"/>
          <w:sz w:val="32"/>
          <w:szCs w:val="32"/>
          <w:highlight w:val="none"/>
          <w:lang w:eastAsia="zh-CN"/>
        </w:rPr>
        <w:t>。</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公务接待费支出预算为0.00万元，支出决算为0.00万元，与年初预算数相同</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由于预算数为0，无法计算百分比。</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公务用车购置费支出预算为0.00万元，支出决算为0.00万元，与年初预算数相同</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由于预算数为0，无法计算百分比。</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公务用车运行维护费支出预算为0.00万元，支出决算为0.00万元，与年初预算数相同</w:t>
      </w:r>
      <w:r>
        <w:rPr>
          <w:rFonts w:hint="eastAsia" w:asciiTheme="minorEastAsia" w:hAnsiTheme="minorEastAsia" w:eastAsiaTheme="minorEastAsia"/>
          <w:sz w:val="32"/>
          <w:szCs w:val="32"/>
          <w:highlight w:val="none"/>
          <w:lang w:eastAsia="zh-CN"/>
        </w:rPr>
        <w:t>，</w:t>
      </w:r>
      <w:r>
        <w:rPr>
          <w:rFonts w:hint="eastAsia" w:asciiTheme="minorEastAsia" w:hAnsiTheme="minorEastAsia" w:eastAsiaTheme="minorEastAsia"/>
          <w:sz w:val="32"/>
          <w:szCs w:val="32"/>
          <w:highlight w:val="none"/>
        </w:rPr>
        <w:t>由于预算数为0，无法计算百分比。</w:t>
      </w:r>
    </w:p>
    <w:p>
      <w:pPr>
        <w:pStyle w:val="10"/>
        <w:rPr>
          <w:rFonts w:asciiTheme="minorEastAsia" w:hAnsiTheme="minorEastAsia" w:eastAsiaTheme="minorEastAsia"/>
          <w:b/>
          <w:sz w:val="32"/>
          <w:szCs w:val="32"/>
          <w:highlight w:val="none"/>
        </w:rPr>
      </w:pPr>
      <w:r>
        <w:rPr>
          <w:rFonts w:hint="eastAsia" w:asciiTheme="minorEastAsia" w:hAnsiTheme="minorEastAsia" w:eastAsiaTheme="minorEastAsia"/>
          <w:b/>
          <w:sz w:val="32"/>
          <w:szCs w:val="32"/>
          <w:highlight w:val="none"/>
        </w:rPr>
        <w:t>（二）“三公”经费财政拨款支出决算具体情况说明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2021年度“三公”经费财政拨款支出决算中，公务接待费支出决算0.00万元，因公出国（境）费支出决算0.00万元，公务用车购置费及运行维护费支出决算0.00万元，由于</w:t>
      </w:r>
      <w:r>
        <w:rPr>
          <w:rFonts w:hint="eastAsia" w:asciiTheme="minorEastAsia" w:hAnsiTheme="minorEastAsia" w:eastAsiaTheme="minorEastAsia"/>
          <w:sz w:val="32"/>
          <w:szCs w:val="32"/>
          <w:highlight w:val="none"/>
          <w:lang w:val="en-US" w:eastAsia="zh-CN"/>
        </w:rPr>
        <w:t>决</w:t>
      </w:r>
      <w:r>
        <w:rPr>
          <w:rFonts w:hint="eastAsia" w:asciiTheme="minorEastAsia" w:hAnsiTheme="minorEastAsia" w:eastAsiaTheme="minorEastAsia"/>
          <w:sz w:val="32"/>
          <w:szCs w:val="32"/>
          <w:highlight w:val="none"/>
        </w:rPr>
        <w:t>算数为0，无法计算百分比</w:t>
      </w:r>
      <w:r>
        <w:rPr>
          <w:rFonts w:hint="eastAsia" w:asciiTheme="minorEastAsia" w:hAnsiTheme="minorEastAsia" w:eastAsiaTheme="minorEastAsia"/>
          <w:sz w:val="32"/>
          <w:szCs w:val="32"/>
          <w:highlight w:val="none"/>
          <w:lang w:val="en-US" w:eastAsia="zh-CN"/>
        </w:rPr>
        <w:t>。</w:t>
      </w:r>
      <w:r>
        <w:rPr>
          <w:rFonts w:hint="eastAsia" w:asciiTheme="minorEastAsia" w:hAnsiTheme="minorEastAsia" w:eastAsiaTheme="minorEastAsia"/>
          <w:sz w:val="32"/>
          <w:szCs w:val="32"/>
          <w:highlight w:val="none"/>
        </w:rPr>
        <w:t>其中：</w:t>
      </w:r>
    </w:p>
    <w:p>
      <w:pPr>
        <w:pStyle w:val="10"/>
        <w:ind w:firstLine="848" w:firstLineChars="265"/>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1、因公出国（境）费支出决算为0.00万元，全年安排因公出国（境）团组0个，累计0人次，与年初预算数相同；</w:t>
      </w:r>
    </w:p>
    <w:p>
      <w:pPr>
        <w:pStyle w:val="10"/>
        <w:ind w:firstLine="800" w:firstLineChars="25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highlight w:val="none"/>
        </w:rPr>
        <w:t>2、公务接待费支出决算为0.00万元，全年共接待来访团组0个、来宾0人次，与年初预算数相同</w:t>
      </w:r>
      <w:r>
        <w:rPr>
          <w:rFonts w:hint="eastAsia" w:asciiTheme="minorEastAsia" w:hAnsiTheme="minorEastAsia" w:eastAsiaTheme="minorEastAsia"/>
          <w:sz w:val="32"/>
          <w:szCs w:val="32"/>
          <w:highlight w:val="none"/>
          <w:lang w:eastAsia="zh-CN"/>
        </w:rPr>
        <w:t>；</w:t>
      </w:r>
    </w:p>
    <w:p>
      <w:pPr>
        <w:ind w:firstLine="800" w:firstLineChars="250"/>
        <w:rPr>
          <w:rFonts w:cs="黑体" w:asciiTheme="minorEastAsia" w:hAnsiTheme="minorEastAsia"/>
          <w:color w:val="000000"/>
          <w:kern w:val="0"/>
          <w:sz w:val="32"/>
          <w:szCs w:val="32"/>
          <w:highlight w:val="none"/>
        </w:rPr>
      </w:pPr>
      <w:r>
        <w:rPr>
          <w:rFonts w:hint="eastAsia" w:asciiTheme="minorEastAsia" w:hAnsiTheme="minorEastAsia"/>
          <w:sz w:val="32"/>
          <w:szCs w:val="32"/>
          <w:highlight w:val="none"/>
        </w:rPr>
        <w:t>3、公务用车购置费及运行维护费支出决算为0.00万元，其中：公务用车购置费0.00万元，湖南省产商品质量监督检验研究院（单位本级或某二级机构）更新公务用车0辆</w:t>
      </w:r>
      <w:r>
        <w:rPr>
          <w:rFonts w:hint="eastAsia" w:asciiTheme="minorEastAsia" w:hAnsiTheme="minorEastAsia"/>
          <w:color w:val="000000" w:themeColor="text1"/>
          <w:sz w:val="32"/>
          <w:szCs w:val="32"/>
          <w:highlight w:val="none"/>
          <w14:textFill>
            <w14:solidFill>
              <w14:schemeClr w14:val="tx1"/>
            </w14:solidFill>
          </w14:textFill>
        </w:rPr>
        <w:t>。</w:t>
      </w:r>
      <w:r>
        <w:rPr>
          <w:rFonts w:hint="eastAsia" w:asciiTheme="minorEastAsia" w:hAnsiTheme="minorEastAsia"/>
          <w:sz w:val="32"/>
          <w:szCs w:val="32"/>
          <w:highlight w:val="none"/>
        </w:rPr>
        <w:t>公务用车运行维护费0.00万元，截止2021年12月31日，我单位开支财政拨款的公务用车保有量为0辆</w:t>
      </w:r>
      <w:r>
        <w:rPr>
          <w:rFonts w:hint="eastAsia" w:asciiTheme="minorEastAsia" w:hAnsiTheme="minorEastAsia" w:eastAsiaTheme="minorEastAsia"/>
          <w:sz w:val="32"/>
          <w:szCs w:val="32"/>
          <w:highlight w:val="none"/>
        </w:rPr>
        <w:t>，与年初预算数相同</w:t>
      </w:r>
      <w:r>
        <w:rPr>
          <w:rFonts w:hint="eastAsia" w:asciiTheme="minorEastAsia" w:hAnsiTheme="minorEastAsia"/>
          <w:sz w:val="32"/>
          <w:szCs w:val="32"/>
          <w:highlight w:val="none"/>
        </w:rPr>
        <w:t>。</w:t>
      </w:r>
    </w:p>
    <w:p>
      <w:pPr>
        <w:pStyle w:val="10"/>
        <w:rPr>
          <w:rFonts w:hAnsi="黑体"/>
          <w:b/>
          <w:sz w:val="32"/>
          <w:szCs w:val="32"/>
          <w:highlight w:val="none"/>
        </w:rPr>
      </w:pPr>
      <w:r>
        <w:rPr>
          <w:rFonts w:hint="eastAsia" w:hAnsi="黑体"/>
          <w:b/>
          <w:sz w:val="32"/>
          <w:szCs w:val="32"/>
          <w:highlight w:val="none"/>
        </w:rPr>
        <w:t>八、政府性基金预算收入支出决算情况</w:t>
      </w:r>
    </w:p>
    <w:p>
      <w:pPr>
        <w:pStyle w:val="10"/>
        <w:ind w:firstLine="800" w:firstLineChars="250"/>
        <w:rPr>
          <w:rFonts w:asciiTheme="minorEastAsia" w:hAnsiTheme="minorEastAsia" w:eastAsiaTheme="minorEastAsia"/>
          <w:sz w:val="32"/>
          <w:szCs w:val="32"/>
          <w:highlight w:val="none"/>
        </w:rPr>
      </w:pPr>
      <w:r>
        <w:rPr>
          <w:rFonts w:hint="eastAsia" w:asciiTheme="minorEastAsia" w:hAnsiTheme="minorEastAsia" w:eastAsiaTheme="minorEastAsia"/>
          <w:color w:val="auto"/>
          <w:sz w:val="32"/>
          <w:szCs w:val="32"/>
          <w:highlight w:val="none"/>
        </w:rPr>
        <w:t>2021年度本单位无政府性基金收支。</w:t>
      </w:r>
    </w:p>
    <w:p>
      <w:pPr>
        <w:pStyle w:val="10"/>
        <w:rPr>
          <w:rFonts w:hAnsi="黑体"/>
          <w:b/>
          <w:sz w:val="32"/>
          <w:szCs w:val="32"/>
          <w:highlight w:val="none"/>
        </w:rPr>
      </w:pPr>
      <w:r>
        <w:rPr>
          <w:rFonts w:hint="eastAsia" w:hAnsi="黑体"/>
          <w:b/>
          <w:sz w:val="32"/>
          <w:szCs w:val="32"/>
          <w:highlight w:val="none"/>
        </w:rPr>
        <w:t>九、机关运行经费支出说明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本单位2021年度机关运行经费支出0万元，与年初预算数相同。</w:t>
      </w:r>
    </w:p>
    <w:p>
      <w:pPr>
        <w:pStyle w:val="10"/>
        <w:rPr>
          <w:rFonts w:hAnsi="黑体"/>
          <w:b/>
          <w:sz w:val="32"/>
          <w:szCs w:val="32"/>
          <w:highlight w:val="none"/>
        </w:rPr>
      </w:pPr>
      <w:r>
        <w:rPr>
          <w:rFonts w:hint="eastAsia" w:hAnsi="黑体"/>
          <w:b/>
          <w:sz w:val="32"/>
          <w:szCs w:val="32"/>
          <w:highlight w:val="none"/>
        </w:rPr>
        <w:t>十、一般性支出情况说明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2021年本部门开支会议费0.55万元，用于召开科研课题会议，人数26人，内容为羊乳中生物活性因子筛查与检测技术研究、铝合金在慢应变速率试验下性能表征方法；开支培训费7.41万元，用于11次技术人员外出参加培训及一次全院职工公务礼仪培训。</w:t>
      </w:r>
    </w:p>
    <w:p>
      <w:pPr>
        <w:pStyle w:val="10"/>
        <w:rPr>
          <w:rFonts w:hAnsi="黑体"/>
          <w:b/>
          <w:sz w:val="32"/>
          <w:szCs w:val="32"/>
          <w:highlight w:val="none"/>
        </w:rPr>
      </w:pPr>
      <w:r>
        <w:rPr>
          <w:rFonts w:hint="eastAsia" w:hAnsi="黑体"/>
          <w:b/>
          <w:sz w:val="32"/>
          <w:szCs w:val="32"/>
          <w:highlight w:val="none"/>
        </w:rPr>
        <w:t>十一、政府采购支出说明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本部门2021年度政府采购支出总额1560.68万元，其中：政府采购货物支出1128.05万元、政府采购工程支出76.00万元、政府采购服务支出356.63万元。授予中小企业合同金额0.00万元，占政府采购支出总额的0%，其中：授予小微企业合同金额0.00万元，占授予中小企业合同金额的0%；货物采购授予中小企业合同金额占货物支出金额的0%，工程采购授予中小企业合同金额占工程支出金额的0.00%，服务采购授予中小企业合同金额占服务支出金额的0%。</w:t>
      </w:r>
    </w:p>
    <w:p>
      <w:pPr>
        <w:pStyle w:val="10"/>
        <w:rPr>
          <w:rFonts w:hAnsi="黑体"/>
          <w:b/>
          <w:sz w:val="32"/>
          <w:szCs w:val="32"/>
          <w:highlight w:val="none"/>
        </w:rPr>
      </w:pPr>
      <w:r>
        <w:rPr>
          <w:rFonts w:hint="eastAsia" w:hAnsi="黑体"/>
          <w:b/>
          <w:sz w:val="32"/>
          <w:szCs w:val="32"/>
          <w:highlight w:val="none"/>
        </w:rPr>
        <w:t>十二、国有资产占用情况说明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截至2021年12月31日，部门（单位）共有车辆28辆，其中，主要领导干部用车0辆，机要通信用车0辆、应急保障用车0辆、执法执勤用车0辆、特种专业技术用车0辆、其他用车28辆，其他用车主要是用于抽样工作的抽样车；单位价值50万元以上通用设备1台（套）；单位价值100万元以上专用设备34台（套）。</w:t>
      </w:r>
    </w:p>
    <w:p>
      <w:pPr>
        <w:pStyle w:val="10"/>
        <w:rPr>
          <w:rFonts w:hAnsi="黑体"/>
          <w:b/>
          <w:sz w:val="32"/>
          <w:szCs w:val="32"/>
          <w:highlight w:val="none"/>
        </w:rPr>
      </w:pPr>
      <w:r>
        <w:rPr>
          <w:rFonts w:hint="eastAsia" w:hAnsi="黑体"/>
          <w:b/>
          <w:sz w:val="32"/>
          <w:szCs w:val="32"/>
          <w:highlight w:val="none"/>
        </w:rPr>
        <w:t>十三、2021年度预算绩效情况说明</w:t>
      </w:r>
    </w:p>
    <w:p>
      <w:pPr>
        <w:pStyle w:val="10"/>
        <w:ind w:firstLine="640" w:firstLineChars="200"/>
        <w:rPr>
          <w:rFonts w:asciiTheme="minorEastAsia" w:hAnsiTheme="minorEastAsia" w:eastAsiaTheme="minorEastAsia"/>
          <w:sz w:val="32"/>
          <w:szCs w:val="32"/>
          <w:highlight w:val="none"/>
        </w:rPr>
      </w:pPr>
      <w:r>
        <w:rPr>
          <w:rFonts w:hint="eastAsia" w:asciiTheme="minorEastAsia" w:hAnsiTheme="minorEastAsia" w:eastAsiaTheme="minorEastAsia"/>
          <w:sz w:val="32"/>
          <w:szCs w:val="32"/>
          <w:highlight w:val="none"/>
        </w:rPr>
        <w:t> 2021年度部门整体支出绩效评价报告已在我院门户网站公开，见附件。</w:t>
      </w: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both"/>
        <w:rPr>
          <w:rFonts w:hint="eastAsia"/>
          <w:sz w:val="72"/>
          <w:szCs w:val="72"/>
          <w:highlight w:val="none"/>
        </w:rPr>
      </w:pPr>
    </w:p>
    <w:p>
      <w:pPr>
        <w:pStyle w:val="10"/>
        <w:jc w:val="both"/>
        <w:rPr>
          <w:rFonts w:hint="eastAsia"/>
          <w:sz w:val="72"/>
          <w:szCs w:val="72"/>
          <w:highlight w:val="none"/>
        </w:rPr>
      </w:pPr>
    </w:p>
    <w:p>
      <w:pPr>
        <w:pStyle w:val="10"/>
        <w:jc w:val="center"/>
        <w:rPr>
          <w:rFonts w:hint="eastAsia"/>
          <w:sz w:val="72"/>
          <w:szCs w:val="72"/>
          <w:highlight w:val="none"/>
        </w:rPr>
      </w:pPr>
      <w:r>
        <w:rPr>
          <w:rFonts w:hint="eastAsia"/>
          <w:sz w:val="72"/>
          <w:szCs w:val="72"/>
          <w:highlight w:val="none"/>
        </w:rPr>
        <w:t>第四部分</w:t>
      </w:r>
    </w:p>
    <w:p>
      <w:pPr>
        <w:jc w:val="center"/>
        <w:rPr>
          <w:rFonts w:hint="eastAsia" w:ascii="黑体" w:eastAsia="黑体" w:cs="黑体"/>
          <w:color w:val="000000"/>
          <w:kern w:val="0"/>
          <w:sz w:val="70"/>
          <w:szCs w:val="70"/>
          <w:highlight w:val="none"/>
        </w:rPr>
      </w:pPr>
    </w:p>
    <w:p>
      <w:pPr>
        <w:jc w:val="center"/>
        <w:rPr>
          <w:rFonts w:hint="eastAsia" w:ascii="黑体" w:eastAsia="黑体" w:cs="黑体"/>
          <w:color w:val="000000"/>
          <w:kern w:val="0"/>
          <w:sz w:val="70"/>
          <w:szCs w:val="70"/>
          <w:highlight w:val="none"/>
        </w:rPr>
      </w:pPr>
      <w:r>
        <w:rPr>
          <w:rFonts w:hint="eastAsia" w:ascii="黑体" w:eastAsia="黑体" w:cs="黑体"/>
          <w:color w:val="000000"/>
          <w:kern w:val="0"/>
          <w:sz w:val="70"/>
          <w:szCs w:val="70"/>
          <w:highlight w:val="none"/>
        </w:rPr>
        <w:t>名词解释</w:t>
      </w:r>
    </w:p>
    <w:p>
      <w:pPr>
        <w:widowControl/>
        <w:jc w:val="left"/>
        <w:rPr>
          <w:rFonts w:hint="eastAsia" w:ascii="黑体" w:eastAsia="黑体" w:cs="黑体"/>
          <w:color w:val="000000"/>
          <w:kern w:val="0"/>
          <w:sz w:val="70"/>
          <w:szCs w:val="70"/>
          <w:highlight w:val="none"/>
        </w:rPr>
      </w:pPr>
      <w:r>
        <w:rPr>
          <w:rFonts w:ascii="黑体" w:eastAsia="黑体" w:cs="黑体"/>
          <w:color w:val="000000"/>
          <w:kern w:val="0"/>
          <w:sz w:val="70"/>
          <w:szCs w:val="70"/>
          <w:highlight w:val="none"/>
        </w:rPr>
        <w:br w:type="page"/>
      </w:r>
    </w:p>
    <w:p>
      <w:pPr>
        <w:ind w:firstLine="640" w:firstLineChars="200"/>
        <w:jc w:val="left"/>
        <w:rPr>
          <w:rFonts w:cs="黑体" w:asciiTheme="minorEastAsia" w:hAnsiTheme="minorEastAsia"/>
          <w:color w:val="000000"/>
          <w:kern w:val="0"/>
          <w:sz w:val="32"/>
          <w:szCs w:val="32"/>
          <w:highlight w:val="none"/>
        </w:rPr>
      </w:pPr>
    </w:p>
    <w:p>
      <w:pPr>
        <w:pStyle w:val="2"/>
        <w:spacing w:before="4" w:line="290" w:lineRule="auto"/>
        <w:ind w:left="120" w:right="503" w:firstLine="640"/>
        <w:rPr>
          <w:rFonts w:hint="eastAsia"/>
          <w:highlight w:val="none"/>
        </w:rPr>
      </w:pPr>
      <w:r>
        <w:rPr>
          <w:rFonts w:hint="eastAsia" w:ascii="黑体" w:hAnsi="黑体" w:eastAsia="黑体" w:cs="黑体"/>
          <w:b/>
          <w:color w:val="000000"/>
          <w:kern w:val="0"/>
          <w:highlight w:val="none"/>
        </w:rPr>
        <w:t>一、机关运行经费：</w:t>
      </w:r>
      <w:r>
        <w:rPr>
          <w:rFonts w:hint="eastAsia" w:cs="黑体" w:asciiTheme="minorEastAsia" w:hAnsiTheme="minorEastAsia"/>
          <w:color w:val="000000"/>
          <w:kern w:val="0"/>
          <w:highlight w:val="none"/>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2"/>
        <w:spacing w:line="501" w:lineRule="exact"/>
        <w:ind w:left="760"/>
        <w:rPr>
          <w:rFonts w:cs="黑体" w:asciiTheme="minorEastAsia" w:hAnsiTheme="minorEastAsia"/>
          <w:color w:val="000000"/>
          <w:kern w:val="0"/>
          <w:highlight w:val="none"/>
        </w:rPr>
      </w:pPr>
      <w:r>
        <w:rPr>
          <w:rFonts w:hint="eastAsia" w:ascii="黑体" w:hAnsi="黑体" w:eastAsia="黑体" w:cs="黑体"/>
          <w:b/>
          <w:color w:val="000000"/>
          <w:kern w:val="0"/>
          <w:highlight w:val="none"/>
        </w:rPr>
        <w:t>二、“三公”经费：</w:t>
      </w:r>
      <w:r>
        <w:rPr>
          <w:rFonts w:hint="eastAsia" w:cs="黑体" w:asciiTheme="minorEastAsia" w:hAnsiTheme="minorEastAsia"/>
          <w:color w:val="000000"/>
          <w:kern w:val="0"/>
          <w:highlight w:val="none"/>
        </w:rPr>
        <w:t>纳入省（市/县）财政预算管理的“三公“经费，</w:t>
      </w:r>
    </w:p>
    <w:p>
      <w:pPr>
        <w:pStyle w:val="2"/>
        <w:spacing w:before="125" w:line="364" w:lineRule="auto"/>
        <w:ind w:left="120" w:right="294"/>
        <w:rPr>
          <w:rFonts w:cs="黑体" w:asciiTheme="minorEastAsia" w:hAnsiTheme="minorEastAsia"/>
          <w:color w:val="000000"/>
          <w:kern w:val="0"/>
          <w:highlight w:val="none"/>
        </w:rPr>
      </w:pPr>
      <w:r>
        <w:rPr>
          <w:rFonts w:hint="eastAsia" w:cs="黑体" w:asciiTheme="minorEastAsia" w:hAnsiTheme="minorEastAsia"/>
          <w:color w:val="000000"/>
          <w:kern w:val="0"/>
          <w:highlight w:val="none"/>
        </w:rPr>
        <w:t>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both"/>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p>
    <w:p>
      <w:pPr>
        <w:pStyle w:val="10"/>
        <w:jc w:val="center"/>
        <w:rPr>
          <w:rFonts w:hint="eastAsia"/>
          <w:sz w:val="72"/>
          <w:szCs w:val="72"/>
          <w:highlight w:val="none"/>
        </w:rPr>
      </w:pPr>
      <w:r>
        <w:rPr>
          <w:rFonts w:hint="eastAsia"/>
          <w:sz w:val="72"/>
          <w:szCs w:val="72"/>
          <w:highlight w:val="none"/>
        </w:rPr>
        <w:t>第五部分</w:t>
      </w:r>
    </w:p>
    <w:bookmarkEnd w:id="0"/>
    <w:p>
      <w:pPr>
        <w:jc w:val="center"/>
        <w:rPr>
          <w:rFonts w:hint="eastAsia" w:ascii="黑体" w:eastAsia="黑体" w:cs="黑体"/>
          <w:color w:val="000000"/>
          <w:kern w:val="0"/>
          <w:sz w:val="70"/>
          <w:szCs w:val="70"/>
        </w:rPr>
      </w:pPr>
    </w:p>
    <w:p>
      <w:pPr>
        <w:widowControl/>
        <w:jc w:val="center"/>
        <w:rPr>
          <w:rFonts w:hint="eastAsia" w:ascii="黑体" w:eastAsia="黑体" w:cs="黑体"/>
          <w:color w:val="000000"/>
          <w:kern w:val="0"/>
          <w:sz w:val="70"/>
          <w:szCs w:val="70"/>
        </w:rPr>
      </w:pPr>
      <w:r>
        <w:rPr>
          <w:rFonts w:hint="eastAsia" w:ascii="黑体" w:eastAsia="黑体" w:cs="黑体"/>
          <w:color w:val="000000"/>
          <w:kern w:val="0"/>
          <w:sz w:val="70"/>
          <w:szCs w:val="70"/>
        </w:rPr>
        <w:t>2021年度</w:t>
      </w:r>
    </w:p>
    <w:p>
      <w:pPr>
        <w:widowControl/>
        <w:jc w:val="center"/>
        <w:rPr>
          <w:rFonts w:hint="eastAsia" w:ascii="黑体" w:eastAsia="黑体" w:cs="黑体"/>
          <w:color w:val="000000"/>
          <w:kern w:val="0"/>
          <w:sz w:val="70"/>
          <w:szCs w:val="70"/>
        </w:rPr>
      </w:pPr>
      <w:r>
        <w:rPr>
          <w:rFonts w:hint="eastAsia" w:ascii="黑体" w:eastAsia="黑体" w:cs="黑体"/>
          <w:color w:val="000000"/>
          <w:kern w:val="0"/>
          <w:sz w:val="70"/>
          <w:szCs w:val="70"/>
        </w:rPr>
        <w:t>湖南省产商品质量检验研究院</w:t>
      </w:r>
    </w:p>
    <w:p>
      <w:pPr>
        <w:widowControl/>
        <w:jc w:val="center"/>
        <w:rPr>
          <w:rFonts w:hint="eastAsia" w:ascii="黑体" w:eastAsia="黑体" w:cs="黑体"/>
          <w:color w:val="000000"/>
          <w:kern w:val="0"/>
          <w:sz w:val="70"/>
          <w:szCs w:val="70"/>
        </w:rPr>
      </w:pPr>
      <w:r>
        <w:rPr>
          <w:rFonts w:hint="eastAsia" w:ascii="黑体" w:eastAsia="黑体" w:cs="黑体"/>
          <w:color w:val="000000"/>
          <w:kern w:val="0"/>
          <w:sz w:val="70"/>
          <w:szCs w:val="70"/>
        </w:rPr>
        <w:t>整体支出绩效自评报告</w:t>
      </w:r>
    </w:p>
    <w:p>
      <w:pPr>
        <w:ind w:firstLine="1040" w:firstLineChars="200"/>
        <w:jc w:val="center"/>
        <w:rPr>
          <w:rFonts w:cs="黑体" w:asciiTheme="minorEastAsia" w:hAnsiTheme="minorEastAsia"/>
          <w:color w:val="000000"/>
          <w:kern w:val="0"/>
          <w:sz w:val="52"/>
          <w:szCs w:val="52"/>
        </w:rPr>
      </w:pPr>
      <w:r>
        <w:rPr>
          <w:rFonts w:cs="黑体" w:asciiTheme="minorEastAsia" w:hAnsiTheme="minorEastAsia"/>
          <w:color w:val="000000"/>
          <w:kern w:val="0"/>
          <w:sz w:val="52"/>
          <w:szCs w:val="52"/>
        </w:rPr>
        <w:t>（见附件）</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iMjI5MmE2NjNmYzc0ODcwZjJhN2VjZWVlYWEyMjkifQ=="/>
  </w:docVars>
  <w:rsids>
    <w:rsidRoot w:val="004506F9"/>
    <w:rsid w:val="000033DB"/>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A0844"/>
    <w:rsid w:val="002E0A30"/>
    <w:rsid w:val="002E578C"/>
    <w:rsid w:val="003130C4"/>
    <w:rsid w:val="00316C4B"/>
    <w:rsid w:val="0032192B"/>
    <w:rsid w:val="003479BD"/>
    <w:rsid w:val="0037197D"/>
    <w:rsid w:val="003768D5"/>
    <w:rsid w:val="003A64D8"/>
    <w:rsid w:val="003C4197"/>
    <w:rsid w:val="003C47E6"/>
    <w:rsid w:val="003C4FC2"/>
    <w:rsid w:val="003E2331"/>
    <w:rsid w:val="00416E61"/>
    <w:rsid w:val="0042790C"/>
    <w:rsid w:val="004506F9"/>
    <w:rsid w:val="004717A2"/>
    <w:rsid w:val="00473DF3"/>
    <w:rsid w:val="00487911"/>
    <w:rsid w:val="00491741"/>
    <w:rsid w:val="004B0CEE"/>
    <w:rsid w:val="004C2771"/>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1B1B"/>
    <w:rsid w:val="00717621"/>
    <w:rsid w:val="00720FF1"/>
    <w:rsid w:val="00727A53"/>
    <w:rsid w:val="00746728"/>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05937"/>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37145"/>
    <w:rsid w:val="00C77645"/>
    <w:rsid w:val="00CE04C3"/>
    <w:rsid w:val="00CE76A0"/>
    <w:rsid w:val="00D148C6"/>
    <w:rsid w:val="00D17A8A"/>
    <w:rsid w:val="00D30941"/>
    <w:rsid w:val="00D415BA"/>
    <w:rsid w:val="00D63780"/>
    <w:rsid w:val="00D644EE"/>
    <w:rsid w:val="00D75489"/>
    <w:rsid w:val="00DD06FF"/>
    <w:rsid w:val="00DD5FE9"/>
    <w:rsid w:val="00DF7C30"/>
    <w:rsid w:val="00E00C7A"/>
    <w:rsid w:val="00E209CF"/>
    <w:rsid w:val="00E37D6C"/>
    <w:rsid w:val="00E44D6D"/>
    <w:rsid w:val="00E55B68"/>
    <w:rsid w:val="00E67BE6"/>
    <w:rsid w:val="00E8683C"/>
    <w:rsid w:val="00EA2B72"/>
    <w:rsid w:val="00F74360"/>
    <w:rsid w:val="00FB462F"/>
    <w:rsid w:val="00FC4472"/>
    <w:rsid w:val="00FE16FA"/>
    <w:rsid w:val="00FE328A"/>
    <w:rsid w:val="00FE6269"/>
    <w:rsid w:val="00FF5CD6"/>
    <w:rsid w:val="010A1DB7"/>
    <w:rsid w:val="02166328"/>
    <w:rsid w:val="021C43FA"/>
    <w:rsid w:val="03B3191D"/>
    <w:rsid w:val="07301039"/>
    <w:rsid w:val="0983332C"/>
    <w:rsid w:val="0CB67574"/>
    <w:rsid w:val="0F9F0794"/>
    <w:rsid w:val="14B545B5"/>
    <w:rsid w:val="1D333958"/>
    <w:rsid w:val="2E1B1CE5"/>
    <w:rsid w:val="335D0EC3"/>
    <w:rsid w:val="3411315F"/>
    <w:rsid w:val="3E5915D6"/>
    <w:rsid w:val="40011A5F"/>
    <w:rsid w:val="42471ECE"/>
    <w:rsid w:val="43601A0D"/>
    <w:rsid w:val="4B0838D9"/>
    <w:rsid w:val="55D452D9"/>
    <w:rsid w:val="58396D36"/>
    <w:rsid w:val="588B2C30"/>
    <w:rsid w:val="5AF76505"/>
    <w:rsid w:val="606515C6"/>
    <w:rsid w:val="695232F6"/>
    <w:rsid w:val="6F4448AE"/>
    <w:rsid w:val="705744DF"/>
    <w:rsid w:val="721E6F24"/>
    <w:rsid w:val="79C92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4A7C3-E564-4379-945B-7BDD7AE2995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4323</Words>
  <Characters>4803</Characters>
  <Lines>34</Lines>
  <Paragraphs>9</Paragraphs>
  <TotalTime>4</TotalTime>
  <ScaleCrop>false</ScaleCrop>
  <LinksUpToDate>false</LinksUpToDate>
  <CharactersWithSpaces>4813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Lenovo</cp:lastModifiedBy>
  <cp:lastPrinted>2022-07-27T12:55:00Z</cp:lastPrinted>
  <dcterms:modified xsi:type="dcterms:W3CDTF">2023-09-26T10:37:32Z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C37FBE4BFF624040BB927DDA9ED08341_13</vt:lpwstr>
  </property>
</Properties>
</file>