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rFonts w:hint="eastAsia"/>
          <w:sz w:val="84"/>
          <w:szCs w:val="84"/>
          <w:lang w:eastAsia="zh-CN"/>
        </w:rPr>
      </w:pPr>
      <w:r>
        <w:rPr>
          <w:rFonts w:hint="eastAsia"/>
          <w:sz w:val="84"/>
          <w:szCs w:val="84"/>
          <w:lang w:eastAsia="zh-CN"/>
        </w:rPr>
        <w:t>湖南省知识产权维权援助</w:t>
      </w:r>
    </w:p>
    <w:p>
      <w:pPr>
        <w:pStyle w:val="10"/>
        <w:jc w:val="center"/>
        <w:rPr>
          <w:sz w:val="84"/>
          <w:szCs w:val="84"/>
        </w:rPr>
      </w:pPr>
      <w:r>
        <w:rPr>
          <w:rFonts w:hint="eastAsia"/>
          <w:sz w:val="84"/>
          <w:szCs w:val="84"/>
          <w:lang w:eastAsia="zh-CN"/>
        </w:rPr>
        <w:t>中心</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湖南省知识产权维权援助中心</w:t>
      </w:r>
      <w:r>
        <w:rPr>
          <w:rFonts w:hint="eastAsia"/>
          <w:b/>
          <w:sz w:val="28"/>
          <w:szCs w:val="28"/>
        </w:rPr>
        <w:t>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sectPr>
          <w:pgSz w:w="11906" w:h="16838"/>
          <w:pgMar w:top="720" w:right="720" w:bottom="720" w:left="720" w:header="851" w:footer="992" w:gutter="0"/>
          <w:cols w:space="425" w:num="1"/>
          <w:docGrid w:type="lines" w:linePitch="312" w:charSpace="0"/>
        </w:sect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rFonts w:hint="eastAsia"/>
          <w:sz w:val="84"/>
          <w:szCs w:val="84"/>
          <w:lang w:eastAsia="zh-CN"/>
        </w:rPr>
      </w:pPr>
      <w:r>
        <w:rPr>
          <w:rFonts w:hint="eastAsia"/>
          <w:sz w:val="84"/>
          <w:szCs w:val="84"/>
          <w:lang w:eastAsia="zh-CN"/>
        </w:rPr>
        <w:t>湖南省知识产权维权援助</w:t>
      </w:r>
    </w:p>
    <w:p>
      <w:pPr>
        <w:pStyle w:val="10"/>
        <w:jc w:val="center"/>
        <w:rPr>
          <w:rFonts w:ascii="黑体" w:hAnsi="黑体" w:eastAsia="黑体"/>
          <w:sz w:val="32"/>
          <w:szCs w:val="32"/>
        </w:rPr>
        <w:sectPr>
          <w:pgSz w:w="11906" w:h="16838"/>
          <w:pgMar w:top="720" w:right="720" w:bottom="720" w:left="720" w:header="851" w:footer="992" w:gutter="0"/>
          <w:cols w:space="425" w:num="1"/>
          <w:docGrid w:type="lines" w:linePitch="312" w:charSpace="0"/>
        </w:sectPr>
      </w:pPr>
      <w:r>
        <w:rPr>
          <w:rFonts w:hint="eastAsia"/>
          <w:sz w:val="84"/>
          <w:szCs w:val="84"/>
          <w:lang w:eastAsia="zh-CN"/>
        </w:rPr>
        <w:t>中心</w:t>
      </w:r>
      <w:r>
        <w:rPr>
          <w:rFonts w:hint="eastAsia"/>
          <w:sz w:val="84"/>
          <w:szCs w:val="84"/>
        </w:rPr>
        <w:t>概况</w:t>
      </w: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rPr>
        <w:t>（一）</w:t>
      </w:r>
      <w:r>
        <w:rPr>
          <w:rFonts w:hint="eastAsia" w:asciiTheme="minorEastAsia" w:hAnsiTheme="minorEastAsia"/>
          <w:sz w:val="32"/>
          <w:szCs w:val="32"/>
          <w:lang w:val="en-US" w:eastAsia="zh-CN"/>
        </w:rPr>
        <w:t>组织开展知识产权维权援助工作，提供知识产权维权咨询、援助公益服务；指导知识产权纠纷与争端合理解决机制建设工作；组织开展知识产权维权援助项目和知识产权维权宣传培训。</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rPr>
        <w:t>（二）</w:t>
      </w:r>
      <w:r>
        <w:rPr>
          <w:rFonts w:hint="eastAsia" w:asciiTheme="minorEastAsia" w:hAnsiTheme="minorEastAsia"/>
          <w:sz w:val="32"/>
          <w:szCs w:val="32"/>
          <w:lang w:val="en-US" w:eastAsia="zh-CN"/>
        </w:rPr>
        <w:t>负责指导全省各地、企事业单位开展知识产权维权援助工作；指导知识产权维权援助服务网络建设和知识产权志愿者活动；协调解决国（境）内外知识产权纠纷与争端；协调中介组织、行业协会等开展知识产权维权援助活动。</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eastAsia="zh-CN"/>
        </w:rPr>
        <w:t>（三）</w:t>
      </w:r>
      <w:r>
        <w:rPr>
          <w:rFonts w:hint="eastAsia" w:asciiTheme="minorEastAsia" w:hAnsiTheme="minorEastAsia"/>
          <w:sz w:val="32"/>
          <w:szCs w:val="32"/>
          <w:lang w:val="en-US" w:eastAsia="zh-CN"/>
        </w:rPr>
        <w:t>负责知识产权举报投诉工作机制建设，管理知识产权维权援助与举报投诉公益热线；受理、登记、转送、反馈知识产权侵权假冒举报投诉，依法协调推进知识产权维权工作。</w:t>
      </w:r>
    </w:p>
    <w:p>
      <w:pPr>
        <w:ind w:firstLine="640" w:firstLineChars="200"/>
        <w:jc w:val="left"/>
        <w:rPr>
          <w:rFonts w:hint="eastAsia" w:asciiTheme="minorEastAsia" w:hAnsiTheme="minorEastAsia"/>
          <w:sz w:val="32"/>
          <w:szCs w:val="32"/>
          <w:lang w:val="en-US" w:eastAsia="zh-CN"/>
        </w:rPr>
      </w:pPr>
      <w:r>
        <w:rPr>
          <w:rFonts w:hint="eastAsia" w:asciiTheme="minorEastAsia" w:hAnsiTheme="minorEastAsia"/>
          <w:sz w:val="32"/>
          <w:szCs w:val="32"/>
          <w:lang w:val="en-US" w:eastAsia="zh-CN"/>
        </w:rPr>
        <w:t>（四）联系湘知司法鉴定所工作。</w:t>
      </w:r>
    </w:p>
    <w:p>
      <w:pPr>
        <w:ind w:firstLine="640" w:firstLineChars="200"/>
        <w:jc w:val="left"/>
        <w:rPr>
          <w:rFonts w:hint="eastAsia" w:asciiTheme="minorEastAsia" w:hAnsiTheme="minorEastAsia" w:eastAsiaTheme="minorEastAsia" w:cstheme="minorBidi"/>
          <w:kern w:val="2"/>
          <w:sz w:val="32"/>
          <w:szCs w:val="32"/>
          <w:lang w:val="en-US" w:eastAsia="zh-CN" w:bidi="ar-SA"/>
        </w:rPr>
      </w:pPr>
      <w:r>
        <w:rPr>
          <w:rFonts w:hint="eastAsia" w:asciiTheme="minorEastAsia" w:hAnsiTheme="minorEastAsia"/>
          <w:sz w:val="32"/>
          <w:szCs w:val="32"/>
          <w:lang w:val="en-US" w:eastAsia="zh-CN"/>
        </w:rPr>
        <w:t>（五）</w:t>
      </w:r>
      <w:r>
        <w:rPr>
          <w:rFonts w:hint="eastAsia" w:asciiTheme="minorEastAsia" w:hAnsiTheme="minorEastAsia" w:eastAsiaTheme="minorEastAsia" w:cstheme="minorBidi"/>
          <w:kern w:val="2"/>
          <w:sz w:val="32"/>
          <w:szCs w:val="32"/>
          <w:lang w:val="en-US" w:eastAsia="zh-CN" w:bidi="ar-SA"/>
        </w:rPr>
        <w:t>完成省知识产权局等上级部门交办的其他工作。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numPr>
          <w:ilvl w:val="0"/>
          <w:numId w:val="0"/>
        </w:numPr>
        <w:spacing w:line="600" w:lineRule="exact"/>
        <w:ind w:firstLine="640" w:firstLineChars="200"/>
        <w:jc w:val="left"/>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湖南省知识产权维权援助中心内</w:t>
      </w:r>
      <w:r>
        <w:rPr>
          <w:rFonts w:hint="eastAsia" w:asciiTheme="minorEastAsia" w:hAnsiTheme="minorEastAsia"/>
          <w:bCs/>
          <w:kern w:val="0"/>
          <w:sz w:val="32"/>
          <w:szCs w:val="32"/>
          <w:lang w:val="en-US" w:eastAsia="zh-CN"/>
        </w:rPr>
        <w:t>设2个部门：综合管理部、维权援助部。</w:t>
      </w:r>
    </w:p>
    <w:p>
      <w:pPr>
        <w:widowControl/>
        <w:spacing w:line="600" w:lineRule="exact"/>
        <w:ind w:firstLine="640" w:firstLineChars="200"/>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湖南省知识产权维权援助中心</w:t>
      </w:r>
      <w:r>
        <w:rPr>
          <w:rFonts w:hint="eastAsia" w:asciiTheme="minorEastAsia" w:hAnsiTheme="minorEastAsia"/>
          <w:bCs/>
          <w:kern w:val="0"/>
          <w:sz w:val="32"/>
          <w:szCs w:val="32"/>
          <w:lang w:val="en-US" w:eastAsia="zh-CN"/>
        </w:rPr>
        <w:t>无下级单位，</w:t>
      </w:r>
      <w:r>
        <w:rPr>
          <w:rFonts w:asciiTheme="minorEastAsia" w:hAnsiTheme="minorEastAsia"/>
          <w:bCs/>
          <w:kern w:val="0"/>
          <w:sz w:val="32"/>
          <w:szCs w:val="32"/>
        </w:rPr>
        <w:t>20</w:t>
      </w:r>
      <w:r>
        <w:rPr>
          <w:rFonts w:hint="eastAsia" w:asciiTheme="minorEastAsia" w:hAnsiTheme="minorEastAsia"/>
          <w:bCs/>
          <w:kern w:val="0"/>
          <w:sz w:val="32"/>
          <w:szCs w:val="32"/>
        </w:rPr>
        <w:t>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rPr>
        <w:t>年</w:t>
      </w:r>
      <w:r>
        <w:rPr>
          <w:rFonts w:hint="eastAsia" w:asciiTheme="minorEastAsia" w:hAnsiTheme="minorEastAsia"/>
          <w:bCs/>
          <w:kern w:val="0"/>
          <w:sz w:val="32"/>
          <w:szCs w:val="32"/>
          <w:lang w:val="en-US" w:eastAsia="zh-CN"/>
        </w:rPr>
        <w:t>决算</w:t>
      </w:r>
      <w:r>
        <w:rPr>
          <w:rFonts w:hint="eastAsia" w:asciiTheme="minorEastAsia" w:hAnsiTheme="minorEastAsia"/>
          <w:bCs/>
          <w:kern w:val="0"/>
          <w:sz w:val="32"/>
          <w:szCs w:val="32"/>
          <w:lang w:eastAsia="zh-CN"/>
        </w:rPr>
        <w:t>只</w:t>
      </w:r>
      <w:r>
        <w:rPr>
          <w:rFonts w:hint="eastAsia" w:asciiTheme="minorEastAsia" w:hAnsiTheme="minorEastAsia"/>
          <w:bCs/>
          <w:kern w:val="0"/>
          <w:sz w:val="32"/>
          <w:szCs w:val="32"/>
        </w:rPr>
        <w:t>包括</w:t>
      </w:r>
      <w:r>
        <w:rPr>
          <w:rFonts w:hint="eastAsia" w:asciiTheme="minorEastAsia" w:hAnsiTheme="minorEastAsia"/>
          <w:bCs/>
          <w:kern w:val="0"/>
          <w:sz w:val="32"/>
          <w:szCs w:val="32"/>
          <w:lang w:eastAsia="zh-CN"/>
        </w:rPr>
        <w:t>本单位</w:t>
      </w:r>
      <w:r>
        <w:rPr>
          <w:rFonts w:hint="eastAsia" w:asciiTheme="minorEastAsia" w:hAnsiTheme="minorEastAsia"/>
          <w:bCs/>
          <w:kern w:val="0"/>
          <w:sz w:val="32"/>
          <w:szCs w:val="32"/>
          <w:lang w:val="en-US" w:eastAsia="zh-CN"/>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eastAsiaTheme="minorEastAsia"/>
          <w:sz w:val="72"/>
          <w:szCs w:val="72"/>
          <w:lang w:eastAsia="zh-CN"/>
        </w:rPr>
      </w:pPr>
      <w:r>
        <w:rPr>
          <w:rFonts w:hint="eastAsia"/>
          <w:sz w:val="72"/>
          <w:szCs w:val="72"/>
        </w:rPr>
        <w:t>部门决算表</w:t>
      </w:r>
      <w:r>
        <w:rPr>
          <w:rFonts w:hint="eastAsia"/>
          <w:sz w:val="72"/>
          <w:szCs w:val="72"/>
          <w:lang w:eastAsia="zh-CN"/>
        </w:rPr>
        <w:t>（见附件）</w:t>
      </w: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jc w:val="both"/>
        <w:rPr>
          <w:rFonts w:hint="eastAsia" w:ascii="黑体" w:hAnsi="黑体" w:eastAsia="黑体"/>
          <w:sz w:val="28"/>
          <w:szCs w:val="28"/>
          <w:lang w:val="en-US" w:eastAsia="zh-CN"/>
        </w:rPr>
        <w:sectPr>
          <w:pgSz w:w="11906" w:h="16838"/>
          <w:pgMar w:top="1440" w:right="1797" w:bottom="1440" w:left="1797" w:header="851" w:footer="992" w:gutter="0"/>
          <w:cols w:space="425" w:num="1"/>
          <w:docGrid w:type="linesAndChars" w:linePitch="312" w:charSpace="0"/>
        </w:sectPr>
      </w:pPr>
      <w:r>
        <w:rPr>
          <w:rFonts w:hint="eastAsia" w:ascii="黑体" w:hAnsi="黑体" w:eastAsia="黑体"/>
          <w:sz w:val="28"/>
          <w:szCs w:val="28"/>
          <w:lang w:val="en-US" w:eastAsia="zh-CN"/>
        </w:rPr>
        <w:t>附件：</w:t>
      </w:r>
      <w:r>
        <w:rPr>
          <w:rFonts w:hint="eastAsia" w:ascii="黑体" w:hAnsi="黑体" w:eastAsia="黑体"/>
          <w:sz w:val="28"/>
          <w:szCs w:val="28"/>
          <w:lang w:val="en-US" w:eastAsia="zh-CN"/>
        </w:rPr>
        <w:object>
          <v:shape id="_x0000_i1025" o:spt="75" type="#_x0000_t75" style="height:66pt;width:72.75pt;" o:ole="t" filled="f" o:preferrelative="t" stroked="f" coordsize="21600,21600">
            <v:path/>
            <v:fill on="f" focussize="0,0"/>
            <v:stroke on="f"/>
            <v:imagedata r:id="rId5" o:title=""/>
            <o:lock v:ext="edit" aspectratio="t"/>
            <w10:wrap type="none"/>
            <w10:anchorlock/>
          </v:shape>
          <o:OLEObject Type="Embed" ProgID="Excel.Sheet.12" ShapeID="_x0000_i1025" DrawAspect="Icon" ObjectID="_1468075725" r:id="rId4">
            <o:LockedField>false</o:LockedField>
          </o:OLEObject>
        </w:object>
      </w:r>
    </w:p>
    <w:p>
      <w:pPr>
        <w:widowControl/>
        <w:jc w:val="left"/>
        <w:rPr>
          <w:sz w:val="72"/>
          <w:szCs w:val="72"/>
        </w:rPr>
      </w:pPr>
      <w:r>
        <w:rPr>
          <w:rFonts w:hint="eastAsia" w:ascii="Times New Roman" w:hAnsi="Times New Roman" w:eastAsia="黑体" w:cs="Times New Roman"/>
          <w:bCs/>
          <w:kern w:val="0"/>
          <w:sz w:val="32"/>
          <w:szCs w:val="32"/>
          <w:lang w:val="en-US" w:eastAsia="zh-CN"/>
        </w:rPr>
        <w:t>.</w:t>
      </w:r>
    </w:p>
    <w:p>
      <w:pPr>
        <w:pStyle w:val="10"/>
        <w:rPr>
          <w:sz w:val="72"/>
          <w:szCs w:val="72"/>
        </w:rPr>
      </w:pPr>
    </w:p>
    <w:p>
      <w:pPr>
        <w:pStyle w:val="10"/>
        <w:rPr>
          <w:sz w:val="72"/>
          <w:szCs w:val="72"/>
        </w:rPr>
      </w:pPr>
    </w:p>
    <w:p>
      <w:pPr>
        <w:pStyle w:val="10"/>
        <w:rPr>
          <w:sz w:val="72"/>
          <w:szCs w:val="72"/>
        </w:rPr>
      </w:pPr>
    </w:p>
    <w:p>
      <w:pPr>
        <w:pStyle w:val="10"/>
        <w:jc w:val="both"/>
        <w:rPr>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168.14</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254.39</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60.21</w:t>
      </w:r>
      <w:r>
        <w:rPr>
          <w:rFonts w:hint="eastAsia" w:asciiTheme="minorEastAsia" w:hAnsiTheme="minorEastAsia" w:eastAsiaTheme="minorEastAsia"/>
          <w:sz w:val="32"/>
          <w:szCs w:val="32"/>
        </w:rPr>
        <w:t>%，收入和支出</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rPr>
        <w:t>的主要是因为</w:t>
      </w:r>
      <w:r>
        <w:rPr>
          <w:rFonts w:hint="eastAsia" w:asciiTheme="minorEastAsia" w:hAnsiTheme="minorEastAsia" w:eastAsiaTheme="minorEastAsia"/>
          <w:sz w:val="32"/>
          <w:szCs w:val="32"/>
          <w:lang w:eastAsia="zh-CN"/>
        </w:rPr>
        <w:t>本年度</w:t>
      </w:r>
      <w:r>
        <w:rPr>
          <w:rFonts w:hint="eastAsia" w:asciiTheme="minorEastAsia" w:hAnsiTheme="minorEastAsia" w:eastAsiaTheme="minorEastAsia"/>
          <w:sz w:val="32"/>
          <w:szCs w:val="32"/>
          <w:lang w:val="en-US" w:eastAsia="zh-CN"/>
        </w:rPr>
        <w:t>收回了以前年度项目结余资金。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153.75</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153.75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166.54</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143.75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86.32</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22.79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13.68</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2021年度财政拨款收、支总计</w:t>
      </w:r>
      <w:r>
        <w:rPr>
          <w:rFonts w:hint="eastAsia" w:asciiTheme="minorEastAsia" w:hAnsiTheme="minorEastAsia" w:eastAsiaTheme="minorEastAsia"/>
          <w:sz w:val="32"/>
          <w:szCs w:val="32"/>
          <w:lang w:val="en-US" w:eastAsia="zh-CN"/>
        </w:rPr>
        <w:t>168.14</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254.39</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60.21</w:t>
      </w:r>
      <w:r>
        <w:rPr>
          <w:rFonts w:hint="eastAsia" w:asciiTheme="minorEastAsia" w:hAnsiTheme="minorEastAsia" w:eastAsiaTheme="minorEastAsia"/>
          <w:sz w:val="32"/>
          <w:szCs w:val="32"/>
        </w:rPr>
        <w:t>%，收入和支出</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rPr>
        <w:t>的</w:t>
      </w:r>
      <w:r>
        <w:rPr>
          <w:rFonts w:hint="eastAsia" w:asciiTheme="minorEastAsia" w:hAnsiTheme="minorEastAsia" w:eastAsiaTheme="minorEastAsia"/>
          <w:sz w:val="32"/>
          <w:szCs w:val="32"/>
          <w:lang w:eastAsia="zh-CN"/>
        </w:rPr>
        <w:t>主要原因是本年度</w:t>
      </w:r>
      <w:r>
        <w:rPr>
          <w:rFonts w:hint="eastAsia" w:asciiTheme="minorEastAsia" w:hAnsiTheme="minorEastAsia" w:eastAsiaTheme="minorEastAsia"/>
          <w:sz w:val="32"/>
          <w:szCs w:val="32"/>
          <w:lang w:val="en-US" w:eastAsia="zh-CN"/>
        </w:rPr>
        <w:t>收回了以前年度项目结余资金。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166.54</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26.11</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13.55</w:t>
      </w:r>
      <w:r>
        <w:rPr>
          <w:rFonts w:hint="eastAsia" w:asciiTheme="minorEastAsia" w:hAnsiTheme="minorEastAsia" w:eastAsiaTheme="minorEastAsia"/>
          <w:sz w:val="32"/>
          <w:szCs w:val="32"/>
        </w:rPr>
        <w:t>%，收入和支出</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rPr>
        <w:t>的主要原因</w:t>
      </w:r>
      <w:r>
        <w:rPr>
          <w:rFonts w:hint="eastAsia" w:asciiTheme="minorEastAsia" w:hAnsiTheme="minorEastAsia" w:eastAsiaTheme="minorEastAsia"/>
          <w:sz w:val="32"/>
          <w:szCs w:val="32"/>
          <w:lang w:eastAsia="zh-CN"/>
        </w:rPr>
        <w:t>是中心今年未申报知识产权战略专项项目资金。</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166.54</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137.83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82.76</w:t>
      </w:r>
      <w:r>
        <w:rPr>
          <w:rFonts w:hint="eastAsia" w:asciiTheme="minorEastAsia" w:hAnsiTheme="minorEastAsia" w:eastAsiaTheme="minorEastAsia"/>
          <w:sz w:val="32"/>
          <w:szCs w:val="32"/>
        </w:rPr>
        <w:t>%；社会保障和就业支出</w:t>
      </w:r>
      <w:r>
        <w:rPr>
          <w:rFonts w:hint="eastAsia" w:asciiTheme="minorEastAsia" w:hAnsiTheme="minorEastAsia" w:eastAsiaTheme="minorEastAsia"/>
          <w:sz w:val="32"/>
          <w:szCs w:val="32"/>
          <w:lang w:val="en-US" w:eastAsia="zh-CN"/>
        </w:rPr>
        <w:t>9.20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5.53</w:t>
      </w:r>
      <w:r>
        <w:rPr>
          <w:rFonts w:hint="eastAsia" w:asciiTheme="minorEastAsia" w:hAnsiTheme="minorEastAsia" w:eastAsiaTheme="minorEastAsia"/>
          <w:sz w:val="32"/>
          <w:szCs w:val="32"/>
        </w:rPr>
        <w:t>%；</w:t>
      </w:r>
    </w:p>
    <w:p>
      <w:pPr>
        <w:pStyle w:val="10"/>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卫生健康支出</w:t>
      </w:r>
      <w:r>
        <w:rPr>
          <w:rFonts w:hint="eastAsia" w:asciiTheme="minorEastAsia" w:hAnsiTheme="minorEastAsia" w:eastAsiaTheme="minorEastAsia"/>
          <w:sz w:val="32"/>
          <w:szCs w:val="32"/>
          <w:lang w:val="en-US" w:eastAsia="zh-CN"/>
        </w:rPr>
        <w:t>8.70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5.22</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住房保障支出</w:t>
      </w:r>
      <w:r>
        <w:rPr>
          <w:rFonts w:hint="eastAsia" w:asciiTheme="minorEastAsia" w:hAnsiTheme="minorEastAsia" w:eastAsiaTheme="minorEastAsia"/>
          <w:sz w:val="32"/>
          <w:szCs w:val="32"/>
          <w:lang w:val="en-US" w:eastAsia="zh-CN"/>
        </w:rPr>
        <w:t>10.80万元，占6.49%</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168.14</w:t>
      </w:r>
      <w:r>
        <w:rPr>
          <w:rFonts w:hint="eastAsia" w:asciiTheme="minorEastAsia" w:hAnsiTheme="minorEastAsia" w:eastAsiaTheme="minorEastAsia"/>
          <w:sz w:val="32"/>
          <w:szCs w:val="32"/>
        </w:rPr>
        <w:t>万元，支出决算数</w:t>
      </w:r>
      <w:r>
        <w:rPr>
          <w:rFonts w:hint="eastAsia" w:asciiTheme="minorEastAsia" w:hAnsiTheme="minorEastAsia" w:eastAsiaTheme="minorEastAsia"/>
          <w:sz w:val="32"/>
          <w:szCs w:val="32"/>
          <w:lang w:val="en-US" w:eastAsia="zh-CN"/>
        </w:rPr>
        <w:t>166.54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99.05</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w:t>
      </w:r>
      <w:r>
        <w:rPr>
          <w:rFonts w:hint="eastAsia" w:asciiTheme="minorEastAsia" w:hAnsiTheme="minorEastAsia" w:eastAsiaTheme="minorEastAsia"/>
          <w:sz w:val="32"/>
          <w:szCs w:val="32"/>
          <w:lang w:eastAsia="zh-CN"/>
        </w:rPr>
        <w:t>知识产权事务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知识产权战略和规划</w:t>
      </w:r>
      <w:r>
        <w:rPr>
          <w:rFonts w:hint="eastAsia" w:asciiTheme="minorEastAsia" w:hAnsiTheme="minorEastAsia" w:eastAsiaTheme="minorEastAsia"/>
          <w:sz w:val="32"/>
          <w:szCs w:val="32"/>
        </w:rPr>
        <w:t>（项）。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7.60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7.64</w:t>
      </w:r>
      <w:r>
        <w:rPr>
          <w:rFonts w:hint="eastAsia" w:asciiTheme="minorEastAsia" w:hAnsiTheme="minorEastAsia" w:eastAsiaTheme="minorEastAsia"/>
          <w:sz w:val="32"/>
          <w:szCs w:val="32"/>
        </w:rPr>
        <w:t>万元，完成年初预算的100</w:t>
      </w:r>
      <w:r>
        <w:rPr>
          <w:rFonts w:hint="eastAsia" w:ascii="仿宋" w:hAnsi="仿宋" w:eastAsia="仿宋" w:cs="仿宋"/>
          <w:i w:val="0"/>
          <w:iCs w:val="0"/>
          <w:caps w:val="0"/>
          <w:color w:val="333333"/>
          <w:spacing w:val="0"/>
          <w:sz w:val="32"/>
          <w:szCs w:val="32"/>
          <w:shd w:val="clear" w:fill="FFFFFF"/>
        </w:rPr>
        <w:t>%</w:t>
      </w:r>
      <w:r>
        <w:rPr>
          <w:rFonts w:hint="eastAsia" w:ascii="仿宋" w:hAnsi="仿宋" w:eastAsia="仿宋" w:cs="仿宋"/>
          <w:i w:val="0"/>
          <w:iCs w:val="0"/>
          <w:caps w:val="0"/>
          <w:color w:val="333333"/>
          <w:spacing w:val="0"/>
          <w:sz w:val="32"/>
          <w:szCs w:val="32"/>
          <w:shd w:val="clear" w:fill="FFFFFF"/>
          <w:lang w:eastAsia="zh-CN"/>
        </w:rPr>
        <w:t>，</w:t>
      </w:r>
      <w:r>
        <w:rPr>
          <w:rFonts w:hint="eastAsia" w:asciiTheme="minorEastAsia" w:hAnsiTheme="minorEastAsia" w:eastAsiaTheme="minorEastAsia"/>
          <w:sz w:val="32"/>
          <w:szCs w:val="32"/>
          <w:lang w:val="en-US" w:eastAsia="zh-CN"/>
        </w:rPr>
        <w:t>决算数与年初预算数持平。</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w:t>
      </w:r>
      <w:r>
        <w:rPr>
          <w:rFonts w:hint="eastAsia" w:asciiTheme="minorEastAsia" w:hAnsiTheme="minorEastAsia" w:eastAsiaTheme="minorEastAsia"/>
          <w:sz w:val="32"/>
          <w:szCs w:val="32"/>
          <w:lang w:eastAsia="zh-CN"/>
        </w:rPr>
        <w:t>市场监管事务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事业运行</w:t>
      </w:r>
      <w:r>
        <w:rPr>
          <w:rFonts w:hint="eastAsia" w:asciiTheme="minorEastAsia" w:hAnsiTheme="minorEastAsia" w:eastAsiaTheme="minorEastAsia"/>
          <w:sz w:val="32"/>
          <w:szCs w:val="32"/>
        </w:rPr>
        <w:t>（项）。</w:t>
      </w:r>
    </w:p>
    <w:p>
      <w:pPr>
        <w:pStyle w:val="10"/>
        <w:ind w:firstLine="800" w:firstLineChars="250"/>
        <w:rPr>
          <w:rFonts w:hint="eastAsia" w:ascii="仿宋" w:hAnsi="仿宋" w:eastAsia="仿宋" w:cs="仿宋"/>
          <w:i w:val="0"/>
          <w:iCs w:val="0"/>
          <w:caps w:val="0"/>
          <w:color w:val="333333"/>
          <w:spacing w:val="0"/>
          <w:sz w:val="32"/>
          <w:szCs w:val="32"/>
          <w:shd w:val="clear" w:fill="FFFFFF"/>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115.85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115.05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99.31</w:t>
      </w:r>
      <w:r>
        <w:rPr>
          <w:rFonts w:hint="eastAsia" w:asciiTheme="minorEastAsia" w:hAnsiTheme="minorEastAsia" w:eastAsiaTheme="minorEastAsia"/>
          <w:sz w:val="32"/>
          <w:szCs w:val="32"/>
        </w:rPr>
        <w:t>%，决算数略小于年初预算数，基本持平</w:t>
      </w:r>
      <w:r>
        <w:rPr>
          <w:rFonts w:hint="eastAsia" w:ascii="仿宋" w:hAnsi="仿宋" w:eastAsia="仿宋" w:cs="仿宋"/>
          <w:i w:val="0"/>
          <w:iCs w:val="0"/>
          <w:caps w:val="0"/>
          <w:color w:val="333333"/>
          <w:spacing w:val="0"/>
          <w:sz w:val="32"/>
          <w:szCs w:val="32"/>
          <w:shd w:val="clear" w:fill="FFFFFF"/>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、一般公共服务支出（类）</w:t>
      </w:r>
      <w:r>
        <w:rPr>
          <w:rFonts w:hint="eastAsia" w:asciiTheme="minorEastAsia" w:hAnsiTheme="minorEastAsia" w:eastAsiaTheme="minorEastAsia"/>
          <w:sz w:val="32"/>
          <w:szCs w:val="32"/>
          <w:lang w:eastAsia="zh-CN"/>
        </w:rPr>
        <w:t>市场监管事务</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eastAsia="zh-CN"/>
        </w:rPr>
        <w:t>其他市场监督管理事务</w:t>
      </w:r>
      <w:r>
        <w:rPr>
          <w:rFonts w:hint="eastAsia" w:asciiTheme="minorEastAsia" w:hAnsiTheme="minorEastAsia" w:eastAsiaTheme="minorEastAsia"/>
          <w:sz w:val="32"/>
          <w:szCs w:val="32"/>
        </w:rPr>
        <w:t>（项）。</w:t>
      </w:r>
    </w:p>
    <w:p>
      <w:pPr>
        <w:pStyle w:val="10"/>
        <w:ind w:firstLine="800" w:firstLineChars="250"/>
        <w:rPr>
          <w:rFonts w:hint="eastAsia" w:ascii="仿宋" w:hAnsi="仿宋" w:eastAsia="仿宋" w:cs="仿宋"/>
          <w:i w:val="0"/>
          <w:iCs w:val="0"/>
          <w:caps w:val="0"/>
          <w:color w:val="333333"/>
          <w:spacing w:val="0"/>
          <w:sz w:val="32"/>
          <w:szCs w:val="32"/>
          <w:shd w:val="clear" w:fill="FFFFFF"/>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15.15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94.69</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eastAsia="zh-CN"/>
        </w:rPr>
        <w:t>小于</w:t>
      </w:r>
      <w:r>
        <w:rPr>
          <w:rFonts w:hint="eastAsia" w:asciiTheme="minorEastAsia" w:hAnsiTheme="minorEastAsia" w:eastAsiaTheme="minorEastAsia"/>
          <w:sz w:val="32"/>
          <w:szCs w:val="32"/>
        </w:rPr>
        <w:t>年初预算数的主要原因是：</w:t>
      </w:r>
      <w:r>
        <w:rPr>
          <w:rFonts w:hint="eastAsia" w:asciiTheme="minorEastAsia" w:hAnsiTheme="minorEastAsia" w:eastAsiaTheme="minorEastAsia"/>
          <w:sz w:val="32"/>
          <w:szCs w:val="32"/>
          <w:lang w:eastAsia="zh-CN"/>
        </w:rPr>
        <w:t>项目培训经费略有结余</w:t>
      </w:r>
      <w:r>
        <w:rPr>
          <w:rFonts w:hint="eastAsia" w:ascii="仿宋" w:hAnsi="仿宋" w:eastAsia="仿宋" w:cs="仿宋"/>
          <w:i w:val="0"/>
          <w:iCs w:val="0"/>
          <w:caps w:val="0"/>
          <w:color w:val="333333"/>
          <w:spacing w:val="0"/>
          <w:sz w:val="32"/>
          <w:szCs w:val="32"/>
          <w:shd w:val="clear" w:fill="FFFFFF"/>
        </w:rPr>
        <w:t>。</w:t>
      </w:r>
    </w:p>
    <w:p>
      <w:pPr>
        <w:pStyle w:val="10"/>
        <w:ind w:firstLine="800" w:firstLineChars="250"/>
        <w:rPr>
          <w:rFonts w:hint="default" w:asciiTheme="minorEastAsia" w:hAnsiTheme="minorEastAsia" w:eastAsiaTheme="minorEastAsia"/>
          <w:sz w:val="32"/>
          <w:szCs w:val="32"/>
          <w:lang w:val="en-US" w:eastAsia="zh-CN"/>
        </w:rPr>
      </w:pPr>
      <w:r>
        <w:rPr>
          <w:rFonts w:hint="eastAsia" w:ascii="仿宋" w:hAnsi="仿宋" w:eastAsia="仿宋" w:cs="仿宋"/>
          <w:i w:val="0"/>
          <w:iCs w:val="0"/>
          <w:caps w:val="0"/>
          <w:color w:val="333333"/>
          <w:spacing w:val="0"/>
          <w:sz w:val="32"/>
          <w:szCs w:val="32"/>
          <w:shd w:val="clear" w:fill="FFFFFF"/>
          <w:lang w:val="en-US" w:eastAsia="zh-CN"/>
        </w:rPr>
        <w:t>4、</w:t>
      </w:r>
      <w:r>
        <w:rPr>
          <w:rFonts w:hint="eastAsia" w:asciiTheme="minorEastAsia" w:hAnsiTheme="minorEastAsia" w:eastAsiaTheme="minorEastAsia"/>
          <w:sz w:val="32"/>
          <w:szCs w:val="32"/>
        </w:rPr>
        <w:t>社会保障和就业支出（类）行政事业单位养老支出（款）机关事业单位基本养老保险缴费支出（项）。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年初预算为9.20万元，支出决算为9.20万元，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决算数与年初预算数持平。</w:t>
      </w:r>
    </w:p>
    <w:p>
      <w:pPr>
        <w:pStyle w:val="10"/>
        <w:numPr>
          <w:ilvl w:val="0"/>
          <w:numId w:val="2"/>
        </w:numPr>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卫生健康支出（类）行政事业单位医疗（款）</w:t>
      </w:r>
      <w:r>
        <w:rPr>
          <w:rFonts w:hint="eastAsia" w:asciiTheme="minorEastAsia" w:hAnsiTheme="minorEastAsia" w:eastAsiaTheme="minorEastAsia"/>
          <w:sz w:val="32"/>
          <w:szCs w:val="32"/>
          <w:lang w:eastAsia="zh-CN"/>
        </w:rPr>
        <w:t>事业</w:t>
      </w:r>
      <w:r>
        <w:rPr>
          <w:rFonts w:hint="eastAsia" w:asciiTheme="minorEastAsia" w:hAnsiTheme="minorEastAsia" w:eastAsiaTheme="minorEastAsia"/>
          <w:sz w:val="32"/>
          <w:szCs w:val="32"/>
        </w:rPr>
        <w:t>单位医疗（项）。</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年初预算为8.70万元，支出决算为8.70万元，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决算数与年初预算数持平。</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住房保障支出（类）住房改革支出（款）住房公积金（项）</w:t>
      </w:r>
      <w:r>
        <w:rPr>
          <w:rFonts w:hint="eastAsia" w:asciiTheme="minorEastAsia" w:hAnsiTheme="minorEastAsia" w:eastAsiaTheme="minorEastAsia"/>
          <w:sz w:val="32"/>
          <w:szCs w:val="32"/>
          <w:lang w:eastAsia="zh-CN"/>
        </w:rPr>
        <w:t>。</w:t>
      </w:r>
    </w:p>
    <w:p>
      <w:pPr>
        <w:pStyle w:val="10"/>
        <w:numPr>
          <w:ilvl w:val="0"/>
          <w:numId w:val="0"/>
        </w:numPr>
        <w:rPr>
          <w:rFonts w:hint="eastAsia" w:ascii="仿宋" w:hAnsi="仿宋" w:eastAsia="仿宋" w:cs="仿宋"/>
          <w:i w:val="0"/>
          <w:iCs w:val="0"/>
          <w:caps w:val="0"/>
          <w:color w:val="333333"/>
          <w:spacing w:val="0"/>
          <w:sz w:val="32"/>
          <w:szCs w:val="32"/>
          <w:shd w:val="clear" w:fill="FFFFFF"/>
        </w:rPr>
      </w:pPr>
      <w:r>
        <w:rPr>
          <w:rFonts w:hint="eastAsia" w:asciiTheme="minorEastAsia" w:hAnsiTheme="minorEastAsia" w:eastAsiaTheme="minorEastAsia"/>
          <w:sz w:val="32"/>
          <w:szCs w:val="32"/>
          <w:lang w:val="en-US" w:eastAsia="zh-CN"/>
        </w:rPr>
        <w:t xml:space="preserve">     年初预算为10.80万元，支出决算为10.80万元，</w:t>
      </w:r>
      <w:r>
        <w:rPr>
          <w:rFonts w:hint="eastAsia" w:asciiTheme="minorEastAsia" w:hAnsiTheme="minorEastAsia" w:eastAsiaTheme="minorEastAsia"/>
          <w:sz w:val="32"/>
          <w:szCs w:val="32"/>
        </w:rPr>
        <w:t>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决算数与年初预算数持平</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143.75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120.59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83.89</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绩效工资、机关事业单位基本养老保险缴费、职业年金缴费、职工医疗保险、离休费、退休费、抚恤金、生活补助、奖励金、其他对个人和家庭补助等；公用经费</w:t>
      </w:r>
      <w:r>
        <w:rPr>
          <w:rFonts w:hint="eastAsia" w:asciiTheme="minorEastAsia" w:hAnsiTheme="minorEastAsia" w:eastAsiaTheme="minorEastAsia"/>
          <w:sz w:val="32"/>
          <w:szCs w:val="32"/>
          <w:lang w:val="en-US" w:eastAsia="zh-CN"/>
        </w:rPr>
        <w:t>23.16</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16.11</w:t>
      </w:r>
      <w:r>
        <w:rPr>
          <w:rFonts w:hint="eastAsia" w:asciiTheme="minorEastAsia" w:hAnsiTheme="minorEastAsia" w:eastAsiaTheme="minorEastAsia"/>
          <w:sz w:val="32"/>
          <w:szCs w:val="32"/>
        </w:rPr>
        <w:t>%，主要包括办公费、印刷费、咨询费、手续费、水费、电费、取暖费、物业管理费、差旅费、维修（护）费、租赁费、会议费、培训费、公务接待费、专用材料费、劳务费、委托业务费、工会经费、其他交通费、其他商品和服务支出等。</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0</w:t>
      </w:r>
      <w:bookmarkStart w:id="0" w:name="_GoBack"/>
      <w:r>
        <w:rPr>
          <w:rFonts w:hint="eastAsia" w:asciiTheme="minorEastAsia" w:hAnsiTheme="minorEastAsia" w:eastAsiaTheme="minorEastAsia"/>
          <w:sz w:val="32"/>
          <w:szCs w:val="32"/>
          <w:highlight w:val="none"/>
          <w:lang w:val="en-US" w:eastAsia="zh-CN"/>
        </w:rPr>
        <w:t>.80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0.09</w:t>
      </w:r>
      <w:r>
        <w:rPr>
          <w:rFonts w:hint="eastAsia" w:asciiTheme="minorEastAsia" w:hAnsiTheme="minorEastAsia" w:eastAsiaTheme="minorEastAsia"/>
          <w:sz w:val="32"/>
          <w:szCs w:val="32"/>
          <w:highlight w:val="none"/>
        </w:rPr>
        <w:t>万元，完成预算的</w:t>
      </w:r>
      <w:r>
        <w:rPr>
          <w:rFonts w:hint="eastAsia" w:asciiTheme="minorEastAsia" w:hAnsiTheme="minorEastAsia" w:eastAsiaTheme="minorEastAsia"/>
          <w:sz w:val="32"/>
          <w:szCs w:val="32"/>
          <w:highlight w:val="none"/>
          <w:lang w:val="en-US" w:eastAsia="zh-CN"/>
        </w:rPr>
        <w:t>11.25</w:t>
      </w:r>
      <w:r>
        <w:rPr>
          <w:rFonts w:hint="eastAsia" w:asciiTheme="minorEastAsia" w:hAnsiTheme="minorEastAsia" w:eastAsiaTheme="minorEastAsia"/>
          <w:sz w:val="32"/>
          <w:szCs w:val="32"/>
          <w:highlight w:val="none"/>
        </w:rPr>
        <w:t>%，其中：</w:t>
      </w:r>
    </w:p>
    <w:p>
      <w:pPr>
        <w:pStyle w:val="10"/>
        <w:ind w:firstLine="800" w:firstLineChars="25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因公出国（境）费支出预算为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lang w:val="en-US" w:eastAsia="zh-CN"/>
        </w:rPr>
        <w:t>由于预算数为0，无法计算百分比。</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公务接待费支出预算为</w:t>
      </w:r>
      <w:r>
        <w:rPr>
          <w:rFonts w:hint="eastAsia" w:asciiTheme="minorEastAsia" w:hAnsiTheme="minorEastAsia" w:eastAsiaTheme="minorEastAsia"/>
          <w:sz w:val="32"/>
          <w:szCs w:val="32"/>
          <w:highlight w:val="none"/>
          <w:lang w:val="en-US" w:eastAsia="zh-CN"/>
        </w:rPr>
        <w:t>0.80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0.09</w:t>
      </w:r>
      <w:r>
        <w:rPr>
          <w:rFonts w:hint="eastAsia" w:asciiTheme="minorEastAsia" w:hAnsiTheme="minorEastAsia" w:eastAsiaTheme="minorEastAsia"/>
          <w:sz w:val="32"/>
          <w:szCs w:val="32"/>
          <w:highlight w:val="none"/>
        </w:rPr>
        <w:t>万元，完成预算的</w:t>
      </w:r>
      <w:r>
        <w:rPr>
          <w:rFonts w:hint="eastAsia" w:asciiTheme="minorEastAsia" w:hAnsiTheme="minorEastAsia" w:eastAsiaTheme="minorEastAsia"/>
          <w:sz w:val="32"/>
          <w:szCs w:val="32"/>
          <w:highlight w:val="none"/>
          <w:lang w:val="en-US" w:eastAsia="zh-CN"/>
        </w:rPr>
        <w:t>11.25</w:t>
      </w:r>
      <w:r>
        <w:rPr>
          <w:rFonts w:hint="eastAsia" w:asciiTheme="minorEastAsia" w:hAnsiTheme="minorEastAsia" w:eastAsiaTheme="minorEastAsia"/>
          <w:sz w:val="32"/>
          <w:szCs w:val="32"/>
          <w:highlight w:val="none"/>
        </w:rPr>
        <w:t>%，决算数小于预算数的主要原因是</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一是按照厉行节约的原则减少支出，二</w:t>
      </w:r>
      <w:r>
        <w:rPr>
          <w:rFonts w:hint="eastAsia" w:asciiTheme="minorEastAsia" w:hAnsiTheme="minorEastAsia" w:eastAsiaTheme="minorEastAsia"/>
          <w:sz w:val="32"/>
          <w:szCs w:val="32"/>
          <w:highlight w:val="none"/>
          <w:lang w:eastAsia="zh-CN"/>
        </w:rPr>
        <w:t>是机构改革期间</w:t>
      </w:r>
      <w:r>
        <w:rPr>
          <w:rFonts w:hint="eastAsia" w:asciiTheme="minorEastAsia" w:hAnsiTheme="minorEastAsia" w:eastAsiaTheme="minorEastAsia"/>
          <w:sz w:val="32"/>
          <w:szCs w:val="32"/>
          <w:highlight w:val="none"/>
        </w:rPr>
        <w:t>公务活动比年初预计的少</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与上年相比减少</w:t>
      </w:r>
      <w:r>
        <w:rPr>
          <w:rFonts w:hint="eastAsia" w:asciiTheme="minorEastAsia" w:hAnsiTheme="minorEastAsia" w:eastAsiaTheme="minorEastAsia"/>
          <w:sz w:val="32"/>
          <w:szCs w:val="32"/>
          <w:highlight w:val="none"/>
          <w:lang w:val="en-US" w:eastAsia="zh-CN"/>
        </w:rPr>
        <w:t>0.63</w:t>
      </w:r>
      <w:r>
        <w:rPr>
          <w:rFonts w:hint="eastAsia" w:asciiTheme="minorEastAsia" w:hAnsiTheme="minorEastAsia" w:eastAsiaTheme="minorEastAsia"/>
          <w:sz w:val="32"/>
          <w:szCs w:val="32"/>
          <w:highlight w:val="none"/>
        </w:rPr>
        <w:t>万元，减少</w:t>
      </w:r>
      <w:r>
        <w:rPr>
          <w:rFonts w:hint="eastAsia" w:asciiTheme="minorEastAsia" w:hAnsiTheme="minorEastAsia" w:eastAsiaTheme="minorEastAsia"/>
          <w:sz w:val="32"/>
          <w:szCs w:val="32"/>
          <w:highlight w:val="none"/>
          <w:lang w:val="en-US" w:eastAsia="zh-CN"/>
        </w:rPr>
        <w:t>78.75</w:t>
      </w:r>
      <w:r>
        <w:rPr>
          <w:rFonts w:hint="eastAsia" w:asciiTheme="minorEastAsia" w:hAnsiTheme="minorEastAsia" w:eastAsiaTheme="minorEastAsia"/>
          <w:sz w:val="32"/>
          <w:szCs w:val="32"/>
          <w:highlight w:val="none"/>
        </w:rPr>
        <w:t>%,减少的主要原因是</w:t>
      </w:r>
      <w:r>
        <w:rPr>
          <w:rFonts w:hint="eastAsia" w:asciiTheme="minorEastAsia" w:hAnsiTheme="minorEastAsia" w:eastAsiaTheme="minorEastAsia"/>
          <w:sz w:val="32"/>
          <w:szCs w:val="32"/>
          <w:highlight w:val="none"/>
          <w:lang w:eastAsia="zh-CN"/>
        </w:rPr>
        <w:t>机构改革运行期间单位</w:t>
      </w:r>
      <w:r>
        <w:rPr>
          <w:rFonts w:hint="eastAsia" w:asciiTheme="minorEastAsia" w:hAnsiTheme="minorEastAsia" w:eastAsiaTheme="minorEastAsia"/>
          <w:sz w:val="32"/>
          <w:szCs w:val="32"/>
          <w:highlight w:val="none"/>
        </w:rPr>
        <w:t>公务活动</w:t>
      </w:r>
      <w:r>
        <w:rPr>
          <w:rFonts w:hint="eastAsia" w:asciiTheme="minorEastAsia" w:hAnsiTheme="minorEastAsia" w:eastAsiaTheme="minorEastAsia"/>
          <w:sz w:val="32"/>
          <w:szCs w:val="32"/>
          <w:highlight w:val="none"/>
          <w:lang w:eastAsia="zh-CN"/>
        </w:rPr>
        <w:t>减少</w:t>
      </w:r>
      <w:r>
        <w:rPr>
          <w:rFonts w:hint="eastAsia" w:asciiTheme="minorEastAsia" w:hAnsiTheme="minorEastAsia" w:eastAsiaTheme="minorEastAsia"/>
          <w:sz w:val="32"/>
          <w:szCs w:val="32"/>
          <w:highlight w:val="none"/>
        </w:rPr>
        <w:t>。</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公务用车购置费支出预算为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由于预算数为0，无法计算百分比</w:t>
      </w:r>
      <w:r>
        <w:rPr>
          <w:rFonts w:hint="eastAsia" w:asciiTheme="minorEastAsia" w:hAnsiTheme="minorEastAsia" w:eastAsiaTheme="minorEastAsia"/>
          <w:sz w:val="32"/>
          <w:szCs w:val="32"/>
          <w:highlight w:val="none"/>
        </w:rPr>
        <w:t>。</w:t>
      </w:r>
    </w:p>
    <w:p>
      <w:pPr>
        <w:pStyle w:val="10"/>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公务用车运行维护费支出预算为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由于预算数为0，无法计算百分比</w:t>
      </w:r>
      <w:r>
        <w:rPr>
          <w:rFonts w:hint="eastAsia" w:asciiTheme="minorEastAsia" w:hAnsiTheme="minorEastAsia" w:eastAsiaTheme="minorEastAsia"/>
          <w:sz w:val="32"/>
          <w:szCs w:val="32"/>
          <w:highlight w:val="none"/>
          <w:lang w:eastAsia="zh-CN"/>
        </w:rPr>
        <w:t>。</w:t>
      </w:r>
    </w:p>
    <w:bookmarkEnd w:id="0"/>
    <w:p>
      <w:pPr>
        <w:pStyle w:val="1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（二）“三公”经费财政拨款支出决算具体情况说明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2021年度“三公”经费财政拨款支出决算中，公务接待费支出决算</w:t>
      </w:r>
      <w:r>
        <w:rPr>
          <w:rFonts w:hint="eastAsia" w:asciiTheme="minorEastAsia" w:hAnsiTheme="minorEastAsia" w:eastAsiaTheme="minorEastAsia"/>
          <w:sz w:val="32"/>
          <w:szCs w:val="32"/>
          <w:highlight w:val="none"/>
          <w:lang w:val="en-US" w:eastAsia="zh-CN"/>
        </w:rPr>
        <w:t>0.09</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100</w:t>
      </w:r>
      <w:r>
        <w:rPr>
          <w:rFonts w:hint="eastAsia" w:asciiTheme="minorEastAsia" w:hAnsiTheme="minorEastAsia" w:eastAsiaTheme="minorEastAsia"/>
          <w:sz w:val="32"/>
          <w:szCs w:val="32"/>
          <w:highlight w:val="none"/>
        </w:rPr>
        <w:t>%,因公出国（境）费支出决算</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%,公务用车购置费及运行维护费支出决算</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万元，占</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%。其中：</w:t>
      </w:r>
    </w:p>
    <w:p>
      <w:pPr>
        <w:pStyle w:val="10"/>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1、因公出国（境）费支出决算为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万元，全年安排因公出国（境）团组</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个，累计</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人次</w:t>
      </w:r>
      <w:r>
        <w:rPr>
          <w:rFonts w:hint="eastAsia" w:asciiTheme="minorEastAsia" w:hAnsiTheme="minorEastAsia" w:eastAsiaTheme="minorEastAsia"/>
          <w:sz w:val="32"/>
          <w:szCs w:val="32"/>
          <w:highlight w:val="none"/>
          <w:lang w:eastAsia="zh-CN"/>
        </w:rPr>
        <w:t>。</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2、公务接待费支出决算为</w:t>
      </w:r>
      <w:r>
        <w:rPr>
          <w:rFonts w:hint="eastAsia" w:asciiTheme="minorEastAsia" w:hAnsiTheme="minorEastAsia" w:eastAsiaTheme="minorEastAsia"/>
          <w:sz w:val="32"/>
          <w:szCs w:val="32"/>
          <w:highlight w:val="none"/>
          <w:lang w:val="en-US" w:eastAsia="zh-CN"/>
        </w:rPr>
        <w:t>0.09</w:t>
      </w:r>
      <w:r>
        <w:rPr>
          <w:rFonts w:hint="eastAsia" w:asciiTheme="minorEastAsia" w:hAnsiTheme="minorEastAsia" w:eastAsiaTheme="minorEastAsia"/>
          <w:sz w:val="32"/>
          <w:szCs w:val="32"/>
          <w:highlight w:val="none"/>
        </w:rPr>
        <w:t>万元，全年共接待来访团组</w:t>
      </w:r>
      <w:r>
        <w:rPr>
          <w:rFonts w:hint="eastAsia" w:asciiTheme="minorEastAsia" w:hAnsiTheme="minorEastAsia" w:eastAsiaTheme="minorEastAsia"/>
          <w:sz w:val="32"/>
          <w:szCs w:val="32"/>
          <w:highlight w:val="none"/>
          <w:lang w:val="en-US" w:eastAsia="zh-CN"/>
        </w:rPr>
        <w:t>2</w:t>
      </w:r>
      <w:r>
        <w:rPr>
          <w:rFonts w:hint="eastAsia" w:asciiTheme="minorEastAsia" w:hAnsiTheme="minorEastAsia" w:eastAsiaTheme="minorEastAsia"/>
          <w:sz w:val="32"/>
          <w:szCs w:val="32"/>
          <w:highlight w:val="none"/>
        </w:rPr>
        <w:t>个、来宾</w:t>
      </w:r>
      <w:r>
        <w:rPr>
          <w:rFonts w:hint="eastAsia" w:asciiTheme="minorEastAsia" w:hAnsiTheme="minorEastAsia" w:eastAsiaTheme="minorEastAsia"/>
          <w:sz w:val="32"/>
          <w:szCs w:val="32"/>
          <w:highlight w:val="none"/>
          <w:lang w:val="en-US" w:eastAsia="zh-CN"/>
        </w:rPr>
        <w:t>6</w:t>
      </w:r>
      <w:r>
        <w:rPr>
          <w:rFonts w:hint="eastAsia" w:asciiTheme="minorEastAsia" w:hAnsiTheme="minorEastAsia" w:eastAsiaTheme="minorEastAsia"/>
          <w:sz w:val="32"/>
          <w:szCs w:val="32"/>
          <w:highlight w:val="none"/>
        </w:rPr>
        <w:t>人次，主要是</w:t>
      </w:r>
      <w:r>
        <w:rPr>
          <w:rFonts w:hint="eastAsia" w:asciiTheme="minorEastAsia" w:hAnsiTheme="minorEastAsia" w:eastAsiaTheme="minorEastAsia"/>
          <w:sz w:val="32"/>
          <w:szCs w:val="32"/>
          <w:highlight w:val="none"/>
          <w:lang w:eastAsia="zh-CN"/>
        </w:rPr>
        <w:t>地市级市场监督管理局（知识产权局）</w:t>
      </w:r>
      <w:r>
        <w:rPr>
          <w:rFonts w:hint="eastAsia" w:asciiTheme="minorEastAsia" w:hAnsiTheme="minorEastAsia" w:eastAsiaTheme="minorEastAsia"/>
          <w:sz w:val="32"/>
          <w:szCs w:val="32"/>
          <w:highlight w:val="none"/>
        </w:rPr>
        <w:t>来我单位调研、</w:t>
      </w:r>
      <w:r>
        <w:rPr>
          <w:rFonts w:hint="eastAsia" w:asciiTheme="minorEastAsia" w:hAnsiTheme="minorEastAsia" w:eastAsiaTheme="minorEastAsia"/>
          <w:sz w:val="32"/>
          <w:szCs w:val="32"/>
          <w:highlight w:val="none"/>
          <w:lang w:eastAsia="zh-CN"/>
        </w:rPr>
        <w:t>对接</w:t>
      </w:r>
      <w:r>
        <w:rPr>
          <w:rFonts w:hint="eastAsia" w:asciiTheme="minorEastAsia" w:hAnsiTheme="minorEastAsia" w:eastAsiaTheme="minorEastAsia"/>
          <w:sz w:val="32"/>
          <w:szCs w:val="32"/>
          <w:highlight w:val="none"/>
        </w:rPr>
        <w:t>工作、学习交流等公务活动发生的接待支出。</w:t>
      </w:r>
    </w:p>
    <w:p>
      <w:pPr>
        <w:ind w:firstLine="800" w:firstLineChars="250"/>
        <w:rPr>
          <w:rFonts w:cs="黑体" w:asciiTheme="minorEastAsia" w:hAnsiTheme="minorEastAsia"/>
          <w:color w:val="000000"/>
          <w:kern w:val="0"/>
          <w:sz w:val="32"/>
          <w:szCs w:val="32"/>
          <w:highlight w:val="none"/>
        </w:rPr>
      </w:pPr>
      <w:r>
        <w:rPr>
          <w:rFonts w:hint="eastAsia" w:asciiTheme="minorEastAsia" w:hAnsiTheme="minorEastAsia"/>
          <w:sz w:val="32"/>
          <w:szCs w:val="32"/>
          <w:highlight w:val="none"/>
        </w:rPr>
        <w:t>3、公务用车购置费及运行维护费支出决算为</w:t>
      </w:r>
      <w:r>
        <w:rPr>
          <w:rFonts w:hint="eastAsia" w:asciiTheme="minorEastAsia" w:hAnsiTheme="minorEastAsia"/>
          <w:sz w:val="32"/>
          <w:szCs w:val="32"/>
          <w:highlight w:val="none"/>
          <w:lang w:val="en-US" w:eastAsia="zh-CN"/>
        </w:rPr>
        <w:t>0</w:t>
      </w:r>
      <w:r>
        <w:rPr>
          <w:rFonts w:hint="eastAsia" w:asciiTheme="minorEastAsia" w:hAnsiTheme="minorEastAsia"/>
          <w:sz w:val="32"/>
          <w:szCs w:val="32"/>
          <w:highlight w:val="none"/>
        </w:rPr>
        <w:t>万元</w:t>
      </w:r>
      <w:r>
        <w:rPr>
          <w:rFonts w:hint="eastAsia" w:asciiTheme="minorEastAsia" w:hAnsiTheme="minorEastAsia"/>
          <w:sz w:val="32"/>
          <w:szCs w:val="32"/>
          <w:highlight w:val="none"/>
          <w:lang w:eastAsia="zh-CN"/>
        </w:rPr>
        <w:t>，其中：公务用车购置费</w:t>
      </w:r>
      <w:r>
        <w:rPr>
          <w:rFonts w:hint="eastAsia" w:asciiTheme="minorEastAsia" w:hAnsiTheme="minorEastAsia"/>
          <w:sz w:val="32"/>
          <w:szCs w:val="32"/>
          <w:highlight w:val="none"/>
          <w:lang w:val="en-US" w:eastAsia="zh-CN"/>
        </w:rPr>
        <w:t>0万元。公务用车运行维护费0万元，</w:t>
      </w:r>
      <w:r>
        <w:rPr>
          <w:rFonts w:hint="eastAsia" w:asciiTheme="minorEastAsia" w:hAnsiTheme="minorEastAsia"/>
          <w:sz w:val="32"/>
          <w:szCs w:val="32"/>
          <w:highlight w:val="none"/>
        </w:rPr>
        <w:t>截止2021年12月31日，我单位开支财政拨款的公务用车保有量为</w:t>
      </w:r>
      <w:r>
        <w:rPr>
          <w:rFonts w:hint="eastAsia" w:asciiTheme="minorEastAsia" w:hAnsiTheme="minorEastAsia"/>
          <w:sz w:val="32"/>
          <w:szCs w:val="32"/>
          <w:highlight w:val="none"/>
          <w:lang w:val="en-US" w:eastAsia="zh-CN"/>
        </w:rPr>
        <w:t>0</w:t>
      </w:r>
      <w:r>
        <w:rPr>
          <w:rFonts w:hint="eastAsia" w:asciiTheme="minorEastAsia" w:hAnsiTheme="minorEastAsia"/>
          <w:sz w:val="32"/>
          <w:szCs w:val="32"/>
          <w:highlight w:val="none"/>
        </w:rPr>
        <w:t>辆。</w:t>
      </w:r>
    </w:p>
    <w:p>
      <w:pPr>
        <w:pStyle w:val="10"/>
        <w:rPr>
          <w:rFonts w:hAnsi="黑体"/>
          <w:b/>
          <w:sz w:val="32"/>
          <w:szCs w:val="32"/>
          <w:highlight w:val="none"/>
        </w:rPr>
      </w:pPr>
      <w:r>
        <w:rPr>
          <w:rFonts w:hint="eastAsia" w:hAnsi="黑体"/>
          <w:b/>
          <w:sz w:val="32"/>
          <w:szCs w:val="32"/>
          <w:highlight w:val="none"/>
        </w:rPr>
        <w:t>八、政府性基金预算收入支出决算情况</w:t>
      </w:r>
    </w:p>
    <w:p>
      <w:pPr>
        <w:pStyle w:val="10"/>
        <w:ind w:firstLine="64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lang w:val="en-US" w:eastAsia="zh-CN"/>
        </w:rPr>
        <w:t>2021年度我单位无政府性基金预算收入支出。</w:t>
      </w:r>
    </w:p>
    <w:p>
      <w:pPr>
        <w:pStyle w:val="10"/>
        <w:rPr>
          <w:rFonts w:hint="eastAsia" w:hAnsi="黑体" w:eastAsia="黑体"/>
          <w:b/>
          <w:color w:val="auto"/>
          <w:sz w:val="32"/>
          <w:szCs w:val="32"/>
          <w:highlight w:val="none"/>
          <w:lang w:val="en-US" w:eastAsia="zh-CN"/>
        </w:rPr>
      </w:pPr>
      <w:r>
        <w:rPr>
          <w:rFonts w:hint="eastAsia" w:hAnsi="黑体"/>
          <w:b/>
          <w:color w:val="auto"/>
          <w:sz w:val="32"/>
          <w:szCs w:val="32"/>
          <w:highlight w:val="none"/>
          <w:lang w:val="en-US" w:eastAsia="zh-CN"/>
        </w:rPr>
        <w:t>九、国有资本经营预算收入支出</w:t>
      </w:r>
      <w:r>
        <w:rPr>
          <w:rFonts w:hint="eastAsia" w:hAnsi="黑体"/>
          <w:b/>
          <w:color w:val="auto"/>
          <w:sz w:val="32"/>
          <w:szCs w:val="32"/>
          <w:highlight w:val="none"/>
        </w:rPr>
        <w:t>情况</w:t>
      </w:r>
    </w:p>
    <w:p>
      <w:pPr>
        <w:pStyle w:val="10"/>
        <w:ind w:firstLine="640"/>
        <w:rPr>
          <w:rFonts w:hint="eastAsia"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lang w:val="en-US" w:eastAsia="zh-CN"/>
        </w:rPr>
        <w:t>2021年度我单位无国有资本经营预算收入支出。</w:t>
      </w:r>
    </w:p>
    <w:p>
      <w:pPr>
        <w:pStyle w:val="10"/>
        <w:rPr>
          <w:rFonts w:hAnsi="黑体"/>
          <w:b/>
          <w:sz w:val="32"/>
          <w:szCs w:val="32"/>
          <w:highlight w:val="none"/>
        </w:rPr>
      </w:pPr>
      <w:r>
        <w:rPr>
          <w:rFonts w:hint="eastAsia" w:hAnsi="黑体"/>
          <w:b/>
          <w:sz w:val="32"/>
          <w:szCs w:val="32"/>
          <w:highlight w:val="none"/>
          <w:lang w:eastAsia="zh-CN"/>
        </w:rPr>
        <w:t>十</w:t>
      </w:r>
      <w:r>
        <w:rPr>
          <w:rFonts w:hint="eastAsia" w:hAnsi="黑体"/>
          <w:b/>
          <w:sz w:val="32"/>
          <w:szCs w:val="32"/>
          <w:highlight w:val="none"/>
        </w:rPr>
        <w:t>、机关运行经费支出说明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本部门2021年度机关运行经费支出</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p>
    <w:p>
      <w:pPr>
        <w:pStyle w:val="10"/>
        <w:rPr>
          <w:rFonts w:hAnsi="黑体"/>
          <w:b/>
          <w:sz w:val="32"/>
          <w:szCs w:val="32"/>
          <w:highlight w:val="none"/>
        </w:rPr>
      </w:pPr>
      <w:r>
        <w:rPr>
          <w:rFonts w:hint="eastAsia" w:hAnsi="黑体"/>
          <w:b/>
          <w:sz w:val="32"/>
          <w:szCs w:val="32"/>
          <w:highlight w:val="none"/>
          <w:lang w:eastAsia="zh-CN"/>
        </w:rPr>
        <w:t>十一</w:t>
      </w:r>
      <w:r>
        <w:rPr>
          <w:rFonts w:hint="eastAsia" w:hAnsi="黑体"/>
          <w:b/>
          <w:sz w:val="32"/>
          <w:szCs w:val="32"/>
          <w:highlight w:val="none"/>
        </w:rPr>
        <w:t>、一般性支出情况说明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2021年本部门开支会议费</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万元；开支培训费</w:t>
      </w:r>
      <w:r>
        <w:rPr>
          <w:rFonts w:hint="eastAsia" w:asciiTheme="minorEastAsia" w:hAnsiTheme="minorEastAsia" w:eastAsiaTheme="minorEastAsia"/>
          <w:sz w:val="32"/>
          <w:szCs w:val="32"/>
          <w:highlight w:val="none"/>
          <w:lang w:val="en-US" w:eastAsia="zh-CN"/>
        </w:rPr>
        <w:t>7.15</w:t>
      </w:r>
      <w:r>
        <w:rPr>
          <w:rFonts w:hint="eastAsia" w:asciiTheme="minorEastAsia" w:hAnsiTheme="minorEastAsia" w:eastAsiaTheme="minorEastAsia"/>
          <w:sz w:val="32"/>
          <w:szCs w:val="32"/>
          <w:highlight w:val="none"/>
        </w:rPr>
        <w:t>万元，用于开展2021年湖南省知识产权综合服务体系培训班，人数</w:t>
      </w:r>
      <w:r>
        <w:rPr>
          <w:rFonts w:hint="eastAsia" w:asciiTheme="minorEastAsia" w:hAnsiTheme="minorEastAsia" w:eastAsiaTheme="minorEastAsia"/>
          <w:sz w:val="32"/>
          <w:szCs w:val="32"/>
          <w:highlight w:val="none"/>
          <w:lang w:val="en-US" w:eastAsia="zh-CN"/>
        </w:rPr>
        <w:t>94</w:t>
      </w:r>
      <w:r>
        <w:rPr>
          <w:rFonts w:hint="eastAsia" w:asciiTheme="minorEastAsia" w:hAnsiTheme="minorEastAsia" w:eastAsiaTheme="minorEastAsia"/>
          <w:sz w:val="32"/>
          <w:szCs w:val="32"/>
          <w:highlight w:val="none"/>
        </w:rPr>
        <w:t>人，内容为</w:t>
      </w:r>
      <w:r>
        <w:rPr>
          <w:rFonts w:hint="eastAsia" w:asciiTheme="minorEastAsia" w:hAnsiTheme="minorEastAsia" w:eastAsiaTheme="minorEastAsia"/>
          <w:sz w:val="32"/>
          <w:szCs w:val="32"/>
          <w:highlight w:val="none"/>
          <w:lang w:eastAsia="zh-CN"/>
        </w:rPr>
        <w:t>推进湖南省知识产权综合服务体系建设和整体发展，进一步提升分中心工作人员专业技能和服务水平</w:t>
      </w:r>
      <w:r>
        <w:rPr>
          <w:rFonts w:hint="eastAsia" w:asciiTheme="minorEastAsia" w:hAnsiTheme="minorEastAsia" w:eastAsiaTheme="minorEastAsia"/>
          <w:sz w:val="32"/>
          <w:szCs w:val="32"/>
          <w:highlight w:val="none"/>
        </w:rPr>
        <w:t>；举办</w:t>
      </w:r>
      <w:r>
        <w:rPr>
          <w:rFonts w:hint="eastAsia" w:asciiTheme="minorEastAsia" w:hAnsiTheme="minorEastAsia" w:eastAsiaTheme="minorEastAsia"/>
          <w:sz w:val="32"/>
          <w:szCs w:val="32"/>
          <w:highlight w:val="none"/>
          <w:lang w:val="en-US" w:eastAsia="zh-CN"/>
        </w:rPr>
        <w:t>0次</w:t>
      </w:r>
      <w:r>
        <w:rPr>
          <w:rFonts w:hint="eastAsia" w:asciiTheme="minorEastAsia" w:hAnsiTheme="minorEastAsia" w:eastAsiaTheme="minorEastAsia"/>
          <w:sz w:val="32"/>
          <w:szCs w:val="32"/>
          <w:highlight w:val="none"/>
        </w:rPr>
        <w:t>节庆、晚会、论坛、赛事活动，开支</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p>
    <w:p>
      <w:pPr>
        <w:pStyle w:val="10"/>
        <w:rPr>
          <w:rFonts w:hAnsi="黑体"/>
          <w:b/>
          <w:sz w:val="32"/>
          <w:szCs w:val="32"/>
          <w:highlight w:val="none"/>
        </w:rPr>
      </w:pPr>
      <w:r>
        <w:rPr>
          <w:rFonts w:hint="eastAsia" w:hAnsi="黑体"/>
          <w:b/>
          <w:sz w:val="32"/>
          <w:szCs w:val="32"/>
          <w:highlight w:val="none"/>
        </w:rPr>
        <w:t>十</w:t>
      </w:r>
      <w:r>
        <w:rPr>
          <w:rFonts w:hint="eastAsia" w:hAnsi="黑体"/>
          <w:b/>
          <w:sz w:val="32"/>
          <w:szCs w:val="32"/>
          <w:highlight w:val="none"/>
          <w:lang w:eastAsia="zh-CN"/>
        </w:rPr>
        <w:t>二</w:t>
      </w:r>
      <w:r>
        <w:rPr>
          <w:rFonts w:hint="eastAsia" w:hAnsi="黑体"/>
          <w:b/>
          <w:sz w:val="32"/>
          <w:szCs w:val="32"/>
          <w:highlight w:val="none"/>
        </w:rPr>
        <w:t>、政府采购支出说明</w:t>
      </w:r>
    </w:p>
    <w:p>
      <w:pPr>
        <w:pStyle w:val="10"/>
        <w:ind w:firstLine="640" w:firstLineChars="20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highlight w:val="none"/>
        </w:rPr>
        <w:t>本</w:t>
      </w:r>
      <w:r>
        <w:rPr>
          <w:rFonts w:hint="eastAsia" w:asciiTheme="minorEastAsia" w:hAnsiTheme="minorEastAsia" w:eastAsiaTheme="minorEastAsia"/>
          <w:sz w:val="32"/>
          <w:szCs w:val="32"/>
          <w:highlight w:val="none"/>
          <w:lang w:eastAsia="zh-CN"/>
        </w:rPr>
        <w:t>部门</w:t>
      </w:r>
      <w:r>
        <w:rPr>
          <w:rFonts w:hint="eastAsia" w:asciiTheme="minorEastAsia" w:hAnsiTheme="minorEastAsia" w:eastAsiaTheme="minorEastAsia"/>
          <w:sz w:val="32"/>
          <w:szCs w:val="32"/>
          <w:highlight w:val="none"/>
        </w:rPr>
        <w:t>202</w:t>
      </w:r>
      <w:r>
        <w:rPr>
          <w:rFonts w:hint="eastAsia" w:asciiTheme="minorEastAsia" w:hAnsiTheme="minorEastAsia" w:eastAsiaTheme="minorEastAsia"/>
          <w:sz w:val="32"/>
          <w:szCs w:val="32"/>
          <w:highlight w:val="none"/>
          <w:lang w:val="en-US" w:eastAsia="zh-CN"/>
        </w:rPr>
        <w:t>1</w:t>
      </w:r>
      <w:r>
        <w:rPr>
          <w:rFonts w:hint="eastAsia" w:asciiTheme="minorEastAsia" w:hAnsiTheme="minorEastAsia" w:eastAsiaTheme="minorEastAsia"/>
          <w:sz w:val="32"/>
          <w:szCs w:val="32"/>
          <w:highlight w:val="none"/>
        </w:rPr>
        <w:t>年度政府采购支出总额</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万元</w:t>
      </w:r>
      <w:r>
        <w:rPr>
          <w:rFonts w:hint="eastAsia" w:asciiTheme="minorEastAsia" w:hAnsiTheme="minorEastAsia" w:eastAsiaTheme="minorEastAsia"/>
          <w:sz w:val="32"/>
          <w:szCs w:val="32"/>
          <w:highlight w:val="none"/>
          <w:lang w:val="en-US" w:eastAsia="zh-CN"/>
        </w:rPr>
        <w:t>,其中：政府采购货物支出0万元</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政府采购工程支出</w:t>
      </w:r>
      <w:r>
        <w:rPr>
          <w:rFonts w:hint="eastAsia" w:asciiTheme="minorEastAsia" w:hAnsiTheme="minorEastAsia" w:eastAsiaTheme="minorEastAsia"/>
          <w:sz w:val="32"/>
          <w:szCs w:val="32"/>
          <w:highlight w:val="none"/>
          <w:lang w:val="en-US" w:eastAsia="zh-CN"/>
        </w:rPr>
        <w:t>0万元</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政府采购服务支出</w:t>
      </w:r>
      <w:r>
        <w:rPr>
          <w:rFonts w:hint="eastAsia" w:asciiTheme="minorEastAsia" w:hAnsiTheme="minorEastAsia" w:eastAsiaTheme="minorEastAsia"/>
          <w:sz w:val="32"/>
          <w:szCs w:val="32"/>
          <w:highlight w:val="none"/>
          <w:lang w:val="en-US" w:eastAsia="zh-CN"/>
        </w:rPr>
        <w:t>0万元。授予中小企业合同金额0万元。</w:t>
      </w:r>
    </w:p>
    <w:p>
      <w:pPr>
        <w:pStyle w:val="10"/>
        <w:rPr>
          <w:rFonts w:hAnsi="黑体"/>
          <w:b/>
          <w:sz w:val="32"/>
          <w:szCs w:val="32"/>
          <w:highlight w:val="none"/>
        </w:rPr>
      </w:pPr>
      <w:r>
        <w:rPr>
          <w:rFonts w:hint="eastAsia" w:hAnsi="黑体"/>
          <w:b/>
          <w:sz w:val="32"/>
          <w:szCs w:val="32"/>
          <w:highlight w:val="none"/>
        </w:rPr>
        <w:t>十</w:t>
      </w:r>
      <w:r>
        <w:rPr>
          <w:rFonts w:hint="eastAsia" w:hAnsi="黑体"/>
          <w:b/>
          <w:sz w:val="32"/>
          <w:szCs w:val="32"/>
          <w:highlight w:val="none"/>
          <w:lang w:eastAsia="zh-CN"/>
        </w:rPr>
        <w:t>三</w:t>
      </w:r>
      <w:r>
        <w:rPr>
          <w:rFonts w:hint="eastAsia" w:hAnsi="黑体"/>
          <w:b/>
          <w:sz w:val="32"/>
          <w:szCs w:val="32"/>
          <w:highlight w:val="none"/>
        </w:rPr>
        <w:t>、国有资产占用情况说明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截至202</w:t>
      </w:r>
      <w:r>
        <w:rPr>
          <w:rFonts w:hint="eastAsia" w:asciiTheme="minorEastAsia" w:hAnsiTheme="minorEastAsia" w:eastAsiaTheme="minorEastAsia"/>
          <w:sz w:val="32"/>
          <w:szCs w:val="32"/>
          <w:highlight w:val="none"/>
          <w:lang w:val="en-US" w:eastAsia="zh-CN"/>
        </w:rPr>
        <w:t>1</w:t>
      </w:r>
      <w:r>
        <w:rPr>
          <w:rFonts w:hint="eastAsia" w:asciiTheme="minorEastAsia" w:hAnsiTheme="minorEastAsia" w:eastAsiaTheme="minorEastAsia"/>
          <w:sz w:val="32"/>
          <w:szCs w:val="32"/>
          <w:highlight w:val="none"/>
        </w:rPr>
        <w:t>年12月31日，本</w:t>
      </w:r>
      <w:r>
        <w:rPr>
          <w:rFonts w:hint="eastAsia" w:asciiTheme="minorEastAsia" w:hAnsiTheme="minorEastAsia" w:eastAsiaTheme="minorEastAsia"/>
          <w:sz w:val="32"/>
          <w:szCs w:val="32"/>
          <w:highlight w:val="none"/>
          <w:lang w:eastAsia="zh-CN"/>
        </w:rPr>
        <w:t>部门</w:t>
      </w:r>
      <w:r>
        <w:rPr>
          <w:rFonts w:hint="eastAsia" w:asciiTheme="minorEastAsia" w:hAnsiTheme="minorEastAsia" w:eastAsiaTheme="minorEastAsia"/>
          <w:sz w:val="32"/>
          <w:szCs w:val="32"/>
          <w:highlight w:val="none"/>
        </w:rPr>
        <w:t>共有车辆</w:t>
      </w:r>
      <w:r>
        <w:rPr>
          <w:rFonts w:hint="eastAsia" w:asciiTheme="minorEastAsia" w:hAnsiTheme="minorEastAsia" w:eastAsiaTheme="minorEastAsia"/>
          <w:sz w:val="32"/>
          <w:szCs w:val="32"/>
          <w:highlight w:val="none"/>
          <w:lang w:val="en-US" w:eastAsia="zh-CN"/>
        </w:rPr>
        <w:t>0</w:t>
      </w:r>
      <w:r>
        <w:rPr>
          <w:rFonts w:hint="eastAsia" w:asciiTheme="minorEastAsia" w:hAnsiTheme="minorEastAsia" w:eastAsiaTheme="minorEastAsia"/>
          <w:sz w:val="32"/>
          <w:szCs w:val="32"/>
          <w:highlight w:val="none"/>
        </w:rPr>
        <w:t>辆。</w:t>
      </w:r>
    </w:p>
    <w:p>
      <w:pPr>
        <w:pStyle w:val="10"/>
        <w:rPr>
          <w:rFonts w:hAnsi="黑体"/>
          <w:b/>
          <w:sz w:val="32"/>
          <w:szCs w:val="32"/>
          <w:highlight w:val="none"/>
        </w:rPr>
      </w:pPr>
      <w:r>
        <w:rPr>
          <w:rFonts w:hint="eastAsia" w:hAnsi="黑体"/>
          <w:b/>
          <w:sz w:val="32"/>
          <w:szCs w:val="32"/>
          <w:highlight w:val="none"/>
        </w:rPr>
        <w:t>十</w:t>
      </w:r>
      <w:r>
        <w:rPr>
          <w:rFonts w:hint="eastAsia" w:hAnsi="黑体"/>
          <w:b/>
          <w:sz w:val="32"/>
          <w:szCs w:val="32"/>
          <w:highlight w:val="none"/>
          <w:lang w:eastAsia="zh-CN"/>
        </w:rPr>
        <w:t>四</w:t>
      </w:r>
      <w:r>
        <w:rPr>
          <w:rFonts w:hint="eastAsia" w:hAnsi="黑体"/>
          <w:b/>
          <w:sz w:val="32"/>
          <w:szCs w:val="32"/>
          <w:highlight w:val="none"/>
        </w:rPr>
        <w:t>、2021年度预算绩效情况说明</w:t>
      </w:r>
    </w:p>
    <w:p>
      <w:pPr>
        <w:pStyle w:val="10"/>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2021年度部门整体支出绩效评价报告</w:t>
      </w:r>
      <w:r>
        <w:rPr>
          <w:rFonts w:hint="eastAsia" w:asciiTheme="minorEastAsia" w:hAnsiTheme="minorEastAsia" w:eastAsiaTheme="minorEastAsia"/>
          <w:sz w:val="32"/>
          <w:szCs w:val="32"/>
          <w:highlight w:val="none"/>
          <w:lang w:eastAsia="zh-CN"/>
        </w:rPr>
        <w:t>详见附件。</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asciiTheme="minorEastAsia" w:hAnsiTheme="minorEastAsia"/>
          <w:sz w:val="28"/>
          <w:szCs w:val="32"/>
          <w:lang w:eastAsia="zh-CN"/>
        </w:rPr>
      </w:pPr>
      <w:r>
        <w:rPr>
          <w:rFonts w:hint="eastAsia" w:cs="黑体" w:asciiTheme="minorEastAsia" w:hAnsiTheme="minorEastAsia"/>
          <w:color w:val="000000"/>
          <w:kern w:val="0"/>
          <w:sz w:val="32"/>
          <w:szCs w:val="32"/>
        </w:rPr>
        <w:t>一</w:t>
      </w:r>
      <w:r>
        <w:rPr>
          <w:rFonts w:hint="eastAsia" w:cs="黑体" w:asciiTheme="minorEastAsia" w:hAnsiTheme="minorEastAsia"/>
          <w:color w:val="000000"/>
          <w:kern w:val="0"/>
          <w:sz w:val="32"/>
          <w:szCs w:val="32"/>
          <w:lang w:eastAsia="zh-CN"/>
        </w:rPr>
        <w:t>、</w:t>
      </w:r>
      <w:r>
        <w:rPr>
          <w:rFonts w:hint="eastAsia" w:asciiTheme="minorEastAsia" w:hAnsiTheme="minorEastAsia"/>
          <w:sz w:val="28"/>
          <w:szCs w:val="32"/>
        </w:rPr>
        <w:t>基本支出：指为保障机构正常运转、完成日常工作任务而发生的各项支出，包括人员支出和公用支出。</w:t>
      </w:r>
      <w:r>
        <w:rPr>
          <w:rFonts w:hint="default" w:asciiTheme="minorEastAsia" w:hAnsiTheme="minorEastAsia"/>
          <w:sz w:val="28"/>
          <w:szCs w:val="32"/>
        </w:rPr>
        <w:t>  </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hint="eastAsia" w:asciiTheme="minorEastAsia" w:hAnsiTheme="minorEastAsia"/>
          <w:sz w:val="28"/>
          <w:szCs w:val="32"/>
        </w:rPr>
        <w:t>项目支出：指在基本支出以外为完成相关行政任务和事业发展目标所发生的各项支出。</w:t>
      </w:r>
    </w:p>
    <w:p>
      <w:pPr>
        <w:numPr>
          <w:ilvl w:val="0"/>
          <w:numId w:val="0"/>
        </w:numPr>
        <w:ind w:firstLine="640" w:firstLineChars="200"/>
        <w:jc w:val="left"/>
        <w:rPr>
          <w:rFonts w:hint="eastAsia" w:asciiTheme="minorEastAsia" w:hAnsiTheme="minorEastAsia"/>
          <w:sz w:val="28"/>
          <w:szCs w:val="32"/>
          <w:lang w:val="en-US" w:eastAsia="zh-CN"/>
        </w:rPr>
      </w:pPr>
      <w:r>
        <w:rPr>
          <w:rFonts w:hint="eastAsia" w:cs="黑体" w:asciiTheme="minorEastAsia" w:hAnsiTheme="minorEastAsia"/>
          <w:color w:val="000000"/>
          <w:kern w:val="0"/>
          <w:sz w:val="32"/>
          <w:szCs w:val="32"/>
        </w:rPr>
        <w:t>三</w:t>
      </w:r>
      <w:r>
        <w:rPr>
          <w:rFonts w:hint="eastAsia" w:cs="黑体" w:asciiTheme="minorEastAsia" w:hAnsiTheme="minorEastAsia"/>
          <w:color w:val="000000"/>
          <w:kern w:val="0"/>
          <w:sz w:val="32"/>
          <w:szCs w:val="32"/>
          <w:lang w:eastAsia="zh-CN"/>
        </w:rPr>
        <w:t>、</w:t>
      </w:r>
      <w:r>
        <w:rPr>
          <w:rFonts w:hint="eastAsia" w:asciiTheme="minorEastAsia" w:hAnsiTheme="minorEastAsia"/>
          <w:sz w:val="28"/>
          <w:szCs w:val="32"/>
        </w:rPr>
        <w:t>“三公”经费：指通过财政拨款资金安排的因公出国（境）费、公务用车购置及运行费和公务接待费支出。其中：因公出国（境）费指单位工作人员公务出国（境）的往返机票费、住宿费、伙食费、培训费等支出；公务用车购置及运行费指单位购置公务用车支出及公务用车使用过程中发生的租用费、燃料费、维修费、过路过桥费、保险费等支出；公务接待费指单位按规定开支的各类公务接待（含外宾接待）支出。</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hint="eastAsia" w:ascii="黑体" w:eastAsia="黑体" w:cs="黑体"/>
          <w:color w:val="000000"/>
          <w:kern w:val="0"/>
          <w:sz w:val="70"/>
          <w:szCs w:val="70"/>
          <w:lang w:eastAsia="zh-CN"/>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hint="eastAsia" w:cs="黑体" w:asciiTheme="minorEastAsia" w:hAnsiTheme="minorEastAsia" w:eastAsiaTheme="minorEastAsia"/>
          <w:color w:val="000000"/>
          <w:kern w:val="0"/>
          <w:sz w:val="32"/>
          <w:szCs w:val="32"/>
          <w:lang w:eastAsia="zh-CN"/>
        </w:rPr>
      </w:pPr>
      <w:r>
        <w:rPr>
          <w:rFonts w:hint="eastAsia" w:cs="黑体" w:asciiTheme="minorEastAsia" w:hAnsiTheme="minorEastAsia"/>
          <w:color w:val="000000"/>
          <w:kern w:val="0"/>
          <w:sz w:val="32"/>
          <w:szCs w:val="32"/>
          <w:lang w:eastAsia="zh-CN"/>
        </w:rPr>
        <w:t>附件：</w:t>
      </w:r>
      <w:r>
        <w:rPr>
          <w:rFonts w:hint="eastAsia" w:cs="黑体" w:asciiTheme="minorEastAsia" w:hAnsiTheme="minorEastAsia"/>
          <w:color w:val="000000"/>
          <w:kern w:val="0"/>
          <w:sz w:val="32"/>
          <w:szCs w:val="32"/>
          <w:lang w:eastAsia="zh-CN"/>
        </w:rPr>
        <w:object>
          <v:shape id="_x0000_i1026" o:spt="75" type="#_x0000_t75" style="height:66pt;width:72.75pt;" o:ole="t" filled="f" o:preferrelative="t" stroked="f" coordsize="21600,21600">
            <v:path/>
            <v:fill on="f" focussize="0,0"/>
            <v:stroke on="f"/>
            <v:imagedata r:id="rId7" o:title=""/>
            <o:lock v:ext="edit" aspectratio="t"/>
            <w10:wrap type="none"/>
            <w10:anchorlock/>
          </v:shape>
          <o:OLEObject Type="Embed" ProgID="Word.Document.12" ShapeID="_x0000_i1026" DrawAspect="Icon" ObjectID="_1468075726" r:id="rId6">
            <o:LockedField>false</o:LockedField>
          </o:OLEObject>
        </w:objec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2B547D"/>
    <w:multiLevelType w:val="singleLevel"/>
    <w:tmpl w:val="DF2B547D"/>
    <w:lvl w:ilvl="0" w:tentative="0">
      <w:start w:val="5"/>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iMjI5MmE2NjNmYzc0ODcwZjJhN2VjZWVlYWEyMjk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03010"/>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B81FC4"/>
    <w:rsid w:val="0A5A351E"/>
    <w:rsid w:val="0ECC307F"/>
    <w:rsid w:val="296028EA"/>
    <w:rsid w:val="2DE0224B"/>
    <w:rsid w:val="327F1BFB"/>
    <w:rsid w:val="3EBA0B4C"/>
    <w:rsid w:val="40B82BB4"/>
    <w:rsid w:val="423575BA"/>
    <w:rsid w:val="47652924"/>
    <w:rsid w:val="4AC93ADF"/>
    <w:rsid w:val="532A5AE9"/>
    <w:rsid w:val="582376A2"/>
    <w:rsid w:val="5BF506D8"/>
    <w:rsid w:val="5E7D301B"/>
    <w:rsid w:val="673E47C2"/>
    <w:rsid w:val="7A1E5C6C"/>
    <w:rsid w:val="7C6F3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sz w:val="18"/>
      <w:szCs w:val="18"/>
    </w:rPr>
  </w:style>
  <w:style w:type="paragraph" w:customStyle="1" w:styleId="13">
    <w:name w:val="Body text|1"/>
    <w:basedOn w:val="1"/>
    <w:qFormat/>
    <w:uiPriority w:val="0"/>
    <w:pPr>
      <w:spacing w:line="454" w:lineRule="auto"/>
      <w:ind w:firstLine="400"/>
    </w:pPr>
    <w:rPr>
      <w:rFonts w:ascii="宋体" w:hAnsi="宋体" w:eastAsia="宋体" w:cs="宋体"/>
      <w:sz w:val="28"/>
      <w:szCs w:val="28"/>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emf"/><Relationship Id="rId6" Type="http://schemas.openxmlformats.org/officeDocument/2006/relationships/oleObject" Target="embeddings/oleObject2.bin"/><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3545</Words>
  <Characters>3912</Characters>
  <Lines>69</Lines>
  <Paragraphs>19</Paragraphs>
  <TotalTime>8</TotalTime>
  <ScaleCrop>false</ScaleCrop>
  <LinksUpToDate>false</LinksUpToDate>
  <CharactersWithSpaces>3922</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user</cp:lastModifiedBy>
  <cp:lastPrinted>2022-07-27T12:55:00Z</cp:lastPrinted>
  <dcterms:modified xsi:type="dcterms:W3CDTF">2023-09-26T15:22:02Z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7813D5BFE4894F1495E8BC7F584708DD_13</vt:lpwstr>
  </property>
</Properties>
</file>