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spacing w:line="360" w:lineRule="auto"/>
        <w:jc w:val="center"/>
        <w:rPr>
          <w:rFonts w:hAnsi="黑体"/>
          <w:sz w:val="72"/>
          <w:szCs w:val="72"/>
        </w:rPr>
      </w:pPr>
      <w:r>
        <w:rPr>
          <w:rFonts w:hint="eastAsia" w:hAnsi="黑体"/>
          <w:sz w:val="72"/>
          <w:szCs w:val="72"/>
        </w:rPr>
        <w:t>2021年度</w:t>
      </w:r>
    </w:p>
    <w:p>
      <w:pPr>
        <w:pStyle w:val="11"/>
        <w:spacing w:line="360" w:lineRule="auto"/>
        <w:jc w:val="center"/>
        <w:rPr>
          <w:rFonts w:hAnsi="黑体"/>
          <w:sz w:val="72"/>
          <w:szCs w:val="72"/>
        </w:rPr>
      </w:pPr>
      <w:r>
        <w:rPr>
          <w:rFonts w:hint="eastAsia" w:hAnsi="黑体"/>
          <w:sz w:val="72"/>
          <w:szCs w:val="72"/>
        </w:rPr>
        <w:t>湖南食品药品职业学院部门决算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ind w:firstLine="562" w:firstLineChars="200"/>
        <w:rPr>
          <w:rFonts w:ascii="仿宋_GB2312" w:hAnsi="仿宋_GB2312" w:cs="仿宋_GB2312"/>
          <w:b/>
          <w:sz w:val="28"/>
          <w:szCs w:val="28"/>
        </w:rPr>
      </w:pPr>
      <w:r>
        <w:rPr>
          <w:rFonts w:hint="eastAsia"/>
          <w:b/>
          <w:sz w:val="28"/>
          <w:szCs w:val="28"/>
        </w:rPr>
        <w:t>第一部分湖南食品药品职业学院概况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ind w:firstLine="562" w:firstLineChars="200"/>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ind w:firstLine="562" w:firstLineChars="200"/>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562" w:firstLineChars="200"/>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ind w:firstLine="562" w:firstLineChars="200"/>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r>
        <w:rPr>
          <w:sz w:val="84"/>
          <w:szCs w:val="84"/>
        </w:rPr>
        <w:t xml:space="preserve"> </w:t>
      </w:r>
    </w:p>
    <w:p>
      <w:pPr>
        <w:pStyle w:val="11"/>
        <w:jc w:val="center"/>
        <w:rPr>
          <w:sz w:val="84"/>
          <w:szCs w:val="84"/>
        </w:rPr>
      </w:pPr>
    </w:p>
    <w:p>
      <w:pPr>
        <w:pStyle w:val="11"/>
        <w:jc w:val="center"/>
        <w:rPr>
          <w:sz w:val="84"/>
          <w:szCs w:val="84"/>
        </w:rPr>
      </w:pPr>
      <w:r>
        <w:rPr>
          <w:rFonts w:hint="eastAsia"/>
          <w:sz w:val="84"/>
          <w:szCs w:val="84"/>
        </w:rPr>
        <w:t>湖南食品药品职业学院概况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湖南食品药品职业学院是经湖南省人民政府批准设立、公办的全日制高等职业院校，由湖南省市场监督管理局主管，教育业务由湖南省教育厅管理，包括：1、中专、大专学历教育，培养食品医药类技术人才，促进食品医药类事业发展。学院开设有药学、中药学、食品营养与检测等17个专业；2、进行食品医药类专业技术培训，提供食品医药行业技术开发等社会服务功能。</w:t>
      </w:r>
    </w:p>
    <w:p>
      <w:pPr>
        <w:ind w:firstLine="640" w:firstLineChars="200"/>
        <w:jc w:val="lef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3" w:firstLineChars="200"/>
        <w:rPr>
          <w:rFonts w:asciiTheme="minorEastAsia" w:hAnsiTheme="minorEastAsia"/>
          <w:b/>
          <w:bCs/>
          <w:kern w:val="0"/>
          <w:sz w:val="32"/>
          <w:szCs w:val="32"/>
        </w:rPr>
      </w:pPr>
      <w:r>
        <w:rPr>
          <w:rFonts w:hint="eastAsia" w:asciiTheme="minorEastAsia" w:hAnsiTheme="minorEastAsia"/>
          <w:b/>
          <w:bCs/>
          <w:kern w:val="0"/>
          <w:sz w:val="32"/>
          <w:szCs w:val="32"/>
        </w:rPr>
        <w:t>（一）机构设置。</w:t>
      </w:r>
    </w:p>
    <w:p>
      <w:pPr>
        <w:widowControl/>
        <w:spacing w:line="600" w:lineRule="exact"/>
        <w:ind w:firstLine="640" w:firstLineChars="200"/>
        <w:rPr>
          <w:rFonts w:asciiTheme="minorEastAsia" w:hAnsiTheme="minorEastAsia"/>
          <w:bCs/>
          <w:kern w:val="0"/>
          <w:sz w:val="32"/>
          <w:szCs w:val="32"/>
        </w:rPr>
      </w:pPr>
      <w:r>
        <w:rPr>
          <w:rFonts w:hint="eastAsia" w:asciiTheme="minorEastAsia" w:hAnsiTheme="minorEastAsia"/>
          <w:bCs/>
          <w:kern w:val="0"/>
          <w:sz w:val="32"/>
          <w:szCs w:val="32"/>
        </w:rPr>
        <w:t>湖南</w:t>
      </w:r>
      <w:r>
        <w:rPr>
          <w:rFonts w:asciiTheme="minorEastAsia" w:hAnsiTheme="minorEastAsia"/>
          <w:bCs/>
          <w:kern w:val="0"/>
          <w:sz w:val="32"/>
          <w:szCs w:val="32"/>
        </w:rPr>
        <w:t>食品药品职业学院</w:t>
      </w:r>
      <w:r>
        <w:rPr>
          <w:rFonts w:hint="eastAsia" w:asciiTheme="minorEastAsia" w:hAnsiTheme="minorEastAsia"/>
          <w:bCs/>
          <w:kern w:val="0"/>
          <w:sz w:val="32"/>
          <w:szCs w:val="32"/>
        </w:rPr>
        <w:t>内设机构包括：</w:t>
      </w:r>
    </w:p>
    <w:p>
      <w:pPr>
        <w:ind w:firstLine="640" w:firstLineChars="200"/>
        <w:jc w:val="left"/>
        <w:rPr>
          <w:rFonts w:asciiTheme="minorEastAsia" w:hAnsiTheme="minorEastAsia"/>
          <w:sz w:val="32"/>
          <w:szCs w:val="32"/>
        </w:rPr>
      </w:pPr>
      <w:r>
        <w:rPr>
          <w:rFonts w:hint="eastAsia" w:asciiTheme="minorEastAsia" w:hAnsiTheme="minorEastAsia"/>
          <w:sz w:val="32"/>
          <w:szCs w:val="32"/>
        </w:rPr>
        <w:t>党政机构（13个）：党政办、宣传统战部、组织人事处、纪检监察室、教务处、科研与发展规划处、教学质量督导处、院团委、学生工作与保卫处、招生就业处、财务与采购管理处、院工会、后勤管理处。</w:t>
      </w:r>
    </w:p>
    <w:p>
      <w:pPr>
        <w:ind w:firstLine="640" w:firstLineChars="200"/>
        <w:jc w:val="left"/>
        <w:rPr>
          <w:rFonts w:asciiTheme="minorEastAsia" w:hAnsiTheme="minorEastAsia"/>
          <w:sz w:val="32"/>
          <w:szCs w:val="32"/>
        </w:rPr>
      </w:pPr>
      <w:r>
        <w:rPr>
          <w:rFonts w:hint="eastAsia" w:asciiTheme="minorEastAsia" w:hAnsiTheme="minorEastAsia"/>
          <w:sz w:val="32"/>
          <w:szCs w:val="32"/>
        </w:rPr>
        <w:t>教学机构（8个）：基础学院、药学院、食品学院、中药学院、经管学院、洞井学院、继续教育学院、图书馆。</w:t>
      </w:r>
    </w:p>
    <w:p>
      <w:pPr>
        <w:ind w:firstLine="640" w:firstLineChars="200"/>
        <w:jc w:val="left"/>
        <w:rPr>
          <w:rFonts w:asciiTheme="minorEastAsia" w:hAnsiTheme="minorEastAsia"/>
          <w:sz w:val="32"/>
          <w:szCs w:val="32"/>
        </w:rPr>
      </w:pPr>
      <w:r>
        <w:rPr>
          <w:rFonts w:hint="eastAsia" w:asciiTheme="minorEastAsia" w:hAnsiTheme="minorEastAsia"/>
          <w:sz w:val="32"/>
          <w:szCs w:val="32"/>
        </w:rPr>
        <w:t>并入学院的非独立预算单位（1个）：湖南医药技工学校。</w:t>
      </w:r>
    </w:p>
    <w:p>
      <w:pPr>
        <w:widowControl/>
        <w:spacing w:line="600" w:lineRule="exact"/>
        <w:ind w:firstLine="643" w:firstLineChars="200"/>
        <w:rPr>
          <w:rFonts w:asciiTheme="minorEastAsia" w:hAnsiTheme="minorEastAsia"/>
          <w:b/>
          <w:bCs/>
          <w:kern w:val="0"/>
          <w:sz w:val="32"/>
          <w:szCs w:val="32"/>
          <w:highlight w:val="none"/>
        </w:rPr>
      </w:pPr>
      <w:r>
        <w:rPr>
          <w:rFonts w:hint="eastAsia" w:asciiTheme="minorEastAsia" w:hAnsiTheme="minorEastAsia"/>
          <w:b/>
          <w:bCs/>
          <w:kern w:val="0"/>
          <w:sz w:val="32"/>
          <w:szCs w:val="32"/>
          <w:highlight w:val="none"/>
        </w:rPr>
        <w:t>（二）决算单位构成。</w:t>
      </w:r>
    </w:p>
    <w:p>
      <w:pPr>
        <w:widowControl/>
        <w:spacing w:line="600" w:lineRule="exact"/>
        <w:ind w:firstLine="627" w:firstLineChars="196"/>
        <w:jc w:val="left"/>
        <w:rPr>
          <w:rFonts w:cs="Times New Roman" w:asciiTheme="minorEastAsia" w:hAnsiTheme="minorEastAsia"/>
          <w:sz w:val="32"/>
          <w:szCs w:val="32"/>
          <w:highlight w:val="none"/>
        </w:rPr>
      </w:pPr>
      <w:r>
        <w:rPr>
          <w:rFonts w:hint="eastAsia" w:cs="宋体" w:asciiTheme="minorEastAsia" w:hAnsiTheme="minorEastAsia"/>
          <w:sz w:val="32"/>
          <w:szCs w:val="32"/>
          <w:highlight w:val="none"/>
        </w:rPr>
        <w:t>湖南医药技工学校并入湖南食品药品职业学院本级核算，本次</w:t>
      </w:r>
      <w:r>
        <w:rPr>
          <w:rFonts w:hint="eastAsia" w:cs="Times New Roman" w:asciiTheme="minorEastAsia" w:hAnsiTheme="minorEastAsia"/>
          <w:sz w:val="32"/>
          <w:szCs w:val="32"/>
          <w:highlight w:val="none"/>
        </w:rPr>
        <w:t>湖南食品药品职业学院本级公开内容含本级和湖南医药技工学校，无其他下级预算单位。</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rFonts w:ascii="黑体" w:hAnsi="黑体" w:eastAsia="黑体"/>
          <w:sz w:val="72"/>
          <w:szCs w:val="72"/>
        </w:rPr>
      </w:pPr>
      <w:r>
        <w:rPr>
          <w:rFonts w:hint="eastAsia" w:ascii="黑体" w:hAnsi="黑体" w:eastAsia="黑体"/>
          <w:sz w:val="72"/>
          <w:szCs w:val="72"/>
        </w:rPr>
        <w:t>第二部分</w:t>
      </w:r>
    </w:p>
    <w:p>
      <w:pPr>
        <w:jc w:val="center"/>
        <w:rPr>
          <w:rFonts w:ascii="黑体" w:hAnsi="黑体" w:eastAsia="黑体"/>
          <w:sz w:val="72"/>
          <w:szCs w:val="72"/>
        </w:rPr>
      </w:pPr>
    </w:p>
    <w:p>
      <w:pPr>
        <w:jc w:val="center"/>
        <w:rPr>
          <w:rFonts w:ascii="黑体" w:hAnsi="黑体" w:eastAsia="黑体"/>
          <w:sz w:val="72"/>
          <w:szCs w:val="72"/>
        </w:rPr>
      </w:pPr>
      <w:r>
        <w:rPr>
          <w:rFonts w:hint="eastAsia" w:ascii="黑体" w:hAnsi="黑体" w:eastAsia="黑体"/>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19"/>
        <w:gridCol w:w="436"/>
        <w:gridCol w:w="778"/>
        <w:gridCol w:w="688"/>
        <w:gridCol w:w="232"/>
        <w:gridCol w:w="569"/>
        <w:gridCol w:w="4673"/>
        <w:gridCol w:w="6"/>
        <w:gridCol w:w="438"/>
        <w:gridCol w:w="649"/>
        <w:gridCol w:w="1493"/>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33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8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86"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9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333"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部门：湖南食品药品职业学院</w:t>
            </w:r>
          </w:p>
        </w:tc>
        <w:tc>
          <w:tcPr>
            <w:tcW w:w="68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686"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9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237" w:hRule="atLeast"/>
        </w:trPr>
        <w:tc>
          <w:tcPr>
            <w:tcW w:w="6822" w:type="dxa"/>
            <w:gridSpan w:val="6"/>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收入</w:t>
            </w:r>
          </w:p>
        </w:tc>
        <w:tc>
          <w:tcPr>
            <w:tcW w:w="7259" w:type="dxa"/>
            <w:gridSpan w:val="5"/>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支出</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2267" w:type="dxa"/>
            <w:gridSpan w:val="4"/>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决算数</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项目(按功能分类)</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决算数</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2267" w:type="dxa"/>
            <w:gridSpan w:val="4"/>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一、一般公共预算财政拨款收入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11,749.49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一、一般公共服务支出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32</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二、政府性基金预算财政拨款收入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二、外交支出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33</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三、国有资本经营预算财政拨款收入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三、国防支出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34</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四、上级补助收入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四、公共安全支出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35</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五、事业收入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4,000.00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五、教育支出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36</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15,969.61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六、经营收入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六、科学技术支出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37</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七、附属单位上缴收入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七、文化旅游体育与传媒支出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38</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八、其他收入</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1,506.85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八、社会保障和就业支出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39</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717.43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九、卫生健康支出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40</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262.89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10</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十、节能环保支出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41</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11</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十一、城乡社区支出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42</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12</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十二、农林水支出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43</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13</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十三、交通运输支出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44</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14</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十四、资源勘探工业信息等支出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45</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15</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十五、商业服务业等支出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46</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16</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十六、金融支出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47</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8"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17</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十七、援助其他地区支出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48</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18</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十八、自然资源海洋气象等支出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49</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single" w:color="000000" w:sz="8" w:space="0"/>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single" w:color="000000" w:sz="8" w:space="0"/>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19</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十九、住房保障支出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50</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二十、粮油物资储备支出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51</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21</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二十一、国有资本经营预算支出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52</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22</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二十二、灾害防治及应急管理支出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53</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23</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二十三、其他支出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54</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24</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二十四、债务还本支出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55</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25</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二十五、债务付息支出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56</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26</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3" w:type="dxa"/>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二十六、抗疫特别国债安排的支出</w:t>
            </w:r>
          </w:p>
        </w:tc>
        <w:tc>
          <w:tcPr>
            <w:tcW w:w="444"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57</w:t>
            </w:r>
          </w:p>
        </w:tc>
        <w:tc>
          <w:tcPr>
            <w:tcW w:w="2142" w:type="dxa"/>
            <w:gridSpan w:val="2"/>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本年收入合计</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27</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17,256.34 </w:t>
            </w:r>
          </w:p>
        </w:tc>
        <w:tc>
          <w:tcPr>
            <w:tcW w:w="4679"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本年支出合计</w:t>
            </w:r>
          </w:p>
        </w:tc>
        <w:tc>
          <w:tcPr>
            <w:tcW w:w="438" w:type="dxa"/>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center"/>
              <w:rPr>
                <w:rFonts w:ascii="宋体" w:hAnsi="宋体" w:eastAsia="宋体" w:cs="Arial"/>
                <w:bCs/>
                <w:color w:val="000000"/>
                <w:kern w:val="0"/>
                <w:sz w:val="22"/>
              </w:rPr>
            </w:pPr>
            <w:r>
              <w:rPr>
                <w:rFonts w:hint="eastAsia" w:ascii="宋体" w:hAnsi="宋体" w:eastAsia="宋体" w:cs="Arial"/>
                <w:bCs/>
                <w:color w:val="000000"/>
                <w:kern w:val="0"/>
                <w:sz w:val="22"/>
              </w:rPr>
              <w:t>58</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right"/>
              <w:rPr>
                <w:rFonts w:ascii="Arial" w:hAnsi="Arial" w:eastAsia="宋体" w:cs="Arial"/>
                <w:bCs/>
                <w:color w:val="000000"/>
                <w:kern w:val="0"/>
                <w:sz w:val="20"/>
                <w:szCs w:val="20"/>
              </w:rPr>
            </w:pPr>
            <w:r>
              <w:rPr>
                <w:rFonts w:ascii="Arial" w:hAnsi="Arial" w:eastAsia="宋体" w:cs="Arial"/>
                <w:bCs/>
                <w:color w:val="000000"/>
                <w:kern w:val="0"/>
                <w:sz w:val="20"/>
                <w:szCs w:val="20"/>
              </w:rPr>
              <w:t>17756.81</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使用非财政拨款结余</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28</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423.68 </w:t>
            </w:r>
          </w:p>
        </w:tc>
        <w:tc>
          <w:tcPr>
            <w:tcW w:w="4679"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结余分配</w:t>
            </w:r>
          </w:p>
        </w:tc>
        <w:tc>
          <w:tcPr>
            <w:tcW w:w="438" w:type="dxa"/>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59</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right"/>
              <w:rPr>
                <w:rFonts w:ascii="Arial" w:hAnsi="Arial" w:eastAsia="宋体" w:cs="Arial"/>
                <w:color w:val="000000"/>
                <w:kern w:val="0"/>
                <w:sz w:val="20"/>
                <w:szCs w:val="20"/>
              </w:rPr>
            </w:pP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年初结转和结余</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29</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1,633.60 </w:t>
            </w:r>
          </w:p>
        </w:tc>
        <w:tc>
          <w:tcPr>
            <w:tcW w:w="4679"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年末结转和结余</w:t>
            </w:r>
          </w:p>
        </w:tc>
        <w:tc>
          <w:tcPr>
            <w:tcW w:w="438" w:type="dxa"/>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60</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1556.8</w:t>
            </w: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30</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4679"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8" w:type="dxa"/>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61</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right"/>
              <w:rPr>
                <w:rFonts w:ascii="Arial" w:hAnsi="Arial" w:eastAsia="宋体" w:cs="Arial"/>
                <w:color w:val="000000"/>
                <w:kern w:val="0"/>
                <w:sz w:val="20"/>
                <w:szCs w:val="20"/>
              </w:rPr>
            </w:pPr>
          </w:p>
        </w:tc>
      </w:tr>
      <w:tr>
        <w:tblPrEx>
          <w:tblCellMar>
            <w:top w:w="0" w:type="dxa"/>
            <w:left w:w="108" w:type="dxa"/>
            <w:bottom w:w="0" w:type="dxa"/>
            <w:right w:w="108" w:type="dxa"/>
          </w:tblCellMar>
        </w:tblPrEx>
        <w:trPr>
          <w:trHeight w:val="237" w:hRule="atLeast"/>
        </w:trPr>
        <w:tc>
          <w:tcPr>
            <w:tcW w:w="4119" w:type="dxa"/>
            <w:tcBorders>
              <w:top w:val="nil"/>
              <w:left w:val="single" w:color="000000" w:sz="4" w:space="0"/>
              <w:bottom w:val="single" w:color="000000" w:sz="8"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36" w:type="dxa"/>
            <w:tcBorders>
              <w:top w:val="nil"/>
              <w:left w:val="nil"/>
              <w:bottom w:val="single" w:color="000000" w:sz="8"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31</w:t>
            </w:r>
          </w:p>
        </w:tc>
        <w:tc>
          <w:tcPr>
            <w:tcW w:w="2267" w:type="dxa"/>
            <w:gridSpan w:val="4"/>
            <w:tcBorders>
              <w:top w:val="single" w:color="000000" w:sz="8" w:space="0"/>
              <w:left w:val="single" w:color="000000" w:sz="8" w:space="0"/>
              <w:bottom w:val="single" w:color="000000" w:sz="8" w:space="0"/>
              <w:right w:val="single" w:color="000000" w:sz="8"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19,313.61 </w:t>
            </w:r>
          </w:p>
        </w:tc>
        <w:tc>
          <w:tcPr>
            <w:tcW w:w="4679" w:type="dxa"/>
            <w:gridSpan w:val="2"/>
            <w:tcBorders>
              <w:top w:val="single" w:color="000000" w:sz="8" w:space="0"/>
              <w:left w:val="single" w:color="000000" w:sz="8" w:space="0"/>
              <w:bottom w:val="single" w:color="000000" w:sz="8" w:space="0"/>
              <w:right w:val="single" w:color="000000" w:sz="8"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38" w:type="dxa"/>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center"/>
              <w:rPr>
                <w:rFonts w:ascii="宋体" w:hAnsi="宋体" w:eastAsia="宋体" w:cs="Arial"/>
                <w:bCs/>
                <w:color w:val="000000"/>
                <w:kern w:val="0"/>
                <w:sz w:val="22"/>
              </w:rPr>
            </w:pPr>
            <w:r>
              <w:rPr>
                <w:rFonts w:hint="eastAsia" w:ascii="宋体" w:hAnsi="宋体" w:eastAsia="宋体" w:cs="Arial"/>
                <w:bCs/>
                <w:color w:val="000000"/>
                <w:kern w:val="0"/>
                <w:sz w:val="22"/>
              </w:rPr>
              <w:t>62</w:t>
            </w:r>
          </w:p>
        </w:tc>
        <w:tc>
          <w:tcPr>
            <w:tcW w:w="2142" w:type="dxa"/>
            <w:gridSpan w:val="2"/>
            <w:tcBorders>
              <w:top w:val="single" w:color="000000" w:sz="8" w:space="0"/>
              <w:left w:val="single" w:color="000000" w:sz="8" w:space="0"/>
              <w:bottom w:val="single" w:color="000000" w:sz="8" w:space="0"/>
              <w:right w:val="single" w:color="000000" w:sz="8" w:space="0"/>
            </w:tcBorders>
            <w:shd w:val="clear" w:color="FFFFFF" w:fill="FFFFFF"/>
            <w:vAlign w:val="center"/>
          </w:tcPr>
          <w:p>
            <w:pPr>
              <w:widowControl/>
              <w:jc w:val="right"/>
              <w:rPr>
                <w:rFonts w:ascii="Arial" w:hAnsi="Arial" w:eastAsia="宋体" w:cs="Arial"/>
                <w:bCs/>
                <w:color w:val="000000"/>
                <w:kern w:val="0"/>
                <w:sz w:val="20"/>
                <w:szCs w:val="20"/>
              </w:rPr>
            </w:pPr>
            <w:r>
              <w:rPr>
                <w:rFonts w:ascii="Arial" w:hAnsi="Arial" w:eastAsia="宋体" w:cs="Arial"/>
                <w:bCs/>
                <w:color w:val="000000"/>
                <w:kern w:val="0"/>
                <w:sz w:val="20"/>
                <w:szCs w:val="20"/>
              </w:rPr>
              <w:t>19313.61</w:t>
            </w:r>
          </w:p>
        </w:tc>
      </w:tr>
    </w:tbl>
    <w:p>
      <w:pPr>
        <w:widowControl/>
        <w:jc w:val="left"/>
        <w:rPr>
          <w:rFonts w:ascii="宋体" w:hAnsi="宋体" w:eastAsia="宋体" w:cs="宋体"/>
          <w:kern w:val="0"/>
          <w:sz w:val="24"/>
          <w:szCs w:val="24"/>
        </w:rPr>
      </w:pPr>
    </w:p>
    <w:p>
      <w:pPr>
        <w:jc w:val="left"/>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bl>
      <w:tblPr>
        <w:tblStyle w:val="6"/>
        <w:tblW w:w="14400" w:type="dxa"/>
        <w:tblInd w:w="0" w:type="dxa"/>
        <w:tblLayout w:type="autofit"/>
        <w:tblCellMar>
          <w:top w:w="0" w:type="dxa"/>
          <w:left w:w="0" w:type="dxa"/>
          <w:bottom w:w="0" w:type="dxa"/>
          <w:right w:w="0" w:type="dxa"/>
        </w:tblCellMar>
      </w:tblPr>
      <w:tblGrid>
        <w:gridCol w:w="1247"/>
        <w:gridCol w:w="1247"/>
        <w:gridCol w:w="364"/>
        <w:gridCol w:w="364"/>
        <w:gridCol w:w="365"/>
        <w:gridCol w:w="365"/>
        <w:gridCol w:w="365"/>
        <w:gridCol w:w="365"/>
        <w:gridCol w:w="365"/>
        <w:gridCol w:w="10381"/>
      </w:tblGrid>
      <w:tr>
        <w:tblPrEx>
          <w:tblCellMar>
            <w:top w:w="0" w:type="dxa"/>
            <w:left w:w="0" w:type="dxa"/>
            <w:bottom w:w="0" w:type="dxa"/>
            <w:right w:w="0" w:type="dxa"/>
          </w:tblCellMar>
        </w:tblPrEx>
        <w:trPr>
          <w:trHeight w:val="435" w:hRule="atLeast"/>
        </w:trPr>
        <w:tc>
          <w:tcPr>
            <w:tcW w:w="1440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部门：湖南食品药品职业学院</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615" w:hRule="atLeast"/>
        </w:trPr>
        <w:tc>
          <w:tcPr>
            <w:tcW w:w="14400" w:type="dxa"/>
            <w:gridSpan w:val="10"/>
            <w:tcBorders>
              <w:top w:val="nil"/>
              <w:left w:val="nil"/>
              <w:bottom w:val="nil"/>
              <w:right w:val="nil"/>
            </w:tcBorders>
            <w:shd w:val="clear" w:color="auto" w:fill="auto"/>
            <w:tcMar>
              <w:top w:w="15" w:type="dxa"/>
              <w:left w:w="15" w:type="dxa"/>
              <w:bottom w:w="0" w:type="dxa"/>
              <w:right w:w="15" w:type="dxa"/>
            </w:tcMar>
            <w:vAlign w:val="center"/>
          </w:tcPr>
          <w:tbl>
            <w:tblPr>
              <w:tblStyle w:val="6"/>
              <w:tblW w:w="1504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433"/>
              <w:gridCol w:w="433"/>
              <w:gridCol w:w="433"/>
              <w:gridCol w:w="3724"/>
              <w:gridCol w:w="1326"/>
              <w:gridCol w:w="1327"/>
              <w:gridCol w:w="1267"/>
              <w:gridCol w:w="1313"/>
              <w:gridCol w:w="1273"/>
              <w:gridCol w:w="1267"/>
              <w:gridCol w:w="1268"/>
              <w:gridCol w:w="131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4571" w:type="dxa"/>
                  <w:gridSpan w:val="4"/>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1341"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本年收入合计</w:t>
                  </w:r>
                </w:p>
              </w:tc>
              <w:tc>
                <w:tcPr>
                  <w:tcW w:w="1342"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财政拨款收入</w:t>
                  </w:r>
                </w:p>
              </w:tc>
              <w:tc>
                <w:tcPr>
                  <w:tcW w:w="1281"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上级补助收入</w:t>
                  </w:r>
                </w:p>
              </w:tc>
              <w:tc>
                <w:tcPr>
                  <w:tcW w:w="2615" w:type="dxa"/>
                  <w:gridSpan w:val="2"/>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事业收入</w:t>
                  </w:r>
                </w:p>
              </w:tc>
              <w:tc>
                <w:tcPr>
                  <w:tcW w:w="1281"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经营收入</w:t>
                  </w:r>
                </w:p>
              </w:tc>
              <w:tc>
                <w:tcPr>
                  <w:tcW w:w="1281"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附属单位上缴收入</w:t>
                  </w:r>
                </w:p>
              </w:tc>
              <w:tc>
                <w:tcPr>
                  <w:tcW w:w="1328"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801" w:type="dxa"/>
                  <w:gridSpan w:val="3"/>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支出功能分类科目编码</w:t>
                  </w:r>
                </w:p>
              </w:tc>
              <w:tc>
                <w:tcPr>
                  <w:tcW w:w="3770" w:type="dxa"/>
                  <w:vMerge w:val="restart"/>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1341" w:type="dxa"/>
                  <w:vMerge w:val="continue"/>
                  <w:vAlign w:val="center"/>
                </w:tcPr>
                <w:p>
                  <w:pPr>
                    <w:widowControl/>
                    <w:jc w:val="left"/>
                    <w:rPr>
                      <w:rFonts w:ascii="宋体" w:hAnsi="宋体" w:eastAsia="宋体" w:cs="Arial"/>
                      <w:color w:val="000000"/>
                      <w:kern w:val="0"/>
                      <w:sz w:val="22"/>
                    </w:rPr>
                  </w:pPr>
                </w:p>
              </w:tc>
              <w:tc>
                <w:tcPr>
                  <w:tcW w:w="1342"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1287" w:type="dxa"/>
                  <w:vMerge w:val="restart"/>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其中：教育收费</w:t>
                  </w:r>
                </w:p>
              </w:tc>
              <w:tc>
                <w:tcPr>
                  <w:tcW w:w="1281"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continue"/>
                  <w:vAlign w:val="center"/>
                </w:tcPr>
                <w:p>
                  <w:pPr>
                    <w:widowControl/>
                    <w:jc w:val="left"/>
                    <w:rPr>
                      <w:rFonts w:ascii="宋体" w:hAnsi="宋体" w:eastAsia="宋体" w:cs="Arial"/>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801" w:type="dxa"/>
                  <w:gridSpan w:val="3"/>
                  <w:vMerge w:val="continue"/>
                  <w:vAlign w:val="center"/>
                </w:tcPr>
                <w:p>
                  <w:pPr>
                    <w:widowControl/>
                    <w:jc w:val="left"/>
                    <w:rPr>
                      <w:rFonts w:ascii="宋体" w:hAnsi="宋体" w:eastAsia="宋体" w:cs="Arial"/>
                      <w:color w:val="000000"/>
                      <w:kern w:val="0"/>
                      <w:sz w:val="22"/>
                    </w:rPr>
                  </w:pPr>
                </w:p>
              </w:tc>
              <w:tc>
                <w:tcPr>
                  <w:tcW w:w="3770" w:type="dxa"/>
                  <w:vMerge w:val="continue"/>
                  <w:vAlign w:val="center"/>
                </w:tcPr>
                <w:p>
                  <w:pPr>
                    <w:widowControl/>
                    <w:jc w:val="left"/>
                    <w:rPr>
                      <w:rFonts w:ascii="宋体" w:hAnsi="宋体" w:eastAsia="宋体" w:cs="Arial"/>
                      <w:color w:val="000000"/>
                      <w:kern w:val="0"/>
                      <w:sz w:val="22"/>
                    </w:rPr>
                  </w:pPr>
                </w:p>
              </w:tc>
              <w:tc>
                <w:tcPr>
                  <w:tcW w:w="1341" w:type="dxa"/>
                  <w:vMerge w:val="continue"/>
                  <w:vAlign w:val="center"/>
                </w:tcPr>
                <w:p>
                  <w:pPr>
                    <w:widowControl/>
                    <w:jc w:val="left"/>
                    <w:rPr>
                      <w:rFonts w:ascii="宋体" w:hAnsi="宋体" w:eastAsia="宋体" w:cs="Arial"/>
                      <w:color w:val="000000"/>
                      <w:kern w:val="0"/>
                      <w:sz w:val="22"/>
                    </w:rPr>
                  </w:pPr>
                </w:p>
              </w:tc>
              <w:tc>
                <w:tcPr>
                  <w:tcW w:w="1342"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continue"/>
                  <w:vAlign w:val="center"/>
                </w:tcPr>
                <w:p>
                  <w:pPr>
                    <w:widowControl/>
                    <w:jc w:val="left"/>
                    <w:rPr>
                      <w:rFonts w:ascii="宋体" w:hAnsi="宋体" w:eastAsia="宋体" w:cs="Arial"/>
                      <w:color w:val="000000"/>
                      <w:kern w:val="0"/>
                      <w:sz w:val="22"/>
                    </w:rPr>
                  </w:pPr>
                </w:p>
              </w:tc>
              <w:tc>
                <w:tcPr>
                  <w:tcW w:w="1287"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continue"/>
                  <w:vAlign w:val="center"/>
                </w:tcPr>
                <w:p>
                  <w:pPr>
                    <w:widowControl/>
                    <w:jc w:val="left"/>
                    <w:rPr>
                      <w:rFonts w:ascii="宋体" w:hAnsi="宋体" w:eastAsia="宋体" w:cs="Arial"/>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801" w:type="dxa"/>
                  <w:gridSpan w:val="3"/>
                  <w:vMerge w:val="continue"/>
                  <w:vAlign w:val="center"/>
                </w:tcPr>
                <w:p>
                  <w:pPr>
                    <w:widowControl/>
                    <w:jc w:val="left"/>
                    <w:rPr>
                      <w:rFonts w:ascii="宋体" w:hAnsi="宋体" w:eastAsia="宋体" w:cs="Arial"/>
                      <w:color w:val="000000"/>
                      <w:kern w:val="0"/>
                      <w:sz w:val="22"/>
                    </w:rPr>
                  </w:pPr>
                </w:p>
              </w:tc>
              <w:tc>
                <w:tcPr>
                  <w:tcW w:w="3770" w:type="dxa"/>
                  <w:vMerge w:val="continue"/>
                  <w:vAlign w:val="center"/>
                </w:tcPr>
                <w:p>
                  <w:pPr>
                    <w:widowControl/>
                    <w:jc w:val="left"/>
                    <w:rPr>
                      <w:rFonts w:ascii="宋体" w:hAnsi="宋体" w:eastAsia="宋体" w:cs="Arial"/>
                      <w:color w:val="000000"/>
                      <w:kern w:val="0"/>
                      <w:sz w:val="22"/>
                    </w:rPr>
                  </w:pPr>
                </w:p>
              </w:tc>
              <w:tc>
                <w:tcPr>
                  <w:tcW w:w="1341" w:type="dxa"/>
                  <w:vMerge w:val="continue"/>
                  <w:vAlign w:val="center"/>
                </w:tcPr>
                <w:p>
                  <w:pPr>
                    <w:widowControl/>
                    <w:jc w:val="left"/>
                    <w:rPr>
                      <w:rFonts w:ascii="宋体" w:hAnsi="宋体" w:eastAsia="宋体" w:cs="Arial"/>
                      <w:color w:val="000000"/>
                      <w:kern w:val="0"/>
                      <w:sz w:val="22"/>
                    </w:rPr>
                  </w:pPr>
                </w:p>
              </w:tc>
              <w:tc>
                <w:tcPr>
                  <w:tcW w:w="1342"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continue"/>
                  <w:vAlign w:val="center"/>
                </w:tcPr>
                <w:p>
                  <w:pPr>
                    <w:widowControl/>
                    <w:jc w:val="left"/>
                    <w:rPr>
                      <w:rFonts w:ascii="宋体" w:hAnsi="宋体" w:eastAsia="宋体" w:cs="Arial"/>
                      <w:color w:val="000000"/>
                      <w:kern w:val="0"/>
                      <w:sz w:val="22"/>
                    </w:rPr>
                  </w:pPr>
                </w:p>
              </w:tc>
              <w:tc>
                <w:tcPr>
                  <w:tcW w:w="1287"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281" w:type="dxa"/>
                  <w:vMerge w:val="continue"/>
                  <w:vAlign w:val="center"/>
                </w:tcPr>
                <w:p>
                  <w:pPr>
                    <w:widowControl/>
                    <w:jc w:val="left"/>
                    <w:rPr>
                      <w:rFonts w:ascii="宋体" w:hAnsi="宋体" w:eastAsia="宋体" w:cs="Arial"/>
                      <w:color w:val="000000"/>
                      <w:kern w:val="0"/>
                      <w:sz w:val="22"/>
                    </w:rPr>
                  </w:pPr>
                </w:p>
              </w:tc>
              <w:tc>
                <w:tcPr>
                  <w:tcW w:w="1328" w:type="dxa"/>
                  <w:vMerge w:val="continue"/>
                  <w:vAlign w:val="center"/>
                </w:tcPr>
                <w:p>
                  <w:pPr>
                    <w:widowControl/>
                    <w:jc w:val="left"/>
                    <w:rPr>
                      <w:rFonts w:ascii="宋体" w:hAnsi="宋体" w:eastAsia="宋体" w:cs="Arial"/>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267" w:type="dxa"/>
                  <w:vMerge w:val="restart"/>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类</w:t>
                  </w:r>
                </w:p>
              </w:tc>
              <w:tc>
                <w:tcPr>
                  <w:tcW w:w="267" w:type="dxa"/>
                  <w:vMerge w:val="restart"/>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款</w:t>
                  </w:r>
                </w:p>
              </w:tc>
              <w:tc>
                <w:tcPr>
                  <w:tcW w:w="267" w:type="dxa"/>
                  <w:vMerge w:val="restart"/>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w:t>
                  </w:r>
                </w:p>
              </w:tc>
              <w:tc>
                <w:tcPr>
                  <w:tcW w:w="3770" w:type="dxa"/>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1341"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342"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281"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328"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287"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281"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281"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1328" w:type="dxa"/>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267" w:type="dxa"/>
                  <w:vMerge w:val="continue"/>
                  <w:vAlign w:val="center"/>
                </w:tcPr>
                <w:p>
                  <w:pPr>
                    <w:widowControl/>
                    <w:jc w:val="left"/>
                    <w:rPr>
                      <w:rFonts w:ascii="宋体" w:hAnsi="宋体" w:eastAsia="宋体" w:cs="Arial"/>
                      <w:color w:val="000000"/>
                      <w:kern w:val="0"/>
                      <w:sz w:val="22"/>
                    </w:rPr>
                  </w:pPr>
                </w:p>
              </w:tc>
              <w:tc>
                <w:tcPr>
                  <w:tcW w:w="267" w:type="dxa"/>
                  <w:vMerge w:val="continue"/>
                  <w:vAlign w:val="center"/>
                </w:tcPr>
                <w:p>
                  <w:pPr>
                    <w:widowControl/>
                    <w:jc w:val="left"/>
                    <w:rPr>
                      <w:rFonts w:ascii="宋体" w:hAnsi="宋体" w:eastAsia="宋体" w:cs="Arial"/>
                      <w:color w:val="000000"/>
                      <w:kern w:val="0"/>
                      <w:sz w:val="22"/>
                    </w:rPr>
                  </w:pPr>
                </w:p>
              </w:tc>
              <w:tc>
                <w:tcPr>
                  <w:tcW w:w="267" w:type="dxa"/>
                  <w:vMerge w:val="continue"/>
                  <w:vAlign w:val="center"/>
                </w:tcPr>
                <w:p>
                  <w:pPr>
                    <w:widowControl/>
                    <w:jc w:val="left"/>
                    <w:rPr>
                      <w:rFonts w:ascii="宋体" w:hAnsi="宋体" w:eastAsia="宋体" w:cs="Arial"/>
                      <w:color w:val="000000"/>
                      <w:kern w:val="0"/>
                      <w:sz w:val="22"/>
                    </w:rPr>
                  </w:pPr>
                </w:p>
              </w:tc>
              <w:tc>
                <w:tcPr>
                  <w:tcW w:w="3770" w:type="dxa"/>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17,256.34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11,749.49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4,000.00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1,506.85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一般公共服务支出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市场监督管理事务</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其他市场监督管理事务</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教育支出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15,570.77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10,667.92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3,396.00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1,506.85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职业教育</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15,210.77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10,307.92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3,396.00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1,506.85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2050302</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中等职业教育</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370.75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370.75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2050305</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高等职业教育</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14,840.02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9,937.17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3,396.00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1,506.85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进修及培训</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360.00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360.00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2050803</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培训支出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360.00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360.00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科学技术支出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20602</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基础研究</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2060203</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自然科学基金</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607.68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343.68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264.00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行政事业单位养老支出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443.17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211.17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232.00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2080502</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事业单位离退休</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24.00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16.00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2080505</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机关事业单位基本养老保险缴费支出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403.17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187.17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216.00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就业补助</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其他就业补助支出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86.11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54.11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86.11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54.11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262.89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110.89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行政事业单位医疗</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2101102</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事业单位医疗</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152.00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住房保障支出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住房改革支出</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7" w:hRule="atLeast"/>
              </w:trPr>
              <w:tc>
                <w:tcPr>
                  <w:tcW w:w="801" w:type="dxa"/>
                  <w:gridSpan w:val="3"/>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2210201</w:t>
                  </w:r>
                </w:p>
              </w:tc>
              <w:tc>
                <w:tcPr>
                  <w:tcW w:w="3770" w:type="dxa"/>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住房公积金</w:t>
                  </w:r>
                </w:p>
              </w:tc>
              <w:tc>
                <w:tcPr>
                  <w:tcW w:w="134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342"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188.00 </w:t>
                  </w:r>
                </w:p>
              </w:tc>
              <w:tc>
                <w:tcPr>
                  <w:tcW w:w="1287"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281"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328" w:type="dxa"/>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bl>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5443" w:type="dxa"/>
        <w:tblInd w:w="93" w:type="dxa"/>
        <w:tblLayout w:type="autofit"/>
        <w:tblCellMar>
          <w:top w:w="0" w:type="dxa"/>
          <w:left w:w="108" w:type="dxa"/>
          <w:bottom w:w="0" w:type="dxa"/>
          <w:right w:w="108" w:type="dxa"/>
        </w:tblCellMar>
      </w:tblPr>
      <w:tblGrid>
        <w:gridCol w:w="1221"/>
        <w:gridCol w:w="260"/>
        <w:gridCol w:w="1463"/>
        <w:gridCol w:w="1928"/>
        <w:gridCol w:w="1967"/>
        <w:gridCol w:w="1967"/>
        <w:gridCol w:w="1967"/>
        <w:gridCol w:w="1967"/>
        <w:gridCol w:w="2703"/>
      </w:tblGrid>
      <w:tr>
        <w:tblPrEx>
          <w:tblCellMar>
            <w:top w:w="0" w:type="dxa"/>
            <w:left w:w="108" w:type="dxa"/>
            <w:bottom w:w="0" w:type="dxa"/>
            <w:right w:w="108" w:type="dxa"/>
          </w:tblCellMar>
        </w:tblPrEx>
        <w:trPr>
          <w:trHeight w:val="435" w:hRule="atLeast"/>
        </w:trPr>
        <w:tc>
          <w:tcPr>
            <w:tcW w:w="1544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22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6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2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0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4872"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color w:val="000000"/>
                <w:sz w:val="20"/>
                <w:szCs w:val="20"/>
              </w:rPr>
              <w:t>部门：湖南食品药品职业学院</w:t>
            </w: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6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70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630" w:hRule="atLeast"/>
        </w:trPr>
        <w:tc>
          <w:tcPr>
            <w:tcW w:w="15443" w:type="dxa"/>
            <w:gridSpan w:val="9"/>
            <w:tcBorders>
              <w:top w:val="nil"/>
              <w:left w:val="nil"/>
              <w:bottom w:val="nil"/>
              <w:right w:val="nil"/>
            </w:tcBorders>
            <w:shd w:val="clear" w:color="auto" w:fill="auto"/>
            <w:vAlign w:val="center"/>
          </w:tcPr>
          <w:tbl>
            <w:tblPr>
              <w:tblStyle w:val="6"/>
              <w:tblW w:w="15211" w:type="dxa"/>
              <w:tblInd w:w="0" w:type="dxa"/>
              <w:tblLayout w:type="autofit"/>
              <w:tblCellMar>
                <w:top w:w="0" w:type="dxa"/>
                <w:left w:w="108" w:type="dxa"/>
                <w:bottom w:w="0" w:type="dxa"/>
                <w:right w:w="108" w:type="dxa"/>
              </w:tblCellMar>
            </w:tblPr>
            <w:tblGrid>
              <w:gridCol w:w="436"/>
              <w:gridCol w:w="436"/>
              <w:gridCol w:w="436"/>
              <w:gridCol w:w="3770"/>
              <w:gridCol w:w="2195"/>
              <w:gridCol w:w="1701"/>
              <w:gridCol w:w="1418"/>
              <w:gridCol w:w="1701"/>
              <w:gridCol w:w="1559"/>
              <w:gridCol w:w="1559"/>
            </w:tblGrid>
            <w:tr>
              <w:tblPrEx>
                <w:tblCellMar>
                  <w:top w:w="0" w:type="dxa"/>
                  <w:left w:w="108" w:type="dxa"/>
                  <w:bottom w:w="0" w:type="dxa"/>
                  <w:right w:w="108" w:type="dxa"/>
                </w:tblCellMar>
              </w:tblPrEx>
              <w:trPr>
                <w:trHeight w:val="237" w:hRule="atLeast"/>
              </w:trPr>
              <w:tc>
                <w:tcPr>
                  <w:tcW w:w="5078" w:type="dxa"/>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2195" w:type="dxa"/>
                  <w:vMerge w:val="restart"/>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本年支出合计</w:t>
                  </w:r>
                </w:p>
              </w:tc>
              <w:tc>
                <w:tcPr>
                  <w:tcW w:w="1701" w:type="dxa"/>
                  <w:vMerge w:val="restart"/>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1418" w:type="dxa"/>
                  <w:vMerge w:val="restart"/>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c>
                <w:tcPr>
                  <w:tcW w:w="1701" w:type="dxa"/>
                  <w:vMerge w:val="restart"/>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上缴上级支出</w:t>
                  </w:r>
                </w:p>
              </w:tc>
              <w:tc>
                <w:tcPr>
                  <w:tcW w:w="1559" w:type="dxa"/>
                  <w:vMerge w:val="restart"/>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经营支出</w:t>
                  </w:r>
                </w:p>
              </w:tc>
              <w:tc>
                <w:tcPr>
                  <w:tcW w:w="1559" w:type="dxa"/>
                  <w:vMerge w:val="restart"/>
                  <w:tcBorders>
                    <w:top w:val="single" w:color="000000" w:sz="4" w:space="0"/>
                    <w:left w:val="nil"/>
                    <w:bottom w:val="single" w:color="000000" w:sz="4" w:space="0"/>
                    <w:right w:val="single" w:color="000000" w:sz="8"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对附属单位补助支出</w:t>
                  </w:r>
                </w:p>
              </w:tc>
            </w:tr>
            <w:tr>
              <w:tblPrEx>
                <w:tblCellMar>
                  <w:top w:w="0" w:type="dxa"/>
                  <w:left w:w="108" w:type="dxa"/>
                  <w:bottom w:w="0" w:type="dxa"/>
                  <w:right w:w="108" w:type="dxa"/>
                </w:tblCellMar>
              </w:tblPrEx>
              <w:trPr>
                <w:trHeight w:val="312" w:hRule="atLeast"/>
              </w:trPr>
              <w:tc>
                <w:tcPr>
                  <w:tcW w:w="1308"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支出功能分类科目编码</w:t>
                  </w:r>
                </w:p>
              </w:tc>
              <w:tc>
                <w:tcPr>
                  <w:tcW w:w="3770" w:type="dxa"/>
                  <w:vMerge w:val="restart"/>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2195"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8"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312" w:hRule="atLeast"/>
              </w:trPr>
              <w:tc>
                <w:tcPr>
                  <w:tcW w:w="1308"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77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195"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8"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312" w:hRule="atLeast"/>
              </w:trPr>
              <w:tc>
                <w:tcPr>
                  <w:tcW w:w="1308"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770"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195"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18"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701"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559" w:type="dxa"/>
                  <w:vMerge w:val="continue"/>
                  <w:tcBorders>
                    <w:top w:val="single" w:color="000000" w:sz="4" w:space="0"/>
                    <w:left w:val="nil"/>
                    <w:bottom w:val="single" w:color="000000" w:sz="4" w:space="0"/>
                    <w:right w:val="single" w:color="000000" w:sz="8"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237" w:hRule="atLeast"/>
              </w:trPr>
              <w:tc>
                <w:tcPr>
                  <w:tcW w:w="436" w:type="dxa"/>
                  <w:vMerge w:val="restart"/>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类</w:t>
                  </w:r>
                </w:p>
              </w:tc>
              <w:tc>
                <w:tcPr>
                  <w:tcW w:w="436" w:type="dxa"/>
                  <w:vMerge w:val="restart"/>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款</w:t>
                  </w:r>
                </w:p>
              </w:tc>
              <w:tc>
                <w:tcPr>
                  <w:tcW w:w="436" w:type="dxa"/>
                  <w:vMerge w:val="restart"/>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w:t>
                  </w:r>
                </w:p>
              </w:tc>
              <w:tc>
                <w:tcPr>
                  <w:tcW w:w="3770"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2195" w:type="dxa"/>
                  <w:tcBorders>
                    <w:top w:val="nil"/>
                    <w:left w:val="nil"/>
                    <w:bottom w:val="nil"/>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701" w:type="dxa"/>
                  <w:tcBorders>
                    <w:top w:val="nil"/>
                    <w:left w:val="nil"/>
                    <w:bottom w:val="nil"/>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418" w:type="dxa"/>
                  <w:tcBorders>
                    <w:top w:val="nil"/>
                    <w:left w:val="nil"/>
                    <w:bottom w:val="nil"/>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701" w:type="dxa"/>
                  <w:tcBorders>
                    <w:top w:val="nil"/>
                    <w:left w:val="nil"/>
                    <w:bottom w:val="nil"/>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559" w:type="dxa"/>
                  <w:tcBorders>
                    <w:top w:val="nil"/>
                    <w:left w:val="nil"/>
                    <w:bottom w:val="nil"/>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559" w:type="dxa"/>
                  <w:tcBorders>
                    <w:top w:val="nil"/>
                    <w:left w:val="nil"/>
                    <w:bottom w:val="nil"/>
                    <w:right w:val="single" w:color="000000" w:sz="8"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r>
            <w:tr>
              <w:tblPrEx>
                <w:tblCellMar>
                  <w:top w:w="0" w:type="dxa"/>
                  <w:left w:w="108" w:type="dxa"/>
                  <w:bottom w:w="0" w:type="dxa"/>
                  <w:right w:w="108" w:type="dxa"/>
                </w:tblCellMar>
              </w:tblPrEx>
              <w:trPr>
                <w:trHeight w:val="237" w:hRule="atLeast"/>
              </w:trPr>
              <w:tc>
                <w:tcPr>
                  <w:tcW w:w="4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770"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2195" w:type="dxa"/>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17,756.81 </w:t>
                  </w:r>
                </w:p>
              </w:tc>
              <w:tc>
                <w:tcPr>
                  <w:tcW w:w="1701"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9,231.61 </w:t>
                  </w:r>
                </w:p>
              </w:tc>
              <w:tc>
                <w:tcPr>
                  <w:tcW w:w="1418"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8,525.20 </w:t>
                  </w:r>
                </w:p>
              </w:tc>
              <w:tc>
                <w:tcPr>
                  <w:tcW w:w="1701"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一般公共服务支出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市场监督管理事务</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其他市场监督管理事务</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教育支出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15,969.61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7,986.21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7,983.40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职业教育</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15,827.61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7,986.21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7,841.40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中等职业教育</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497.38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497.38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2050303</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技校教育</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17.05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17.05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2050305</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高等职业教育</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15,313.18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7,986.21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7,326.97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进修及培训</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2050803</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培训支出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科学技术支出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20607</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科学技术普及</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2060702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科普活动</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717.43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592.51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124.92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行政事业单位养老支出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507.00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507.00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事业单位离退休</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2080505</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机关事业单位基本养老保险缴费支出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467.00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467.00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就业补助</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124.32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124.32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职业培训补贴</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45.92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45.92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其他就业补助支出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86.11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85.51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86.11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85.51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262.89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262.89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行政事业单位医疗</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事业单位医疗</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262.29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住房保障支出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w:t>
                  </w:r>
                </w:p>
              </w:tc>
              <w:tc>
                <w:tcPr>
                  <w:tcW w:w="3770"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住房改革支出</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8"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2210201</w:t>
                  </w:r>
                </w:p>
              </w:tc>
              <w:tc>
                <w:tcPr>
                  <w:tcW w:w="3770" w:type="dxa"/>
                  <w:tcBorders>
                    <w:top w:val="nil"/>
                    <w:left w:val="nil"/>
                    <w:bottom w:val="single" w:color="000000" w:sz="8"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住房公积金</w:t>
                  </w:r>
                </w:p>
              </w:tc>
              <w:tc>
                <w:tcPr>
                  <w:tcW w:w="2195"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390.00 </w:t>
                  </w:r>
                </w:p>
              </w:tc>
              <w:tc>
                <w:tcPr>
                  <w:tcW w:w="1418"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559"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bl>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autofit"/>
        <w:tblCellMar>
          <w:top w:w="0" w:type="dxa"/>
          <w:left w:w="108" w:type="dxa"/>
          <w:bottom w:w="0" w:type="dxa"/>
          <w:right w:w="108" w:type="dxa"/>
        </w:tblCellMar>
      </w:tblPr>
      <w:tblGrid>
        <w:gridCol w:w="3595"/>
        <w:gridCol w:w="436"/>
        <w:gridCol w:w="1078"/>
        <w:gridCol w:w="496"/>
        <w:gridCol w:w="3547"/>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部门：湖南食品药品职业学院</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tbl>
            <w:tblPr>
              <w:tblStyle w:val="6"/>
              <w:tblW w:w="15290" w:type="dxa"/>
              <w:tblInd w:w="0" w:type="dxa"/>
              <w:tblLayout w:type="autofit"/>
              <w:tblCellMar>
                <w:top w:w="0" w:type="dxa"/>
                <w:left w:w="108" w:type="dxa"/>
                <w:bottom w:w="0" w:type="dxa"/>
                <w:right w:w="108" w:type="dxa"/>
              </w:tblCellMar>
            </w:tblPr>
            <w:tblGrid>
              <w:gridCol w:w="3093"/>
              <w:gridCol w:w="436"/>
              <w:gridCol w:w="1106"/>
              <w:gridCol w:w="3313"/>
              <w:gridCol w:w="459"/>
              <w:gridCol w:w="1418"/>
              <w:gridCol w:w="1843"/>
              <w:gridCol w:w="1702"/>
              <w:gridCol w:w="1920"/>
            </w:tblGrid>
            <w:tr>
              <w:tblPrEx>
                <w:tblCellMar>
                  <w:top w:w="0" w:type="dxa"/>
                  <w:left w:w="108" w:type="dxa"/>
                  <w:bottom w:w="0" w:type="dxa"/>
                  <w:right w:w="108" w:type="dxa"/>
                </w:tblCellMar>
              </w:tblPrEx>
              <w:trPr>
                <w:trHeight w:val="237" w:hRule="atLeast"/>
              </w:trPr>
              <w:tc>
                <w:tcPr>
                  <w:tcW w:w="4635" w:type="dxa"/>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收     入</w:t>
                  </w:r>
                </w:p>
              </w:tc>
              <w:tc>
                <w:tcPr>
                  <w:tcW w:w="10655" w:type="dxa"/>
                  <w:gridSpan w:val="6"/>
                  <w:tcBorders>
                    <w:top w:val="single" w:color="000000" w:sz="4" w:space="0"/>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     出</w:t>
                  </w:r>
                </w:p>
              </w:tc>
            </w:tr>
            <w:tr>
              <w:tblPrEx>
                <w:tblCellMar>
                  <w:top w:w="0" w:type="dxa"/>
                  <w:left w:w="108" w:type="dxa"/>
                  <w:bottom w:w="0" w:type="dxa"/>
                  <w:right w:w="108" w:type="dxa"/>
                </w:tblCellMar>
              </w:tblPrEx>
              <w:trPr>
                <w:trHeight w:val="225" w:hRule="atLeast"/>
              </w:trPr>
              <w:tc>
                <w:tcPr>
                  <w:tcW w:w="3093" w:type="dxa"/>
                  <w:vMerge w:val="restart"/>
                  <w:tcBorders>
                    <w:top w:val="nil"/>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    目</w:t>
                  </w:r>
                </w:p>
              </w:tc>
              <w:tc>
                <w:tcPr>
                  <w:tcW w:w="436"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1106"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决算数</w:t>
                  </w:r>
                </w:p>
              </w:tc>
              <w:tc>
                <w:tcPr>
                  <w:tcW w:w="3313"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项目（按功能分类）</w:t>
                  </w:r>
                </w:p>
              </w:tc>
              <w:tc>
                <w:tcPr>
                  <w:tcW w:w="459"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行次</w:t>
                  </w:r>
                </w:p>
              </w:tc>
              <w:tc>
                <w:tcPr>
                  <w:tcW w:w="6883" w:type="dxa"/>
                  <w:gridSpan w:val="4"/>
                  <w:tcBorders>
                    <w:top w:val="nil"/>
                    <w:left w:val="nil"/>
                    <w:bottom w:val="single" w:color="000000" w:sz="4" w:space="0"/>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决算数</w:t>
                  </w:r>
                </w:p>
              </w:tc>
            </w:tr>
            <w:tr>
              <w:tblPrEx>
                <w:tblCellMar>
                  <w:top w:w="0" w:type="dxa"/>
                  <w:left w:w="108" w:type="dxa"/>
                  <w:bottom w:w="0" w:type="dxa"/>
                  <w:right w:w="108" w:type="dxa"/>
                </w:tblCellMar>
              </w:tblPrEx>
              <w:trPr>
                <w:trHeight w:val="473" w:hRule="atLeast"/>
              </w:trPr>
              <w:tc>
                <w:tcPr>
                  <w:tcW w:w="30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10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313"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5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1418"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小计</w:t>
                  </w:r>
                </w:p>
              </w:tc>
              <w:tc>
                <w:tcPr>
                  <w:tcW w:w="1843" w:type="dxa"/>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一般公共预算财政拨款</w:t>
                  </w:r>
                </w:p>
              </w:tc>
              <w:tc>
                <w:tcPr>
                  <w:tcW w:w="1702" w:type="dxa"/>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政府性基金预算财政拨款</w:t>
                  </w:r>
                </w:p>
              </w:tc>
              <w:tc>
                <w:tcPr>
                  <w:tcW w:w="1920" w:type="dxa"/>
                  <w:tcBorders>
                    <w:top w:val="nil"/>
                    <w:left w:val="nil"/>
                    <w:bottom w:val="single" w:color="000000" w:sz="4" w:space="0"/>
                    <w:right w:val="single" w:color="000000" w:sz="8"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国有资本经营预算财政拨款</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    次</w:t>
                  </w:r>
                </w:p>
              </w:tc>
              <w:tc>
                <w:tcPr>
                  <w:tcW w:w="436"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1106"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    次</w:t>
                  </w:r>
                </w:p>
              </w:tc>
              <w:tc>
                <w:tcPr>
                  <w:tcW w:w="459"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1418"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843"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702"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920" w:type="dxa"/>
                  <w:tcBorders>
                    <w:top w:val="nil"/>
                    <w:left w:val="nil"/>
                    <w:bottom w:val="nil"/>
                    <w:right w:val="single" w:color="000000" w:sz="8"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1106" w:type="dxa"/>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11,749.49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一、一般公共服务支出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33</w:t>
                  </w:r>
                </w:p>
              </w:tc>
              <w:tc>
                <w:tcPr>
                  <w:tcW w:w="1418" w:type="dxa"/>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843"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1702"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二、政府性基金预算财政拨款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二、外交支出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34</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三、国有资本经营预算财政拨款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三、国防支出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35</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四、公共安全支出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36</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五、教育支出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37</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10,706.91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10,706.91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6</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六、科学技术支出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38</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7</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七、文化旅游体育与传媒支出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39</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八、社会保障和就业支出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40</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389.60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389.60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九、卫生健康支出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41</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110.89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110.89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10</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十、节能环保支出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42</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11</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十一、城乡社区支出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43</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12</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十二、农林水支出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44</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13</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十三、交通运输支出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45</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14</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十四、资源勘探工业信息等支出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46</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15</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十五、商业服务业等支出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47</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16</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十六、金融支出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48</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17</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十七、援助其他地区支出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49</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18</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十八、自然资源海洋气象等支出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50</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19</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十九、住房保障支出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51</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20</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二十、粮油物资储备支出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52</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21</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二十一、国有资本经营预算支出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53</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22</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二十二、灾害防治及应急管理支出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54</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23</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二十三、其他支出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55</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24</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二十四、债务还本支出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56</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25</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二十五、债务付息支出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57</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　</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26</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二十六、抗疫特别国债安排的支出</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58</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本年收入合计</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27</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11,749.49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本年支出合计</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85</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11,826.28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11,826.28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年初财政拨款结转和结余</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28</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1,633.60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年末财政拨款结转和结余</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86</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1,556.80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1,556.80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一、一般公共预算财政拨款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29</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1,633.60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87</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二、政府性基金预算财政拨款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30</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88</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三、国有资本经营预算财政拨款</w:t>
                  </w:r>
                </w:p>
              </w:tc>
              <w:tc>
                <w:tcPr>
                  <w:tcW w:w="436"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31</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3313" w:type="dxa"/>
                  <w:tcBorders>
                    <w:top w:val="nil"/>
                    <w:left w:val="nil"/>
                    <w:bottom w:val="single" w:color="000000" w:sz="4" w:space="0"/>
                    <w:right w:val="single" w:color="000000" w:sz="4" w:space="0"/>
                  </w:tcBorders>
                  <w:shd w:val="clear" w:color="FFFFFF"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w:t>
                  </w:r>
                </w:p>
              </w:tc>
              <w:tc>
                <w:tcPr>
                  <w:tcW w:w="459" w:type="dxa"/>
                  <w:tcBorders>
                    <w:top w:val="nil"/>
                    <w:left w:val="nil"/>
                    <w:bottom w:val="single" w:color="000000" w:sz="4"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89</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left"/>
                    <w:rPr>
                      <w:rFonts w:ascii="Arial" w:hAnsi="Arial" w:eastAsia="宋体" w:cs="Arial"/>
                      <w:color w:val="000000"/>
                      <w:kern w:val="0"/>
                      <w:sz w:val="20"/>
                      <w:szCs w:val="20"/>
                    </w:rPr>
                  </w:pPr>
                  <w:r>
                    <w:rPr>
                      <w:rFonts w:ascii="Arial" w:hAnsi="Arial" w:eastAsia="宋体" w:cs="Arial"/>
                      <w:color w:val="000000"/>
                      <w:kern w:val="0"/>
                      <w:sz w:val="20"/>
                      <w:szCs w:val="20"/>
                    </w:rPr>
                    <w:t>　</w:t>
                  </w:r>
                </w:p>
              </w:tc>
            </w:tr>
            <w:tr>
              <w:tblPrEx>
                <w:tblCellMar>
                  <w:top w:w="0" w:type="dxa"/>
                  <w:left w:w="108" w:type="dxa"/>
                  <w:bottom w:w="0" w:type="dxa"/>
                  <w:right w:w="108" w:type="dxa"/>
                </w:tblCellMar>
              </w:tblPrEx>
              <w:trPr>
                <w:trHeight w:val="237" w:hRule="atLeast"/>
              </w:trPr>
              <w:tc>
                <w:tcPr>
                  <w:tcW w:w="3093" w:type="dxa"/>
                  <w:tcBorders>
                    <w:top w:val="nil"/>
                    <w:left w:val="single" w:color="000000" w:sz="4" w:space="0"/>
                    <w:bottom w:val="single" w:color="000000" w:sz="8"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36" w:type="dxa"/>
                  <w:tcBorders>
                    <w:top w:val="nil"/>
                    <w:left w:val="nil"/>
                    <w:bottom w:val="single" w:color="000000" w:sz="8"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32</w:t>
                  </w:r>
                </w:p>
              </w:tc>
              <w:tc>
                <w:tcPr>
                  <w:tcW w:w="1106"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13,383.09 </w:t>
                  </w:r>
                </w:p>
              </w:tc>
              <w:tc>
                <w:tcPr>
                  <w:tcW w:w="3313" w:type="dxa"/>
                  <w:tcBorders>
                    <w:top w:val="nil"/>
                    <w:left w:val="nil"/>
                    <w:bottom w:val="single" w:color="000000" w:sz="8" w:space="0"/>
                    <w:right w:val="single" w:color="000000" w:sz="4" w:space="0"/>
                  </w:tcBorders>
                  <w:shd w:val="clear" w:color="FFFFFF" w:fill="FFFFFF"/>
                  <w:noWrap/>
                  <w:vAlign w:val="center"/>
                </w:tcPr>
                <w:p>
                  <w:pPr>
                    <w:widowControl/>
                    <w:jc w:val="center"/>
                    <w:rPr>
                      <w:rFonts w:ascii="宋体" w:hAnsi="宋体" w:eastAsia="宋体" w:cs="Arial"/>
                      <w:b/>
                      <w:bCs/>
                      <w:color w:val="000000"/>
                      <w:kern w:val="0"/>
                      <w:sz w:val="22"/>
                    </w:rPr>
                  </w:pPr>
                  <w:r>
                    <w:rPr>
                      <w:rFonts w:hint="eastAsia" w:ascii="宋体" w:hAnsi="宋体" w:eastAsia="宋体" w:cs="Arial"/>
                      <w:b/>
                      <w:bCs/>
                      <w:color w:val="000000"/>
                      <w:kern w:val="0"/>
                      <w:sz w:val="22"/>
                    </w:rPr>
                    <w:t>总计</w:t>
                  </w:r>
                </w:p>
              </w:tc>
              <w:tc>
                <w:tcPr>
                  <w:tcW w:w="459" w:type="dxa"/>
                  <w:tcBorders>
                    <w:top w:val="nil"/>
                    <w:left w:val="nil"/>
                    <w:bottom w:val="single" w:color="000000" w:sz="8" w:space="0"/>
                    <w:right w:val="nil"/>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90</w:t>
                  </w:r>
                </w:p>
              </w:tc>
              <w:tc>
                <w:tcPr>
                  <w:tcW w:w="1418"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13,383.09 </w:t>
                  </w:r>
                </w:p>
              </w:tc>
              <w:tc>
                <w:tcPr>
                  <w:tcW w:w="184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13,383.09 </w:t>
                  </w:r>
                </w:p>
              </w:tc>
              <w:tc>
                <w:tcPr>
                  <w:tcW w:w="1702"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1920"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bl>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部门：湖南食品药品职业学院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4828"/>
      </w:tblGrid>
      <w:tr>
        <w:tblPrEx>
          <w:tblCellMar>
            <w:top w:w="0" w:type="dxa"/>
            <w:left w:w="108" w:type="dxa"/>
            <w:bottom w:w="0" w:type="dxa"/>
            <w:right w:w="108" w:type="dxa"/>
          </w:tblCellMar>
        </w:tblPrEx>
        <w:trPr>
          <w:trHeight w:val="645" w:hRule="atLeast"/>
          <w:jc w:val="center"/>
        </w:trPr>
        <w:tc>
          <w:tcPr>
            <w:tcW w:w="14219" w:type="dxa"/>
            <w:tcBorders>
              <w:top w:val="nil"/>
              <w:left w:val="nil"/>
              <w:bottom w:val="nil"/>
              <w:right w:val="nil"/>
            </w:tcBorders>
            <w:shd w:val="clear" w:color="auto" w:fill="auto"/>
            <w:vAlign w:val="center"/>
          </w:tcPr>
          <w:tbl>
            <w:tblPr>
              <w:tblStyle w:val="6"/>
              <w:tblW w:w="14607" w:type="dxa"/>
              <w:tblInd w:w="0" w:type="dxa"/>
              <w:tblLayout w:type="autofit"/>
              <w:tblCellMar>
                <w:top w:w="0" w:type="dxa"/>
                <w:left w:w="108" w:type="dxa"/>
                <w:bottom w:w="0" w:type="dxa"/>
                <w:right w:w="108" w:type="dxa"/>
              </w:tblCellMar>
            </w:tblPr>
            <w:tblGrid>
              <w:gridCol w:w="436"/>
              <w:gridCol w:w="436"/>
              <w:gridCol w:w="436"/>
              <w:gridCol w:w="4676"/>
              <w:gridCol w:w="3119"/>
              <w:gridCol w:w="2693"/>
              <w:gridCol w:w="2811"/>
            </w:tblGrid>
            <w:tr>
              <w:tblPrEx>
                <w:tblCellMar>
                  <w:top w:w="0" w:type="dxa"/>
                  <w:left w:w="108" w:type="dxa"/>
                  <w:bottom w:w="0" w:type="dxa"/>
                  <w:right w:w="108" w:type="dxa"/>
                </w:tblCellMar>
              </w:tblPrEx>
              <w:trPr>
                <w:trHeight w:val="237" w:hRule="atLeast"/>
              </w:trPr>
              <w:tc>
                <w:tcPr>
                  <w:tcW w:w="5984" w:type="dxa"/>
                  <w:gridSpan w:val="4"/>
                  <w:tcBorders>
                    <w:top w:val="single" w:color="000000" w:sz="4" w:space="0"/>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w:t>
                  </w:r>
                </w:p>
              </w:tc>
              <w:tc>
                <w:tcPr>
                  <w:tcW w:w="8623" w:type="dxa"/>
                  <w:gridSpan w:val="3"/>
                  <w:tcBorders>
                    <w:top w:val="single" w:color="000000" w:sz="4" w:space="0"/>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本年支出</w:t>
                  </w:r>
                </w:p>
              </w:tc>
            </w:tr>
            <w:tr>
              <w:tblPrEx>
                <w:tblCellMar>
                  <w:top w:w="0" w:type="dxa"/>
                  <w:left w:w="108" w:type="dxa"/>
                  <w:bottom w:w="0" w:type="dxa"/>
                  <w:right w:w="108" w:type="dxa"/>
                </w:tblCellMar>
              </w:tblPrEx>
              <w:trPr>
                <w:trHeight w:val="312" w:hRule="atLeast"/>
              </w:trPr>
              <w:tc>
                <w:tcPr>
                  <w:tcW w:w="1308"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支出功能分类科目编码</w:t>
                  </w:r>
                </w:p>
              </w:tc>
              <w:tc>
                <w:tcPr>
                  <w:tcW w:w="4676"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科目名称</w:t>
                  </w:r>
                </w:p>
              </w:tc>
              <w:tc>
                <w:tcPr>
                  <w:tcW w:w="3119"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2693" w:type="dxa"/>
                  <w:vMerge w:val="restart"/>
                  <w:tcBorders>
                    <w:top w:val="nil"/>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基本支出</w:t>
                  </w:r>
                </w:p>
              </w:tc>
              <w:tc>
                <w:tcPr>
                  <w:tcW w:w="2811"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项目支出</w:t>
                  </w:r>
                </w:p>
              </w:tc>
            </w:tr>
            <w:tr>
              <w:tblPrEx>
                <w:tblCellMar>
                  <w:top w:w="0" w:type="dxa"/>
                  <w:left w:w="108" w:type="dxa"/>
                  <w:bottom w:w="0" w:type="dxa"/>
                  <w:right w:w="108" w:type="dxa"/>
                </w:tblCellMar>
              </w:tblPrEx>
              <w:trPr>
                <w:trHeight w:val="312" w:hRule="atLeast"/>
              </w:trPr>
              <w:tc>
                <w:tcPr>
                  <w:tcW w:w="1308"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67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11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6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1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473" w:hRule="atLeast"/>
              </w:trPr>
              <w:tc>
                <w:tcPr>
                  <w:tcW w:w="1308" w:type="dxa"/>
                  <w:gridSpan w:val="3"/>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67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3119"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69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2811"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r>
            <w:tr>
              <w:tblPrEx>
                <w:tblCellMar>
                  <w:top w:w="0" w:type="dxa"/>
                  <w:left w:w="108" w:type="dxa"/>
                  <w:bottom w:w="0" w:type="dxa"/>
                  <w:right w:w="108" w:type="dxa"/>
                </w:tblCellMar>
              </w:tblPrEx>
              <w:trPr>
                <w:trHeight w:val="237" w:hRule="atLeast"/>
              </w:trPr>
              <w:tc>
                <w:tcPr>
                  <w:tcW w:w="436" w:type="dxa"/>
                  <w:vMerge w:val="restart"/>
                  <w:tcBorders>
                    <w:top w:val="nil"/>
                    <w:left w:val="single" w:color="000000" w:sz="4" w:space="0"/>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类</w:t>
                  </w:r>
                </w:p>
              </w:tc>
              <w:tc>
                <w:tcPr>
                  <w:tcW w:w="436"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款</w:t>
                  </w:r>
                </w:p>
              </w:tc>
              <w:tc>
                <w:tcPr>
                  <w:tcW w:w="436" w:type="dxa"/>
                  <w:vMerge w:val="restart"/>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项</w:t>
                  </w:r>
                </w:p>
              </w:tc>
              <w:tc>
                <w:tcPr>
                  <w:tcW w:w="4676" w:type="dxa"/>
                  <w:tcBorders>
                    <w:top w:val="nil"/>
                    <w:left w:val="nil"/>
                    <w:bottom w:val="single" w:color="000000" w:sz="4" w:space="0"/>
                    <w:right w:val="single" w:color="000000" w:sz="4" w:space="0"/>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栏次</w:t>
                  </w:r>
                </w:p>
              </w:tc>
              <w:tc>
                <w:tcPr>
                  <w:tcW w:w="3119"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1</w:t>
                  </w:r>
                </w:p>
              </w:tc>
              <w:tc>
                <w:tcPr>
                  <w:tcW w:w="2693"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2</w:t>
                  </w:r>
                </w:p>
              </w:tc>
              <w:tc>
                <w:tcPr>
                  <w:tcW w:w="2811" w:type="dxa"/>
                  <w:tcBorders>
                    <w:top w:val="nil"/>
                    <w:left w:val="nil"/>
                    <w:bottom w:val="nil"/>
                    <w:right w:val="single" w:color="000000" w:sz="4" w:space="0"/>
                  </w:tcBorders>
                  <w:shd w:val="clear" w:color="FFFFFF" w:fill="FFFFFF"/>
                  <w:noWrap/>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3</w:t>
                  </w:r>
                </w:p>
              </w:tc>
            </w:tr>
            <w:tr>
              <w:tblPrEx>
                <w:tblCellMar>
                  <w:top w:w="0" w:type="dxa"/>
                  <w:left w:w="108" w:type="dxa"/>
                  <w:bottom w:w="0" w:type="dxa"/>
                  <w:right w:w="108" w:type="dxa"/>
                </w:tblCellMar>
              </w:tblPrEx>
              <w:trPr>
                <w:trHeight w:val="237" w:hRule="atLeast"/>
              </w:trPr>
              <w:tc>
                <w:tcPr>
                  <w:tcW w:w="43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36" w:type="dxa"/>
                  <w:vMerge w:val="continue"/>
                  <w:tcBorders>
                    <w:top w:val="nil"/>
                    <w:left w:val="nil"/>
                    <w:bottom w:val="single" w:color="000000" w:sz="4" w:space="0"/>
                    <w:right w:val="single" w:color="000000" w:sz="4" w:space="0"/>
                  </w:tcBorders>
                  <w:vAlign w:val="center"/>
                </w:tcPr>
                <w:p>
                  <w:pPr>
                    <w:widowControl/>
                    <w:jc w:val="left"/>
                    <w:rPr>
                      <w:rFonts w:ascii="宋体" w:hAnsi="宋体" w:eastAsia="宋体" w:cs="Arial"/>
                      <w:color w:val="000000"/>
                      <w:kern w:val="0"/>
                      <w:sz w:val="22"/>
                    </w:rPr>
                  </w:pPr>
                </w:p>
              </w:tc>
              <w:tc>
                <w:tcPr>
                  <w:tcW w:w="4676" w:type="dxa"/>
                  <w:tcBorders>
                    <w:top w:val="nil"/>
                    <w:left w:val="nil"/>
                    <w:bottom w:val="single" w:color="000000" w:sz="4" w:space="0"/>
                    <w:right w:val="nil"/>
                  </w:tcBorders>
                  <w:shd w:val="clear" w:color="FFFFFF" w:fill="FFFFFF"/>
                  <w:vAlign w:val="center"/>
                </w:tcPr>
                <w:p>
                  <w:pPr>
                    <w:widowControl/>
                    <w:jc w:val="center"/>
                    <w:rPr>
                      <w:rFonts w:ascii="宋体" w:hAnsi="宋体" w:eastAsia="宋体" w:cs="Arial"/>
                      <w:color w:val="000000"/>
                      <w:kern w:val="0"/>
                      <w:sz w:val="22"/>
                    </w:rPr>
                  </w:pPr>
                  <w:r>
                    <w:rPr>
                      <w:rFonts w:hint="eastAsia" w:ascii="宋体" w:hAnsi="宋体" w:eastAsia="宋体" w:cs="Arial"/>
                      <w:color w:val="000000"/>
                      <w:kern w:val="0"/>
                      <w:sz w:val="22"/>
                    </w:rPr>
                    <w:t>合计</w:t>
                  </w:r>
                </w:p>
              </w:tc>
              <w:tc>
                <w:tcPr>
                  <w:tcW w:w="3119" w:type="dxa"/>
                  <w:tcBorders>
                    <w:top w:val="single" w:color="auto" w:sz="4" w:space="0"/>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11,826.28 </w:t>
                  </w:r>
                </w:p>
              </w:tc>
              <w:tc>
                <w:tcPr>
                  <w:tcW w:w="2693"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5,480.07 </w:t>
                  </w:r>
                </w:p>
              </w:tc>
              <w:tc>
                <w:tcPr>
                  <w:tcW w:w="2811" w:type="dxa"/>
                  <w:tcBorders>
                    <w:top w:val="single" w:color="auto" w:sz="4" w:space="0"/>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6,346.21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一般公共服务支出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市场监督管理事务</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2013899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其他市场监督管理事务</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415.00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教育支出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10,706.91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4,902.50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5,804.41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职业教育</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10,564.92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4,902.50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5,662.42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中等职业教育</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497.38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497.38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2050303</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技校教育</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17.05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17.05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2050305</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高等职业教育</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10,050.48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4,902.50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5,147.98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进修及培训</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2050803</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培训支出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142.00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科学技术支出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基础研究</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2060203</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自然科学基金</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20607</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科学技术普及</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2060702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科普活动</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1.88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社会保障和就业支出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389.60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264.68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124.92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行政事业单位养老支出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211.17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211.17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事业单位离退休</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24.00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24.00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2080505</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机关事业单位基本养老保险缴费支出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187.17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187.17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就业补助</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124.32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124.32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职业培训补贴</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45.92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45.92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2080799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其他就业补助支出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78.40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其他社会保障和就业支出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54.11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53.51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2089999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其他社会保障和就业支出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54.11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53.51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卫生健康支出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110.89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110.89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行政事业单位医疗</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2101102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事业单位医疗</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110.29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其他卫生健康支出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2109999</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其他卫生健康支出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0.60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住房保障支出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4"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w:t>
                  </w:r>
                </w:p>
              </w:tc>
              <w:tc>
                <w:tcPr>
                  <w:tcW w:w="4676" w:type="dxa"/>
                  <w:tcBorders>
                    <w:top w:val="nil"/>
                    <w:left w:val="nil"/>
                    <w:bottom w:val="single" w:color="000000" w:sz="4"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住房改革支出</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r>
              <w:tblPrEx>
                <w:tblCellMar>
                  <w:top w:w="0" w:type="dxa"/>
                  <w:left w:w="108" w:type="dxa"/>
                  <w:bottom w:w="0" w:type="dxa"/>
                  <w:right w:w="108" w:type="dxa"/>
                </w:tblCellMar>
              </w:tblPrEx>
              <w:trPr>
                <w:trHeight w:val="237" w:hRule="atLeast"/>
              </w:trPr>
              <w:tc>
                <w:tcPr>
                  <w:tcW w:w="1308" w:type="dxa"/>
                  <w:gridSpan w:val="3"/>
                  <w:tcBorders>
                    <w:top w:val="nil"/>
                    <w:left w:val="single" w:color="000000" w:sz="4" w:space="0"/>
                    <w:bottom w:val="single" w:color="000000" w:sz="8" w:space="0"/>
                    <w:right w:val="single" w:color="000000" w:sz="4" w:space="0"/>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2210201</w:t>
                  </w:r>
                </w:p>
              </w:tc>
              <w:tc>
                <w:tcPr>
                  <w:tcW w:w="4676" w:type="dxa"/>
                  <w:tcBorders>
                    <w:top w:val="nil"/>
                    <w:left w:val="nil"/>
                    <w:bottom w:val="single" w:color="000000" w:sz="8" w:space="0"/>
                    <w:right w:val="nil"/>
                  </w:tcBorders>
                  <w:shd w:val="clear" w:color="000000" w:fill="FFFFFF"/>
                  <w:noWrap/>
                  <w:vAlign w:val="center"/>
                </w:tcPr>
                <w:p>
                  <w:pPr>
                    <w:widowControl/>
                    <w:jc w:val="left"/>
                    <w:rPr>
                      <w:rFonts w:ascii="宋体" w:hAnsi="宋体" w:eastAsia="宋体" w:cs="Arial"/>
                      <w:color w:val="000000"/>
                      <w:kern w:val="0"/>
                      <w:sz w:val="22"/>
                    </w:rPr>
                  </w:pPr>
                  <w:r>
                    <w:rPr>
                      <w:rFonts w:hint="eastAsia" w:ascii="宋体" w:hAnsi="宋体" w:eastAsia="宋体" w:cs="Arial"/>
                      <w:color w:val="000000"/>
                      <w:kern w:val="0"/>
                      <w:sz w:val="22"/>
                    </w:rPr>
                    <w:t xml:space="preserve">  住房公积金</w:t>
                  </w:r>
                </w:p>
              </w:tc>
              <w:tc>
                <w:tcPr>
                  <w:tcW w:w="3119" w:type="dxa"/>
                  <w:tcBorders>
                    <w:top w:val="nil"/>
                    <w:left w:val="single" w:color="auto" w:sz="4" w:space="0"/>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693"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202.00 </w:t>
                  </w:r>
                </w:p>
              </w:tc>
              <w:tc>
                <w:tcPr>
                  <w:tcW w:w="2811" w:type="dxa"/>
                  <w:tcBorders>
                    <w:top w:val="nil"/>
                    <w:left w:val="nil"/>
                    <w:bottom w:val="single" w:color="auto" w:sz="4" w:space="0"/>
                    <w:right w:val="single" w:color="auto" w:sz="4" w:space="0"/>
                  </w:tcBorders>
                  <w:shd w:val="clear" w:color="000000" w:fill="FFFFFF"/>
                  <w:noWrap/>
                  <w:vAlign w:val="bottom"/>
                </w:tcPr>
                <w:p>
                  <w:pPr>
                    <w:widowControl/>
                    <w:jc w:val="right"/>
                    <w:rPr>
                      <w:rFonts w:ascii="Arial" w:hAnsi="Arial" w:eastAsia="宋体" w:cs="Arial"/>
                      <w:color w:val="000000"/>
                      <w:kern w:val="0"/>
                      <w:sz w:val="20"/>
                      <w:szCs w:val="20"/>
                    </w:rPr>
                  </w:pPr>
                  <w:r>
                    <w:rPr>
                      <w:rFonts w:ascii="Arial" w:hAnsi="Arial" w:eastAsia="宋体" w:cs="Arial"/>
                      <w:color w:val="000000"/>
                      <w:kern w:val="0"/>
                      <w:sz w:val="20"/>
                      <w:szCs w:val="20"/>
                    </w:rPr>
                    <w:t xml:space="preserve">0.00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fixed"/>
        <w:tblCellMar>
          <w:top w:w="0" w:type="dxa"/>
          <w:left w:w="108" w:type="dxa"/>
          <w:bottom w:w="0" w:type="dxa"/>
          <w:right w:w="108" w:type="dxa"/>
        </w:tblCellMar>
      </w:tblPr>
      <w:tblGrid>
        <w:gridCol w:w="1317"/>
        <w:gridCol w:w="3186"/>
        <w:gridCol w:w="1264"/>
        <w:gridCol w:w="731"/>
        <w:gridCol w:w="2824"/>
        <w:gridCol w:w="1276"/>
        <w:gridCol w:w="850"/>
        <w:gridCol w:w="2977"/>
        <w:gridCol w:w="1189"/>
      </w:tblGrid>
      <w:tr>
        <w:tblPrEx>
          <w:tblCellMar>
            <w:top w:w="0" w:type="dxa"/>
            <w:left w:w="108" w:type="dxa"/>
            <w:bottom w:w="0" w:type="dxa"/>
            <w:right w:w="108" w:type="dxa"/>
          </w:tblCellMar>
        </w:tblPrEx>
        <w:trPr>
          <w:trHeight w:val="113" w:hRule="atLeast"/>
        </w:trPr>
        <w:tc>
          <w:tcPr>
            <w:tcW w:w="1561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6"/>
                <w:szCs w:val="36"/>
              </w:rPr>
            </w:pPr>
            <w:bookmarkStart w:id="2" w:name="RANGE!A1:I34"/>
            <w:r>
              <w:rPr>
                <w:rFonts w:hint="eastAsia" w:ascii="华文中宋" w:hAnsi="华文中宋" w:eastAsia="华文中宋" w:cs="宋体"/>
                <w:color w:val="000000"/>
                <w:kern w:val="0"/>
                <w:sz w:val="36"/>
                <w:szCs w:val="36"/>
              </w:rPr>
              <w:t>一般公共预算财政拨款基本支出决算明细表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wordWrap w:val="0"/>
              <w:jc w:val="right"/>
              <w:rPr>
                <w:rFonts w:ascii="华文中宋" w:hAnsi="华文中宋" w:eastAsia="华文中宋" w:cs="宋体"/>
                <w:color w:val="000000"/>
                <w:kern w:val="0"/>
                <w:szCs w:val="32"/>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湖南食品药品职业学院                                                                                                              单位：万元</w:t>
            </w:r>
          </w:p>
        </w:tc>
      </w:tr>
      <w:tr>
        <w:tblPrEx>
          <w:tblCellMar>
            <w:top w:w="0" w:type="dxa"/>
            <w:left w:w="108" w:type="dxa"/>
            <w:bottom w:w="0" w:type="dxa"/>
            <w:right w:w="108" w:type="dxa"/>
          </w:tblCellMar>
        </w:tblPrEx>
        <w:trPr>
          <w:trHeight w:val="113" w:hRule="atLeast"/>
        </w:trPr>
        <w:tc>
          <w:tcPr>
            <w:tcW w:w="13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18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6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8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2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8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9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18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5244.25</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　108.47</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307</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1219.54</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30701</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115.40</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30702</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1020.35</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0"/>
              </w:rPr>
            </w:pPr>
            <w:r>
              <w:rPr>
                <w:rFonts w:hint="eastAsia" w:ascii="宋体" w:hAnsi="宋体" w:eastAsia="宋体" w:cs="宋体"/>
                <w:kern w:val="0"/>
                <w:szCs w:val="20"/>
              </w:rPr>
              <w:t>310</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4.35</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1871.41</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238.94</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140.89</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58.14</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262.00</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313.24</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127.35</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119.50</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4.82</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25.05</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82.71</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3.03</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0.71</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1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18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73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8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27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8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29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450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2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5371.6</w:t>
            </w:r>
          </w:p>
        </w:tc>
        <w:tc>
          <w:tcPr>
            <w:tcW w:w="8658"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18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108.47</w:t>
            </w:r>
          </w:p>
        </w:tc>
      </w:tr>
      <w:tr>
        <w:tblPrEx>
          <w:tblCellMar>
            <w:top w:w="0" w:type="dxa"/>
            <w:left w:w="108" w:type="dxa"/>
            <w:bottom w:w="0" w:type="dxa"/>
            <w:right w:w="108" w:type="dxa"/>
          </w:tblCellMar>
        </w:tblPrEx>
        <w:trPr>
          <w:trHeight w:val="284" w:hRule="exact"/>
        </w:trPr>
        <w:tc>
          <w:tcPr>
            <w:tcW w:w="1561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kern w:val="0"/>
          <w:sz w:val="36"/>
          <w:szCs w:val="36"/>
        </w:rPr>
      </w:pPr>
      <w:r>
        <w:rPr>
          <w:rFonts w:hint="eastAsia" w:ascii="Times New Roman" w:hAnsi="Times New Roman" w:eastAsia="方正小标宋_GBK" w:cs="Times New Roman"/>
          <w:kern w:val="0"/>
          <w:sz w:val="36"/>
          <w:szCs w:val="36"/>
        </w:rPr>
        <w:t>一般公共预算财政拨款“三公”经费支出决算表</w:t>
      </w:r>
    </w:p>
    <w:p>
      <w:pPr>
        <w:widowControl/>
        <w:ind w:firstLine="420" w:firstLineChars="200"/>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部门：湖南食品药品职业学院</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6.71</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6.71</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6.71</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rPr>
              <w:t>0</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ind w:firstLine="420" w:firstLineChars="200"/>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湖南食品药品职业学院                                                                                                      公开08表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cs="Times New Roman" w:asciiTheme="minorEastAsia" w:hAnsiTheme="minorEastAsia"/>
          <w:kern w:val="0"/>
          <w:szCs w:val="21"/>
        </w:rPr>
      </w:pPr>
      <w:r>
        <w:rPr>
          <w:rFonts w:cs="Times New Roman" w:asciiTheme="minorEastAsia" w:hAnsiTheme="minorEastAsia"/>
          <w:kern w:val="0"/>
          <w:szCs w:val="21"/>
        </w:rPr>
        <w:t>注：本表反映部门本年度政府性基金预算财政拨款收入、支出及结转和结余情况</w:t>
      </w:r>
    </w:p>
    <w:p>
      <w:pPr>
        <w:widowControl/>
        <w:ind w:firstLine="420" w:firstLineChars="200"/>
        <w:jc w:val="left"/>
        <w:rPr>
          <w:rFonts w:cs="Times New Roman" w:asciiTheme="minorEastAsia" w:hAnsiTheme="minorEastAsia"/>
          <w:kern w:val="0"/>
          <w:szCs w:val="21"/>
        </w:rPr>
      </w:pPr>
      <w:r>
        <w:rPr>
          <w:rFonts w:cs="Times New Roman" w:asciiTheme="minorEastAsia" w:hAnsiTheme="minorEastAsia"/>
          <w:kern w:val="0"/>
          <w:szCs w:val="21"/>
        </w:rPr>
        <w:t>湖南食品药品职业学院</w:t>
      </w:r>
      <w:r>
        <w:rPr>
          <w:rFonts w:hint="eastAsia" w:cs="Times New Roman" w:asciiTheme="minorEastAsia" w:hAnsiTheme="minorEastAsia"/>
          <w:kern w:val="0"/>
          <w:szCs w:val="21"/>
        </w:rPr>
        <w:t>没有政府性基金收入，也没有使用政府性基金安排的支出，故本表无数据</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部门：湖南食品药品职业学院</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2709"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rPr>
          <w:trHeight w:val="402" w:hRule="atLeast"/>
        </w:trPr>
        <w:tc>
          <w:tcPr>
            <w:tcW w:w="2709"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2709"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2709"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2709" w:type="dxa"/>
            <w:gridSpan w:val="3"/>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2709" w:type="dxa"/>
            <w:gridSpan w:val="3"/>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126"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湖南食品药品职业学院没有国有资本经营预算，也没有使用国有资本经营预算安排的支出，故本表无数据</w:t>
            </w:r>
          </w:p>
        </w:tc>
      </w:tr>
    </w:tbl>
    <w:p>
      <w:pPr>
        <w:pStyle w:val="11"/>
        <w:rPr>
          <w:sz w:val="72"/>
          <w:szCs w:val="72"/>
        </w:rPr>
        <w:sectPr>
          <w:pgSz w:w="16838" w:h="11906" w:orient="landscape"/>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1"/>
        <w:ind w:firstLine="643" w:firstLineChars="200"/>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2021年度收、支总计19313.61万元。与上年相比，增加2089.74万元，增长12.1%，主要是因为新增安排“十三五”基建规划资金和“十四五”基建规划资金。</w:t>
      </w:r>
    </w:p>
    <w:p>
      <w:pPr>
        <w:pStyle w:val="11"/>
        <w:ind w:firstLine="643" w:firstLineChars="200"/>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2021年度收入合计17256.34万元，其中：财政拨款收入11749.49万元，占68.1%；上级补助收入0万元，占0%；事业收入4000万元，占23.2%；经营收入0万元，占0%；附属单位上缴收入0万元，占0%；其他收入1506.85万元，占8.7%。</w:t>
      </w:r>
    </w:p>
    <w:p>
      <w:pPr>
        <w:pStyle w:val="11"/>
        <w:ind w:firstLine="643" w:firstLineChars="200"/>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2021年度支出合计17756.81万元，其中：基本支出9231.61万元，占52%；项目支出8525.20万元，占48%；上缴上级支出0万元，占0%；经营支出0万元，占0%；对附属单位补助支出0万元，占0%。</w:t>
      </w:r>
    </w:p>
    <w:p>
      <w:pPr>
        <w:pStyle w:val="11"/>
        <w:ind w:firstLine="643" w:firstLineChars="200"/>
        <w:rPr>
          <w:rFonts w:hAnsi="黑体"/>
          <w:b/>
          <w:sz w:val="32"/>
          <w:szCs w:val="32"/>
        </w:rPr>
      </w:pPr>
      <w:r>
        <w:rPr>
          <w:rFonts w:hint="eastAsia" w:hAnsi="黑体"/>
          <w:b/>
          <w:sz w:val="32"/>
          <w:szCs w:val="32"/>
        </w:rPr>
        <w:t>四、财政拨款收入支出决算总体情况说明</w:t>
      </w:r>
    </w:p>
    <w:p>
      <w:pPr>
        <w:pStyle w:val="11"/>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 xml:space="preserve">    2021年度财政拨款收、支总计</w:t>
      </w:r>
      <w:r>
        <w:rPr>
          <w:rFonts w:hint="eastAsia" w:ascii="宋体" w:hAnsi="宋体" w:eastAsia="宋体"/>
          <w:color w:val="auto"/>
          <w:sz w:val="32"/>
          <w:szCs w:val="32"/>
        </w:rPr>
        <w:t>13383.09</w:t>
      </w:r>
      <w:r>
        <w:rPr>
          <w:rFonts w:hint="eastAsia" w:asciiTheme="minorEastAsia" w:hAnsiTheme="minorEastAsia" w:eastAsiaTheme="minorEastAsia"/>
          <w:sz w:val="32"/>
          <w:szCs w:val="32"/>
        </w:rPr>
        <w:t>万元，与上年相比，增加1313.87万元,增加10.9%，</w:t>
      </w:r>
      <w:r>
        <w:rPr>
          <w:rFonts w:hint="eastAsia" w:asciiTheme="minorEastAsia" w:hAnsiTheme="minorEastAsia" w:eastAsiaTheme="minorEastAsia"/>
          <w:color w:val="auto"/>
          <w:sz w:val="32"/>
          <w:szCs w:val="32"/>
        </w:rPr>
        <w:t>主要是因为新增安排“十四五”基建规划资金。</w:t>
      </w:r>
    </w:p>
    <w:p>
      <w:pPr>
        <w:pStyle w:val="11"/>
        <w:ind w:firstLine="643" w:firstLineChars="200"/>
        <w:rPr>
          <w:rFonts w:hAnsi="黑体"/>
          <w:b/>
          <w:sz w:val="32"/>
          <w:szCs w:val="32"/>
        </w:rPr>
      </w:pPr>
      <w:r>
        <w:rPr>
          <w:rFonts w:hint="eastAsia" w:hAnsi="黑体"/>
          <w:b/>
          <w:sz w:val="32"/>
          <w:szCs w:val="32"/>
        </w:rPr>
        <w:t>五、一般公共预算财政拨款支出决算情况说明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2021年度财政拨款支出11826.28万元，占本年支出合计的66.6%，与上年相比，</w:t>
      </w:r>
      <w:r>
        <w:rPr>
          <w:rFonts w:hint="eastAsia" w:asciiTheme="minorEastAsia" w:hAnsiTheme="minorEastAsia" w:eastAsiaTheme="minorEastAsia"/>
          <w:color w:val="auto"/>
          <w:sz w:val="32"/>
          <w:szCs w:val="32"/>
        </w:rPr>
        <w:t>财政拨款支出增加3234.58万元，增长37.6%，主要是因为新增安排“十三五”基建规划资金和“十四五”基建规划资金。</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2021年度财政拨款支出11826.28万元，主要用于以下方面：一般公共服务（类）支出415万元，占3.5%；教育（类）支出10706.91万元，占90.5%；社会保障和就业支出389.6万元，占3.3%；住房保障支出202万，占1.7%。</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2021年度财政拨款支出年初预算数为7380.57万元，支出决算数为11826.28万元，完成年初预算的160%，其中：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1、一般公共服务支出（类）市场监督管理事务（款）其他市场监督管理事务（项）。</w:t>
      </w:r>
    </w:p>
    <w:p>
      <w:pPr>
        <w:pStyle w:val="11"/>
        <w:ind w:firstLine="800" w:firstLineChars="250"/>
        <w:rPr>
          <w:rFonts w:asciiTheme="minorEastAsia" w:hAnsiTheme="minorEastAsia" w:eastAsiaTheme="minorEastAsia"/>
          <w:color w:val="FF0000"/>
          <w:sz w:val="32"/>
          <w:szCs w:val="32"/>
        </w:rPr>
      </w:pPr>
      <w:r>
        <w:rPr>
          <w:rFonts w:hint="eastAsia" w:asciiTheme="minorEastAsia" w:hAnsiTheme="minorEastAsia" w:eastAsiaTheme="minorEastAsia"/>
          <w:sz w:val="32"/>
          <w:szCs w:val="32"/>
        </w:rPr>
        <w:t>年初预算为0万元，支出决算为415万元，决算数大于年初预算数的主要原因是：</w:t>
      </w:r>
      <w:r>
        <w:rPr>
          <w:rFonts w:hint="eastAsia" w:asciiTheme="minorEastAsia" w:hAnsiTheme="minorEastAsia" w:eastAsiaTheme="minorEastAsia"/>
          <w:color w:val="auto"/>
          <w:sz w:val="32"/>
          <w:szCs w:val="32"/>
        </w:rPr>
        <w:t>主管部门的上级补助资金使用此科目下达，学校安排用于偿还债务利息支出。</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2、教育支出（类）职业教育（款）中等职业教育（项）。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年初预算为168万元，支出决算为497.38万元，完成年初预算的296%，决算数大于年初预算数的主要原因是：财政年中追加安排学生资助补助经费。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3、教育支出（类）职业教育（款）技校教育（项）。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年初预算为17.1万元，支出决算为17.1万元，完成年初预算的100%，决算数与年初预算数持平。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4、教育支出（类）职业教育（款）高等职业教育（项）。</w:t>
      </w:r>
    </w:p>
    <w:p>
      <w:pPr>
        <w:pStyle w:val="11"/>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年初预算为6206.7万元，支出决算为10050.48万元，完成年初预算的162%，决算数大于年初预算数的主要原因是：</w:t>
      </w:r>
      <w:r>
        <w:rPr>
          <w:rFonts w:hint="eastAsia" w:asciiTheme="minorEastAsia" w:hAnsiTheme="minorEastAsia" w:eastAsiaTheme="minorEastAsia"/>
          <w:color w:val="auto"/>
          <w:sz w:val="32"/>
          <w:szCs w:val="32"/>
        </w:rPr>
        <w:t>财政新增安排“十三五”基建规划资金、年中追加安排“十四五”基建规划资金、“双一流”建设专项资金及学生资助补助资金等，年初预算部分资金为结转结余资金。</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5、教育支出（类）进修及培训（款）培训支出（项）。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年初预算为360万元，支出决算为142万元，完成年初预算的39.4%，决算数小于年初预算数的主要原因是：持续受疫情管控影响，年初制定的部分培训计划无法完成。</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6、科学技术支出（类）科学技术普及（款）科普活动（项）。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年初预算为5万元，支出决算为1.88万元，完成年初预算的37.6%，决算数小于年初预算数的主要原因是：申报创新型省份建设专项资金的课题未结题。</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7、社会保障和就业支出（类）行政事业单位养老支出（款）事业单位离退休（项）。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年初预算为24万元，支出决算为24万元，完成年初预算的100%，决算数与年初预算数持平。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8、社会保障和就业支出（类）行政事业单位养老支出（款）机关事业单位基本养老保险缴费支出（项）。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年初预算为187.17万元，支出决算为187.17万元，完成年初预算的100%，决算数与年初预算数持平。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9、社会保障和就业支出（类）就业补助（款）职业培训补贴（项）。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年初预算为45.9万元，支出决算为45.9万元，完成年初预算的100%，决算数与年初预算数持平。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10、社会保障和就业支出（类）就业补助（款）其他就业补助支出（项）。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年初预算为0万元，支出决算为78.4万元，决算数大于年初预算数的主要原因是：财政年中追加安排就业补助专项资金。</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11、社会保障和就业支出（类）其他社会保障和就业支出（款）其他社会保障和就业支出（项）。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年初预算为53.51万元，支出决算为54.11万元，完成年初预算的101%，决算数大于年初预算数的主要原因是：财政年中追加安排建国初期参加革命工作退休干部提标资金。</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12、卫生健康支出（类）行政事业单位医疗（款）事业单位医疗（项）。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年初预算为110.29万元，支出决算为110.29万元，完成年初预算的100%，决算数与年初预算数持平。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13、卫生健康支出（类）其他卫生健康支出（款）其他卫生健康支出（项）。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年初预算为0万元，支出决算为0.6万元，决算数大于年初预算数的主要原因是：财政年中追加安排建国初期参加革命工作退休干部提标资金。</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14、住房保障支出（类）住房改革支出（款）住房公积金（项）。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年初预算为202万元，支出决算为202万元，完成年初预算的100%，决算数与年初预算数持平。</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15、一般公共服务支出（类）组织事务（款）其他组织事务支出（项）。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年初预算为0.9万元，支出决算为0万元，决算数小于年初预算数的主要原因是：上年结转资金安排的湖南省人力资源培养开发项目未开展。</w:t>
      </w:r>
    </w:p>
    <w:p>
      <w:pPr>
        <w:pStyle w:val="11"/>
        <w:ind w:firstLine="643" w:firstLineChars="200"/>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2021年度财政拨款基本支出5480.07万元，其中：人员经费5371.6万元，占基本支出的98%,主要包括基本工资、津贴补贴、奖金、伙食补助费、</w:t>
      </w:r>
      <w:r>
        <w:rPr>
          <w:rFonts w:asciiTheme="minorEastAsia" w:hAnsiTheme="minorEastAsia" w:eastAsiaTheme="minorEastAsia"/>
          <w:sz w:val="32"/>
          <w:szCs w:val="32"/>
        </w:rPr>
        <w:t>绩效工资</w:t>
      </w:r>
      <w:r>
        <w:rPr>
          <w:rFonts w:hint="eastAsia" w:asciiTheme="minorEastAsia" w:hAnsiTheme="minorEastAsia" w:eastAsiaTheme="minorEastAsia"/>
          <w:sz w:val="32"/>
          <w:szCs w:val="32"/>
        </w:rPr>
        <w:t>、机关事业单位基本养老保险、职工基本医疗保险缴费、住房公积金、其他工资福利支出等；公用经费108.47万元，占基本支出的2%，主要包括</w:t>
      </w:r>
      <w:r>
        <w:rPr>
          <w:rFonts w:asciiTheme="minorEastAsia" w:hAnsiTheme="minorEastAsia" w:eastAsiaTheme="minorEastAsia"/>
          <w:sz w:val="32"/>
          <w:szCs w:val="32"/>
        </w:rPr>
        <w:t>劳务费</w:t>
      </w:r>
      <w:r>
        <w:rPr>
          <w:rFonts w:hint="eastAsia" w:asciiTheme="minorEastAsia" w:hAnsiTheme="minorEastAsia" w:eastAsiaTheme="minorEastAsia"/>
          <w:sz w:val="32"/>
          <w:szCs w:val="32"/>
        </w:rPr>
        <w:t>、</w:t>
      </w:r>
      <w:r>
        <w:rPr>
          <w:rFonts w:asciiTheme="minorEastAsia" w:hAnsiTheme="minorEastAsia" w:eastAsiaTheme="minorEastAsia"/>
          <w:sz w:val="32"/>
          <w:szCs w:val="32"/>
        </w:rPr>
        <w:t>工会经费</w:t>
      </w:r>
      <w:r>
        <w:rPr>
          <w:rFonts w:hint="eastAsia" w:asciiTheme="minorEastAsia" w:hAnsiTheme="minorEastAsia" w:eastAsiaTheme="minorEastAsia"/>
          <w:sz w:val="32"/>
          <w:szCs w:val="32"/>
        </w:rPr>
        <w:t>、</w:t>
      </w:r>
      <w:r>
        <w:rPr>
          <w:rFonts w:asciiTheme="minorEastAsia" w:hAnsiTheme="minorEastAsia" w:eastAsiaTheme="minorEastAsia"/>
          <w:sz w:val="32"/>
          <w:szCs w:val="32"/>
        </w:rPr>
        <w:t>公务用车运行维护费等</w:t>
      </w:r>
      <w:r>
        <w:rPr>
          <w:rFonts w:hint="eastAsia" w:asciiTheme="minorEastAsia" w:hAnsiTheme="minorEastAsia" w:eastAsiaTheme="minorEastAsia"/>
          <w:sz w:val="32"/>
          <w:szCs w:val="32"/>
        </w:rPr>
        <w:t>。</w:t>
      </w:r>
    </w:p>
    <w:p>
      <w:pPr>
        <w:pStyle w:val="11"/>
        <w:ind w:firstLine="643" w:firstLineChars="200"/>
        <w:rPr>
          <w:rFonts w:hAnsi="黑体"/>
          <w:b/>
          <w:sz w:val="32"/>
          <w:szCs w:val="32"/>
        </w:rPr>
      </w:pPr>
      <w:r>
        <w:rPr>
          <w:rFonts w:hint="eastAsia" w:hAnsi="黑体"/>
          <w:b/>
          <w:sz w:val="32"/>
          <w:szCs w:val="32"/>
        </w:rPr>
        <w:t>七、一般公共预算财政拨款“三公”经费支出决算情况说明</w:t>
      </w:r>
    </w:p>
    <w:p>
      <w:pPr>
        <w:pStyle w:val="11"/>
        <w:ind w:firstLine="643" w:firstLineChars="200"/>
        <w:rPr>
          <w:rFonts w:asciiTheme="minorEastAsia" w:hAnsiTheme="minorEastAsia" w:eastAsiaTheme="minorEastAsia"/>
          <w:b/>
          <w:sz w:val="32"/>
          <w:szCs w:val="32"/>
          <w:highlight w:val="none"/>
        </w:rPr>
      </w:pPr>
      <w:bookmarkStart w:id="3" w:name="_GoBack"/>
      <w:r>
        <w:rPr>
          <w:rFonts w:hint="eastAsia" w:asciiTheme="minorEastAsia" w:hAnsiTheme="minorEastAsia" w:eastAsiaTheme="minorEastAsia"/>
          <w:b/>
          <w:sz w:val="32"/>
          <w:szCs w:val="32"/>
          <w:highlight w:val="none"/>
        </w:rPr>
        <w:t>（一）“三公”经费财政拨款支出决算总体情况说明</w:t>
      </w:r>
    </w:p>
    <w:p>
      <w:pPr>
        <w:pStyle w:val="11"/>
        <w:ind w:firstLine="640" w:firstLineChars="200"/>
        <w:rPr>
          <w:rFonts w:asciiTheme="minorEastAsia" w:hAnsiTheme="minorEastAsia" w:eastAsiaTheme="minorEastAsia"/>
          <w:color w:val="auto"/>
          <w:sz w:val="32"/>
          <w:szCs w:val="32"/>
          <w:highlight w:val="none"/>
        </w:rPr>
      </w:pPr>
      <w:r>
        <w:rPr>
          <w:rFonts w:hint="eastAsia" w:asciiTheme="minorEastAsia" w:hAnsiTheme="minorEastAsia" w:eastAsiaTheme="minorEastAsia"/>
          <w:color w:val="auto"/>
          <w:sz w:val="32"/>
          <w:szCs w:val="32"/>
          <w:highlight w:val="none"/>
        </w:rPr>
        <w:t>2021年度“三公”经费财政拨款支出预算为0万元，财政拨款支出决算为6.71万元，预算数为0，无法计算完成百分比。</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其中：因公出国（境）费支出预算为0万元，支出决算为0万元，</w:t>
      </w:r>
      <w:r>
        <w:rPr>
          <w:rFonts w:hint="eastAsia" w:asciiTheme="minorEastAsia" w:hAnsiTheme="minorEastAsia" w:eastAsiaTheme="minorEastAsia"/>
          <w:color w:val="auto"/>
          <w:sz w:val="32"/>
          <w:szCs w:val="32"/>
          <w:highlight w:val="none"/>
        </w:rPr>
        <w:t>预算数为0，无法计算完成百分比。与上年相比无变化，近几年均未安排出国境计划。</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公务接待费支出预算为0万元，支出决算为0万元，</w:t>
      </w:r>
      <w:r>
        <w:rPr>
          <w:rFonts w:hint="eastAsia" w:asciiTheme="minorEastAsia" w:hAnsiTheme="minorEastAsia" w:eastAsiaTheme="minorEastAsia"/>
          <w:color w:val="auto"/>
          <w:sz w:val="32"/>
          <w:szCs w:val="32"/>
          <w:highlight w:val="none"/>
        </w:rPr>
        <w:t>预算数为0，无法计算完成百分比。与上年相比无变化，未用财政拨款经费安排公务接待活动。</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公务用车购置费及运行维护费支出预算为0万元，支出决算为6.71万元，</w:t>
      </w:r>
      <w:r>
        <w:rPr>
          <w:rFonts w:hint="eastAsia" w:asciiTheme="minorEastAsia" w:hAnsiTheme="minorEastAsia" w:eastAsiaTheme="minorEastAsia"/>
          <w:color w:val="auto"/>
          <w:sz w:val="32"/>
          <w:szCs w:val="32"/>
          <w:highlight w:val="none"/>
        </w:rPr>
        <w:t>预算数为0，无法计算完成百分比</w:t>
      </w:r>
      <w:r>
        <w:rPr>
          <w:rFonts w:hint="eastAsia" w:asciiTheme="minorEastAsia" w:hAnsiTheme="minorEastAsia" w:eastAsiaTheme="minorEastAsia"/>
          <w:sz w:val="32"/>
          <w:szCs w:val="32"/>
          <w:highlight w:val="none"/>
        </w:rPr>
        <w:t>，决算数大于预算数的主要原因是支付购置校车的前期相关费用。决算数与去年相比增加6.71万元，去年决算数为0，无法计算增幅百分比。增加的主要原因是支付购置校车的前期相关费用。</w:t>
      </w:r>
    </w:p>
    <w:p>
      <w:pPr>
        <w:pStyle w:val="11"/>
        <w:ind w:firstLine="643" w:firstLineChars="20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（二）“三公”经费财政拨款支出决算具体情况说明</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2021年度“三公”经费财政拨款支出决算中，因公出国（境）费支出决算0万元，</w:t>
      </w:r>
      <w:r>
        <w:rPr>
          <w:rFonts w:hint="eastAsia" w:asciiTheme="minorEastAsia" w:hAnsiTheme="minorEastAsia" w:eastAsiaTheme="minorEastAsia"/>
          <w:color w:val="auto"/>
          <w:sz w:val="32"/>
          <w:szCs w:val="32"/>
          <w:highlight w:val="none"/>
        </w:rPr>
        <w:t>占0%</w:t>
      </w:r>
      <w:r>
        <w:rPr>
          <w:rFonts w:hint="eastAsia" w:asciiTheme="minorEastAsia" w:hAnsiTheme="minorEastAsia" w:eastAsiaTheme="minorEastAsia"/>
          <w:sz w:val="32"/>
          <w:szCs w:val="32"/>
          <w:highlight w:val="none"/>
        </w:rPr>
        <w:t>,公务接待费支出决算0万元，</w:t>
      </w:r>
      <w:r>
        <w:rPr>
          <w:rFonts w:hint="eastAsia" w:asciiTheme="minorEastAsia" w:hAnsiTheme="minorEastAsia" w:eastAsiaTheme="minorEastAsia"/>
          <w:color w:val="auto"/>
          <w:sz w:val="32"/>
          <w:szCs w:val="32"/>
          <w:highlight w:val="none"/>
        </w:rPr>
        <w:t>占0%</w:t>
      </w:r>
      <w:r>
        <w:rPr>
          <w:rFonts w:hint="eastAsia" w:asciiTheme="minorEastAsia" w:hAnsiTheme="minorEastAsia" w:eastAsiaTheme="minorEastAsia"/>
          <w:sz w:val="32"/>
          <w:szCs w:val="32"/>
          <w:highlight w:val="none"/>
        </w:rPr>
        <w:t>,公务用车购置费及运行维护费支出决算6.71万元，占100%。其中：</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1、因公出国（境）费支出决算为0万元，全年安排因公出国（境）团组0个，累计0人次。</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2、公务接待费支出决算为0万元，全年共接待来访团组0个、来宾0人次。</w:t>
      </w:r>
    </w:p>
    <w:p>
      <w:pPr>
        <w:pStyle w:val="11"/>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3、公务用车购置费及运行维护费支出决算为6.71万元，其中：公务用车购置费0万元，单位本级更新公务用车0辆；公务用车运行维护费6.71万元，主要是用于支付购置校车的前期相关费用。截至2021年12月31日，我单位开支财政拨款的公务用车保有量为5辆。</w:t>
      </w:r>
    </w:p>
    <w:bookmarkEnd w:id="3"/>
    <w:p>
      <w:pPr>
        <w:pStyle w:val="11"/>
        <w:ind w:firstLine="643" w:firstLineChars="200"/>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2021年度政府性基金预算财政拨款收入0万元；年初结转和结余0万元；支出0万元0；年末结转和结余0万元。</w:t>
      </w:r>
    </w:p>
    <w:p>
      <w:pPr>
        <w:pStyle w:val="11"/>
        <w:ind w:firstLine="643" w:firstLineChars="200"/>
        <w:rPr>
          <w:rFonts w:hAnsi="黑体"/>
          <w:b/>
          <w:sz w:val="32"/>
          <w:szCs w:val="32"/>
        </w:rPr>
      </w:pPr>
      <w:r>
        <w:rPr>
          <w:rFonts w:hint="eastAsia" w:hAnsi="黑体"/>
          <w:b/>
          <w:sz w:val="32"/>
          <w:szCs w:val="32"/>
        </w:rPr>
        <w:t>九、机关运行经费支出说明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本部门2021年度机关运行经费支出0万元。</w:t>
      </w:r>
    </w:p>
    <w:p>
      <w:pPr>
        <w:pStyle w:val="11"/>
        <w:ind w:firstLine="643" w:firstLineChars="200"/>
        <w:rPr>
          <w:rFonts w:hAnsi="黑体"/>
          <w:b/>
          <w:sz w:val="32"/>
          <w:szCs w:val="32"/>
        </w:rPr>
      </w:pPr>
      <w:r>
        <w:rPr>
          <w:rFonts w:hint="eastAsia" w:hAnsi="黑体"/>
          <w:b/>
          <w:sz w:val="32"/>
          <w:szCs w:val="32"/>
        </w:rPr>
        <w:t>十、一般性支出情况说明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开支会议费5.34万元，均为教职工参加各类学术研讨会议及职教工作会议开支，本单位未主办相关会议；开支培训费318.81万元，用于开展湖南省市场监管系统培训，人数1791人，内容为湖南省市场监管系统人员各类业务培训。</w:t>
      </w:r>
    </w:p>
    <w:p>
      <w:pPr>
        <w:pStyle w:val="11"/>
        <w:ind w:firstLine="643" w:firstLineChars="200"/>
        <w:rPr>
          <w:rFonts w:hAnsi="黑体"/>
          <w:b/>
          <w:sz w:val="32"/>
          <w:szCs w:val="32"/>
        </w:rPr>
      </w:pPr>
      <w:r>
        <w:rPr>
          <w:rFonts w:hint="eastAsia" w:hAnsi="黑体"/>
          <w:b/>
          <w:sz w:val="32"/>
          <w:szCs w:val="32"/>
        </w:rPr>
        <w:t>十一、政府采购支出说明</w:t>
      </w:r>
    </w:p>
    <w:p>
      <w:pPr>
        <w:pStyle w:val="11"/>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本部门2021年度政府采购支出总额3106.85万元，其中：政府采购货物支出174.01万元、政府采购工程支出1726.03万元、政府采购服务支出1206.81万元。授予中小企业合同金额1380.82万元，占政府采购支出总额的44.4%，</w:t>
      </w:r>
      <w:r>
        <w:rPr>
          <w:rFonts w:hint="eastAsia" w:asciiTheme="minorEastAsia" w:hAnsiTheme="minorEastAsia" w:eastAsiaTheme="minorEastAsia"/>
          <w:color w:val="auto"/>
          <w:sz w:val="32"/>
          <w:szCs w:val="32"/>
        </w:rPr>
        <w:t>其中：货物采购授予中小企业合同金额占货物支出金额的100%，工程采购授予中小企业合同金额占工程支出金额的0%，服务采购授予中小企业合同金额占服务支出金额的100%。</w:t>
      </w:r>
    </w:p>
    <w:p>
      <w:pPr>
        <w:pStyle w:val="11"/>
        <w:ind w:firstLine="643" w:firstLineChars="200"/>
        <w:rPr>
          <w:rFonts w:hAnsi="黑体"/>
          <w:b/>
          <w:sz w:val="32"/>
          <w:szCs w:val="32"/>
        </w:rPr>
      </w:pPr>
      <w:r>
        <w:rPr>
          <w:rFonts w:hint="eastAsia" w:hAnsi="黑体"/>
          <w:b/>
          <w:sz w:val="32"/>
          <w:szCs w:val="32"/>
        </w:rPr>
        <w:t>十二、国有资产占用情况说明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5辆，其中，主要领导干部用车0辆，机要通信用车0辆、应急保障用车0辆、执法执勤用车0辆、特种专业技术用车0辆、其他用车5辆，其他用车主要是公务用车和校车；单位价值50万元以上通用设备0台（套）；单位价值100万元以上专用设备0台（套）。</w:t>
      </w:r>
    </w:p>
    <w:p>
      <w:pPr>
        <w:pStyle w:val="11"/>
        <w:ind w:firstLine="643" w:firstLineChars="200"/>
        <w:rPr>
          <w:rFonts w:hAnsi="黑体"/>
          <w:b/>
          <w:sz w:val="32"/>
          <w:szCs w:val="32"/>
        </w:rPr>
      </w:pPr>
      <w:r>
        <w:rPr>
          <w:rFonts w:hint="eastAsia" w:hAnsi="黑体"/>
          <w:b/>
          <w:sz w:val="32"/>
          <w:szCs w:val="32"/>
        </w:rPr>
        <w:t>十三、2021年度预算绩效情况说明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2021年度部门预算绩效情况详见附件。</w:t>
      </w:r>
    </w:p>
    <w:p>
      <w:pPr>
        <w:pStyle w:val="11"/>
        <w:jc w:val="center"/>
        <w:rPr>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rFonts w:hint="eastAsia"/>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一、基本支出：指为保障机构正常运转、完成日常工作任务而发生的各项支出，包括人员支出和公用支出。</w:t>
      </w:r>
    </w:p>
    <w:p>
      <w:pPr>
        <w:pStyle w:val="11"/>
        <w:ind w:firstLine="640" w:firstLineChars="200"/>
        <w:rPr>
          <w:sz w:val="72"/>
          <w:szCs w:val="72"/>
        </w:rPr>
      </w:pPr>
      <w:r>
        <w:rPr>
          <w:rFonts w:hint="eastAsia" w:asciiTheme="minorEastAsia" w:hAnsiTheme="minorEastAsia" w:eastAsiaTheme="minorEastAsia"/>
          <w:sz w:val="32"/>
          <w:szCs w:val="32"/>
        </w:rPr>
        <w:t>二、项目支出：指在基本支出以外为完成相关行政任务和事业发展目标所发生的各项支出。</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spacing w:line="600" w:lineRule="exact"/>
        <w:outlineLvl w:val="0"/>
        <w:rPr>
          <w:rFonts w:ascii="黑体" w:hAnsi="黑体" w:eastAsia="黑体"/>
          <w:kern w:val="0"/>
          <w:sz w:val="32"/>
          <w:szCs w:val="32"/>
        </w:rPr>
      </w:pPr>
    </w:p>
    <w:p>
      <w:pPr>
        <w:spacing w:line="600" w:lineRule="exact"/>
        <w:rPr>
          <w:rFonts w:eastAsia="黑体"/>
          <w:kern w:val="0"/>
          <w:sz w:val="32"/>
          <w:szCs w:val="32"/>
        </w:rPr>
      </w:pPr>
    </w:p>
    <w:p>
      <w:pPr>
        <w:spacing w:line="600" w:lineRule="exact"/>
        <w:rPr>
          <w:rFonts w:eastAsia="黑体"/>
          <w:kern w:val="0"/>
          <w:sz w:val="32"/>
          <w:szCs w:val="32"/>
        </w:rPr>
      </w:pPr>
    </w:p>
    <w:p>
      <w:pPr>
        <w:jc w:val="center"/>
        <w:rPr>
          <w:rFonts w:ascii="方正小标宋简体" w:eastAsia="方正小标宋简体"/>
          <w:sz w:val="52"/>
          <w:szCs w:val="52"/>
        </w:rPr>
      </w:pPr>
      <w:r>
        <w:rPr>
          <w:rFonts w:hint="eastAsia" w:ascii="方正小标宋简体" w:eastAsia="方正小标宋简体"/>
          <w:sz w:val="52"/>
          <w:szCs w:val="52"/>
        </w:rPr>
        <w:t>2021年度湖南食品药品职业学院</w:t>
      </w:r>
    </w:p>
    <w:p>
      <w:pPr>
        <w:jc w:val="center"/>
        <w:rPr>
          <w:rFonts w:ascii="方正小标宋简体" w:eastAsia="方正小标宋简体"/>
          <w:sz w:val="52"/>
          <w:szCs w:val="52"/>
        </w:rPr>
      </w:pPr>
      <w:r>
        <w:rPr>
          <w:rFonts w:hint="eastAsia" w:ascii="方正小标宋简体" w:eastAsia="方正小标宋简体"/>
          <w:sz w:val="52"/>
          <w:szCs w:val="52"/>
        </w:rPr>
        <w:t>单位整体支出绩效自评报告</w:t>
      </w:r>
    </w:p>
    <w:p>
      <w:pPr>
        <w:jc w:val="center"/>
        <w:rPr>
          <w:rFonts w:ascii="方正小标宋_GBK" w:eastAsia="方正小标宋_GBK"/>
          <w:b/>
          <w:sz w:val="52"/>
          <w:szCs w:val="5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left"/>
        <w:rPr>
          <w:rFonts w:eastAsia="仿宋_GB2312"/>
          <w:sz w:val="32"/>
          <w:szCs w:val="32"/>
        </w:rPr>
      </w:pPr>
    </w:p>
    <w:p>
      <w:pPr>
        <w:jc w:val="left"/>
        <w:rPr>
          <w:rFonts w:ascii="方正仿宋_GBK" w:eastAsia="方正仿宋_GBK"/>
          <w:sz w:val="32"/>
          <w:szCs w:val="32"/>
        </w:rPr>
      </w:pPr>
    </w:p>
    <w:p>
      <w:pPr>
        <w:jc w:val="left"/>
        <w:rPr>
          <w:rFonts w:ascii="方正仿宋_GBK" w:eastAsia="方正仿宋_GBK"/>
          <w:sz w:val="32"/>
          <w:szCs w:val="32"/>
        </w:rPr>
      </w:pPr>
    </w:p>
    <w:p>
      <w:pPr>
        <w:ind w:firstLine="640" w:firstLineChars="200"/>
        <w:jc w:val="left"/>
        <w:rPr>
          <w:rFonts w:ascii="黑体" w:hAnsi="黑体" w:eastAsia="黑体" w:cs="微软雅黑"/>
          <w:sz w:val="32"/>
          <w:szCs w:val="32"/>
        </w:rPr>
      </w:pPr>
      <w:r>
        <w:rPr>
          <w:rFonts w:hint="eastAsia" w:ascii="黑体" w:hAnsi="黑体" w:eastAsia="黑体"/>
          <w:sz w:val="32"/>
          <w:szCs w:val="32"/>
        </w:rPr>
        <w:t>一、</w:t>
      </w:r>
      <w:r>
        <w:rPr>
          <w:rFonts w:hint="eastAsia" w:ascii="黑体" w:hAnsi="黑体" w:eastAsia="黑体" w:cs="微软雅黑"/>
          <w:sz w:val="32"/>
          <w:szCs w:val="32"/>
        </w:rPr>
        <w:t>单位基本情况</w:t>
      </w:r>
    </w:p>
    <w:p>
      <w:pPr>
        <w:spacing w:line="600" w:lineRule="exact"/>
        <w:rPr>
          <w:rFonts w:ascii="楷体" w:hAnsi="楷体" w:eastAsia="楷体" w:cs="微软雅黑"/>
          <w:sz w:val="32"/>
          <w:szCs w:val="32"/>
        </w:rPr>
      </w:pPr>
      <w:r>
        <w:rPr>
          <w:rFonts w:hint="eastAsia" w:ascii="仿宋_GB2312" w:eastAsia="仿宋_GB2312" w:cs="微软雅黑"/>
          <w:sz w:val="32"/>
          <w:szCs w:val="32"/>
        </w:rPr>
        <w:t xml:space="preserve">    </w:t>
      </w:r>
      <w:r>
        <w:rPr>
          <w:rFonts w:hint="eastAsia" w:ascii="楷体" w:hAnsi="楷体" w:eastAsia="楷体" w:cs="微软雅黑"/>
          <w:sz w:val="32"/>
          <w:szCs w:val="32"/>
        </w:rPr>
        <w:t>（一）学院简介</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湖南食品药品职业学院是经湖南省人民政府批准设立、公办的全日制高等职业院校，由省市场监督管理局主管，教育业务由省教育厅管理。学院前身为湖南省医药中等专业学校，创办于1979年。主校区位于长沙市岳麓科技产业园，占地面积366.2亩，建筑面积11.5万平方米。师资队伍主要以中青年教师为主体，学历、职称、专业结构合理，综合素质全面。学院拥有GMP模拟制药车间、GSP模拟药房、食品加工实训室、针灸推拿实验室等实验实训室93间，校外实习基地150余个，是中央财政支持的生物技术与应用(生物制药方向)实训基地。</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学院面向全国10余个省（市、区）招生，现有在校学生近10000人。开设有药学、中药学、药品经营与管理、食品检验检测技术、医疗器械经营与服务等17个专业，其中药学、中药学为国家重点支持建设的专业。</w:t>
      </w:r>
    </w:p>
    <w:p>
      <w:pPr>
        <w:spacing w:line="60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（二）机构情况</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1、党委机构（4个）：党政办、组织人事处、宣传统战部、纪检监察室。</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2、行政机构（7个）：财务与采购管理处、后勤资产管理处、学生工作与保卫处、招生就业处、教务处、教学质量督导处、科研与发展规划处。</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3、教学教辅机构（8个）：药学院、中药学院、经管学院、食品学院、基础学院、洞井学院、继续教育学院、图书馆。</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4、群团组织（2个）：院工会、院团委。</w:t>
      </w:r>
    </w:p>
    <w:p>
      <w:pPr>
        <w:spacing w:line="60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（三）人员情况</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2021年末学院实有在职人数394人，其中编内在职人数346人，其他在职人员48人。另有退休人员80人。</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二、一般公共预算支出情况</w:t>
      </w:r>
    </w:p>
    <w:p>
      <w:pPr>
        <w:spacing w:line="60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（一）收入支出总体情况</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一般公共预算财政拨款收入年初结转和结余1633.6万元，全部为项目支出结转结余。全年预算收入11749.49万元，其中基本支出5480.07万元，项目支出6269.42万元。2021年支出总额11826.28万元，其中基本支出5480.07万元，项目支出6346.21万元。年末结转结余1556.8万元，全部为项目支出结转结余。</w:t>
      </w:r>
    </w:p>
    <w:p>
      <w:pPr>
        <w:spacing w:line="60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（二）基本支出情况</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仿宋_GB2312" w:cs="Times New Roman"/>
          <w:sz w:val="32"/>
          <w:szCs w:val="32"/>
        </w:rPr>
        <w:t>2021年一般公共预算财政拨款基本支出5480.07万元，其中：工资福利支出5244.25万元，商品和服务支出108.47万元，对个人和家庭的补助支出127.35万元。</w:t>
      </w:r>
    </w:p>
    <w:p>
      <w:pPr>
        <w:spacing w:line="600" w:lineRule="exact"/>
        <w:ind w:firstLine="640" w:firstLineChars="200"/>
        <w:rPr>
          <w:rFonts w:ascii="Times New Roman" w:hAnsi="Times New Roman" w:eastAsia="楷体" w:cs="Times New Roman"/>
          <w:sz w:val="32"/>
          <w:szCs w:val="32"/>
        </w:rPr>
      </w:pPr>
      <w:r>
        <w:rPr>
          <w:rFonts w:ascii="Times New Roman" w:hAnsi="Times New Roman" w:eastAsia="楷体" w:cs="Times New Roman"/>
          <w:sz w:val="32"/>
          <w:szCs w:val="32"/>
        </w:rPr>
        <w:t>（三）项目支出情况</w:t>
      </w:r>
    </w:p>
    <w:p>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2021年一般公共预算财政拨款项目支出6346.21万元，其中：工资福利支出11.52万元，商品和服务支出1700.45万元，对个人和家庭的补助支出967.96万元，债务利息及费用支出1111.77万元，资本性支出2554.52万元。</w:t>
      </w:r>
    </w:p>
    <w:p>
      <w:pPr>
        <w:spacing w:line="600" w:lineRule="exact"/>
        <w:ind w:firstLine="640" w:firstLineChars="200"/>
        <w:rPr>
          <w:rFonts w:ascii="Times New Roman" w:hAnsi="Times New Roman" w:eastAsia="方正楷体_GBK" w:cs="Times New Roman"/>
          <w:sz w:val="32"/>
          <w:szCs w:val="32"/>
        </w:rPr>
      </w:pPr>
      <w:r>
        <w:rPr>
          <w:rFonts w:ascii="Times New Roman" w:hAnsi="Times New Roman" w:eastAsia="仿宋_GB2312" w:cs="Times New Roman"/>
          <w:sz w:val="32"/>
          <w:szCs w:val="32"/>
        </w:rPr>
        <w:t>其中2021年高校“双一流”建设专项591.83万元，执行金额583.59万元；市场监督管理专项261.93万元，执行金额118.1万元</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三、部门整体支出绩效情况</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（一）日常业务及运行维护工作平稳运行</w:t>
      </w:r>
    </w:p>
    <w:p>
      <w:pPr>
        <w:widowControl/>
        <w:spacing w:line="600" w:lineRule="exact"/>
        <w:ind w:firstLine="645"/>
        <w:rPr>
          <w:rFonts w:ascii="Times New Roman" w:hAnsi="Times New Roman" w:eastAsia="仿宋" w:cs="Times New Roman"/>
          <w:sz w:val="32"/>
          <w:szCs w:val="32"/>
        </w:rPr>
      </w:pPr>
      <w:r>
        <w:rPr>
          <w:rFonts w:ascii="Times New Roman" w:hAnsi="Times New Roman" w:eastAsia="仿宋_GB2312" w:cs="Times New Roman"/>
          <w:sz w:val="32"/>
          <w:szCs w:val="32"/>
        </w:rPr>
        <w:t>学校紧紧围绕“十四五”发展规划目标，落实高质量发展的要求，科学构建“三全育人”机制，党建思政、教研科研、招生就业、基建采购、疫情防控等工作齐头并进，稳步发展。如：2021总招生规模3492人，初次就业人数2051人；严格按照年初预算计划完成了年度实验实训设备、办公设备、图书、车辆等资产购置；</w:t>
      </w:r>
      <w:r>
        <w:rPr>
          <w:rFonts w:ascii="Times New Roman" w:hAnsi="Times New Roman" w:eastAsia="仿宋" w:cs="Times New Roman"/>
          <w:sz w:val="32"/>
          <w:szCs w:val="32"/>
        </w:rPr>
        <w:t>投资269余万，修建4100平方的风雨操场；投入400万元，增加学生就餐位380余个，缓解了学生集中用餐拥挤的弊病；加大投入，搭建学生创新创业平台，新建大型快递集中收发中心等</w:t>
      </w:r>
      <w:r>
        <w:rPr>
          <w:rFonts w:ascii="Times New Roman" w:hAnsi="Times New Roman" w:eastAsia="仿宋_GB2312" w:cs="Times New Roman"/>
          <w:sz w:val="32"/>
          <w:szCs w:val="32"/>
        </w:rPr>
        <w:t>，保障了各校区日常运转的平稳有序。</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（二）高校“双一流”建设专项持续推进</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 w:cs="Times New Roman"/>
          <w:b/>
          <w:sz w:val="32"/>
          <w:szCs w:val="32"/>
        </w:rPr>
        <w:t>1、思想政治建设不断加强。</w:t>
      </w:r>
      <w:r>
        <w:rPr>
          <w:rFonts w:ascii="Times New Roman" w:hAnsi="Times New Roman" w:eastAsia="仿宋_GB2312" w:cs="Times New Roman"/>
          <w:sz w:val="32"/>
          <w:szCs w:val="32"/>
        </w:rPr>
        <w:t>加强思想政治队伍建设，积极推进思政育人，开展“省文明标兵校园”建设，推广2019年校级思政精品项目成果，开展省级项目申报。以“中华食药传统文化传承教育基地”建设为基础，申报省社科科普基地。获得1个湖南省高校思想政治工作思政理论课教研专项，1个湖南省高校课程育人示范案例。选拔3个团队代表学校参加湖南省职业院校思想政治教育教学能力比赛，荣获“二等奖”。</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2、人才队伍建设稳步推进。</w:t>
      </w:r>
      <w:r>
        <w:rPr>
          <w:rFonts w:ascii="Times New Roman" w:hAnsi="Times New Roman" w:eastAsia="仿宋_GB2312" w:cs="Times New Roman"/>
          <w:sz w:val="32"/>
          <w:szCs w:val="32"/>
        </w:rPr>
        <w:t>一是加强师资队伍建设。2021年共公开招聘了21名教师，完成了13名新入职人员入职考核等工作、43名专业技术人员的岗位聘任等工作；二是加强培训工作。共组织60名专业教师下企业进行实践锻炼。</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3、教育科研工作高水平推进。</w:t>
      </w:r>
      <w:r>
        <w:rPr>
          <w:rFonts w:ascii="Times New Roman" w:hAnsi="Times New Roman" w:eastAsia="仿宋_GB2312" w:cs="Times New Roman"/>
          <w:sz w:val="32"/>
          <w:szCs w:val="32"/>
        </w:rPr>
        <w:t>我校已立项教科研课题项目32项，其中省级8项、厅级5项、科普项目3项、科研院所及学会协会横向课题11项、企业技术开发（服务）项目5项；获教育部认定国家规划教材4本；获得首届全国教材建设奖二等奖2个；教职工发表教科研论文100余篇，一线专任教师均有参与教研科研，共有200余人次参与了课题研究、论文发表、教材编撰、成果奖励申报和专利申请授权等工作；</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4、教学工作水平高标准提升。</w:t>
      </w:r>
      <w:r>
        <w:rPr>
          <w:rFonts w:ascii="Times New Roman" w:hAnsi="Times New Roman" w:eastAsia="仿宋_GB2312" w:cs="Times New Roman"/>
          <w:sz w:val="32"/>
          <w:szCs w:val="32"/>
        </w:rPr>
        <w:t>积极推进专业发展和课程建设。2021年新增开设了“化妆品经营与管理”和“餐饮智能管理”专业；顺利通过15个招生专业的人才培养方案的检查；修订16个专业技能考核标准与题库；组织食品加工技术、中医养生保健等2个专业进行办学水平合格性评价；组织制（修）订第二批课程标准，落实课程思政元素融入课程标准全覆盖；毕业设计省级抽查合格率100%，平均分数列全省70所高职高专院校的第15名；</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5、技能大赛硕果累累。</w:t>
      </w:r>
      <w:r>
        <w:rPr>
          <w:rFonts w:ascii="Times New Roman" w:hAnsi="Times New Roman" w:eastAsia="仿宋_GB2312" w:cs="Times New Roman"/>
          <w:sz w:val="32"/>
          <w:szCs w:val="32"/>
        </w:rPr>
        <w:t>学校在国家级、省级、市级各类比赛中，获得一等奖6个、二等奖15个、三等奖13个。其中，在2021年湖南省职业院校技能竞赛中，获得3个一等奖、1个二等奖、3个三等奖；2021年中药传统技能竞赛国赛选拔赛获得第一，并作为全省唯一国赛代表夺得全国二等奖；获2021年全国首届1+X粮农食品安全评价职业技能等级（中级）大赛，3个二等奖、1个优秀奖、1个团体三等奖、1个最佳优秀组织奖；获2022年度“楚怡杯”湖南省高职市场营销技能赛项二等奖；2021年第八届“学创杯”全国大学生创业综合模拟大赛总决赛创业营销赛项二等奖。</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b/>
          <w:sz w:val="32"/>
          <w:szCs w:val="32"/>
        </w:rPr>
        <w:t>6、校园文化建设成果显著。</w:t>
      </w:r>
      <w:r>
        <w:rPr>
          <w:rFonts w:ascii="Times New Roman" w:hAnsi="Times New Roman" w:eastAsia="仿宋_GB2312" w:cs="Times New Roman"/>
          <w:sz w:val="32"/>
          <w:szCs w:val="32"/>
        </w:rPr>
        <w:t>各项文化、体育、艺术等竞赛成果频出。在2021年“共创食安长沙”岳麓区校园短视频创意大赛、2021 年全省普通高校“读懂中国”主题教育活动、第十四届“挑战杯”湖南省大学生课外学术科技作品竞赛、湖南省首届体育云运动会啦啦操等比赛中，共获得一、二、三等奖各2个，组织奖1个。</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（三）市场监管系统人员培训顺利开展</w:t>
      </w:r>
    </w:p>
    <w:p>
      <w:pPr>
        <w:ind w:firstLine="640" w:firstLineChars="200"/>
        <w:rPr>
          <w:rFonts w:ascii="Times New Roman" w:hAnsi="Times New Roman" w:eastAsia="方正楷体_GBK" w:cs="Times New Roman"/>
          <w:sz w:val="32"/>
          <w:szCs w:val="32"/>
        </w:rPr>
      </w:pPr>
      <w:r>
        <w:rPr>
          <w:rFonts w:ascii="Times New Roman" w:hAnsi="Times New Roman" w:eastAsia="仿宋" w:cs="Times New Roman"/>
          <w:sz w:val="32"/>
          <w:szCs w:val="32"/>
        </w:rPr>
        <w:t>严格执行省局系统培训计划，</w:t>
      </w:r>
      <w:r>
        <w:rPr>
          <w:rFonts w:ascii="Times New Roman" w:hAnsi="Times New Roman" w:eastAsia="仿宋_GB2312" w:cs="Times New Roman"/>
          <w:sz w:val="32"/>
          <w:szCs w:val="32"/>
        </w:rPr>
        <w:t>积极开展各类培训工作。学校承办湖南省市场监督管理局系统干部业务培训共计12期，培训学员1791人；承办湖南省人力资源和社会保障厅人才知识更新工程高研班，培训学员50人次；开展2021年执业药师继续教育培训2187人；为全省413名专业技术人员提供公需科目学习平台。获得湖南省市场监督管理局认定的食品安全从业人员培训资质。</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四、存在的问题及原因分析</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楷体" w:cs="Times New Roman"/>
          <w:b/>
          <w:sz w:val="32"/>
          <w:szCs w:val="32"/>
        </w:rPr>
        <w:t>（一）资金分配实施方案有待优化。</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sz w:val="32"/>
          <w:szCs w:val="32"/>
        </w:rPr>
        <w:t>我校整体资金的分配使用主要依据年初预算批复方案和各项工作既定目标实施，除保障日常运行的基本开支和业务运维经费外，部分专项资金的使用主要遵循主管部门的专项资金管理办法，并未结合实际情况出台实施细则。比如“双一流”建设专项资金的实施基本上是按照《湖南省财政厅 湖南省教育厅关于印发&lt;湖南省高校“双一流”建设专项资金管理办法&gt;》（湘财教〔2019〕2号）的要求，针对自身实际情况，学校内部并未制定具有指导性和实操性的实施计划和实施细则，对资金的分配使用和细化管理有待优化。</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（二）部分绩效目标设置欠合理。</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sz w:val="32"/>
          <w:szCs w:val="32"/>
        </w:rPr>
        <w:t>部分资金实际使用部门对绩效目标管理的理解不到位，部分绩效指标值的设立不科学，未及时结合实际工作情况对年初申报的绩效指标值进行相应调整，导致部分绩效指标值与实际资金量匹配度不高。</w:t>
      </w:r>
    </w:p>
    <w:p>
      <w:pPr>
        <w:spacing w:line="600" w:lineRule="exact"/>
        <w:ind w:firstLine="643" w:firstLineChars="200"/>
        <w:rPr>
          <w:rFonts w:ascii="Times New Roman" w:hAnsi="Times New Roman" w:eastAsia="方正黑体_GBK" w:cs="Times New Roman"/>
          <w:sz w:val="32"/>
          <w:szCs w:val="32"/>
        </w:rPr>
      </w:pPr>
      <w:r>
        <w:rPr>
          <w:rFonts w:ascii="Times New Roman" w:hAnsi="Times New Roman" w:eastAsia="仿宋_GB2312" w:cs="Times New Roman"/>
          <w:b/>
          <w:sz w:val="32"/>
          <w:szCs w:val="32"/>
        </w:rPr>
        <w:t>（三）项目管理主体意识有待加强。</w:t>
      </w:r>
      <w:r>
        <w:rPr>
          <w:rFonts w:ascii="Times New Roman" w:hAnsi="Times New Roman" w:eastAsia="仿宋_GB2312" w:cs="Times New Roman"/>
          <w:sz w:val="32"/>
          <w:szCs w:val="32"/>
        </w:rPr>
        <w:t>部分部门和二级学院的绩效项目管理意识薄弱，未能结合部门职能和工作性质及特点制定具体可行的项目管理制度，部分项目实施过程中绩效跟踪监督缺乏制度约束。</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五、下一步改进措施</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（一）加速推进专项资金实施细则的落地。</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sz w:val="32"/>
          <w:szCs w:val="32"/>
        </w:rPr>
        <w:t>结合相关文件要求和学校实际情况，研究制定适合本单位的具有指导性的资金管理实施细则，全面覆盖专项资金从申报、分配、执行和监督的全过程管理，切实提高专项资金使用的规范性和科学性。</w:t>
      </w:r>
    </w:p>
    <w:p>
      <w:pPr>
        <w:widowControl/>
        <w:spacing w:line="600" w:lineRule="exact"/>
        <w:ind w:firstLine="645"/>
        <w:rPr>
          <w:rFonts w:ascii="Times New Roman" w:hAnsi="Times New Roman" w:eastAsia="楷体" w:cs="Times New Roman"/>
          <w:b/>
          <w:sz w:val="32"/>
          <w:szCs w:val="32"/>
        </w:rPr>
      </w:pPr>
      <w:r>
        <w:rPr>
          <w:rFonts w:ascii="Times New Roman" w:hAnsi="Times New Roman" w:eastAsia="楷体" w:cs="Times New Roman"/>
          <w:b/>
          <w:sz w:val="32"/>
          <w:szCs w:val="32"/>
        </w:rPr>
        <w:t>（二）结合实际及时调整年初绩效目标。</w:t>
      </w:r>
    </w:p>
    <w:p>
      <w:pPr>
        <w:widowControl/>
        <w:spacing w:line="600" w:lineRule="exact"/>
        <w:ind w:firstLine="645"/>
        <w:rPr>
          <w:rFonts w:ascii="Times New Roman" w:hAnsi="Times New Roman" w:eastAsia="仿宋_GB2312" w:cs="Times New Roman"/>
          <w:sz w:val="32"/>
          <w:szCs w:val="32"/>
        </w:rPr>
      </w:pPr>
      <w:r>
        <w:rPr>
          <w:rFonts w:ascii="Times New Roman" w:hAnsi="Times New Roman" w:eastAsia="仿宋_GB2312" w:cs="Times New Roman"/>
          <w:sz w:val="32"/>
          <w:szCs w:val="32"/>
        </w:rPr>
        <w:t>专项资金安排下达后，在具体执行过程中，督促使用资金使用管理部门根据实际工作开展情况和资金使用情况，对标年初绩效目标的相关要素和指标值，及时做出合理调整并做好记录和调整说明。</w:t>
      </w:r>
    </w:p>
    <w:p>
      <w:pPr>
        <w:spacing w:line="600" w:lineRule="exact"/>
        <w:ind w:firstLine="643" w:firstLineChars="200"/>
        <w:rPr>
          <w:rFonts w:ascii="Times New Roman" w:hAnsi="Times New Roman" w:eastAsia="楷体" w:cs="Times New Roman"/>
          <w:b/>
          <w:sz w:val="32"/>
          <w:szCs w:val="32"/>
        </w:rPr>
      </w:pPr>
      <w:r>
        <w:rPr>
          <w:rFonts w:ascii="Times New Roman" w:hAnsi="Times New Roman" w:eastAsia="楷体" w:cs="Times New Roman"/>
          <w:b/>
          <w:sz w:val="32"/>
          <w:szCs w:val="32"/>
        </w:rPr>
        <w:t>（三）落实项目资金使用主体责任。</w:t>
      </w:r>
    </w:p>
    <w:p>
      <w:pPr>
        <w:spacing w:line="600" w:lineRule="exact"/>
        <w:ind w:firstLine="640" w:firstLineChars="200"/>
        <w:rPr>
          <w:rFonts w:ascii="Times New Roman" w:hAnsi="Times New Roman" w:eastAsia="方正黑体_GBK" w:cs="Times New Roman"/>
          <w:sz w:val="32"/>
          <w:szCs w:val="32"/>
        </w:rPr>
      </w:pPr>
      <w:r>
        <w:rPr>
          <w:rFonts w:ascii="Times New Roman" w:hAnsi="Times New Roman" w:eastAsia="仿宋_GB2312" w:cs="Times New Roman"/>
          <w:sz w:val="32"/>
          <w:szCs w:val="32"/>
        </w:rPr>
        <w:t>资金的实际使用部门要结合本部门工作性质和特点，制定具体的专项资金使用管理方案。建立健全资金分配使用全过程的监督指导制度，做到计划明确、科学使用、有效监管。</w:t>
      </w:r>
    </w:p>
    <w:p>
      <w:pPr>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六、单位整体支出绩效自评结果拟应用和公开情况</w:t>
      </w:r>
    </w:p>
    <w:p>
      <w:pPr>
        <w:spacing w:line="600" w:lineRule="exact"/>
        <w:ind w:firstLine="640" w:firstLineChars="200"/>
        <w:rPr>
          <w:rFonts w:ascii="Times New Roman" w:hAnsi="Times New Roman" w:eastAsia="方正仿宋_GBK" w:cs="Times New Roman"/>
          <w:bCs/>
          <w:sz w:val="32"/>
          <w:szCs w:val="32"/>
        </w:rPr>
      </w:pPr>
      <w:r>
        <w:rPr>
          <w:rFonts w:ascii="Times New Roman" w:hAnsi="Times New Roman" w:eastAsia="仿宋_GB2312" w:cs="Times New Roman"/>
          <w:sz w:val="32"/>
          <w:szCs w:val="32"/>
        </w:rPr>
        <w:t>我校坚决贯彻落实校党委会决策部署，根据“双监控”工作要求，结合整体支出情况，对照各部门及二级学院的年初绩效目标，采取科学有效的方式，开展整体支出绩效运行监控自评自查，对评价结果进行评分评级，并把评分结果纳入各部门及二级学院的年度绩效考核，作为下一年度预算安排重要依据。</w:t>
      </w:r>
      <w:r>
        <w:rPr>
          <w:rFonts w:ascii="Times New Roman" w:hAnsi="Times New Roman" w:eastAsia="方正仿宋_GBK" w:cs="Times New Roman"/>
          <w:bCs/>
          <w:sz w:val="32"/>
          <w:szCs w:val="32"/>
        </w:rPr>
        <w:t>部门整体支出绩效自评报告将按照主管部门的相关要求予以公开。</w:t>
      </w:r>
    </w:p>
    <w:p>
      <w:pPr>
        <w:widowControl/>
        <w:spacing w:before="156" w:beforeLines="50" w:after="156" w:afterLines="50"/>
        <w:jc w:val="left"/>
        <w:outlineLvl w:val="0"/>
        <w:rPr>
          <w:rFonts w:ascii="Times New Roman" w:hAnsi="Times New Roman" w:eastAsia="黑体" w:cs="Times New Roman"/>
          <w:sz w:val="32"/>
          <w:szCs w:val="32"/>
        </w:rPr>
      </w:pPr>
      <w:r>
        <w:rPr>
          <w:rFonts w:ascii="Times New Roman" w:hAnsi="Times New Roman" w:eastAsia="仿宋_GB2312" w:cs="Times New Roman"/>
          <w:kern w:val="0"/>
          <w:sz w:val="22"/>
        </w:rPr>
        <w:br w:type="page"/>
      </w:r>
      <w:r>
        <w:rPr>
          <w:rFonts w:ascii="Times New Roman" w:hAnsi="Times New Roman" w:eastAsia="黑体" w:cs="Times New Roman"/>
          <w:sz w:val="32"/>
          <w:szCs w:val="32"/>
        </w:rPr>
        <w:t>附件1</w:t>
      </w:r>
    </w:p>
    <w:p>
      <w:pPr>
        <w:widowControl/>
        <w:spacing w:before="156" w:beforeLines="50" w:after="156" w:afterLines="50" w:line="600" w:lineRule="exact"/>
        <w:jc w:val="center"/>
        <w:rPr>
          <w:rFonts w:ascii="Times New Roman" w:hAnsi="Times New Roman" w:eastAsia="方正小标宋简体" w:cs="Times New Roman"/>
          <w:kern w:val="0"/>
          <w:sz w:val="44"/>
          <w:szCs w:val="44"/>
        </w:rPr>
      </w:pPr>
      <w:r>
        <w:rPr>
          <w:rFonts w:ascii="Times New Roman" w:hAnsi="Times New Roman" w:eastAsia="方正小标宋简体" w:cs="Times New Roman"/>
          <w:kern w:val="0"/>
          <w:sz w:val="44"/>
          <w:szCs w:val="44"/>
        </w:rPr>
        <w:t>2021年度单位整体支出绩效评价基础数据表</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196"/>
        <w:gridCol w:w="1132"/>
        <w:gridCol w:w="809"/>
        <w:gridCol w:w="1074"/>
        <w:gridCol w:w="1058"/>
        <w:gridCol w:w="924"/>
        <w:gridCol w:w="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Merge w:val="restar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财政供养人员情况（人）</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编制数</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2021年实际在职人数</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Merge w:val="continue"/>
            <w:vAlign w:val="center"/>
          </w:tcPr>
          <w:p>
            <w:pPr>
              <w:widowControl/>
              <w:jc w:val="left"/>
              <w:rPr>
                <w:rFonts w:ascii="Times New Roman" w:hAnsi="Times New Roman" w:eastAsia="仿宋_GB2312" w:cs="Times New Roman"/>
                <w:kern w:val="0"/>
                <w:szCs w:val="21"/>
              </w:rPr>
            </w:pP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360</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346</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经费控制情况（万元）</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2020年决算数</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2021年预算数</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三公经费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25.96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87.5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66.76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1、公务用车购置和维护经费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22.5</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82.5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其中：公车购置</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公车运行维护</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22.5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22.5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2、出国经费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3、公务接待</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3.46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项目支出：</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6744.41</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3203.02</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8525.2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1、业务工作经费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1981.11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786.6</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2968.42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2、运行维护经费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1186.02</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325.92</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352.34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rPr>
                <w:rFonts w:ascii="Times New Roman" w:hAnsi="Times New Roman" w:eastAsia="仿宋_GB2312" w:cs="Times New Roman"/>
                <w:kern w:val="0"/>
                <w:szCs w:val="21"/>
              </w:rPr>
            </w:pPr>
            <w:r>
              <w:rPr>
                <w:rFonts w:ascii="Times New Roman" w:hAnsi="Times New Roman" w:eastAsia="仿宋_GB2312" w:cs="Times New Roman"/>
                <w:kern w:val="0"/>
                <w:szCs w:val="21"/>
              </w:rPr>
              <w:t>3、省级专项资金</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1235.41</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698</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943.5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840" w:firstLineChars="4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高校“双一流”建设专项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657.29　</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427.8</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591.83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市场监督管理专项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280.05</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210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262.09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现代服务业发展专项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171.67</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教育综合发展专项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100</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9.3</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就业补助专项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26.4</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45.9</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创新型省份建设专项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ind w:firstLine="420" w:firstLineChars="200"/>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4、其他事业发展资金</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2341.87</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1392.5</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4260.94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公用经费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487.64</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1072.28</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931.71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其中：办公经费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13</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水费、电费、差旅费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65</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180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186.49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          会议费、培训费</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0.6</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政府采购金额</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3106.85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xml:space="preserve">单位基本支出预算调整 </w:t>
            </w:r>
          </w:p>
        </w:tc>
        <w:tc>
          <w:tcPr>
            <w:tcW w:w="1076"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w:t>
            </w:r>
          </w:p>
        </w:tc>
        <w:tc>
          <w:tcPr>
            <w:tcW w:w="1182"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c>
          <w:tcPr>
            <w:tcW w:w="968" w:type="pct"/>
            <w:gridSpan w:val="2"/>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Merge w:val="restar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楼堂馆所控制情况</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（2021年完工项目）</w:t>
            </w:r>
          </w:p>
        </w:tc>
        <w:tc>
          <w:tcPr>
            <w:tcW w:w="628"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批复规模</w:t>
            </w:r>
            <w:r>
              <w:rPr>
                <w:rFonts w:ascii="Times New Roman" w:hAnsi="Times New Roman" w:eastAsia="仿宋_GB2312" w:cs="Times New Roman"/>
                <w:bCs/>
                <w:kern w:val="0"/>
                <w:szCs w:val="21"/>
              </w:rPr>
              <w:br w:type="textWrapping"/>
            </w:r>
            <w:r>
              <w:rPr>
                <w:rFonts w:ascii="Times New Roman" w:hAnsi="Times New Roman" w:eastAsia="仿宋_GB2312" w:cs="Times New Roman"/>
                <w:bCs/>
                <w:kern w:val="0"/>
                <w:szCs w:val="21"/>
              </w:rPr>
              <w:t>（</w:t>
            </w:r>
            <w:r>
              <w:rPr>
                <w:rFonts w:ascii="Segoe UI Symbol" w:hAnsi="Segoe UI Symbol" w:eastAsia="仿宋_GB2312" w:cs="Segoe UI Symbol"/>
                <w:bCs/>
                <w:kern w:val="0"/>
                <w:szCs w:val="21"/>
              </w:rPr>
              <w:t>㎡</w:t>
            </w:r>
            <w:r>
              <w:rPr>
                <w:rFonts w:ascii="Times New Roman" w:hAnsi="Times New Roman" w:eastAsia="仿宋_GB2312" w:cs="Times New Roman"/>
                <w:bCs/>
                <w:kern w:val="0"/>
                <w:szCs w:val="21"/>
              </w:rPr>
              <w:t>）</w:t>
            </w:r>
          </w:p>
        </w:tc>
        <w:tc>
          <w:tcPr>
            <w:tcW w:w="449"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实际规模（</w:t>
            </w:r>
            <w:r>
              <w:rPr>
                <w:rFonts w:ascii="Segoe UI Symbol" w:hAnsi="Segoe UI Symbol" w:eastAsia="仿宋_GB2312" w:cs="Segoe UI Symbol"/>
                <w:bCs/>
                <w:kern w:val="0"/>
                <w:szCs w:val="21"/>
              </w:rPr>
              <w:t>㎡</w:t>
            </w:r>
            <w:r>
              <w:rPr>
                <w:rFonts w:ascii="Times New Roman" w:hAnsi="Times New Roman" w:eastAsia="仿宋_GB2312" w:cs="Times New Roman"/>
                <w:bCs/>
                <w:kern w:val="0"/>
                <w:szCs w:val="21"/>
              </w:rPr>
              <w:t>）</w:t>
            </w:r>
          </w:p>
        </w:tc>
        <w:tc>
          <w:tcPr>
            <w:tcW w:w="596"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规模控制率</w:t>
            </w:r>
          </w:p>
        </w:tc>
        <w:tc>
          <w:tcPr>
            <w:tcW w:w="587"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预算投资（万元）</w:t>
            </w:r>
          </w:p>
        </w:tc>
        <w:tc>
          <w:tcPr>
            <w:tcW w:w="512"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实际投资（万元）</w:t>
            </w:r>
          </w:p>
        </w:tc>
        <w:tc>
          <w:tcPr>
            <w:tcW w:w="456" w:type="pct"/>
            <w:vAlign w:val="center"/>
          </w:tcPr>
          <w:p>
            <w:pPr>
              <w:widowControl/>
              <w:spacing w:line="240" w:lineRule="exact"/>
              <w:jc w:val="center"/>
              <w:rPr>
                <w:rFonts w:ascii="Times New Roman" w:hAnsi="Times New Roman" w:eastAsia="仿宋_GB2312" w:cs="Times New Roman"/>
                <w:bCs/>
                <w:kern w:val="0"/>
                <w:szCs w:val="21"/>
              </w:rPr>
            </w:pPr>
            <w:r>
              <w:rPr>
                <w:rFonts w:ascii="Times New Roman" w:hAnsi="Times New Roman" w:eastAsia="仿宋_GB2312" w:cs="Times New Roman"/>
                <w:bCs/>
                <w:kern w:val="0"/>
                <w:szCs w:val="21"/>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Merge w:val="continue"/>
            <w:vAlign w:val="center"/>
          </w:tcPr>
          <w:p>
            <w:pPr>
              <w:widowControl/>
              <w:jc w:val="left"/>
              <w:rPr>
                <w:rFonts w:ascii="Times New Roman" w:hAnsi="Times New Roman" w:eastAsia="仿宋_GB2312" w:cs="Times New Roman"/>
                <w:kern w:val="0"/>
                <w:szCs w:val="21"/>
              </w:rPr>
            </w:pPr>
          </w:p>
        </w:tc>
        <w:tc>
          <w:tcPr>
            <w:tcW w:w="628" w:type="pc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49"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96"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87"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512"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456" w:type="pct"/>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1773" w:type="pct"/>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厉行节约保障措施</w:t>
            </w:r>
          </w:p>
        </w:tc>
        <w:tc>
          <w:tcPr>
            <w:tcW w:w="3227" w:type="pct"/>
            <w:gridSpan w:val="6"/>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rPr>
          <w:rFonts w:ascii="Times New Roman" w:hAnsi="Times New Roman" w:eastAsia="仿宋" w:cs="Times New Roman"/>
        </w:rPr>
      </w:pPr>
      <w:r>
        <w:rPr>
          <w:rFonts w:ascii="Times New Roman" w:hAnsi="Times New Roman" w:eastAsia="仿宋" w:cs="Times New Roman"/>
        </w:rPr>
        <w:t>说明：“项目支出”需要填报基本支出以外的所有项目支出情况，“公用经费”填报基本支出中的一般商品和服务支出。</w:t>
      </w:r>
    </w:p>
    <w:p>
      <w:pPr>
        <w:widowControl/>
        <w:spacing w:after="156" w:afterLines="50" w:line="400" w:lineRule="exact"/>
        <w:jc w:val="left"/>
        <w:rPr>
          <w:rFonts w:ascii="Times New Roman" w:hAnsi="Times New Roman" w:eastAsia="仿宋" w:cs="Times New Roman"/>
          <w:kern w:val="0"/>
          <w:szCs w:val="21"/>
        </w:rPr>
        <w:sectPr>
          <w:footerReference r:id="rId3" w:type="default"/>
          <w:footerReference r:id="rId4" w:type="even"/>
          <w:pgSz w:w="11906" w:h="16838"/>
          <w:pgMar w:top="1985" w:right="1474" w:bottom="1474" w:left="1474" w:header="851" w:footer="1134" w:gutter="0"/>
          <w:cols w:space="720" w:num="1"/>
          <w:docGrid w:type="lines" w:linePitch="312" w:charSpace="0"/>
        </w:sectPr>
      </w:pPr>
      <w:r>
        <w:rPr>
          <w:rFonts w:ascii="Times New Roman" w:hAnsi="Times New Roman" w:eastAsia="仿宋" w:cs="Times New Roman"/>
          <w:kern w:val="0"/>
          <w:szCs w:val="21"/>
        </w:rPr>
        <w:t>填表人：莫锴  填报日期：2022-4-28   联系电话：            单位负责人签字：</w:t>
      </w:r>
    </w:p>
    <w:p>
      <w:pPr>
        <w:widowControl/>
        <w:spacing w:line="600" w:lineRule="exact"/>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附件2</w:t>
      </w:r>
    </w:p>
    <w:p>
      <w:pPr>
        <w:widowControl/>
        <w:spacing w:before="156" w:beforeLines="50" w:after="156" w:afterLines="50" w:line="600" w:lineRule="exact"/>
        <w:jc w:val="center"/>
        <w:rPr>
          <w:rFonts w:ascii="Times New Roman" w:hAnsi="Times New Roman" w:eastAsia="方正小标宋简体" w:cs="Times New Roman"/>
          <w:kern w:val="0"/>
          <w:sz w:val="44"/>
          <w:szCs w:val="44"/>
        </w:rPr>
      </w:pPr>
      <w:r>
        <w:rPr>
          <w:rFonts w:ascii="Times New Roman" w:hAnsi="Times New Roman" w:eastAsia="方正小标宋简体" w:cs="Times New Roman"/>
          <w:kern w:val="0"/>
          <w:sz w:val="44"/>
          <w:szCs w:val="44"/>
        </w:rPr>
        <w:t>2021年度单位整体支出绩效自评表</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3"/>
        <w:gridCol w:w="974"/>
        <w:gridCol w:w="860"/>
        <w:gridCol w:w="1132"/>
        <w:gridCol w:w="87"/>
        <w:gridCol w:w="1083"/>
        <w:gridCol w:w="1152"/>
        <w:gridCol w:w="640"/>
        <w:gridCol w:w="894"/>
        <w:gridCol w:w="1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预算单位名称</w:t>
            </w:r>
          </w:p>
        </w:tc>
        <w:tc>
          <w:tcPr>
            <w:tcW w:w="4460" w:type="pct"/>
            <w:gridSpan w:val="9"/>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湖南食品药品职业学院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年度预</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算申请</w:t>
            </w:r>
            <w:r>
              <w:rPr>
                <w:rFonts w:ascii="Times New Roman" w:hAnsi="Times New Roman" w:eastAsia="仿宋" w:cs="Times New Roman"/>
                <w:kern w:val="0"/>
                <w:szCs w:val="21"/>
              </w:rPr>
              <w:br w:type="textWrapping"/>
            </w:r>
            <w:r>
              <w:rPr>
                <w:rFonts w:ascii="Times New Roman" w:hAnsi="Times New Roman" w:eastAsia="仿宋" w:cs="Times New Roman"/>
                <w:kern w:val="0"/>
                <w:szCs w:val="21"/>
              </w:rPr>
              <w:t>（万元）</w:t>
            </w:r>
          </w:p>
        </w:tc>
        <w:tc>
          <w:tcPr>
            <w:tcW w:w="1017" w:type="pct"/>
            <w:gridSpan w:val="2"/>
            <w:vAlign w:val="center"/>
          </w:tcPr>
          <w:p>
            <w:pPr>
              <w:spacing w:line="240" w:lineRule="exact"/>
              <w:jc w:val="center"/>
              <w:rPr>
                <w:rFonts w:ascii="Times New Roman" w:hAnsi="Times New Roman" w:eastAsia="仿宋" w:cs="Times New Roman"/>
                <w:szCs w:val="21"/>
              </w:rPr>
            </w:pPr>
          </w:p>
        </w:tc>
        <w:tc>
          <w:tcPr>
            <w:tcW w:w="628"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年初</w:t>
            </w:r>
          </w:p>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预算数</w:t>
            </w:r>
          </w:p>
        </w:tc>
        <w:tc>
          <w:tcPr>
            <w:tcW w:w="649" w:type="pct"/>
            <w:gridSpan w:val="2"/>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全年预算数</w:t>
            </w:r>
          </w:p>
        </w:tc>
        <w:tc>
          <w:tcPr>
            <w:tcW w:w="639"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全年执行数</w:t>
            </w:r>
          </w:p>
        </w:tc>
        <w:tc>
          <w:tcPr>
            <w:tcW w:w="355"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分值</w:t>
            </w:r>
          </w:p>
        </w:tc>
        <w:tc>
          <w:tcPr>
            <w:tcW w:w="496"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执行率</w:t>
            </w:r>
          </w:p>
        </w:tc>
        <w:tc>
          <w:tcPr>
            <w:tcW w:w="676"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center"/>
              <w:rPr>
                <w:rFonts w:ascii="Times New Roman" w:hAnsi="Times New Roman" w:eastAsia="仿宋" w:cs="Times New Roman"/>
                <w:kern w:val="0"/>
                <w:szCs w:val="21"/>
              </w:rPr>
            </w:pPr>
          </w:p>
        </w:tc>
        <w:tc>
          <w:tcPr>
            <w:tcW w:w="1017" w:type="pct"/>
            <w:gridSpan w:val="2"/>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kern w:val="0"/>
                <w:szCs w:val="21"/>
              </w:rPr>
              <w:t>年度资金总额</w:t>
            </w:r>
          </w:p>
        </w:tc>
        <w:tc>
          <w:tcPr>
            <w:tcW w:w="628"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11380.57</w:t>
            </w:r>
          </w:p>
        </w:tc>
        <w:tc>
          <w:tcPr>
            <w:tcW w:w="649" w:type="pct"/>
            <w:gridSpan w:val="2"/>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19313.61</w:t>
            </w:r>
          </w:p>
        </w:tc>
        <w:tc>
          <w:tcPr>
            <w:tcW w:w="639"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17756.81</w:t>
            </w:r>
          </w:p>
        </w:tc>
        <w:tc>
          <w:tcPr>
            <w:tcW w:w="355"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10</w:t>
            </w:r>
          </w:p>
        </w:tc>
        <w:tc>
          <w:tcPr>
            <w:tcW w:w="496"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92%</w:t>
            </w:r>
          </w:p>
        </w:tc>
        <w:tc>
          <w:tcPr>
            <w:tcW w:w="676" w:type="pct"/>
            <w:vAlign w:val="center"/>
          </w:tcPr>
          <w:p>
            <w:pPr>
              <w:spacing w:line="240" w:lineRule="exact"/>
              <w:jc w:val="center"/>
              <w:rPr>
                <w:rFonts w:ascii="Times New Roman" w:hAnsi="Times New Roman" w:eastAsia="仿宋" w:cs="Times New Roman"/>
                <w:szCs w:val="21"/>
              </w:rPr>
            </w:pPr>
            <w:r>
              <w:rPr>
                <w:rFonts w:ascii="Times New Roman" w:hAnsi="Times New Roman" w:eastAsia="仿宋" w:cs="Times New Roman"/>
                <w:szCs w:val="21"/>
              </w:rPr>
              <w:t>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按收入性质分：1313.61</w:t>
            </w:r>
          </w:p>
        </w:tc>
        <w:tc>
          <w:tcPr>
            <w:tcW w:w="2166" w:type="pct"/>
            <w:gridSpan w:val="4"/>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按支出性质分：17756.81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xml:space="preserve">  其中：  一般公共预算：11749.49</w:t>
            </w:r>
          </w:p>
        </w:tc>
        <w:tc>
          <w:tcPr>
            <w:tcW w:w="2166" w:type="pct"/>
            <w:gridSpan w:val="4"/>
            <w:vAlign w:val="center"/>
          </w:tcPr>
          <w:p>
            <w:pPr>
              <w:widowControl/>
              <w:spacing w:line="240" w:lineRule="exact"/>
              <w:ind w:firstLine="210" w:firstLineChars="100"/>
              <w:jc w:val="left"/>
              <w:rPr>
                <w:rFonts w:ascii="Times New Roman" w:hAnsi="Times New Roman" w:eastAsia="仿宋" w:cs="Times New Roman"/>
                <w:kern w:val="0"/>
                <w:szCs w:val="21"/>
              </w:rPr>
            </w:pPr>
            <w:r>
              <w:rPr>
                <w:rFonts w:ascii="Times New Roman" w:hAnsi="Times New Roman" w:eastAsia="仿宋" w:cs="Times New Roman"/>
                <w:kern w:val="0"/>
                <w:szCs w:val="21"/>
              </w:rPr>
              <w:t>其中：基本支出：9231.61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ind w:firstLine="210" w:firstLineChars="100"/>
              <w:jc w:val="left"/>
              <w:rPr>
                <w:rFonts w:ascii="Times New Roman" w:hAnsi="Times New Roman" w:eastAsia="仿宋" w:cs="Times New Roman"/>
                <w:kern w:val="0"/>
                <w:szCs w:val="21"/>
              </w:rPr>
            </w:pPr>
            <w:r>
              <w:rPr>
                <w:rFonts w:ascii="Times New Roman" w:hAnsi="Times New Roman" w:eastAsia="仿宋" w:cs="Times New Roman"/>
                <w:kern w:val="0"/>
                <w:szCs w:val="21"/>
              </w:rPr>
              <w:t>政府性基金拨款：</w:t>
            </w:r>
          </w:p>
        </w:tc>
        <w:tc>
          <w:tcPr>
            <w:tcW w:w="2166" w:type="pct"/>
            <w:gridSpan w:val="4"/>
            <w:vAlign w:val="center"/>
          </w:tcPr>
          <w:p>
            <w:pPr>
              <w:widowControl/>
              <w:spacing w:line="240" w:lineRule="exact"/>
              <w:ind w:firstLine="840" w:firstLineChars="400"/>
              <w:jc w:val="left"/>
              <w:rPr>
                <w:rFonts w:ascii="Times New Roman" w:hAnsi="Times New Roman" w:eastAsia="仿宋" w:cs="Times New Roman"/>
                <w:kern w:val="0"/>
                <w:szCs w:val="21"/>
              </w:rPr>
            </w:pPr>
            <w:r>
              <w:rPr>
                <w:rFonts w:ascii="Times New Roman" w:hAnsi="Times New Roman" w:eastAsia="仿宋" w:cs="Times New Roman"/>
                <w:kern w:val="0"/>
                <w:szCs w:val="21"/>
              </w:rPr>
              <w:t>项目支出：8525.2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ind w:firstLine="210" w:firstLineChars="100"/>
              <w:jc w:val="left"/>
              <w:rPr>
                <w:rFonts w:ascii="Times New Roman" w:hAnsi="Times New Roman" w:eastAsia="仿宋" w:cs="Times New Roman"/>
                <w:kern w:val="0"/>
                <w:szCs w:val="21"/>
              </w:rPr>
            </w:pPr>
            <w:r>
              <w:rPr>
                <w:rFonts w:ascii="Times New Roman" w:hAnsi="Times New Roman" w:eastAsia="仿宋" w:cs="Times New Roman"/>
                <w:kern w:val="0"/>
                <w:szCs w:val="21"/>
              </w:rPr>
              <w:t>纳入专户管理的非税收入拨款：4000</w:t>
            </w:r>
          </w:p>
        </w:tc>
        <w:tc>
          <w:tcPr>
            <w:tcW w:w="2166" w:type="pct"/>
            <w:gridSpan w:val="4"/>
            <w:vAlign w:val="center"/>
          </w:tcPr>
          <w:p>
            <w:pPr>
              <w:widowControl/>
              <w:spacing w:line="240" w:lineRule="exact"/>
              <w:jc w:val="left"/>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ind w:firstLine="210" w:firstLineChars="100"/>
              <w:jc w:val="left"/>
              <w:rPr>
                <w:rFonts w:ascii="Times New Roman" w:hAnsi="Times New Roman" w:eastAsia="仿宋" w:cs="Times New Roman"/>
                <w:kern w:val="0"/>
                <w:szCs w:val="21"/>
              </w:rPr>
            </w:pPr>
            <w:r>
              <w:rPr>
                <w:rFonts w:ascii="Times New Roman" w:hAnsi="Times New Roman" w:eastAsia="仿宋" w:cs="Times New Roman"/>
                <w:kern w:val="0"/>
                <w:szCs w:val="21"/>
              </w:rPr>
              <w:t>其他资金：3564.12</w:t>
            </w:r>
          </w:p>
        </w:tc>
        <w:tc>
          <w:tcPr>
            <w:tcW w:w="2166" w:type="pct"/>
            <w:gridSpan w:val="4"/>
            <w:vAlign w:val="center"/>
          </w:tcPr>
          <w:p>
            <w:pPr>
              <w:widowControl/>
              <w:spacing w:line="240" w:lineRule="exact"/>
              <w:jc w:val="left"/>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年度总体目标</w:t>
            </w:r>
          </w:p>
        </w:tc>
        <w:tc>
          <w:tcPr>
            <w:tcW w:w="2294" w:type="pct"/>
            <w:gridSpan w:val="5"/>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预期目标</w:t>
            </w:r>
          </w:p>
        </w:tc>
        <w:tc>
          <w:tcPr>
            <w:tcW w:w="2166" w:type="pct"/>
            <w:gridSpan w:val="4"/>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2294" w:type="pct"/>
            <w:gridSpan w:val="5"/>
            <w:vAlign w:val="center"/>
          </w:tcPr>
          <w:p>
            <w:pPr>
              <w:widowControl/>
              <w:spacing w:line="240" w:lineRule="exact"/>
              <w:rPr>
                <w:rFonts w:ascii="Times New Roman" w:hAnsi="Times New Roman" w:eastAsia="仿宋" w:cs="Times New Roman"/>
                <w:kern w:val="0"/>
                <w:szCs w:val="21"/>
              </w:rPr>
            </w:pPr>
            <w:r>
              <w:rPr>
                <w:rFonts w:ascii="Times New Roman" w:hAnsi="Times New Roman" w:eastAsia="仿宋" w:cs="Times New Roman"/>
                <w:kern w:val="0"/>
                <w:szCs w:val="21"/>
              </w:rPr>
              <w:t>1、保障学院办学等日常管理业务工作正常开展；2、保障人员工资发放； 3、按期足额归还贷款利息，确保学院征信记录良好；4、学生校内助学金、学生活动经费足额保障；5、以学科建设为引领，以人才培养为核心，不断加强学院的教学、科研硬件设施着力建设，进一步提升师资力量，加强思政建设，推动校园文化建设，建设具有优势和特色的学科（专业群），学术环境不断优化，培养的学生更适应市场的需求；6、提高市场监管人员业务水平</w:t>
            </w:r>
          </w:p>
        </w:tc>
        <w:tc>
          <w:tcPr>
            <w:tcW w:w="2166" w:type="pct"/>
            <w:gridSpan w:val="4"/>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学院办学等日常管理业务工作有序开展；人员经费及时拨付；按期足额归还贷款利息，征信记录良好；奖助学金严格按规范标准发放；教学环境不断改善、师资力量有效提升、学术研究不断加强；生源质量不断提升，就业形势全面向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0"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一级指标</w:t>
            </w:r>
          </w:p>
        </w:tc>
        <w:tc>
          <w:tcPr>
            <w:tcW w:w="477"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二级</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676" w:type="pct"/>
            <w:gridSpan w:val="2"/>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三级指标</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指标值</w:t>
            </w:r>
          </w:p>
        </w:tc>
        <w:tc>
          <w:tcPr>
            <w:tcW w:w="639" w:type="pct"/>
            <w:vAlign w:val="center"/>
          </w:tcPr>
          <w:p>
            <w:pPr>
              <w:widowControl/>
              <w:spacing w:line="240" w:lineRule="exact"/>
              <w:rPr>
                <w:rFonts w:ascii="Times New Roman" w:hAnsi="Times New Roman" w:eastAsia="仿宋" w:cs="Times New Roman"/>
                <w:kern w:val="0"/>
                <w:szCs w:val="21"/>
              </w:rPr>
            </w:pPr>
            <w:r>
              <w:rPr>
                <w:rFonts w:ascii="Times New Roman" w:hAnsi="Times New Roman" w:eastAsia="仿宋" w:cs="Times New Roman"/>
                <w:kern w:val="0"/>
                <w:szCs w:val="21"/>
              </w:rPr>
              <w:t>实际完成值</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分值</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得分</w:t>
            </w:r>
          </w:p>
        </w:tc>
        <w:tc>
          <w:tcPr>
            <w:tcW w:w="67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偏差原因</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分析及</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产出指标</w:t>
            </w:r>
          </w:p>
          <w:p>
            <w:pPr>
              <w:widowControl/>
              <w:spacing w:line="240" w:lineRule="exact"/>
              <w:jc w:val="center"/>
              <w:rPr>
                <w:rFonts w:ascii="Times New Roman" w:hAnsi="Times New Roman" w:eastAsia="仿宋" w:cs="Times New Roman"/>
                <w:kern w:val="0"/>
                <w:szCs w:val="21"/>
              </w:rPr>
            </w:pP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(50分)</w:t>
            </w: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数量</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招生人数</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3000人</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3492人</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初次就业人数</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2000人</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2051人</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教科研项目立项</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20项</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32项</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各类比赛获奖数</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20个</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34个</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论文发表数</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80篇</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≥100篇</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质量</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初次就业率</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≥80%</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82%</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课题开题率</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毕业设计抽查合格率</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人才培养方案检查合格率</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时效</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工资发放</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每月15日前</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每月15日前</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奖助学金发放</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按规定及时发放</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按规定及时发放</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贷款利息偿还</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合同约定期限内</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合同约定期限内</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成本</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校园运转成本</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不超预算</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未超预算</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省内培训成本（每人每天）</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省内440元/天</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省内440元/天</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省外培训成本（每人每天）</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省外550元/天</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省外550元/天</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restart"/>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效益指标</w:t>
            </w:r>
          </w:p>
          <w:p>
            <w:pPr>
              <w:widowControl/>
              <w:spacing w:line="240" w:lineRule="exact"/>
              <w:jc w:val="left"/>
              <w:rPr>
                <w:rFonts w:ascii="Times New Roman" w:hAnsi="Times New Roman" w:eastAsia="仿宋" w:cs="Times New Roman"/>
                <w:kern w:val="0"/>
                <w:szCs w:val="21"/>
              </w:rPr>
            </w:pPr>
          </w:p>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（30分）</w:t>
            </w: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经济效</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szCs w:val="21"/>
              </w:rPr>
              <w:t>继续教育培训收入</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50万</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62万</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高研班培训收入</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10万</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13万</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社会效</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社会活跃度知名度</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center"/>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用人企业口碑</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0" w:type="pct"/>
            <w:vMerge w:val="restart"/>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可持续影响指标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教科研水平</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生源质量</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校园文化传播度</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不断提高</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教学环境</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不断改善</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不断改善</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2.5</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满意度</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（10分）</w:t>
            </w:r>
          </w:p>
        </w:tc>
        <w:tc>
          <w:tcPr>
            <w:tcW w:w="477" w:type="pct"/>
            <w:vMerge w:val="restar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服务对象满意度指标</w:t>
            </w: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教职工满意度</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85%</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540" w:type="pct"/>
            <w:vMerge w:val="continue"/>
            <w:vAlign w:val="center"/>
          </w:tcPr>
          <w:p>
            <w:pPr>
              <w:spacing w:line="240" w:lineRule="exact"/>
              <w:jc w:val="left"/>
              <w:rPr>
                <w:rFonts w:ascii="Times New Roman" w:hAnsi="Times New Roman" w:eastAsia="仿宋" w:cs="Times New Roman"/>
                <w:kern w:val="0"/>
                <w:szCs w:val="21"/>
              </w:rPr>
            </w:pPr>
          </w:p>
        </w:tc>
        <w:tc>
          <w:tcPr>
            <w:tcW w:w="477" w:type="pct"/>
            <w:vMerge w:val="continue"/>
            <w:vAlign w:val="center"/>
          </w:tcPr>
          <w:p>
            <w:pPr>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学生满意度</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85%</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4</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540" w:type="pct"/>
            <w:vMerge w:val="continue"/>
            <w:vAlign w:val="center"/>
          </w:tcPr>
          <w:p>
            <w:pPr>
              <w:widowControl/>
              <w:spacing w:line="240" w:lineRule="exact"/>
              <w:jc w:val="left"/>
              <w:rPr>
                <w:rFonts w:ascii="Times New Roman" w:hAnsi="Times New Roman" w:eastAsia="仿宋" w:cs="Times New Roman"/>
                <w:kern w:val="0"/>
                <w:szCs w:val="21"/>
              </w:rPr>
            </w:pPr>
          </w:p>
        </w:tc>
        <w:tc>
          <w:tcPr>
            <w:tcW w:w="477" w:type="pct"/>
            <w:vMerge w:val="continue"/>
            <w:vAlign w:val="center"/>
          </w:tcPr>
          <w:p>
            <w:pPr>
              <w:widowControl/>
              <w:spacing w:line="240" w:lineRule="exact"/>
              <w:jc w:val="left"/>
              <w:rPr>
                <w:rFonts w:ascii="Times New Roman" w:hAnsi="Times New Roman" w:eastAsia="仿宋" w:cs="Times New Roman"/>
                <w:kern w:val="0"/>
                <w:szCs w:val="21"/>
              </w:rPr>
            </w:pPr>
          </w:p>
        </w:tc>
        <w:tc>
          <w:tcPr>
            <w:tcW w:w="676" w:type="pct"/>
            <w:gridSpan w:val="2"/>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用人企业满意度</w:t>
            </w:r>
          </w:p>
        </w:tc>
        <w:tc>
          <w:tcPr>
            <w:tcW w:w="601"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80%</w:t>
            </w:r>
          </w:p>
        </w:tc>
        <w:tc>
          <w:tcPr>
            <w:tcW w:w="639"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90%</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496"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w:t>
            </w:r>
          </w:p>
        </w:tc>
        <w:tc>
          <w:tcPr>
            <w:tcW w:w="676" w:type="pct"/>
            <w:vAlign w:val="center"/>
          </w:tcPr>
          <w:p>
            <w:pPr>
              <w:widowControl/>
              <w:spacing w:line="24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4" w:hRule="atLeast"/>
          <w:jc w:val="center"/>
        </w:trPr>
        <w:tc>
          <w:tcPr>
            <w:tcW w:w="3473" w:type="pct"/>
            <w:gridSpan w:val="7"/>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总分</w:t>
            </w:r>
          </w:p>
        </w:tc>
        <w:tc>
          <w:tcPr>
            <w:tcW w:w="355" w:type="pct"/>
            <w:vAlign w:val="center"/>
          </w:tcPr>
          <w:p>
            <w:pPr>
              <w:widowControl/>
              <w:spacing w:line="24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496" w:type="pct"/>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99.2</w:t>
            </w:r>
          </w:p>
        </w:tc>
        <w:tc>
          <w:tcPr>
            <w:tcW w:w="676" w:type="pct"/>
            <w:vAlign w:val="center"/>
          </w:tcPr>
          <w:p>
            <w:pPr>
              <w:widowControl/>
              <w:spacing w:line="24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w:t>
            </w:r>
          </w:p>
        </w:tc>
      </w:tr>
    </w:tbl>
    <w:p>
      <w:pPr>
        <w:widowControl/>
        <w:spacing w:after="156" w:afterLines="50"/>
        <w:jc w:val="left"/>
        <w:outlineLvl w:val="0"/>
        <w:rPr>
          <w:rFonts w:ascii="Times New Roman" w:hAnsi="Times New Roman" w:eastAsia="方正黑体_GBK" w:cs="Times New Roman"/>
          <w:sz w:val="32"/>
          <w:szCs w:val="32"/>
        </w:rPr>
      </w:pPr>
      <w:r>
        <w:rPr>
          <w:rFonts w:ascii="Times New Roman" w:hAnsi="Times New Roman" w:eastAsia="仿宋" w:cs="Times New Roman"/>
          <w:kern w:val="0"/>
          <w:szCs w:val="21"/>
        </w:rPr>
        <w:t>填表人：莫锴  填报日期：2022-4-28  联系电话：            单位负责人签字：</w:t>
      </w:r>
      <w:r>
        <w:rPr>
          <w:rFonts w:ascii="Times New Roman" w:hAnsi="Times New Roman" w:eastAsia="仿宋_GB2312" w:cs="Times New Roman"/>
          <w:kern w:val="0"/>
          <w:szCs w:val="21"/>
        </w:rPr>
        <w:br w:type="page"/>
      </w:r>
      <w:r>
        <w:rPr>
          <w:rFonts w:ascii="Times New Roman" w:hAnsi="Times New Roman" w:eastAsia="黑体" w:cs="Times New Roman"/>
          <w:sz w:val="32"/>
          <w:szCs w:val="32"/>
        </w:rPr>
        <w:t>附件3-1</w:t>
      </w:r>
    </w:p>
    <w:p>
      <w:pPr>
        <w:widowControl/>
        <w:spacing w:before="156" w:beforeLines="50" w:after="156" w:afterLines="50" w:line="600" w:lineRule="exact"/>
        <w:jc w:val="center"/>
        <w:rPr>
          <w:rFonts w:ascii="Times New Roman" w:hAnsi="Times New Roman" w:eastAsia="方正小标宋简体" w:cs="Times New Roman"/>
          <w:spacing w:val="-8"/>
          <w:w w:val="95"/>
          <w:kern w:val="0"/>
          <w:sz w:val="44"/>
          <w:szCs w:val="44"/>
        </w:rPr>
      </w:pPr>
      <w:r>
        <w:rPr>
          <w:rFonts w:ascii="Times New Roman" w:hAnsi="Times New Roman" w:eastAsia="方正小标宋简体" w:cs="Times New Roman"/>
          <w:spacing w:val="-8"/>
          <w:w w:val="95"/>
          <w:kern w:val="0"/>
          <w:sz w:val="44"/>
          <w:szCs w:val="44"/>
        </w:rPr>
        <w:t>2021年度项目支出绩效自评表（业务工作经费）</w:t>
      </w:r>
    </w:p>
    <w:p>
      <w:pPr>
        <w:widowControl/>
        <w:spacing w:after="156" w:afterLines="50" w:line="40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单位名称：湖南食品药品职业学院</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88"/>
        <w:gridCol w:w="988"/>
        <w:gridCol w:w="988"/>
        <w:gridCol w:w="1120"/>
        <w:gridCol w:w="1038"/>
        <w:gridCol w:w="1038"/>
        <w:gridCol w:w="757"/>
        <w:gridCol w:w="799"/>
        <w:gridCol w:w="12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项目支</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出名称</w:t>
            </w:r>
          </w:p>
        </w:tc>
        <w:tc>
          <w:tcPr>
            <w:tcW w:w="4452" w:type="pct"/>
            <w:gridSpan w:val="8"/>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　业务工作经费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主管部门</w:t>
            </w:r>
          </w:p>
        </w:tc>
        <w:tc>
          <w:tcPr>
            <w:tcW w:w="2293"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湖南省市场监督管理局</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实施单位</w:t>
            </w:r>
          </w:p>
        </w:tc>
        <w:tc>
          <w:tcPr>
            <w:tcW w:w="1583" w:type="pct"/>
            <w:gridSpan w:val="3"/>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湖南食品药品职业学院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项目资金</w:t>
            </w:r>
            <w:r>
              <w:rPr>
                <w:rFonts w:ascii="Times New Roman" w:hAnsi="Times New Roman" w:eastAsia="仿宋" w:cs="Times New Roman"/>
                <w:kern w:val="0"/>
                <w:szCs w:val="21"/>
              </w:rPr>
              <w:br w:type="textWrapping"/>
            </w:r>
            <w:r>
              <w:rPr>
                <w:rFonts w:ascii="Times New Roman" w:hAnsi="Times New Roman" w:eastAsia="仿宋" w:cs="Times New Roman"/>
                <w:kern w:val="0"/>
                <w:szCs w:val="21"/>
              </w:rPr>
              <w:t>（万元）</w:t>
            </w:r>
          </w:p>
        </w:tc>
        <w:tc>
          <w:tcPr>
            <w:tcW w:w="1096" w:type="pct"/>
            <w:gridSpan w:val="2"/>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年初</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预算数</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全年</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预算数</w:t>
            </w:r>
          </w:p>
        </w:tc>
        <w:tc>
          <w:tcPr>
            <w:tcW w:w="576"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全年</w:t>
            </w:r>
          </w:p>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执行数</w:t>
            </w:r>
          </w:p>
        </w:tc>
        <w:tc>
          <w:tcPr>
            <w:tcW w:w="420"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分值</w:t>
            </w:r>
          </w:p>
        </w:tc>
        <w:tc>
          <w:tcPr>
            <w:tcW w:w="443"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执行率</w:t>
            </w:r>
          </w:p>
        </w:tc>
        <w:tc>
          <w:tcPr>
            <w:tcW w:w="720"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年度资金总额　</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786.6</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3094.52</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2968.42</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96%</w:t>
            </w:r>
          </w:p>
        </w:tc>
        <w:tc>
          <w:tcPr>
            <w:tcW w:w="7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其中：当年财政拨款　</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541</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2813.31</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2687.21</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仿宋" w:cs="Times New Roman"/>
                <w:kern w:val="0"/>
                <w:szCs w:val="21"/>
              </w:rPr>
            </w:pPr>
            <w:r>
              <w:rPr>
                <w:rFonts w:ascii="Times New Roman" w:hAnsi="Times New Roman" w:eastAsia="仿宋" w:cs="Times New Roman"/>
                <w:kern w:val="0"/>
                <w:szCs w:val="21"/>
              </w:rPr>
              <w:t>上年结转资金　</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119.6</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155.21</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155.21</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仿宋" w:cs="Times New Roman"/>
                <w:kern w:val="0"/>
                <w:szCs w:val="21"/>
              </w:rPr>
            </w:pPr>
            <w:r>
              <w:rPr>
                <w:rFonts w:ascii="Times New Roman" w:hAnsi="Times New Roman" w:eastAsia="仿宋" w:cs="Times New Roman"/>
                <w:kern w:val="0"/>
                <w:szCs w:val="21"/>
              </w:rPr>
              <w:t>其他资金</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126</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126</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126</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年度总体目标</w:t>
            </w:r>
          </w:p>
        </w:tc>
        <w:tc>
          <w:tcPr>
            <w:tcW w:w="2293"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预期目标</w:t>
            </w:r>
          </w:p>
        </w:tc>
        <w:tc>
          <w:tcPr>
            <w:tcW w:w="2159"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2293" w:type="pct"/>
            <w:gridSpan w:val="4"/>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目标1：按期足额归还贷款利息，确保学院征信记录良好。目标2：保障编外人员工资按时、足额发放。目标3：保障障学院办学等日常管理业务工作正常开展。</w:t>
            </w:r>
          </w:p>
        </w:tc>
        <w:tc>
          <w:tcPr>
            <w:tcW w:w="2159" w:type="pct"/>
            <w:gridSpan w:val="4"/>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按期足额归还贷款利息，征信记录良好；工资按时、足额发放；学院日常教学管理工作平稳有序。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一级指标</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二级指标</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三级指标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指标值</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实际</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完成值</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分值</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得分</w:t>
            </w:r>
          </w:p>
        </w:tc>
        <w:tc>
          <w:tcPr>
            <w:tcW w:w="7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偏差原因</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分析及</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产出指标</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(50分)</w:t>
            </w: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数量指标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党建党务群团会议次数</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36次</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发放临时工工资人员数量</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15人</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15人</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质量指标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党建党务群团工作完成率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widowControl/>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人员工资拖欠投诉率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时效指标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归还银行贷款利息及时性</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合同约定期限内</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合同约定期限内</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临时工工资人员发放及时率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每月15日前</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每月15日前</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成本指标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各项支出额度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不超预算</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不超预算</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效益指标</w:t>
            </w:r>
          </w:p>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（30分）</w:t>
            </w: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经济效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社会效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社会信誉度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提升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提升</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党支部凝聚力</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widowControl/>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生态效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8" w:type="pct"/>
            <w:vMerge w:val="restart"/>
            <w:vAlign w:val="center"/>
          </w:tcPr>
          <w:p>
            <w:pPr>
              <w:widowControl/>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可持续影响指标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学校信用等级</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不降</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不降</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学院教学服务质量水平</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持续提升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持续提升</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7</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满意度</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（10分）</w:t>
            </w: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服务对象满意度指标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师生满意度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85%</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90%</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621" w:type="pct"/>
            <w:vAlign w:val="center"/>
          </w:tcPr>
          <w:p>
            <w:pPr>
              <w:widowControl/>
              <w:spacing w:line="260" w:lineRule="exact"/>
              <w:jc w:val="left"/>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576" w:type="pct"/>
            <w:vAlign w:val="center"/>
          </w:tcPr>
          <w:p>
            <w:pPr>
              <w:widowControl/>
              <w:spacing w:line="260" w:lineRule="exact"/>
              <w:jc w:val="center"/>
              <w:rPr>
                <w:rFonts w:ascii="Times New Roman" w:hAnsi="Times New Roman" w:eastAsia="仿宋" w:cs="Times New Roman"/>
                <w:kern w:val="0"/>
                <w:szCs w:val="21"/>
              </w:rPr>
            </w:pP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7" w:type="pct"/>
            <w:gridSpan w:val="6"/>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总分</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443"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99.6</w:t>
            </w:r>
          </w:p>
        </w:tc>
        <w:tc>
          <w:tcPr>
            <w:tcW w:w="720" w:type="pct"/>
            <w:vAlign w:val="center"/>
          </w:tcPr>
          <w:p>
            <w:pPr>
              <w:widowControl/>
              <w:spacing w:line="260" w:lineRule="exact"/>
              <w:jc w:val="left"/>
              <w:rPr>
                <w:rFonts w:ascii="Times New Roman" w:hAnsi="Times New Roman" w:eastAsia="仿宋" w:cs="Times New Roman"/>
                <w:kern w:val="0"/>
                <w:szCs w:val="21"/>
              </w:rPr>
            </w:pPr>
          </w:p>
        </w:tc>
      </w:tr>
    </w:tbl>
    <w:p>
      <w:pPr>
        <w:widowControl/>
        <w:spacing w:line="480" w:lineRule="exact"/>
        <w:jc w:val="left"/>
        <w:rPr>
          <w:rFonts w:ascii="Times New Roman" w:hAnsi="Times New Roman" w:eastAsia="仿宋" w:cs="Times New Roman"/>
          <w:kern w:val="0"/>
          <w:szCs w:val="21"/>
        </w:rPr>
        <w:sectPr>
          <w:pgSz w:w="11906" w:h="16838"/>
          <w:pgMar w:top="1985" w:right="1474" w:bottom="1474" w:left="1474" w:header="851" w:footer="1134" w:gutter="0"/>
          <w:cols w:space="720" w:num="1"/>
          <w:docGrid w:type="lines" w:linePitch="312" w:charSpace="0"/>
        </w:sectPr>
      </w:pPr>
      <w:r>
        <w:rPr>
          <w:rFonts w:ascii="Times New Roman" w:hAnsi="Times New Roman" w:eastAsia="仿宋" w:cs="Times New Roman"/>
          <w:kern w:val="0"/>
          <w:szCs w:val="21"/>
        </w:rPr>
        <w:t>填表人：莫锴  填报日期：2022-4-28  联系电话：            单位负责人签字：</w:t>
      </w:r>
    </w:p>
    <w:p>
      <w:pPr>
        <w:widowControl/>
        <w:spacing w:line="480" w:lineRule="exact"/>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附件3-2</w:t>
      </w:r>
    </w:p>
    <w:p>
      <w:pPr>
        <w:widowControl/>
        <w:spacing w:before="156" w:beforeLines="50" w:after="156" w:afterLines="50" w:line="600" w:lineRule="exact"/>
        <w:jc w:val="center"/>
        <w:rPr>
          <w:rFonts w:ascii="Times New Roman" w:hAnsi="Times New Roman" w:eastAsia="方正小标宋简体" w:cs="Times New Roman"/>
          <w:spacing w:val="-8"/>
          <w:w w:val="95"/>
          <w:kern w:val="0"/>
          <w:sz w:val="44"/>
          <w:szCs w:val="44"/>
        </w:rPr>
      </w:pPr>
      <w:r>
        <w:rPr>
          <w:rFonts w:ascii="Times New Roman" w:hAnsi="Times New Roman" w:eastAsia="方正小标宋简体" w:cs="Times New Roman"/>
          <w:spacing w:val="-8"/>
          <w:w w:val="95"/>
          <w:kern w:val="0"/>
          <w:sz w:val="44"/>
          <w:szCs w:val="44"/>
        </w:rPr>
        <w:t>2021年度项目支出绩效自评表（运行维护专项）</w:t>
      </w:r>
    </w:p>
    <w:p>
      <w:pPr>
        <w:widowControl/>
        <w:spacing w:after="156" w:afterLines="50" w:line="40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单位名称：湖南食品药品职业学院</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153"/>
        <w:gridCol w:w="1153"/>
        <w:gridCol w:w="1153"/>
        <w:gridCol w:w="1307"/>
        <w:gridCol w:w="1212"/>
        <w:gridCol w:w="1212"/>
        <w:gridCol w:w="884"/>
        <w:gridCol w:w="932"/>
        <w:gridCol w:w="15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项目支</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出名称</w:t>
            </w:r>
          </w:p>
        </w:tc>
        <w:tc>
          <w:tcPr>
            <w:tcW w:w="4452" w:type="pct"/>
            <w:gridSpan w:val="8"/>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运行维护专项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主管部门</w:t>
            </w:r>
          </w:p>
        </w:tc>
        <w:tc>
          <w:tcPr>
            <w:tcW w:w="2293"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湖南省市场监督管理局</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实施单位</w:t>
            </w:r>
          </w:p>
        </w:tc>
        <w:tc>
          <w:tcPr>
            <w:tcW w:w="1583" w:type="pct"/>
            <w:gridSpan w:val="3"/>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湖南食品药品职业学院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项目资金</w:t>
            </w:r>
            <w:r>
              <w:rPr>
                <w:rFonts w:ascii="Times New Roman" w:hAnsi="Times New Roman" w:eastAsia="仿宋" w:cs="Times New Roman"/>
                <w:kern w:val="0"/>
                <w:szCs w:val="21"/>
              </w:rPr>
              <w:br w:type="textWrapping"/>
            </w:r>
            <w:r>
              <w:rPr>
                <w:rFonts w:ascii="Times New Roman" w:hAnsi="Times New Roman" w:eastAsia="仿宋" w:cs="Times New Roman"/>
                <w:kern w:val="0"/>
                <w:szCs w:val="21"/>
              </w:rPr>
              <w:t>（万元）</w:t>
            </w:r>
          </w:p>
        </w:tc>
        <w:tc>
          <w:tcPr>
            <w:tcW w:w="1096" w:type="pct"/>
            <w:gridSpan w:val="2"/>
            <w:vAlign w:val="center"/>
          </w:tcPr>
          <w:p>
            <w:pPr>
              <w:widowControl/>
              <w:spacing w:line="260" w:lineRule="exact"/>
              <w:jc w:val="center"/>
              <w:rPr>
                <w:rFonts w:ascii="Times New Roman" w:hAnsi="Times New Roman" w:eastAsia="仿宋" w:cs="Times New Roman"/>
                <w:kern w:val="0"/>
                <w:szCs w:val="21"/>
              </w:rPr>
            </w:pP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年初</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预算数</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全年</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预算数</w:t>
            </w:r>
          </w:p>
        </w:tc>
        <w:tc>
          <w:tcPr>
            <w:tcW w:w="576"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全年</w:t>
            </w:r>
          </w:p>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执行数</w:t>
            </w:r>
          </w:p>
        </w:tc>
        <w:tc>
          <w:tcPr>
            <w:tcW w:w="420"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分值</w:t>
            </w:r>
          </w:p>
        </w:tc>
        <w:tc>
          <w:tcPr>
            <w:tcW w:w="443"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执行率</w:t>
            </w:r>
          </w:p>
        </w:tc>
        <w:tc>
          <w:tcPr>
            <w:tcW w:w="720" w:type="pct"/>
            <w:vAlign w:val="center"/>
          </w:tcPr>
          <w:p>
            <w:pPr>
              <w:spacing w:line="260" w:lineRule="exact"/>
              <w:jc w:val="center"/>
              <w:rPr>
                <w:rFonts w:ascii="Times New Roman" w:hAnsi="Times New Roman" w:eastAsia="仿宋" w:cs="Times New Roman"/>
                <w:szCs w:val="21"/>
              </w:rPr>
            </w:pPr>
            <w:r>
              <w:rPr>
                <w:rFonts w:ascii="Times New Roman" w:hAnsi="Times New Roman" w:eastAsia="仿宋" w:cs="Times New Roman"/>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年度资金总额</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325.92</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383.62</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352.34</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92%</w:t>
            </w:r>
          </w:p>
        </w:tc>
        <w:tc>
          <w:tcPr>
            <w:tcW w:w="7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其中：当年财政拨款</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仿宋" w:cs="Times New Roman"/>
                <w:kern w:val="0"/>
                <w:szCs w:val="21"/>
              </w:rPr>
            </w:pPr>
            <w:r>
              <w:rPr>
                <w:rFonts w:ascii="Times New Roman" w:hAnsi="Times New Roman" w:eastAsia="仿宋" w:cs="Times New Roman"/>
                <w:kern w:val="0"/>
                <w:szCs w:val="21"/>
              </w:rPr>
              <w:t>上年结转资金</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57.7</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57.7</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仿宋" w:cs="Times New Roman"/>
                <w:kern w:val="0"/>
                <w:szCs w:val="21"/>
              </w:rPr>
            </w:pPr>
            <w:r>
              <w:rPr>
                <w:rFonts w:ascii="Times New Roman" w:hAnsi="Times New Roman" w:eastAsia="仿宋" w:cs="Times New Roman"/>
                <w:kern w:val="0"/>
                <w:szCs w:val="21"/>
              </w:rPr>
              <w:t>其他资金</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325.92</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325.92</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294.64</w:t>
            </w:r>
          </w:p>
        </w:tc>
        <w:tc>
          <w:tcPr>
            <w:tcW w:w="420" w:type="pct"/>
            <w:vAlign w:val="center"/>
          </w:tcPr>
          <w:p>
            <w:pPr>
              <w:widowControl/>
              <w:spacing w:line="260" w:lineRule="exact"/>
              <w:jc w:val="center"/>
              <w:rPr>
                <w:rFonts w:ascii="Times New Roman" w:hAnsi="Times New Roman" w:eastAsia="仿宋" w:cs="Times New Roman"/>
                <w:kern w:val="0"/>
                <w:szCs w:val="21"/>
              </w:rPr>
            </w:pPr>
          </w:p>
        </w:tc>
        <w:tc>
          <w:tcPr>
            <w:tcW w:w="443" w:type="pct"/>
            <w:vAlign w:val="center"/>
          </w:tcPr>
          <w:p>
            <w:pPr>
              <w:widowControl/>
              <w:spacing w:line="260" w:lineRule="exact"/>
              <w:jc w:val="center"/>
              <w:rPr>
                <w:rFonts w:ascii="Times New Roman" w:hAnsi="Times New Roman" w:eastAsia="仿宋" w:cs="Times New Roman"/>
                <w:kern w:val="0"/>
                <w:szCs w:val="21"/>
              </w:rPr>
            </w:pP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年度总体目标</w:t>
            </w:r>
          </w:p>
        </w:tc>
        <w:tc>
          <w:tcPr>
            <w:tcW w:w="2293"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预期目标</w:t>
            </w:r>
          </w:p>
        </w:tc>
        <w:tc>
          <w:tcPr>
            <w:tcW w:w="2159" w:type="pct"/>
            <w:gridSpan w:val="4"/>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仿宋" w:cs="Times New Roman"/>
                <w:kern w:val="0"/>
                <w:szCs w:val="21"/>
              </w:rPr>
            </w:pPr>
          </w:p>
        </w:tc>
        <w:tc>
          <w:tcPr>
            <w:tcW w:w="2293" w:type="pct"/>
            <w:gridSpan w:val="4"/>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保障各校区工作教学安全有序开展，保障学生学习生活安全平稳，保障基础设施正常运行维护　　</w:t>
            </w:r>
          </w:p>
        </w:tc>
        <w:tc>
          <w:tcPr>
            <w:tcW w:w="2159" w:type="pct"/>
            <w:gridSpan w:val="4"/>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各校区工作教学安全有序开展，学生学习生活安全平稳，各项基础设施正常运行维护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一级指标</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二级指标</w:t>
            </w:r>
          </w:p>
        </w:tc>
        <w:tc>
          <w:tcPr>
            <w:tcW w:w="621"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三级指标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年度</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指标值</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实际</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完成值</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分值</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得分</w:t>
            </w:r>
          </w:p>
        </w:tc>
        <w:tc>
          <w:tcPr>
            <w:tcW w:w="7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偏差原因</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分析及</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产出指标</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(50分)</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数量指标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保障学院校区有效运转数量</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3个</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3个</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质量指标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保障学院校区有效运转率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时效指标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水电物业等费用支付时间</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合同约定期限内</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约定期限内</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成本指标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费用额度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不超预算</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预算内</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社会效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益指标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社会信誉度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不断提升</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绩效</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tc>
        <w:tc>
          <w:tcPr>
            <w:tcW w:w="548"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　</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可持续影响指标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保障学院有效正常运转</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长期</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长期</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15</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仿宋" w:cs="Times New Roman"/>
                <w:kern w:val="0"/>
                <w:szCs w:val="21"/>
              </w:rPr>
            </w:pP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满意度</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指标</w:t>
            </w:r>
          </w:p>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（10分）</w:t>
            </w:r>
          </w:p>
        </w:tc>
        <w:tc>
          <w:tcPr>
            <w:tcW w:w="548"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服务对象满意度指标</w:t>
            </w:r>
          </w:p>
        </w:tc>
        <w:tc>
          <w:tcPr>
            <w:tcW w:w="621" w:type="pct"/>
            <w:vAlign w:val="center"/>
          </w:tcPr>
          <w:p>
            <w:pPr>
              <w:widowControl/>
              <w:spacing w:line="26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师生满意度</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80%</w:t>
            </w:r>
          </w:p>
        </w:tc>
        <w:tc>
          <w:tcPr>
            <w:tcW w:w="576"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90%</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w:t>
            </w:r>
          </w:p>
        </w:tc>
        <w:tc>
          <w:tcPr>
            <w:tcW w:w="720" w:type="pct"/>
            <w:vAlign w:val="center"/>
          </w:tcPr>
          <w:p>
            <w:pPr>
              <w:widowControl/>
              <w:spacing w:line="260" w:lineRule="exact"/>
              <w:jc w:val="center"/>
              <w:rPr>
                <w:rFonts w:ascii="Times New Roman" w:hAnsi="Times New Roman" w:eastAsia="仿宋"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417" w:type="pct"/>
            <w:gridSpan w:val="6"/>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总分</w:t>
            </w:r>
          </w:p>
        </w:tc>
        <w:tc>
          <w:tcPr>
            <w:tcW w:w="420"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100</w:t>
            </w:r>
          </w:p>
        </w:tc>
        <w:tc>
          <w:tcPr>
            <w:tcW w:w="443" w:type="pct"/>
            <w:vAlign w:val="center"/>
          </w:tcPr>
          <w:p>
            <w:pPr>
              <w:widowControl/>
              <w:spacing w:line="260" w:lineRule="exact"/>
              <w:jc w:val="center"/>
              <w:rPr>
                <w:rFonts w:ascii="Times New Roman" w:hAnsi="Times New Roman" w:eastAsia="仿宋" w:cs="Times New Roman"/>
                <w:kern w:val="0"/>
                <w:szCs w:val="21"/>
              </w:rPr>
            </w:pPr>
            <w:r>
              <w:rPr>
                <w:rFonts w:ascii="Times New Roman" w:hAnsi="Times New Roman" w:eastAsia="仿宋" w:cs="Times New Roman"/>
                <w:kern w:val="0"/>
                <w:szCs w:val="21"/>
              </w:rPr>
              <w:t>99.2</w:t>
            </w:r>
          </w:p>
        </w:tc>
        <w:tc>
          <w:tcPr>
            <w:tcW w:w="720" w:type="pct"/>
            <w:vAlign w:val="center"/>
          </w:tcPr>
          <w:p>
            <w:pPr>
              <w:widowControl/>
              <w:spacing w:line="260" w:lineRule="exact"/>
              <w:jc w:val="center"/>
              <w:rPr>
                <w:rFonts w:ascii="Times New Roman" w:hAnsi="Times New Roman" w:eastAsia="仿宋" w:cs="Times New Roman"/>
                <w:kern w:val="0"/>
                <w:szCs w:val="21"/>
              </w:rPr>
            </w:pPr>
          </w:p>
        </w:tc>
      </w:tr>
    </w:tbl>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填表人：莫锴  填报日期：2022-4-28  联系电话：        单位负责人签字：</w:t>
      </w: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jc w:val="left"/>
        <w:rPr>
          <w:rFonts w:ascii="Times New Roman" w:hAnsi="Times New Roman" w:eastAsia="微软雅黑" w:cs="Times New Roman"/>
          <w:kern w:val="0"/>
          <w:szCs w:val="21"/>
        </w:rPr>
      </w:pPr>
    </w:p>
    <w:p>
      <w:pPr>
        <w:widowControl/>
        <w:spacing w:line="480" w:lineRule="exact"/>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附件3-3</w:t>
      </w:r>
    </w:p>
    <w:p>
      <w:pPr>
        <w:widowControl/>
        <w:spacing w:before="156" w:beforeLines="50" w:after="156" w:afterLines="50" w:line="600" w:lineRule="exact"/>
        <w:jc w:val="center"/>
        <w:rPr>
          <w:rFonts w:ascii="Times New Roman" w:hAnsi="Times New Roman" w:eastAsia="方正小标宋简体" w:cs="Times New Roman"/>
          <w:spacing w:val="-8"/>
          <w:w w:val="95"/>
          <w:kern w:val="0"/>
          <w:sz w:val="36"/>
          <w:szCs w:val="36"/>
        </w:rPr>
      </w:pPr>
      <w:r>
        <w:rPr>
          <w:rFonts w:ascii="Times New Roman" w:hAnsi="Times New Roman" w:eastAsia="方正小标宋简体" w:cs="Times New Roman"/>
          <w:spacing w:val="-8"/>
          <w:w w:val="95"/>
          <w:kern w:val="0"/>
          <w:sz w:val="36"/>
          <w:szCs w:val="36"/>
        </w:rPr>
        <w:t>2021年度项目支出绩效自评表（高校“双一流”建设）</w:t>
      </w:r>
    </w:p>
    <w:p>
      <w:pPr>
        <w:widowControl/>
        <w:spacing w:after="156" w:afterLines="50" w:line="40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单位名称：湖南食品药品职业学院</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153"/>
        <w:gridCol w:w="1153"/>
        <w:gridCol w:w="1153"/>
        <w:gridCol w:w="1307"/>
        <w:gridCol w:w="1212"/>
        <w:gridCol w:w="1212"/>
        <w:gridCol w:w="884"/>
        <w:gridCol w:w="932"/>
        <w:gridCol w:w="15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项目支</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出名称</w:t>
            </w:r>
          </w:p>
        </w:tc>
        <w:tc>
          <w:tcPr>
            <w:tcW w:w="4452" w:type="pct"/>
            <w:gridSpan w:val="8"/>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　高校“双一流”建设专项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主管部门</w:t>
            </w:r>
          </w:p>
        </w:tc>
        <w:tc>
          <w:tcPr>
            <w:tcW w:w="2293" w:type="pct"/>
            <w:gridSpan w:val="4"/>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湖南省财政厅</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实施单位</w:t>
            </w:r>
          </w:p>
        </w:tc>
        <w:tc>
          <w:tcPr>
            <w:tcW w:w="1583" w:type="pct"/>
            <w:gridSpan w:val="3"/>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湖南省教育厅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项目资金</w:t>
            </w:r>
            <w:r>
              <w:rPr>
                <w:rFonts w:ascii="Times New Roman" w:hAnsi="Times New Roman" w:eastAsia="方正仿宋_GBK" w:cs="Times New Roman"/>
                <w:kern w:val="0"/>
                <w:szCs w:val="21"/>
              </w:rPr>
              <w:br w:type="textWrapping"/>
            </w:r>
            <w:r>
              <w:rPr>
                <w:rFonts w:ascii="Times New Roman" w:hAnsi="Times New Roman" w:eastAsia="方正仿宋_GBK" w:cs="Times New Roman"/>
                <w:kern w:val="0"/>
                <w:szCs w:val="21"/>
              </w:rPr>
              <w:t>（万元）</w:t>
            </w:r>
          </w:p>
        </w:tc>
        <w:tc>
          <w:tcPr>
            <w:tcW w:w="1096" w:type="pct"/>
            <w:gridSpan w:val="2"/>
            <w:vAlign w:val="center"/>
          </w:tcPr>
          <w:p>
            <w:pPr>
              <w:widowControl/>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年初</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预算数</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全年</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预算数</w:t>
            </w:r>
          </w:p>
        </w:tc>
        <w:tc>
          <w:tcPr>
            <w:tcW w:w="576"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全年</w:t>
            </w:r>
          </w:p>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执行数</w:t>
            </w:r>
          </w:p>
        </w:tc>
        <w:tc>
          <w:tcPr>
            <w:tcW w:w="420"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分值</w:t>
            </w:r>
          </w:p>
        </w:tc>
        <w:tc>
          <w:tcPr>
            <w:tcW w:w="443"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执行率</w:t>
            </w:r>
          </w:p>
        </w:tc>
        <w:tc>
          <w:tcPr>
            <w:tcW w:w="720"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年度资金总额</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369</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591.83</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583.59</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98.6%</w:t>
            </w:r>
          </w:p>
        </w:tc>
        <w:tc>
          <w:tcPr>
            <w:tcW w:w="7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其中：当年财政拨款</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369</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533</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525</w:t>
            </w: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上年结转资金</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58.83</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58.59</w:t>
            </w: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其他资金</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0</w:t>
            </w: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年度总体目标</w:t>
            </w:r>
          </w:p>
        </w:tc>
        <w:tc>
          <w:tcPr>
            <w:tcW w:w="2293" w:type="pct"/>
            <w:gridSpan w:val="4"/>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预期目标</w:t>
            </w:r>
          </w:p>
        </w:tc>
        <w:tc>
          <w:tcPr>
            <w:tcW w:w="2159" w:type="pct"/>
            <w:gridSpan w:val="4"/>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2293" w:type="pct"/>
            <w:gridSpan w:val="4"/>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以学科建设为引领，以人才培养为核心，不断加强学院的教学、科研硬件设施着力建设，进一步提升师资力量，加强思政建设，推动校园文化建设，建设具有优势和特色的学科（专业群），学术环境不断优化，培养的学生更适应市场的需求。　　</w:t>
            </w:r>
          </w:p>
        </w:tc>
        <w:tc>
          <w:tcPr>
            <w:tcW w:w="2159" w:type="pct"/>
            <w:gridSpan w:val="4"/>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思想政治建设不断加强，人才队伍建设稳步推进，教育科研工作高水平推进，教学工作水平高标准提升，技能大赛硕果累累，校园文化建设成果显著。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绩效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一级指标</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二级指标</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三级指标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指标值</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实际</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完成值</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分值</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得分</w:t>
            </w:r>
          </w:p>
        </w:tc>
        <w:tc>
          <w:tcPr>
            <w:tcW w:w="7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偏差原因</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分析及</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产出指标</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(50分)</w:t>
            </w: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数量指标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科研课题立项数</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15个</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32</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教师培训人数</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50人次</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修订专业技能题库</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16个</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16</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4</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4</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质量指标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课题开题完成率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专业技能题库修订完成率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4</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4</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教师培训合格率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时效指标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培训完成时间</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2021年底前</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2021年底前</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题库修订完成时间</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2021年底前</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2021年底前</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成本指标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不高于项目预算</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591.83</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583.59</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效益指标</w:t>
            </w:r>
          </w:p>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（30分）</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社会效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益指标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学校社会知名度</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显著提高</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显著提高</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绩效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tc>
        <w:tc>
          <w:tcPr>
            <w:tcW w:w="548" w:type="pct"/>
            <w:vMerge w:val="restar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可持续影响指标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一线教师教学水平</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持续提升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持续提升</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7</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7</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实验实训条件</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明显改善</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明显改善</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6</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整体教学科研水平</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持续提高</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持续提高</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7</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7</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满意度</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（10分）</w:t>
            </w: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服务对象满意度指标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教职工满意度</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≥85%</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91%</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学生满意度</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≥85%</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用人单位满意度</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≥85%</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417" w:type="pct"/>
            <w:gridSpan w:val="6"/>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总分</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99.86</w:t>
            </w:r>
          </w:p>
        </w:tc>
        <w:tc>
          <w:tcPr>
            <w:tcW w:w="720" w:type="pct"/>
            <w:vAlign w:val="center"/>
          </w:tcPr>
          <w:p>
            <w:pPr>
              <w:widowControl/>
              <w:spacing w:line="260" w:lineRule="exact"/>
              <w:jc w:val="center"/>
              <w:rPr>
                <w:rFonts w:ascii="Times New Roman" w:hAnsi="Times New Roman" w:eastAsia="方正仿宋_GBK" w:cs="Times New Roman"/>
                <w:kern w:val="0"/>
                <w:szCs w:val="21"/>
              </w:rPr>
            </w:pPr>
          </w:p>
        </w:tc>
      </w:tr>
    </w:tbl>
    <w:p>
      <w:pPr>
        <w:widowControl/>
        <w:jc w:val="left"/>
        <w:rPr>
          <w:rFonts w:ascii="Times New Roman" w:hAnsi="Times New Roman" w:eastAsia="仿宋" w:cs="Times New Roman"/>
          <w:kern w:val="0"/>
          <w:szCs w:val="21"/>
        </w:rPr>
      </w:pPr>
      <w:r>
        <w:rPr>
          <w:rFonts w:ascii="Times New Roman" w:hAnsi="Times New Roman" w:eastAsia="仿宋" w:cs="Times New Roman"/>
          <w:kern w:val="0"/>
          <w:szCs w:val="21"/>
        </w:rPr>
        <w:t>填表人：莫锴  填报日期：2022-4-28  联系电话：       单位负责人签字：</w:t>
      </w: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方正黑体_GBK" w:cs="Times New Roman"/>
          <w:sz w:val="32"/>
          <w:szCs w:val="32"/>
        </w:rPr>
      </w:pPr>
    </w:p>
    <w:p>
      <w:pPr>
        <w:widowControl/>
        <w:spacing w:line="480" w:lineRule="exact"/>
        <w:jc w:val="left"/>
        <w:outlineLvl w:val="0"/>
        <w:rPr>
          <w:rFonts w:ascii="Times New Roman" w:hAnsi="Times New Roman" w:eastAsia="黑体" w:cs="Times New Roman"/>
          <w:sz w:val="32"/>
          <w:szCs w:val="32"/>
        </w:rPr>
      </w:pPr>
      <w:r>
        <w:rPr>
          <w:rFonts w:ascii="Times New Roman" w:hAnsi="Times New Roman" w:eastAsia="黑体" w:cs="Times New Roman"/>
          <w:sz w:val="32"/>
          <w:szCs w:val="32"/>
        </w:rPr>
        <w:t>附件3-4</w:t>
      </w:r>
    </w:p>
    <w:p>
      <w:pPr>
        <w:widowControl/>
        <w:spacing w:before="156" w:beforeLines="50" w:after="156" w:afterLines="50" w:line="600" w:lineRule="exact"/>
        <w:jc w:val="center"/>
        <w:rPr>
          <w:rFonts w:ascii="Times New Roman" w:hAnsi="Times New Roman" w:eastAsia="方正小标宋简体" w:cs="Times New Roman"/>
          <w:spacing w:val="-8"/>
          <w:w w:val="95"/>
          <w:kern w:val="0"/>
          <w:sz w:val="36"/>
          <w:szCs w:val="36"/>
        </w:rPr>
      </w:pPr>
      <w:r>
        <w:rPr>
          <w:rFonts w:ascii="Times New Roman" w:hAnsi="Times New Roman" w:eastAsia="方正小标宋简体" w:cs="Times New Roman"/>
          <w:spacing w:val="-8"/>
          <w:w w:val="95"/>
          <w:kern w:val="0"/>
          <w:sz w:val="36"/>
          <w:szCs w:val="36"/>
        </w:rPr>
        <w:t>2021年度项目支出绩效自评表（市场监督管理专项）</w:t>
      </w:r>
    </w:p>
    <w:p>
      <w:pPr>
        <w:widowControl/>
        <w:spacing w:after="156" w:afterLines="50" w:line="400" w:lineRule="exact"/>
        <w:jc w:val="left"/>
        <w:rPr>
          <w:rFonts w:ascii="Times New Roman" w:hAnsi="Times New Roman" w:eastAsia="仿宋" w:cs="Times New Roman"/>
          <w:kern w:val="0"/>
          <w:szCs w:val="21"/>
        </w:rPr>
      </w:pPr>
      <w:r>
        <w:rPr>
          <w:rFonts w:ascii="Times New Roman" w:hAnsi="Times New Roman" w:eastAsia="仿宋" w:cs="Times New Roman"/>
          <w:kern w:val="0"/>
          <w:szCs w:val="21"/>
        </w:rPr>
        <w:t>单位名称：湖南食品药品职业学院</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153"/>
        <w:gridCol w:w="1153"/>
        <w:gridCol w:w="1153"/>
        <w:gridCol w:w="1307"/>
        <w:gridCol w:w="1212"/>
        <w:gridCol w:w="1212"/>
        <w:gridCol w:w="884"/>
        <w:gridCol w:w="932"/>
        <w:gridCol w:w="128"/>
        <w:gridCol w:w="13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项目支</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出名称</w:t>
            </w:r>
          </w:p>
        </w:tc>
        <w:tc>
          <w:tcPr>
            <w:tcW w:w="4452" w:type="pct"/>
            <w:gridSpan w:val="9"/>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市场监督管理专项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主管部门</w:t>
            </w:r>
          </w:p>
        </w:tc>
        <w:tc>
          <w:tcPr>
            <w:tcW w:w="2293" w:type="pct"/>
            <w:gridSpan w:val="4"/>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湖南省财政厅</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实施单位</w:t>
            </w:r>
          </w:p>
        </w:tc>
        <w:tc>
          <w:tcPr>
            <w:tcW w:w="1583" w:type="pct"/>
            <w:gridSpan w:val="4"/>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湖南省市场监督管理局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项目资金</w:t>
            </w:r>
            <w:r>
              <w:rPr>
                <w:rFonts w:ascii="Times New Roman" w:hAnsi="Times New Roman" w:eastAsia="方正仿宋_GBK" w:cs="Times New Roman"/>
                <w:kern w:val="0"/>
                <w:szCs w:val="21"/>
              </w:rPr>
              <w:br w:type="textWrapping"/>
            </w:r>
            <w:r>
              <w:rPr>
                <w:rFonts w:ascii="Times New Roman" w:hAnsi="Times New Roman" w:eastAsia="方正仿宋_GBK" w:cs="Times New Roman"/>
                <w:kern w:val="0"/>
                <w:szCs w:val="21"/>
              </w:rPr>
              <w:t>（万元）</w:t>
            </w:r>
          </w:p>
        </w:tc>
        <w:tc>
          <w:tcPr>
            <w:tcW w:w="1096"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年初</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预算数</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全年</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预算数</w:t>
            </w:r>
          </w:p>
        </w:tc>
        <w:tc>
          <w:tcPr>
            <w:tcW w:w="576"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全年</w:t>
            </w:r>
          </w:p>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执行数</w:t>
            </w:r>
          </w:p>
        </w:tc>
        <w:tc>
          <w:tcPr>
            <w:tcW w:w="420"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分值</w:t>
            </w:r>
          </w:p>
        </w:tc>
        <w:tc>
          <w:tcPr>
            <w:tcW w:w="504" w:type="pct"/>
            <w:gridSpan w:val="2"/>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执行率</w:t>
            </w:r>
          </w:p>
        </w:tc>
        <w:tc>
          <w:tcPr>
            <w:tcW w:w="659" w:type="pct"/>
            <w:vAlign w:val="center"/>
          </w:tcPr>
          <w:p>
            <w:pPr>
              <w:spacing w:line="260" w:lineRule="exact"/>
              <w:jc w:val="center"/>
              <w:rPr>
                <w:rFonts w:ascii="Times New Roman" w:hAnsi="Times New Roman" w:eastAsia="方正仿宋_GBK" w:cs="Times New Roman"/>
                <w:szCs w:val="21"/>
              </w:rPr>
            </w:pPr>
            <w:r>
              <w:rPr>
                <w:rFonts w:ascii="Times New Roman" w:hAnsi="Times New Roman" w:eastAsia="方正仿宋_GBK" w:cs="Times New Roman"/>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年度资金总额　</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210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r>
              <w:rPr>
                <w:rFonts w:ascii="Times New Roman" w:hAnsi="Times New Roman" w:eastAsia="仿宋_GB2312" w:cs="Times New Roman"/>
                <w:kern w:val="0"/>
                <w:szCs w:val="21"/>
              </w:rPr>
              <w:t>262.09</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r>
              <w:rPr>
                <w:rFonts w:ascii="Times New Roman" w:hAnsi="Times New Roman" w:eastAsia="仿宋_GB2312" w:cs="Times New Roman"/>
                <w:kern w:val="0"/>
                <w:szCs w:val="21"/>
              </w:rPr>
              <w:t>118.1</w:t>
            </w:r>
          </w:p>
        </w:tc>
        <w:tc>
          <w:tcPr>
            <w:tcW w:w="420"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10</w:t>
            </w:r>
          </w:p>
        </w:tc>
        <w:tc>
          <w:tcPr>
            <w:tcW w:w="504"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45.1%</w:t>
            </w:r>
          </w:p>
        </w:tc>
        <w:tc>
          <w:tcPr>
            <w:tcW w:w="659"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其中：当年财政拨款　</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210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262.09</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r>
              <w:rPr>
                <w:rFonts w:ascii="Times New Roman" w:hAnsi="Times New Roman" w:eastAsia="仿宋_GB2312" w:cs="Times New Roman"/>
                <w:kern w:val="0"/>
                <w:szCs w:val="21"/>
              </w:rPr>
              <w:t>118.1</w:t>
            </w:r>
          </w:p>
        </w:tc>
        <w:tc>
          <w:tcPr>
            <w:tcW w:w="420"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504"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659"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上年结转资金　</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420"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504"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659"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1096" w:type="pct"/>
            <w:gridSpan w:val="2"/>
            <w:vAlign w:val="center"/>
          </w:tcPr>
          <w:p>
            <w:pPr>
              <w:widowControl/>
              <w:spacing w:line="260" w:lineRule="exact"/>
              <w:ind w:firstLine="630" w:firstLineChars="300"/>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其他资金</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576"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0</w:t>
            </w:r>
          </w:p>
        </w:tc>
        <w:tc>
          <w:tcPr>
            <w:tcW w:w="420"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504" w:type="pct"/>
            <w:gridSpan w:val="2"/>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659"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年度总体目标</w:t>
            </w:r>
          </w:p>
        </w:tc>
        <w:tc>
          <w:tcPr>
            <w:tcW w:w="2293" w:type="pct"/>
            <w:gridSpan w:val="4"/>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预期目标</w:t>
            </w:r>
          </w:p>
        </w:tc>
        <w:tc>
          <w:tcPr>
            <w:tcW w:w="2159" w:type="pct"/>
            <w:gridSpan w:val="5"/>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widowControl/>
              <w:spacing w:line="260" w:lineRule="exact"/>
              <w:jc w:val="left"/>
              <w:rPr>
                <w:rFonts w:ascii="Times New Roman" w:hAnsi="Times New Roman" w:eastAsia="方正仿宋_GBK" w:cs="Times New Roman"/>
                <w:kern w:val="0"/>
                <w:szCs w:val="21"/>
              </w:rPr>
            </w:pPr>
          </w:p>
        </w:tc>
        <w:tc>
          <w:tcPr>
            <w:tcW w:w="2293" w:type="pct"/>
            <w:gridSpan w:val="4"/>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按照《湖南省市场监督管理局关于印发2021年度培训计划的通知》的安排，健全长效管理机制，完成系统年度干部教育培训计划　　</w:t>
            </w:r>
          </w:p>
        </w:tc>
        <w:tc>
          <w:tcPr>
            <w:tcW w:w="2159" w:type="pct"/>
            <w:gridSpan w:val="5"/>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完成系统年度干部教育正式培训计划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绩效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一级指标</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二级指标</w:t>
            </w:r>
          </w:p>
        </w:tc>
        <w:tc>
          <w:tcPr>
            <w:tcW w:w="621"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三级指标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年度</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指标值</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实际</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完成值</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分值</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得分</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偏差原因</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分析及</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产出指标</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(50分)</w:t>
            </w:r>
          </w:p>
        </w:tc>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数量指标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培训场次</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13场</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12</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13.85</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疫情影响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center"/>
              <w:rPr>
                <w:rFonts w:ascii="Times New Roman" w:hAnsi="Times New Roman" w:eastAsia="方正仿宋_GBK" w:cs="Times New Roman"/>
                <w:kern w:val="0"/>
                <w:szCs w:val="21"/>
              </w:rPr>
            </w:pP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培训人数</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 xml:space="preserve">2000人 </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1791</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13.43</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疫情影响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质量指标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培训学员结业率</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时效指标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按时完成培训任务</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按时完成</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按时完成</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成本指标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培训成本</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不超预算</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不超预算</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restar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效益指标</w:t>
            </w:r>
          </w:p>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（30分）</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经济效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益指标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社会效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益指标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市场监管队伍专业性持续增强</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持续增强</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持续增强</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15</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生态效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益指标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restar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绩效</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tc>
        <w:tc>
          <w:tcPr>
            <w:tcW w:w="548"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　</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可持续影响指标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576" w:type="pct"/>
            <w:vAlign w:val="center"/>
          </w:tcPr>
          <w:p>
            <w:pPr>
              <w:widowControl/>
              <w:spacing w:line="260" w:lineRule="exact"/>
              <w:jc w:val="center"/>
              <w:rPr>
                <w:rFonts w:ascii="Times New Roman" w:hAnsi="Times New Roman" w:eastAsia="方正仿宋_GBK" w:cs="Times New Roman"/>
                <w:kern w:val="0"/>
                <w:szCs w:val="21"/>
              </w:rPr>
            </w:pPr>
          </w:p>
        </w:tc>
        <w:tc>
          <w:tcPr>
            <w:tcW w:w="420" w:type="pct"/>
            <w:vAlign w:val="center"/>
          </w:tcPr>
          <w:p>
            <w:pPr>
              <w:widowControl/>
              <w:spacing w:line="260" w:lineRule="exact"/>
              <w:jc w:val="center"/>
              <w:rPr>
                <w:rFonts w:ascii="Times New Roman" w:hAnsi="Times New Roman" w:eastAsia="方正仿宋_GBK" w:cs="Times New Roman"/>
                <w:kern w:val="0"/>
                <w:szCs w:val="21"/>
              </w:rPr>
            </w:pPr>
          </w:p>
        </w:tc>
        <w:tc>
          <w:tcPr>
            <w:tcW w:w="443" w:type="pct"/>
            <w:vAlign w:val="center"/>
          </w:tcPr>
          <w:p>
            <w:pPr>
              <w:widowControl/>
              <w:spacing w:line="260" w:lineRule="exact"/>
              <w:jc w:val="center"/>
              <w:rPr>
                <w:rFonts w:ascii="Times New Roman" w:hAnsi="Times New Roman" w:eastAsia="方正仿宋_GBK" w:cs="Times New Roman"/>
                <w:kern w:val="0"/>
                <w:szCs w:val="21"/>
              </w:rPr>
            </w:pP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548" w:type="pct"/>
            <w:vMerge w:val="continue"/>
            <w:vAlign w:val="center"/>
          </w:tcPr>
          <w:p>
            <w:pPr>
              <w:spacing w:line="260" w:lineRule="exact"/>
              <w:jc w:val="left"/>
              <w:rPr>
                <w:rFonts w:ascii="Times New Roman" w:hAnsi="Times New Roman" w:eastAsia="方正仿宋_GBK" w:cs="Times New Roman"/>
                <w:kern w:val="0"/>
                <w:szCs w:val="21"/>
              </w:rPr>
            </w:pP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满意度</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指标</w:t>
            </w:r>
          </w:p>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（10分）</w:t>
            </w:r>
          </w:p>
        </w:tc>
        <w:tc>
          <w:tcPr>
            <w:tcW w:w="548"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服务对象满意度指标</w:t>
            </w:r>
          </w:p>
        </w:tc>
        <w:tc>
          <w:tcPr>
            <w:tcW w:w="621" w:type="pct"/>
            <w:vAlign w:val="center"/>
          </w:tcPr>
          <w:p>
            <w:pPr>
              <w:widowControl/>
              <w:spacing w:line="260" w:lineRule="exact"/>
              <w:jc w:val="left"/>
              <w:rPr>
                <w:rFonts w:ascii="Times New Roman" w:hAnsi="Times New Roman" w:eastAsia="方正仿宋_GBK" w:cs="Times New Roman"/>
                <w:kern w:val="0"/>
                <w:szCs w:val="21"/>
              </w:rPr>
            </w:pPr>
            <w:r>
              <w:rPr>
                <w:rFonts w:ascii="Times New Roman" w:hAnsi="Times New Roman" w:eastAsia="方正仿宋_GBK" w:cs="Times New Roman"/>
                <w:kern w:val="0"/>
                <w:szCs w:val="21"/>
              </w:rPr>
              <w:t>培训学员满意度</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85%</w:t>
            </w:r>
          </w:p>
        </w:tc>
        <w:tc>
          <w:tcPr>
            <w:tcW w:w="576"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90%</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3417" w:type="pct"/>
            <w:gridSpan w:val="6"/>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总分</w:t>
            </w:r>
          </w:p>
        </w:tc>
        <w:tc>
          <w:tcPr>
            <w:tcW w:w="420"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100</w:t>
            </w:r>
          </w:p>
        </w:tc>
        <w:tc>
          <w:tcPr>
            <w:tcW w:w="443" w:type="pct"/>
            <w:vAlign w:val="center"/>
          </w:tcPr>
          <w:p>
            <w:pPr>
              <w:widowControl/>
              <w:spacing w:line="260" w:lineRule="exact"/>
              <w:jc w:val="center"/>
              <w:rPr>
                <w:rFonts w:ascii="Times New Roman" w:hAnsi="Times New Roman" w:eastAsia="方正仿宋_GBK" w:cs="Times New Roman"/>
                <w:kern w:val="0"/>
                <w:szCs w:val="21"/>
              </w:rPr>
            </w:pPr>
            <w:r>
              <w:rPr>
                <w:rFonts w:ascii="Times New Roman" w:hAnsi="Times New Roman" w:eastAsia="方正仿宋_GBK" w:cs="Times New Roman"/>
                <w:kern w:val="0"/>
                <w:szCs w:val="21"/>
              </w:rPr>
              <w:t>92.2</w:t>
            </w:r>
          </w:p>
        </w:tc>
        <w:tc>
          <w:tcPr>
            <w:tcW w:w="720" w:type="pct"/>
            <w:gridSpan w:val="2"/>
            <w:vAlign w:val="center"/>
          </w:tcPr>
          <w:p>
            <w:pPr>
              <w:widowControl/>
              <w:spacing w:line="260" w:lineRule="exact"/>
              <w:jc w:val="center"/>
              <w:rPr>
                <w:rFonts w:ascii="Times New Roman" w:hAnsi="Times New Roman" w:eastAsia="方正仿宋_GBK" w:cs="Times New Roman"/>
                <w:kern w:val="0"/>
                <w:szCs w:val="21"/>
              </w:rPr>
            </w:pPr>
          </w:p>
        </w:tc>
      </w:tr>
    </w:tbl>
    <w:p>
      <w:pPr>
        <w:widowControl/>
        <w:jc w:val="left"/>
        <w:rPr>
          <w:rFonts w:ascii="Times New Roman" w:hAnsi="Times New Roman" w:eastAsia="仿宋" w:cs="Times New Roman"/>
        </w:rPr>
      </w:pPr>
      <w:r>
        <w:rPr>
          <w:rFonts w:ascii="Times New Roman" w:hAnsi="Times New Roman" w:eastAsia="仿宋" w:cs="Times New Roman"/>
          <w:kern w:val="0"/>
          <w:szCs w:val="21"/>
        </w:rPr>
        <w:t>填表人：莫锴  填报日期：2022-4-28  联系电话：    单位负责人签字：</w:t>
      </w:r>
    </w:p>
    <w:p>
      <w:pPr>
        <w:ind w:firstLine="640" w:firstLineChars="200"/>
        <w:jc w:val="center"/>
        <w:rPr>
          <w:rFonts w:ascii="Times New Roman" w:hAnsi="Times New Roman" w:cs="Times New Roman"/>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EFF" w:usb1="C000785B"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8"/>
        <w:szCs w:val="28"/>
      </w:rPr>
    </w:pPr>
    <w:r>
      <w:rPr>
        <w:rStyle w:val="8"/>
        <w:rFonts w:hint="eastAsia"/>
        <w:sz w:val="28"/>
        <w:szCs w:val="28"/>
      </w:rPr>
      <w:t xml:space="preserve">— </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31</w:t>
    </w:r>
    <w:r>
      <w:rPr>
        <w:rStyle w:val="8"/>
        <w:sz w:val="28"/>
        <w:szCs w:val="28"/>
      </w:rPr>
      <w:fldChar w:fldCharType="end"/>
    </w:r>
    <w:r>
      <w:rPr>
        <w:rStyle w:val="8"/>
        <w:rFonts w:hint="eastAsia"/>
        <w:sz w:val="28"/>
        <w:szCs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0366E0"/>
    <w:multiLevelType w:val="multilevel"/>
    <w:tmpl w:val="6D0366E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MjI5MmE2NjNmYzc0ODcwZjJhN2VjZWVlYWEyMjkifQ=="/>
  </w:docVars>
  <w:rsids>
    <w:rsidRoot w:val="004506F9"/>
    <w:rsid w:val="0002229B"/>
    <w:rsid w:val="000273BD"/>
    <w:rsid w:val="00036014"/>
    <w:rsid w:val="000415B7"/>
    <w:rsid w:val="00041E3F"/>
    <w:rsid w:val="0004707F"/>
    <w:rsid w:val="00055DAA"/>
    <w:rsid w:val="00060AA7"/>
    <w:rsid w:val="00061F7B"/>
    <w:rsid w:val="000650FF"/>
    <w:rsid w:val="000658A3"/>
    <w:rsid w:val="00070A89"/>
    <w:rsid w:val="00074155"/>
    <w:rsid w:val="000873EF"/>
    <w:rsid w:val="00096B7E"/>
    <w:rsid w:val="000A3F69"/>
    <w:rsid w:val="000A628B"/>
    <w:rsid w:val="000D3BB2"/>
    <w:rsid w:val="000D3C2B"/>
    <w:rsid w:val="000E2529"/>
    <w:rsid w:val="00103957"/>
    <w:rsid w:val="00124A1F"/>
    <w:rsid w:val="0014038A"/>
    <w:rsid w:val="00152C6D"/>
    <w:rsid w:val="00162D39"/>
    <w:rsid w:val="001678BD"/>
    <w:rsid w:val="00182373"/>
    <w:rsid w:val="00197119"/>
    <w:rsid w:val="001A67DB"/>
    <w:rsid w:val="001C065B"/>
    <w:rsid w:val="001C225E"/>
    <w:rsid w:val="001C3C29"/>
    <w:rsid w:val="001D51E5"/>
    <w:rsid w:val="001D69BF"/>
    <w:rsid w:val="001E080D"/>
    <w:rsid w:val="001E53D0"/>
    <w:rsid w:val="001F0C3B"/>
    <w:rsid w:val="00202C14"/>
    <w:rsid w:val="00202C82"/>
    <w:rsid w:val="00207F72"/>
    <w:rsid w:val="00214427"/>
    <w:rsid w:val="00226CB7"/>
    <w:rsid w:val="00240A72"/>
    <w:rsid w:val="0024545B"/>
    <w:rsid w:val="002478C2"/>
    <w:rsid w:val="0025302A"/>
    <w:rsid w:val="00257920"/>
    <w:rsid w:val="00264552"/>
    <w:rsid w:val="00264EF9"/>
    <w:rsid w:val="00265724"/>
    <w:rsid w:val="0027426B"/>
    <w:rsid w:val="00287410"/>
    <w:rsid w:val="002E0A30"/>
    <w:rsid w:val="003130C4"/>
    <w:rsid w:val="00316C4B"/>
    <w:rsid w:val="0032192B"/>
    <w:rsid w:val="00342CC4"/>
    <w:rsid w:val="003479BD"/>
    <w:rsid w:val="0037197D"/>
    <w:rsid w:val="003768D5"/>
    <w:rsid w:val="003C4197"/>
    <w:rsid w:val="003C47E6"/>
    <w:rsid w:val="003C4FC2"/>
    <w:rsid w:val="003E2331"/>
    <w:rsid w:val="00416E61"/>
    <w:rsid w:val="0042790C"/>
    <w:rsid w:val="004506F9"/>
    <w:rsid w:val="00450C71"/>
    <w:rsid w:val="0047112A"/>
    <w:rsid w:val="004717A2"/>
    <w:rsid w:val="00473DF3"/>
    <w:rsid w:val="00487911"/>
    <w:rsid w:val="00491741"/>
    <w:rsid w:val="004A30E3"/>
    <w:rsid w:val="004B0CEE"/>
    <w:rsid w:val="004C2B55"/>
    <w:rsid w:val="004D63BC"/>
    <w:rsid w:val="004E12C6"/>
    <w:rsid w:val="00500E5F"/>
    <w:rsid w:val="005122EF"/>
    <w:rsid w:val="0051441A"/>
    <w:rsid w:val="00517C33"/>
    <w:rsid w:val="00517D5F"/>
    <w:rsid w:val="00521AF2"/>
    <w:rsid w:val="00523644"/>
    <w:rsid w:val="005363FB"/>
    <w:rsid w:val="0054069E"/>
    <w:rsid w:val="00544866"/>
    <w:rsid w:val="005767CC"/>
    <w:rsid w:val="00584FFF"/>
    <w:rsid w:val="00590D9F"/>
    <w:rsid w:val="00595D26"/>
    <w:rsid w:val="005A74E6"/>
    <w:rsid w:val="005B404E"/>
    <w:rsid w:val="005C46C7"/>
    <w:rsid w:val="005D4D55"/>
    <w:rsid w:val="005D73D5"/>
    <w:rsid w:val="005E2CFB"/>
    <w:rsid w:val="005E6F5F"/>
    <w:rsid w:val="005F2103"/>
    <w:rsid w:val="005F3D1C"/>
    <w:rsid w:val="0062378F"/>
    <w:rsid w:val="00641842"/>
    <w:rsid w:val="00651EEC"/>
    <w:rsid w:val="00686673"/>
    <w:rsid w:val="00691E8C"/>
    <w:rsid w:val="006927C5"/>
    <w:rsid w:val="006A22C4"/>
    <w:rsid w:val="006A348B"/>
    <w:rsid w:val="006A351B"/>
    <w:rsid w:val="006B0422"/>
    <w:rsid w:val="006C1B53"/>
    <w:rsid w:val="006D1E08"/>
    <w:rsid w:val="006D47C1"/>
    <w:rsid w:val="006D7730"/>
    <w:rsid w:val="006E5284"/>
    <w:rsid w:val="006F3E4D"/>
    <w:rsid w:val="006F3EB5"/>
    <w:rsid w:val="00702E34"/>
    <w:rsid w:val="00704395"/>
    <w:rsid w:val="00710FE7"/>
    <w:rsid w:val="00711FD6"/>
    <w:rsid w:val="00717621"/>
    <w:rsid w:val="00720FF1"/>
    <w:rsid w:val="00727A53"/>
    <w:rsid w:val="00784122"/>
    <w:rsid w:val="00787B42"/>
    <w:rsid w:val="007C0E5A"/>
    <w:rsid w:val="007C4539"/>
    <w:rsid w:val="007D5DA2"/>
    <w:rsid w:val="007F3657"/>
    <w:rsid w:val="007F681D"/>
    <w:rsid w:val="00812ED5"/>
    <w:rsid w:val="008277D9"/>
    <w:rsid w:val="0084478C"/>
    <w:rsid w:val="00855A60"/>
    <w:rsid w:val="00861EB5"/>
    <w:rsid w:val="0086638C"/>
    <w:rsid w:val="00871A0B"/>
    <w:rsid w:val="008A3E8D"/>
    <w:rsid w:val="008E27B8"/>
    <w:rsid w:val="00910DD3"/>
    <w:rsid w:val="009237C4"/>
    <w:rsid w:val="0092429C"/>
    <w:rsid w:val="00930E31"/>
    <w:rsid w:val="00941F8F"/>
    <w:rsid w:val="00944C48"/>
    <w:rsid w:val="00950252"/>
    <w:rsid w:val="00955D6C"/>
    <w:rsid w:val="00967F5D"/>
    <w:rsid w:val="009A0F95"/>
    <w:rsid w:val="009B1B14"/>
    <w:rsid w:val="009B3ADF"/>
    <w:rsid w:val="009C3B52"/>
    <w:rsid w:val="009C432C"/>
    <w:rsid w:val="009E6817"/>
    <w:rsid w:val="009E6E9A"/>
    <w:rsid w:val="00A01D2B"/>
    <w:rsid w:val="00A42218"/>
    <w:rsid w:val="00A54FC8"/>
    <w:rsid w:val="00A70249"/>
    <w:rsid w:val="00A70B02"/>
    <w:rsid w:val="00A71D9F"/>
    <w:rsid w:val="00A74B03"/>
    <w:rsid w:val="00A92E9F"/>
    <w:rsid w:val="00B3037D"/>
    <w:rsid w:val="00B33BEA"/>
    <w:rsid w:val="00B57C9F"/>
    <w:rsid w:val="00B63572"/>
    <w:rsid w:val="00B63A4E"/>
    <w:rsid w:val="00B76C0D"/>
    <w:rsid w:val="00B82672"/>
    <w:rsid w:val="00B845B3"/>
    <w:rsid w:val="00B85D8B"/>
    <w:rsid w:val="00B97E29"/>
    <w:rsid w:val="00BB4A40"/>
    <w:rsid w:val="00BD6C3E"/>
    <w:rsid w:val="00BE3674"/>
    <w:rsid w:val="00C10681"/>
    <w:rsid w:val="00C218C1"/>
    <w:rsid w:val="00C3049A"/>
    <w:rsid w:val="00C31B1E"/>
    <w:rsid w:val="00C71617"/>
    <w:rsid w:val="00C77645"/>
    <w:rsid w:val="00CE04C3"/>
    <w:rsid w:val="00CE76A0"/>
    <w:rsid w:val="00CF3F3C"/>
    <w:rsid w:val="00D11C07"/>
    <w:rsid w:val="00D148C6"/>
    <w:rsid w:val="00D17749"/>
    <w:rsid w:val="00D17A8A"/>
    <w:rsid w:val="00D415BA"/>
    <w:rsid w:val="00D42CCA"/>
    <w:rsid w:val="00D549F0"/>
    <w:rsid w:val="00D63780"/>
    <w:rsid w:val="00D644EE"/>
    <w:rsid w:val="00D75489"/>
    <w:rsid w:val="00D77B1A"/>
    <w:rsid w:val="00DB254F"/>
    <w:rsid w:val="00DD06FF"/>
    <w:rsid w:val="00DD5FE9"/>
    <w:rsid w:val="00DE0A70"/>
    <w:rsid w:val="00E00C7A"/>
    <w:rsid w:val="00E209CF"/>
    <w:rsid w:val="00E37D6C"/>
    <w:rsid w:val="00E55B68"/>
    <w:rsid w:val="00E57388"/>
    <w:rsid w:val="00E67BE6"/>
    <w:rsid w:val="00E73945"/>
    <w:rsid w:val="00E8683C"/>
    <w:rsid w:val="00EA2B72"/>
    <w:rsid w:val="00EE1696"/>
    <w:rsid w:val="00F373C1"/>
    <w:rsid w:val="00F74360"/>
    <w:rsid w:val="00FA032A"/>
    <w:rsid w:val="00FB462F"/>
    <w:rsid w:val="00FE16FA"/>
    <w:rsid w:val="00FE328A"/>
    <w:rsid w:val="00FE6269"/>
    <w:rsid w:val="00FF5CD6"/>
    <w:rsid w:val="21B76088"/>
    <w:rsid w:val="22224A84"/>
    <w:rsid w:val="604215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4"/>
    <w:qFormat/>
    <w:uiPriority w:val="0"/>
    <w:rPr>
      <w:rFonts w:ascii="Times New Roman" w:hAnsi="Times New Roman" w:eastAsia="宋体" w:cs="Times New Roman"/>
      <w:sz w:val="31"/>
    </w:rPr>
  </w:style>
  <w:style w:type="paragraph" w:styleId="3">
    <w:name w:val="Balloon Text"/>
    <w:basedOn w:val="1"/>
    <w:link w:val="13"/>
    <w:semiHidden/>
    <w:unhideWhenUsed/>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sz w:val="18"/>
      <w:szCs w:val="18"/>
    </w:rPr>
  </w:style>
  <w:style w:type="paragraph" w:styleId="5">
    <w:name w:val="header"/>
    <w:basedOn w:val="1"/>
    <w:link w:val="9"/>
    <w:unhideWhenUsed/>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uiPriority w:val="99"/>
    <w:rPr>
      <w:sz w:val="18"/>
      <w:szCs w:val="18"/>
    </w:rPr>
  </w:style>
  <w:style w:type="character" w:customStyle="1" w:styleId="14">
    <w:name w:val="正文文本 Char"/>
    <w:basedOn w:val="7"/>
    <w:link w:val="2"/>
    <w:qFormat/>
    <w:uiPriority w:val="0"/>
    <w:rPr>
      <w:rFonts w:ascii="Times New Roman" w:hAnsi="Times New Roman" w:eastAsia="宋体" w:cs="Times New Roman"/>
      <w:sz w:val="31"/>
    </w:rPr>
  </w:style>
  <w:style w:type="table" w:customStyle="1" w:styleId="15">
    <w:name w:val="Table Normal"/>
    <w:unhideWhenUsed/>
    <w:qFormat/>
    <w:uiPriority w:val="0"/>
    <w:rPr>
      <w:rFonts w:ascii="Calibri" w:hAnsi="Calibri" w:eastAsia="宋体" w:cs="Times New Roman"/>
    </w:rPr>
    <w:tblPr>
      <w:tblCellMar>
        <w:top w:w="0" w:type="dxa"/>
        <w:left w:w="0" w:type="dxa"/>
        <w:bottom w:w="0" w:type="dxa"/>
        <w:right w:w="0" w:type="dxa"/>
      </w:tblCellMar>
    </w:tblPr>
  </w:style>
  <w:style w:type="paragraph" w:customStyle="1" w:styleId="16">
    <w:name w:val="Char1 Char Char Char Char Char Char"/>
    <w:basedOn w:val="1"/>
    <w:uiPriority w:val="0"/>
    <w:rPr>
      <w:rFonts w:ascii="等线" w:hAnsi="等线" w:eastAsia="等线"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03786-B328-42EF-955D-1C77DC252C8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50</Pages>
  <Words>15576</Words>
  <Characters>20658</Characters>
  <Lines>190</Lines>
  <Paragraphs>53</Paragraphs>
  <TotalTime>41</TotalTime>
  <ScaleCrop>false</ScaleCrop>
  <LinksUpToDate>false</LinksUpToDate>
  <CharactersWithSpaces>22906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2023-09-25T05:27:00Z</dcterms:created>
  <dc:creator>李航 null</dc:creator>
  <cp:lastModifiedBy>Lenovo</cp:lastModifiedBy>
  <cp:lastPrinted>2022-09-15T01:20:00Z</cp:lastPrinted>
  <dcterms:modified xsi:type="dcterms:W3CDTF">2023-09-26T10:27:04Z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C4CFB157F144427EA2B8FF7E45013886</vt:lpwstr>
  </property>
</Properties>
</file>