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</w:rPr>
        <w:t>湖南省计量检测研究院</w:t>
      </w: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27" w:firstLineChars="196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我院主要职责是：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仿宋_GB2312"/>
          <w:sz w:val="32"/>
          <w:szCs w:val="32"/>
        </w:rPr>
        <w:t>为机关提供支持保障的职能。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(1)</w:t>
      </w:r>
      <w:r>
        <w:rPr>
          <w:rFonts w:hint="eastAsia" w:ascii="仿宋_GB2312" w:hAnsi="宋体" w:eastAsia="仿宋_GB2312" w:cs="仿宋_GB2312"/>
          <w:sz w:val="32"/>
          <w:szCs w:val="32"/>
        </w:rPr>
        <w:t>承担研究、建立、保存和维护湖南省最高社会公用计量标准等工作。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(2)</w:t>
      </w:r>
      <w:r>
        <w:rPr>
          <w:rFonts w:hint="eastAsia" w:ascii="仿宋_GB2312" w:hAnsi="宋体" w:eastAsia="仿宋_GB2312" w:cs="仿宋_GB2312"/>
          <w:sz w:val="32"/>
          <w:szCs w:val="32"/>
        </w:rPr>
        <w:t>承担量值传递和量值溯源，为全省计量单位统一和量值准确可靠提供技术保障。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(3)</w:t>
      </w:r>
      <w:r>
        <w:rPr>
          <w:rFonts w:hint="eastAsia" w:ascii="仿宋_GB2312" w:hAnsi="宋体" w:eastAsia="仿宋_GB2312" w:cs="仿宋_GB2312"/>
          <w:sz w:val="32"/>
          <w:szCs w:val="32"/>
        </w:rPr>
        <w:t>承担计量强制检定任务和商品量及定量包装计量检验工作。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(</w:t>
      </w:r>
      <w:r>
        <w:rPr>
          <w:rFonts w:hint="eastAsia" w:ascii="仿宋_GB2312" w:hAnsi="宋体" w:eastAsia="仿宋_GB2312" w:cs="仿宋_GB2312"/>
          <w:sz w:val="32"/>
          <w:szCs w:val="32"/>
        </w:rPr>
        <w:t>4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)</w:t>
      </w:r>
      <w:r>
        <w:rPr>
          <w:rFonts w:hint="eastAsia" w:ascii="仿宋_GB2312" w:hAnsi="宋体" w:eastAsia="仿宋_GB2312" w:cs="仿宋_GB2312"/>
          <w:sz w:val="32"/>
          <w:szCs w:val="32"/>
        </w:rPr>
        <w:t>承担计量产品监督检验、计量仲裁检定相关事务性工作，承担授权范围内的计量器具新产品型式评价试验、计量比对、能力验证、计量军民融合以及起草计量技术规范等工作，为行政部门实施计量及价格监督检查等提供相关事务性技术支撑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仿宋_GB2312"/>
          <w:sz w:val="32"/>
          <w:szCs w:val="32"/>
        </w:rPr>
        <w:t>面向社会提供公益服务的职能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(1)</w:t>
      </w:r>
      <w:r>
        <w:rPr>
          <w:rFonts w:hint="eastAsia" w:ascii="仿宋_GB2312" w:hAnsi="宋体" w:eastAsia="仿宋_GB2312" w:cs="仿宋_GB2312"/>
          <w:sz w:val="32"/>
          <w:szCs w:val="32"/>
        </w:rPr>
        <w:t>依法开展计量检定、校准、检验、测试工作。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(2)</w:t>
      </w:r>
      <w:r>
        <w:rPr>
          <w:rFonts w:hint="eastAsia" w:ascii="仿宋_GB2312" w:hAnsi="宋体" w:eastAsia="仿宋_GB2312" w:cs="仿宋_GB2312"/>
          <w:sz w:val="32"/>
          <w:szCs w:val="32"/>
        </w:rPr>
        <w:t>承担全省规范计量数据应用等技术工作。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(3)</w:t>
      </w:r>
      <w:r>
        <w:rPr>
          <w:rFonts w:hint="eastAsia" w:ascii="仿宋_GB2312" w:hAnsi="宋体" w:eastAsia="仿宋_GB2312" w:cs="仿宋_GB2312"/>
          <w:sz w:val="32"/>
          <w:szCs w:val="32"/>
        </w:rPr>
        <w:t>开展计量产品的可靠性试验验证、标准验证、检验检测，以及现代测量体系建设咨询和人员培训服务。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(4)</w:t>
      </w:r>
      <w:r>
        <w:rPr>
          <w:rFonts w:hint="eastAsia" w:ascii="仿宋_GB2312" w:hAnsi="宋体" w:eastAsia="仿宋_GB2312" w:cs="仿宋_GB2312"/>
          <w:sz w:val="32"/>
          <w:szCs w:val="32"/>
        </w:rPr>
        <w:t>开展计量技术研究、成果转化、科技咨询和技术服务，承担高新技术、战略性新兴产业等计量科学研究工作，研制测量仪器、测量装置、测量系统和标准物质。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 w:cs="仿宋_GB2312"/>
          <w:sz w:val="32"/>
          <w:szCs w:val="32"/>
        </w:rPr>
        <w:t>完成省市场监督管理局交办的其他任务。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_GB2312" w:hAnsi="宋体" w:eastAsia="仿宋_GB2312" w:cs="仿宋_GB2312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ascii="仿宋_GB2312" w:hAnsi="宋体" w:eastAsia="仿宋_GB2312" w:cs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内设部门19个：党务人教部、综合保障部、财务资产部、科技发展部、业务质量部、长度计量科学研究所、热工与能源计量科学研究所、力学与声学研究所、电能计量科学研究所、电子与通信所计量科学研究所、化学计量与标准物质研究所、衡器计量科学研究所所、流量计量科学研究所、工程计量检测中心、医学计量检测中心、产业计量科学研究所、计量器具强制检定中心、交通计量科学研究所、环境可靠性与电磁兼容试验所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检验检测中心6个：变频电量测量仪器计量站、国家煤炭石油天然器分析仪器产品质量监督检验中心、国家城市能源计量中心（湖南）、中国计量科学院长沙基地建设办公室、国家市场监管技术创新中心（新能源电磁计量检测</w:t>
      </w:r>
      <w:r>
        <w:rPr>
          <w:rFonts w:ascii="仿宋_GB2312" w:hAnsi="宋体" w:eastAsia="仿宋_GB2312" w:cs="仿宋_GB2312"/>
          <w:sz w:val="32"/>
          <w:szCs w:val="32"/>
        </w:rPr>
        <w:t>）</w:t>
      </w:r>
      <w:r>
        <w:rPr>
          <w:rFonts w:hint="eastAsia" w:ascii="仿宋_GB2312" w:hAnsi="宋体" w:eastAsia="仿宋_GB2312" w:cs="仿宋_GB2312"/>
          <w:sz w:val="32"/>
          <w:szCs w:val="32"/>
        </w:rPr>
        <w:t>、机械工业实验室设备及仪器产品质量监督检验中心。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 xml:space="preserve">本单位无下级预算单位，本次预算公开仅包括湖南省计 </w:t>
      </w:r>
    </w:p>
    <w:p>
      <w:pPr>
        <w:widowControl/>
        <w:spacing w:line="600" w:lineRule="exact"/>
        <w:jc w:val="left"/>
        <w:rPr>
          <w:rFonts w:hint="eastAsia" w:ascii="仿宋_GB2312" w:hAnsi="宋体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量检测研究院本级。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hint="eastAsia" w:eastAsia="仿宋_GB2312"/>
          <w:sz w:val="32"/>
          <w:szCs w:val="32"/>
        </w:rPr>
        <w:t>13743.37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6943.37</w:t>
      </w:r>
      <w:r>
        <w:rPr>
          <w:rFonts w:eastAsia="仿宋_GB2312"/>
          <w:sz w:val="32"/>
          <w:szCs w:val="32"/>
        </w:rPr>
        <w:t>万元，政府性基金预算拨款万元，国有资本经营预算拨款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事业单位经营收入6800</w:t>
      </w:r>
      <w:r>
        <w:rPr>
          <w:rFonts w:eastAsia="仿宋_GB2312"/>
          <w:sz w:val="32"/>
          <w:szCs w:val="32"/>
        </w:rPr>
        <w:t>万元。收入较去年</w:t>
      </w:r>
      <w:r>
        <w:rPr>
          <w:rFonts w:hint="eastAsia" w:eastAsia="仿宋_GB2312"/>
          <w:sz w:val="32"/>
          <w:szCs w:val="32"/>
        </w:rPr>
        <w:t>减少81.39</w:t>
      </w:r>
      <w:r>
        <w:rPr>
          <w:rFonts w:eastAsia="仿宋_GB2312"/>
          <w:sz w:val="32"/>
          <w:szCs w:val="32"/>
        </w:rPr>
        <w:t>万元，主要</w:t>
      </w:r>
      <w:r>
        <w:rPr>
          <w:rFonts w:hint="eastAsia" w:eastAsia="仿宋_GB2312"/>
          <w:sz w:val="32"/>
          <w:szCs w:val="32"/>
        </w:rPr>
        <w:t>原因是机构整合人员变动。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</w:t>
      </w:r>
      <w:r>
        <w:rPr>
          <w:rFonts w:hint="eastAsia" w:eastAsia="仿宋_GB2312"/>
          <w:sz w:val="32"/>
          <w:szCs w:val="32"/>
        </w:rPr>
        <w:t>支出预算13743.37万元，其中，一般公共服务12205.96万元，社会保障和就业支出613.07万元，卫生健康支出474.41万元，住房保障支出449.93万元。支出较去年减少81.39万元，主要原因是机构整合人员变动。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年本单位一般公</w:t>
      </w:r>
      <w:r>
        <w:rPr>
          <w:rFonts w:hint="eastAsia" w:eastAsia="仿宋_GB2312"/>
          <w:sz w:val="32"/>
          <w:szCs w:val="32"/>
        </w:rPr>
        <w:t>共预算拨款支出预算6943.37万元，其中，一般公共服务支出5405.96万元，占77.86 %；社会保障和就业支出613.07万元，占8.83%</w:t>
      </w:r>
      <w:r>
        <w:rPr>
          <w:rFonts w:hint="eastAsia" w:eastAsia="仿宋_GB2312"/>
          <w:sz w:val="32"/>
          <w:szCs w:val="32"/>
          <w:lang w:eastAsia="zh-CN"/>
        </w:rPr>
        <w:t>；</w:t>
      </w:r>
      <w:r>
        <w:rPr>
          <w:rFonts w:hint="eastAsia" w:eastAsia="仿宋_GB2312"/>
          <w:sz w:val="32"/>
          <w:szCs w:val="32"/>
        </w:rPr>
        <w:t>卫生健康支出474.41万元，占6.83%；住房保障支出449.93万元，占6.48%。具体安排情况如下：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年本单位基本支出预算</w:t>
      </w:r>
      <w:r>
        <w:rPr>
          <w:rFonts w:hint="eastAsia" w:eastAsia="仿宋_GB2312"/>
          <w:sz w:val="32"/>
          <w:szCs w:val="32"/>
        </w:rPr>
        <w:t>数6139.37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年本单位项目支出</w:t>
      </w:r>
      <w:r>
        <w:rPr>
          <w:rFonts w:hint="eastAsia" w:eastAsia="仿宋_GB2312"/>
          <w:sz w:val="32"/>
          <w:szCs w:val="32"/>
        </w:rPr>
        <w:t>预算804万</w:t>
      </w:r>
      <w:r>
        <w:rPr>
          <w:rFonts w:eastAsia="仿宋_GB2312"/>
          <w:sz w:val="32"/>
          <w:szCs w:val="32"/>
        </w:rPr>
        <w:t>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市场监督专项经费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304</w:t>
      </w:r>
      <w:r>
        <w:rPr>
          <w:rFonts w:eastAsia="仿宋_GB2312"/>
          <w:sz w:val="32"/>
          <w:szCs w:val="32"/>
        </w:rPr>
        <w:t>万元，主要</w:t>
      </w:r>
      <w:r>
        <w:rPr>
          <w:rFonts w:hint="eastAsia" w:ascii="仿宋_GB2312" w:eastAsia="仿宋_GB2312"/>
          <w:sz w:val="32"/>
          <w:szCs w:val="32"/>
        </w:rPr>
        <w:t>用于完善检验检测体系，提升计量技术水平；组织实施计量监督检查、产业计量、计量技术规范管理、能源计量、计量项目研究；完成定量包装仪器净含量省级计量监督专项抽查，维护市场公平，营造诚实守信、公平竞争的市场环境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运行维护经费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500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ascii="仿宋_GB2312" w:eastAsia="仿宋_GB2312" w:cs="仿宋_GB2312"/>
          <w:sz w:val="32"/>
          <w:szCs w:val="32"/>
        </w:rPr>
        <w:t>巩固和提升</w:t>
      </w:r>
      <w:r>
        <w:rPr>
          <w:rFonts w:hint="eastAsia" w:ascii="仿宋_GB2312" w:hAnsi="华文仿宋" w:eastAsia="仿宋_GB2312" w:cs="仿宋_GB2312"/>
          <w:spacing w:val="-4"/>
          <w:sz w:val="32"/>
          <w:szCs w:val="32"/>
        </w:rPr>
        <w:t>我省最高社会公用计量标准技术水平、计量标准覆盖领域，改善计量检测环境条件，提高民生计量保障范围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本单位</w:t>
      </w:r>
      <w:r>
        <w:rPr>
          <w:rFonts w:hint="eastAsia" w:eastAsia="仿宋_GB2312"/>
          <w:sz w:val="32"/>
          <w:szCs w:val="32"/>
        </w:rPr>
        <w:t>无</w:t>
      </w:r>
      <w:r>
        <w:rPr>
          <w:rFonts w:eastAsia="仿宋_GB2312"/>
          <w:sz w:val="32"/>
          <w:szCs w:val="32"/>
        </w:rPr>
        <w:t>政府性基金</w:t>
      </w:r>
      <w:r>
        <w:rPr>
          <w:rFonts w:hint="eastAsia" w:eastAsia="仿宋_GB2312"/>
          <w:sz w:val="32"/>
          <w:szCs w:val="32"/>
        </w:rPr>
        <w:t>安排的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</w:t>
      </w:r>
      <w:r>
        <w:rPr>
          <w:rFonts w:hint="eastAsia" w:eastAsia="楷体_GB2312"/>
          <w:b/>
          <w:sz w:val="32"/>
          <w:szCs w:val="32"/>
        </w:rPr>
        <w:t>事业</w:t>
      </w:r>
      <w:r>
        <w:rPr>
          <w:rFonts w:eastAsia="楷体_GB2312"/>
          <w:b/>
          <w:sz w:val="32"/>
          <w:szCs w:val="32"/>
        </w:rPr>
        <w:t>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</w:rPr>
        <w:t>单位事业运行经费262万元，比上年预算增加111.2万元，上升73.74%</w:t>
      </w:r>
      <w:r>
        <w:rPr>
          <w:rFonts w:eastAsia="仿宋_GB2312"/>
          <w:sz w:val="32"/>
          <w:szCs w:val="32"/>
        </w:rPr>
        <w:t>，主要是</w:t>
      </w:r>
      <w:r>
        <w:rPr>
          <w:rFonts w:hint="eastAsia" w:eastAsia="仿宋_GB2312"/>
          <w:sz w:val="32"/>
          <w:szCs w:val="32"/>
        </w:rPr>
        <w:t>机构整合，运行费用增加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年本单位“三公”经费预算数</w:t>
      </w:r>
      <w:r>
        <w:rPr>
          <w:rFonts w:hint="eastAsia" w:eastAsia="仿宋_GB2312"/>
          <w:sz w:val="32"/>
          <w:szCs w:val="32"/>
        </w:rPr>
        <w:t>为10万元，其中，公务接待费10万元，公务用车购置及运行费0万元（其中，公务用车购置费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hint="eastAsia" w:eastAsia="仿宋_GB2312"/>
          <w:sz w:val="32"/>
          <w:szCs w:val="32"/>
        </w:rPr>
        <w:t>万元），因公出国（境）费0万元。2022年“三公”经费预算较上年减少14.8万元，主要是公务接待费减少5万元，公务用车运行费减少9.8万元。</w:t>
      </w:r>
    </w:p>
    <w:p>
      <w:pPr>
        <w:spacing w:line="600" w:lineRule="exact"/>
        <w:ind w:firstLine="643" w:firstLineChars="200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年本单位会议</w:t>
      </w:r>
      <w:r>
        <w:rPr>
          <w:rFonts w:hint="eastAsia" w:eastAsia="仿宋_GB2312"/>
          <w:sz w:val="32"/>
          <w:szCs w:val="32"/>
        </w:rPr>
        <w:t>费预算4.5万元，拟召开三类会议6场次，310人次，主要</w:t>
      </w:r>
      <w:r>
        <w:rPr>
          <w:rFonts w:eastAsia="仿宋_GB2312"/>
          <w:kern w:val="0"/>
          <w:sz w:val="32"/>
          <w:szCs w:val="32"/>
        </w:rPr>
        <w:t>内容为</w:t>
      </w:r>
      <w:r>
        <w:rPr>
          <w:rFonts w:hint="eastAsia" w:eastAsia="仿宋_GB2312"/>
          <w:kern w:val="0"/>
          <w:sz w:val="32"/>
          <w:szCs w:val="32"/>
        </w:rPr>
        <w:t>碳达峰碳中和计量工作会议及技术研讨会、能源计量技术研讨会及能源计量审查工作会议、计量标准量值比对实施方案工作会议</w:t>
      </w:r>
      <w:r>
        <w:rPr>
          <w:rFonts w:eastAsia="仿宋_GB2312"/>
          <w:kern w:val="0"/>
          <w:sz w:val="32"/>
          <w:szCs w:val="32"/>
        </w:rPr>
        <w:t>；培训费预</w:t>
      </w:r>
      <w:r>
        <w:rPr>
          <w:rFonts w:hint="eastAsia" w:eastAsia="仿宋_GB2312"/>
          <w:sz w:val="32"/>
          <w:szCs w:val="32"/>
        </w:rPr>
        <w:t>算2万元，拟开展计量业务培训2场次，480人次，内容主要为注册计量师考前培训。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hint="eastAsia" w:eastAsia="仿宋_GB2312"/>
          <w:sz w:val="32"/>
          <w:szCs w:val="32"/>
          <w:lang w:val="en-US" w:eastAsia="zh-CN"/>
        </w:rPr>
        <w:t>500</w:t>
      </w:r>
      <w:r>
        <w:rPr>
          <w:rFonts w:eastAsia="仿宋_GB2312"/>
          <w:sz w:val="32"/>
          <w:szCs w:val="32"/>
        </w:rPr>
        <w:t>万元，其中，货物类</w:t>
      </w:r>
      <w:r>
        <w:rPr>
          <w:rFonts w:hint="eastAsia" w:eastAsia="仿宋_GB2312"/>
          <w:sz w:val="32"/>
          <w:szCs w:val="32"/>
        </w:rPr>
        <w:t>采购预算500万元；工程类采购预算0万元；服务类采购预算0万</w:t>
      </w:r>
      <w:r>
        <w:rPr>
          <w:rFonts w:eastAsia="仿宋_GB2312"/>
          <w:sz w:val="32"/>
          <w:szCs w:val="32"/>
        </w:rPr>
        <w:t>元。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</w:t>
      </w:r>
      <w:r>
        <w:rPr>
          <w:rFonts w:hint="eastAsia" w:eastAsia="仿宋_GB2312"/>
          <w:sz w:val="32"/>
          <w:szCs w:val="32"/>
        </w:rPr>
        <w:t>车43辆，其中，机要通信用车0辆，应急保障用车0辆，执法执勤用车0辆，特种专业技术用车0辆，其他按照规定配备的公务用车43辆；单位价值50万元以上通用设备111台，单位价值100万元以上专用设备0台。2022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widowControl/>
        <w:spacing w:line="600" w:lineRule="exact"/>
        <w:ind w:firstLine="658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年单位</w:t>
      </w:r>
      <w:r>
        <w:rPr>
          <w:rFonts w:hint="eastAsia" w:eastAsia="仿宋_GB2312"/>
          <w:sz w:val="32"/>
          <w:szCs w:val="32"/>
        </w:rPr>
        <w:t>整体支出绩效目标的金额为13743.37万元，其中，基本支出6139.37万元，项目支出7604万元，具体绩效目标详见报表。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U3YjA5NjMzYjJiOTdiMjViYzZmNzExYjJhMGE2NGIifQ=="/>
  </w:docVars>
  <w:rsids>
    <w:rsidRoot w:val="353772DE"/>
    <w:rsid w:val="000765FE"/>
    <w:rsid w:val="002773A8"/>
    <w:rsid w:val="006D467C"/>
    <w:rsid w:val="00936563"/>
    <w:rsid w:val="009376B4"/>
    <w:rsid w:val="009D10BD"/>
    <w:rsid w:val="009E72A2"/>
    <w:rsid w:val="00A47D7F"/>
    <w:rsid w:val="00AB70CC"/>
    <w:rsid w:val="00CE20A8"/>
    <w:rsid w:val="00D03854"/>
    <w:rsid w:val="00DA1325"/>
    <w:rsid w:val="0B8F3F75"/>
    <w:rsid w:val="0D4F7AB7"/>
    <w:rsid w:val="158B3365"/>
    <w:rsid w:val="23307374"/>
    <w:rsid w:val="238B30B1"/>
    <w:rsid w:val="273D12EC"/>
    <w:rsid w:val="2BFC139F"/>
    <w:rsid w:val="353772DE"/>
    <w:rsid w:val="54EF1D91"/>
    <w:rsid w:val="6280488F"/>
    <w:rsid w:val="67181C10"/>
    <w:rsid w:val="73C74E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3168</Words>
  <Characters>3422</Characters>
  <Lines>24</Lines>
  <Paragraphs>6</Paragraphs>
  <TotalTime>10</TotalTime>
  <ScaleCrop>false</ScaleCrop>
  <LinksUpToDate>false</LinksUpToDate>
  <CharactersWithSpaces>3428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2022-02-24T07:04:00Z</dcterms:created>
  <dc:creator>木木帛</dc:creator>
  <cp:lastModifiedBy>木木帛</cp:lastModifiedBy>
  <dcterms:modified xsi:type="dcterms:W3CDTF">2023-09-26T08:02:23Z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FEC0FF6931F743F3B3259A2ABB722E6C</vt:lpwstr>
  </property>
</Properties>
</file>