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0" w:line="219" w:lineRule="auto"/>
        <w:ind w:left="439"/>
        <w:rPr>
          <w:rFonts w:ascii="宋体" w:hAnsi="宋体" w:eastAsia="宋体" w:cs="宋体"/>
          <w:sz w:val="92"/>
          <w:szCs w:val="92"/>
        </w:rPr>
      </w:pPr>
      <w:r>
        <w:rPr>
          <w:rFonts w:ascii="宋体" w:hAnsi="宋体" w:eastAsia="宋体" w:cs="宋体"/>
          <w:b/>
          <w:bCs/>
          <w:color w:val="F11C23"/>
          <w:spacing w:val="-102"/>
          <w:w w:val="85"/>
          <w:sz w:val="92"/>
          <w:szCs w:val="92"/>
        </w:rPr>
        <w:t>湖南省网络商品交易监测中心</w:t>
      </w:r>
    </w:p>
    <w:p>
      <w:pPr>
        <w:spacing w:before="83" w:line="60" w:lineRule="exact"/>
        <w:textAlignment w:val="center"/>
      </w:pPr>
      <w:r>
        <w:drawing>
          <wp:inline distT="0" distB="0" distL="0" distR="0">
            <wp:extent cx="6057265" cy="3746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7897" cy="38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20" w:line="221" w:lineRule="auto"/>
        <w:ind w:left="1305"/>
        <w:rPr>
          <w:rFonts w:ascii="黑体" w:hAnsi="黑体" w:eastAsia="黑体" w:cs="黑体"/>
          <w:sz w:val="37"/>
          <w:szCs w:val="37"/>
        </w:rPr>
      </w:pPr>
      <w:r>
        <w:rPr>
          <w:rFonts w:ascii="黑体" w:hAnsi="黑体" w:eastAsia="黑体" w:cs="黑体"/>
          <w:b/>
          <w:bCs/>
          <w:spacing w:val="-14"/>
          <w:sz w:val="37"/>
          <w:szCs w:val="37"/>
        </w:rPr>
        <w:t>2022年湖南省网络商品交易监测中心预算</w:t>
      </w:r>
    </w:p>
    <w:p>
      <w:pPr>
        <w:spacing w:before="107" w:line="222" w:lineRule="auto"/>
        <w:ind w:left="4284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31"/>
          <w:sz w:val="33"/>
          <w:szCs w:val="33"/>
        </w:rPr>
        <w:t>目录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8" w:line="600" w:lineRule="exact"/>
        <w:ind w:left="1134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b/>
          <w:bCs/>
          <w:spacing w:val="4"/>
          <w:position w:val="19"/>
          <w:sz w:val="33"/>
          <w:szCs w:val="33"/>
        </w:rPr>
        <w:t>第一部分2022年单位预算说明</w:t>
      </w:r>
    </w:p>
    <w:p>
      <w:pPr>
        <w:spacing w:before="1" w:line="220" w:lineRule="auto"/>
        <w:ind w:left="1134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b/>
          <w:bCs/>
          <w:spacing w:val="5"/>
          <w:sz w:val="33"/>
          <w:szCs w:val="33"/>
        </w:rPr>
        <w:t>第二部分2022年单位预算表</w:t>
      </w:r>
    </w:p>
    <w:p>
      <w:pPr>
        <w:spacing w:before="214" w:line="223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20"/>
          <w:sz w:val="33"/>
          <w:szCs w:val="33"/>
        </w:rPr>
        <w:t>1、收支总表</w:t>
      </w:r>
    </w:p>
    <w:p>
      <w:pPr>
        <w:spacing w:before="192" w:line="223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8"/>
          <w:sz w:val="33"/>
          <w:szCs w:val="33"/>
        </w:rPr>
        <w:t>2、收入总表</w:t>
      </w:r>
    </w:p>
    <w:p>
      <w:pPr>
        <w:spacing w:before="202" w:line="224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8"/>
          <w:sz w:val="33"/>
          <w:szCs w:val="33"/>
        </w:rPr>
        <w:t>3、支出总表</w:t>
      </w:r>
    </w:p>
    <w:p>
      <w:pPr>
        <w:spacing w:before="184" w:line="221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z w:val="33"/>
          <w:szCs w:val="33"/>
        </w:rPr>
        <w:t>4、支出预算分类汇总表(按政府预算经济分</w:t>
      </w:r>
      <w:r>
        <w:rPr>
          <w:rFonts w:ascii="仿宋" w:hAnsi="仿宋" w:eastAsia="仿宋" w:cs="仿宋"/>
          <w:spacing w:val="-1"/>
          <w:sz w:val="33"/>
          <w:szCs w:val="33"/>
        </w:rPr>
        <w:t>类)</w:t>
      </w:r>
    </w:p>
    <w:p>
      <w:pPr>
        <w:spacing w:before="195" w:line="221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z w:val="33"/>
          <w:szCs w:val="33"/>
        </w:rPr>
        <w:t>5、支出预算分类汇总表(按部门预算经济分</w:t>
      </w:r>
      <w:r>
        <w:rPr>
          <w:rFonts w:ascii="仿宋" w:hAnsi="仿宋" w:eastAsia="仿宋" w:cs="仿宋"/>
          <w:spacing w:val="-1"/>
          <w:sz w:val="33"/>
          <w:szCs w:val="33"/>
        </w:rPr>
        <w:t>类)</w:t>
      </w:r>
    </w:p>
    <w:p>
      <w:pPr>
        <w:spacing w:before="200" w:line="223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8"/>
          <w:sz w:val="33"/>
          <w:szCs w:val="33"/>
        </w:rPr>
        <w:t>6、财政拨款收支总表</w:t>
      </w:r>
    </w:p>
    <w:p>
      <w:pPr>
        <w:spacing w:before="188" w:line="222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0"/>
          <w:sz w:val="33"/>
          <w:szCs w:val="33"/>
        </w:rPr>
        <w:t>7、一般公共预算支出表</w:t>
      </w:r>
    </w:p>
    <w:p>
      <w:pPr>
        <w:spacing w:before="193" w:line="222" w:lineRule="auto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9"/>
          <w:sz w:val="33"/>
          <w:szCs w:val="33"/>
        </w:rPr>
        <w:t>8、一般公共预算基本支出表-人员经费(工资福利支出)</w:t>
      </w:r>
    </w:p>
    <w:p>
      <w:pPr>
        <w:spacing w:before="192" w:line="221" w:lineRule="auto"/>
        <w:ind w:left="68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5"/>
          <w:sz w:val="33"/>
          <w:szCs w:val="33"/>
        </w:rPr>
        <w:t>(按政府预算经济分类)</w:t>
      </w:r>
    </w:p>
    <w:p>
      <w:pPr>
        <w:spacing w:before="197" w:line="588" w:lineRule="exact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7"/>
          <w:position w:val="18"/>
          <w:sz w:val="33"/>
          <w:szCs w:val="33"/>
        </w:rPr>
        <w:t>9、一般公共预算基本支出表-人员经费(工资福利支</w:t>
      </w:r>
      <w:r>
        <w:rPr>
          <w:rFonts w:ascii="仿宋" w:hAnsi="仿宋" w:eastAsia="仿宋" w:cs="仿宋"/>
          <w:spacing w:val="-8"/>
          <w:position w:val="18"/>
          <w:sz w:val="33"/>
          <w:szCs w:val="33"/>
        </w:rPr>
        <w:t>出)</w:t>
      </w:r>
    </w:p>
    <w:p>
      <w:pPr>
        <w:spacing w:before="2" w:line="220" w:lineRule="auto"/>
        <w:ind w:left="68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5"/>
          <w:sz w:val="33"/>
          <w:szCs w:val="33"/>
        </w:rPr>
        <w:t>(按部门预算经济分类)</w:t>
      </w:r>
    </w:p>
    <w:p>
      <w:pPr>
        <w:spacing w:before="196" w:line="589" w:lineRule="exact"/>
        <w:ind w:left="113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1"/>
          <w:position w:val="18"/>
          <w:sz w:val="33"/>
          <w:szCs w:val="33"/>
        </w:rPr>
        <w:t>10、一般公共预算基本支出表-人员经费(对个人和家庭</w:t>
      </w:r>
    </w:p>
    <w:p>
      <w:pPr>
        <w:spacing w:before="2" w:line="220" w:lineRule="auto"/>
        <w:ind w:left="520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"/>
          <w:sz w:val="33"/>
          <w:szCs w:val="33"/>
        </w:rPr>
        <w:t>的补助)(按政府预算经济分类)</w:t>
      </w:r>
    </w:p>
    <w:p>
      <w:pPr>
        <w:sectPr>
          <w:footerReference r:id="rId5" w:type="default"/>
          <w:pgSz w:w="11790" w:h="16640"/>
          <w:pgMar w:top="1414" w:right="660" w:bottom="1010" w:left="1519" w:header="0" w:footer="949" w:gutter="0"/>
          <w:cols w:space="720" w:num="1"/>
        </w:sectPr>
      </w:pPr>
    </w:p>
    <w:p>
      <w:pPr>
        <w:spacing w:before="131" w:line="589" w:lineRule="exact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position w:val="19"/>
          <w:sz w:val="32"/>
          <w:szCs w:val="32"/>
        </w:rPr>
        <w:t>11、一般公共预算基本支出表-人员经费(对个人和家庭</w:t>
      </w:r>
    </w:p>
    <w:p>
      <w:pPr>
        <w:spacing w:before="1" w:line="220" w:lineRule="auto"/>
        <w:ind w:left="3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的补助)(按部门预算经济分类)</w:t>
      </w:r>
    </w:p>
    <w:p>
      <w:pPr>
        <w:spacing w:before="208" w:line="589" w:lineRule="exact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position w:val="19"/>
          <w:sz w:val="32"/>
          <w:szCs w:val="32"/>
        </w:rPr>
        <w:t>12、一般公共预算基本支出表-公用经费(商品和服务支</w:t>
      </w:r>
    </w:p>
    <w:p>
      <w:pPr>
        <w:spacing w:before="1" w:line="220" w:lineRule="auto"/>
        <w:ind w:left="3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出)(按政府预算经济分类)</w:t>
      </w:r>
    </w:p>
    <w:p>
      <w:pPr>
        <w:spacing w:before="208" w:line="589" w:lineRule="exact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position w:val="19"/>
          <w:sz w:val="32"/>
          <w:szCs w:val="32"/>
        </w:rPr>
        <w:t>13、一般公共预算基本支出表-公用经费(商</w:t>
      </w:r>
      <w:r>
        <w:rPr>
          <w:rFonts w:ascii="仿宋" w:hAnsi="仿宋" w:eastAsia="仿宋" w:cs="仿宋"/>
          <w:spacing w:val="-5"/>
          <w:position w:val="19"/>
          <w:sz w:val="32"/>
          <w:szCs w:val="32"/>
        </w:rPr>
        <w:t>品和服务支</w:t>
      </w:r>
    </w:p>
    <w:p>
      <w:pPr>
        <w:spacing w:before="1" w:line="220" w:lineRule="auto"/>
        <w:ind w:left="3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出)(按部门预算经济分类)</w:t>
      </w:r>
    </w:p>
    <w:p>
      <w:pPr>
        <w:spacing w:before="208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</w:rPr>
        <w:t>14、一般公共预算“三公”经费支出表</w:t>
      </w:r>
    </w:p>
    <w:p>
      <w:pPr>
        <w:spacing w:before="203" w:line="220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15、政府性基金预算支出表</w:t>
      </w:r>
    </w:p>
    <w:p>
      <w:pPr>
        <w:spacing w:before="209" w:line="220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16、政府性基金预算支出分类汇总表(按政府预算经济</w:t>
      </w:r>
    </w:p>
    <w:p>
      <w:pPr>
        <w:spacing w:before="214" w:line="224" w:lineRule="auto"/>
        <w:ind w:left="3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3"/>
          <w:sz w:val="32"/>
          <w:szCs w:val="32"/>
        </w:rPr>
        <w:t>分类)</w:t>
      </w:r>
    </w:p>
    <w:p>
      <w:pPr>
        <w:spacing w:before="196" w:line="596" w:lineRule="exact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20"/>
          <w:sz w:val="32"/>
          <w:szCs w:val="32"/>
        </w:rPr>
        <w:t>17、政府性基金预算支出分类汇总表(按部门预算经济</w:t>
      </w:r>
    </w:p>
    <w:p>
      <w:pPr>
        <w:spacing w:before="1" w:line="223" w:lineRule="auto"/>
        <w:ind w:left="3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3"/>
          <w:sz w:val="32"/>
          <w:szCs w:val="32"/>
        </w:rPr>
        <w:t>分类)</w:t>
      </w:r>
    </w:p>
    <w:p>
      <w:pPr>
        <w:spacing w:before="198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18、国有资本经营预算支出表</w:t>
      </w:r>
    </w:p>
    <w:p>
      <w:pPr>
        <w:spacing w:before="206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19、财政专户管理资金预算支出表</w:t>
      </w:r>
    </w:p>
    <w:p>
      <w:pPr>
        <w:spacing w:before="325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20、省级专项资金预算汇总表</w:t>
      </w:r>
    </w:p>
    <w:p>
      <w:pPr>
        <w:spacing w:before="218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21、省级专项资金绩效目标表</w:t>
      </w:r>
    </w:p>
    <w:p>
      <w:pPr>
        <w:spacing w:before="212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22、其他项目支出绩效目标表</w:t>
      </w:r>
    </w:p>
    <w:p>
      <w:pPr>
        <w:spacing w:before="215" w:line="222" w:lineRule="auto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23、部门整体支出绩效目标表</w:t>
      </w:r>
    </w:p>
    <w:p>
      <w:pPr>
        <w:spacing w:before="215" w:line="593" w:lineRule="exact"/>
        <w:ind w:left="96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position w:val="20"/>
          <w:sz w:val="32"/>
          <w:szCs w:val="32"/>
        </w:rPr>
        <w:t>注：以上单位预算报表中，空表表示本单位无相关收支</w:t>
      </w:r>
    </w:p>
    <w:p>
      <w:pPr>
        <w:spacing w:line="222" w:lineRule="auto"/>
        <w:ind w:left="3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情况。</w:t>
      </w:r>
    </w:p>
    <w:p>
      <w:pPr>
        <w:sectPr>
          <w:footerReference r:id="rId6" w:type="default"/>
          <w:pgSz w:w="11500" w:h="16440"/>
          <w:pgMar w:top="1397" w:right="1160" w:bottom="400" w:left="1725" w:header="0" w:footer="0" w:gutter="0"/>
          <w:cols w:space="720" w:num="1"/>
        </w:sectPr>
      </w:pPr>
    </w:p>
    <w:p>
      <w:pPr>
        <w:spacing w:before="158" w:line="221" w:lineRule="auto"/>
        <w:ind w:left="20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4"/>
          <w:sz w:val="31"/>
          <w:szCs w:val="31"/>
        </w:rPr>
        <w:t>第一部分</w:t>
      </w:r>
      <w:r>
        <w:rPr>
          <w:rFonts w:hint="eastAsia" w:ascii="黑体" w:hAnsi="黑体" w:eastAsia="黑体" w:cs="黑体"/>
          <w:b/>
          <w:bCs/>
          <w:spacing w:val="44"/>
          <w:sz w:val="31"/>
          <w:szCs w:val="31"/>
          <w:lang w:val="en-US" w:eastAsia="zh-CN"/>
        </w:rPr>
        <w:t xml:space="preserve"> </w:t>
      </w:r>
      <w:r>
        <w:rPr>
          <w:rFonts w:ascii="黑体" w:hAnsi="黑体" w:eastAsia="黑体" w:cs="黑体"/>
          <w:b/>
          <w:bCs/>
          <w:spacing w:val="44"/>
          <w:sz w:val="31"/>
          <w:szCs w:val="31"/>
        </w:rPr>
        <w:t>2022年单位预算说明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1" w:line="508" w:lineRule="exact"/>
        <w:ind w:left="96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8"/>
          <w:position w:val="14"/>
          <w:sz w:val="31"/>
          <w:szCs w:val="31"/>
        </w:rPr>
        <w:t>一、单位基本概况</w:t>
      </w:r>
    </w:p>
    <w:p>
      <w:pPr>
        <w:spacing w:line="224" w:lineRule="auto"/>
        <w:ind w:left="114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9"/>
          <w:sz w:val="31"/>
          <w:szCs w:val="31"/>
        </w:rPr>
        <w:t>(一)职能职责。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我中心三定方案主要职责具体如下：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1、为机关提供支持保障的职能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(1)承担网络交易监测、广告监测相关事务性工作。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(2)开展网络交易、广告违法线索电子取证和固证工作。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(3)协助指导督促网络交易平台经营者落实主体责任；协助指导参与全省网络交易监测</w:t>
      </w:r>
      <w:bookmarkStart w:id="0" w:name="_GoBack"/>
      <w:bookmarkEnd w:id="0"/>
      <w:r>
        <w:rPr>
          <w:rFonts w:ascii="仿宋" w:hAnsi="仿宋" w:eastAsia="仿宋" w:cs="仿宋"/>
          <w:spacing w:val="4"/>
          <w:sz w:val="31"/>
          <w:szCs w:val="31"/>
        </w:rPr>
        <w:t>、广告监测平台的规划、建设及管理；协助网络交易、广告经营者信用监管相关事务性工作。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2、面向社会提供公益服务的职能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开展网络交易监测、广告监测学术研究和交流合作。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3、完成省市场监督管理局交办的其他任务。</w:t>
      </w:r>
    </w:p>
    <w:p>
      <w:pPr>
        <w:spacing w:before="179" w:line="229" w:lineRule="auto"/>
        <w:ind w:left="8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1"/>
          <w:sz w:val="31"/>
          <w:szCs w:val="31"/>
        </w:rPr>
        <w:t>(二)机构设置。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内设机构(2个):综合部、网络交易及广告监测部。</w:t>
      </w:r>
    </w:p>
    <w:p>
      <w:pPr>
        <w:numPr>
          <w:ilvl w:val="0"/>
          <w:numId w:val="0"/>
        </w:numPr>
        <w:autoSpaceDN w:val="0"/>
        <w:spacing w:line="560" w:lineRule="exact"/>
        <w:ind w:firstLine="960" w:firstLineChars="300"/>
        <w:rPr>
          <w:rFonts w:hint="default" w:eastAsia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  <w:t>二、</w:t>
      </w:r>
      <w:r>
        <w:rPr>
          <w:rFonts w:hint="eastAsia" w:eastAsia="黑体"/>
          <w:bCs/>
          <w:kern w:val="0"/>
          <w:sz w:val="32"/>
          <w:szCs w:val="32"/>
          <w:lang w:val="en-US" w:eastAsia="zh-CN"/>
        </w:rPr>
        <w:t>部门预算单位构成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28"/>
          <w:sz w:val="31"/>
          <w:szCs w:val="31"/>
        </w:rPr>
      </w:pP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本单位无下级预算单位，本次预算公开仅包括湖南省网络商品交易监测中心本级。</w:t>
      </w:r>
    </w:p>
    <w:p>
      <w:pPr>
        <w:spacing w:before="207" w:line="222" w:lineRule="auto"/>
        <w:ind w:left="96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-2"/>
          <w:sz w:val="31"/>
          <w:szCs w:val="31"/>
          <w:lang w:val="en-US" w:eastAsia="zh-CN"/>
        </w:rPr>
        <w:t>三</w:t>
      </w: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、单位收支总体情况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一)收入预算：包括一般公共预算、政府性基金、国有资本经营预算等财政拨款收入，以及经营收入、事业收入等单位资金。2022年本单位收入预算516.6万元，其中，一般公共预算拨款516.6万元。本单位为新设机构，上年度为非独立预算单位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4"/>
          <w:sz w:val="31"/>
          <w:szCs w:val="31"/>
        </w:rPr>
        <w:t>无数据可比较。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(二)支出预算：2022年本单位支出预算.516.6万元，其中，一般公共服务支出272.08万元，社会保障和就业支出77.52万元，卫生健康支出27万元，住房保障支出40万元。本单位为新设机构，上年度为非独立</w:t>
      </w:r>
      <w:r>
        <w:rPr>
          <w:rFonts w:ascii="仿宋" w:hAnsi="仿宋" w:eastAsia="仿宋" w:cs="仿宋"/>
          <w:spacing w:val="4"/>
          <w:sz w:val="31"/>
          <w:szCs w:val="31"/>
        </w:rPr>
        <w:t>预算单位，</w:t>
      </w:r>
      <w:r>
        <w:rPr>
          <w:rFonts w:ascii="仿宋" w:hAnsi="仿宋" w:eastAsia="仿宋" w:cs="仿宋"/>
          <w:spacing w:val="3"/>
          <w:sz w:val="31"/>
          <w:szCs w:val="31"/>
        </w:rPr>
        <w:t>无数据可比较。</w:t>
      </w:r>
    </w:p>
    <w:p>
      <w:pPr>
        <w:spacing w:before="194" w:line="221" w:lineRule="auto"/>
        <w:ind w:left="99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-4"/>
          <w:sz w:val="31"/>
          <w:szCs w:val="31"/>
          <w:lang w:val="en-US" w:eastAsia="zh-CN"/>
        </w:rPr>
        <w:t>四</w:t>
      </w:r>
      <w:r>
        <w:rPr>
          <w:rFonts w:ascii="黑体" w:hAnsi="黑体" w:eastAsia="黑体" w:cs="黑体"/>
          <w:b/>
          <w:bCs/>
          <w:spacing w:val="-4"/>
          <w:sz w:val="31"/>
          <w:szCs w:val="31"/>
        </w:rPr>
        <w:t>、一般公共预算拨款支出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2022年本单位一般公共预算拨款支出预算516.6万元，其中，一般公共服务支出272.08万元，占52.67%;社会保障和就业支出177.52万元，占34.36%;卫生</w:t>
      </w:r>
      <w:r>
        <w:rPr>
          <w:rFonts w:ascii="仿宋" w:hAnsi="仿宋" w:eastAsia="仿宋" w:cs="仿宋"/>
          <w:spacing w:val="4"/>
          <w:sz w:val="31"/>
          <w:szCs w:val="31"/>
        </w:rPr>
        <w:t>健康支出27万元，占.5.23%;住房保障支出40万元，占7.74%。具体安排情况如下：</w:t>
      </w:r>
    </w:p>
    <w:p>
      <w:pPr>
        <w:spacing w:before="120" w:line="222" w:lineRule="auto"/>
        <w:ind w:firstLine="954" w:firstLineChars="300"/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4"/>
          <w:sz w:val="31"/>
          <w:szCs w:val="31"/>
        </w:rPr>
        <w:t>(一)基本支出：2022年本单位基本支出预算数516.6万元，主要是为保障单位正常运转、完成日常工作任务而发生的各项支出，包括用于基本工资、津贴补贴等人员经费以及办公费、印刷费、维修费、办公设备购置等公用经费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(二)项目支出：2022年本单位项目支出预算0万元。</w:t>
      </w:r>
    </w:p>
    <w:p>
      <w:pPr>
        <w:spacing w:before="238" w:line="222" w:lineRule="auto"/>
        <w:ind w:left="99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-2"/>
          <w:sz w:val="31"/>
          <w:szCs w:val="31"/>
          <w:lang w:val="en-US" w:eastAsia="zh-CN"/>
        </w:rPr>
        <w:t>五</w:t>
      </w: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、政府性基金预算支出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本单位无政府性基金安排的支出。</w:t>
      </w:r>
    </w:p>
    <w:p>
      <w:pPr>
        <w:spacing w:before="230" w:line="221" w:lineRule="auto"/>
        <w:ind w:left="99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-1"/>
          <w:sz w:val="31"/>
          <w:szCs w:val="31"/>
          <w:lang w:val="en-US" w:eastAsia="zh-CN"/>
        </w:rPr>
        <w:t>六</w:t>
      </w:r>
      <w:r>
        <w:rPr>
          <w:rFonts w:ascii="黑体" w:hAnsi="黑体" w:eastAsia="黑体" w:cs="黑体"/>
          <w:b/>
          <w:bCs/>
          <w:spacing w:val="-1"/>
          <w:sz w:val="31"/>
          <w:szCs w:val="31"/>
        </w:rPr>
        <w:t>、其他重要事项的情况说明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(一)机关运行经费：2022年本单位运行经费32.23万元。本单位为新设机构，上年度为非独立预算单位，无数据可比较。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(二)“三公"经费预算：2022年本单位“三公”经费预算数为0.6万元，其中，公务接待费0.6万元，公务用车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购置及运行费0万元(其中，公务用车购置费0万元，公务用车运行费0万元),因公出国(境)费0万元。本单位为新设机构，上年度为非独立预算单位，无数据可比较。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三)一般性支出情况：2022年本单位培训费预算5.78万元，拟开展1次培训，人数15人，天数.10-15天/人内容为网络交易监测、广告监测相关业务培训(因省网监中心为新设机构，该培训费为中心业务部门工作人员进行的新业务培训)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(四)政府采购情况：2022年本部门政府采购预算总额0万元，其中，货物类采购预算.0万元；工程类采购预算0万元；服务类采购预算0万元。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五)国有资产占用使用及新增资产配置情况：截至2021年12月底，本部门共有公务用车，0辆，其中，机要通信用车0辆，应急保障用车0辆，执法执勤用车0辆，特种专业技术用车0辆，其他按照规定配备的公务用车0辆；单位价值50万元以上通用设备0台，单位价值100万元以上专用设备0台。2022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(六)预算绩效目标说明：本部门所有支出实行绩效目标管理。纳入2022年部门整体支出绩效目标的金额为516.6万元，其中，基本支出516.6万元，项目支出0万元，具体绩效目标详见报表。</w:t>
      </w:r>
    </w:p>
    <w:p>
      <w:pPr>
        <w:spacing w:before="219" w:line="222" w:lineRule="auto"/>
        <w:ind w:left="96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7"/>
          <w:sz w:val="31"/>
          <w:szCs w:val="31"/>
        </w:rPr>
        <w:t>七、名词解释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spacing w:before="120" w:line="222" w:lineRule="auto"/>
        <w:ind w:firstLine="954" w:firstLineChars="300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、“三公"经费：纳入省(市/县)财政预算管理的“三公“经费，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,以及燃料费、维修费、保险费等支出；因公出国(境)费反映单位公务出国(境)的国际旅费、国外城市间交通费、住宿费、伙食费、培训费、公杂费等等支出。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before="100" w:line="222" w:lineRule="auto"/>
        <w:ind w:left="223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6"/>
          <w:sz w:val="31"/>
          <w:szCs w:val="31"/>
        </w:rPr>
        <w:t>第二部分2022年单位预算表</w:t>
      </w:r>
    </w:p>
    <w:sectPr>
      <w:pgSz w:w="11500" w:h="16500"/>
      <w:pgMar w:top="1402" w:right="974" w:bottom="400" w:left="17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60" w:lineRule="exact"/>
      <w:rPr>
        <w:rFonts w:ascii="Arial"/>
        <w:sz w:val="5"/>
      </w:rPr>
    </w:pPr>
    <w:r>
      <w:pict>
        <v:rect id="_x0000_s2049" o:spid="_x0000_s2049" o:spt="1" style="position:absolute;left:0pt;margin-left:79.5pt;margin-top:781.45pt;height:3.05pt;width:477pt;mso-position-horizontal-relative:page;mso-position-vertical-relative:page;z-index:251659264;mso-width-relative:page;mso-height-relative:page;" fillcolor="#FF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M4Y2IzMjJiZjkzZWQ3NjQ5MDA3N2E3ZmI4OTkxZTIifQ=="/>
  </w:docVars>
  <w:rsids>
    <w:rsidRoot w:val="00000000"/>
    <w:rsid w:val="658C2A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2023-09-26T14:25:00Z</dcterms:created>
  <dc:creator>Kingsoft-PDF</dc:creator>
  <cp:lastModifiedBy>吧唧~</cp:lastModifiedBy>
  <dcterms:modified xsi:type="dcterms:W3CDTF">2023-09-25T06:34:43Z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2023-09-26T14:25:26Z</vt:filetime>
  </property>
  <property fmtid="{D5CDD505-2E9C-101B-9397-08002B2CF9AE}" pid="4" name="UsrData">
    <vt:lpwstr>65127952600b7f001f6a6b7awl</vt:lpwstr>
  </property>
  <property fmtid="{D5CDD505-2E9C-101B-9397-08002B2CF9AE}" pid="5" name="KSOProductBuildVer">
    <vt:lpwstr>2052-12.1.0.15374</vt:lpwstr>
  </property>
  <property fmtid="{D5CDD505-2E9C-101B-9397-08002B2CF9AE}" pid="6" name="ICV">
    <vt:lpwstr>8B084749D3534C9E9418DD3BE184BB6E_13</vt:lpwstr>
  </property>
</Properties>
</file>