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</w:t>
      </w:r>
      <w:r>
        <w:rPr>
          <w:rFonts w:hint="eastAsia" w:eastAsia="方正小标宋_GBK"/>
          <w:bCs/>
          <w:kern w:val="0"/>
          <w:sz w:val="44"/>
          <w:szCs w:val="44"/>
        </w:rPr>
        <w:t>22</w:t>
      </w:r>
      <w:r>
        <w:rPr>
          <w:rFonts w:eastAsia="方正小标宋_GBK"/>
          <w:bCs/>
          <w:kern w:val="0"/>
          <w:sz w:val="44"/>
          <w:szCs w:val="44"/>
        </w:rPr>
        <w:t>年</w:t>
      </w:r>
      <w:r>
        <w:rPr>
          <w:rFonts w:hint="eastAsia" w:eastAsia="方正小标宋_GBK"/>
          <w:bCs/>
          <w:kern w:val="0"/>
          <w:sz w:val="44"/>
          <w:szCs w:val="44"/>
        </w:rPr>
        <w:t>邵阳县</w:t>
      </w:r>
      <w:r>
        <w:rPr>
          <w:rFonts w:hint="eastAsia" w:ascii="方正小标宋_GBK" w:eastAsia="方正小标宋_GBK"/>
          <w:bCs/>
          <w:kern w:val="0"/>
          <w:sz w:val="44"/>
          <w:szCs w:val="44"/>
        </w:rPr>
        <w:t>人民检察院</w:t>
      </w:r>
      <w:r>
        <w:rPr>
          <w:rFonts w:hint="eastAsia" w:eastAsia="方正小标宋_GBK"/>
          <w:bCs/>
          <w:kern w:val="0"/>
          <w:sz w:val="44"/>
          <w:szCs w:val="44"/>
        </w:rPr>
        <w:t>单位</w:t>
      </w:r>
      <w:r>
        <w:rPr>
          <w:rFonts w:eastAsia="方正小标宋_GBK"/>
          <w:bCs/>
          <w:kern w:val="0"/>
          <w:sz w:val="44"/>
          <w:szCs w:val="44"/>
        </w:rPr>
        <w:t>预算</w:t>
      </w:r>
    </w:p>
    <w:p>
      <w:pPr>
        <w:widowControl/>
        <w:spacing w:line="600" w:lineRule="exact"/>
        <w:jc w:val="center"/>
        <w:rPr>
          <w:rFonts w:ascii="楷体_GB2312"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2" w:firstLineChars="200"/>
        <w:rPr>
          <w:rFonts w:ascii="方正小标宋_GBK" w:eastAsia="方正小标宋_GBK"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hint="eastAsia" w:eastAsia="仿宋_GB2312"/>
          <w:b/>
          <w:bCs/>
          <w:kern w:val="0"/>
          <w:sz w:val="32"/>
          <w:szCs w:val="32"/>
        </w:rPr>
        <w:t>2022年部门预算说明</w:t>
      </w:r>
    </w:p>
    <w:p>
      <w:pPr>
        <w:widowControl/>
        <w:spacing w:line="600" w:lineRule="exact"/>
        <w:ind w:firstLine="642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第二部分 </w:t>
      </w:r>
      <w:r>
        <w:rPr>
          <w:rFonts w:hint="eastAsia" w:eastAsia="仿宋_GB2312"/>
          <w:b/>
          <w:bCs/>
          <w:kern w:val="0"/>
          <w:sz w:val="32"/>
          <w:szCs w:val="32"/>
        </w:rPr>
        <w:t>2022</w:t>
      </w:r>
      <w:r>
        <w:rPr>
          <w:rFonts w:eastAsia="仿宋_GB2312"/>
          <w:b/>
          <w:bCs/>
          <w:kern w:val="0"/>
          <w:sz w:val="32"/>
          <w:szCs w:val="32"/>
        </w:rPr>
        <w:t>年部门预算表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12、一般公共预算基本支出表-公用经费（商品和服务支出）（按政府预算经济分类）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13、一般公共预算基本支出表-公用经费（商品和服务支出）（按部门预算经济分类）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  <w:t>注：以上单位预算报表中，空表表示本单位无相关收支情况。</w:t>
      </w:r>
    </w:p>
    <w:p>
      <w:pPr>
        <w:widowControl/>
        <w:spacing w:line="600" w:lineRule="exact"/>
        <w:rPr>
          <w:b/>
        </w:rPr>
      </w:pPr>
    </w:p>
    <w:p>
      <w:pPr>
        <w:widowControl/>
        <w:spacing w:line="600" w:lineRule="exact"/>
        <w:rPr>
          <w:b/>
        </w:rPr>
      </w:pPr>
    </w:p>
    <w:p>
      <w:pPr>
        <w:widowControl/>
        <w:spacing w:line="600" w:lineRule="exact"/>
        <w:rPr>
          <w:b/>
        </w:rPr>
      </w:pPr>
    </w:p>
    <w:p>
      <w:pPr>
        <w:widowControl/>
        <w:spacing w:line="600" w:lineRule="exact"/>
        <w:rPr>
          <w:b/>
        </w:rPr>
      </w:pPr>
    </w:p>
    <w:p>
      <w:pPr>
        <w:widowControl/>
        <w:spacing w:line="600" w:lineRule="exact"/>
        <w:rPr>
          <w:b/>
        </w:rPr>
      </w:pPr>
    </w:p>
    <w:p>
      <w:pPr>
        <w:widowControl/>
        <w:spacing w:line="600" w:lineRule="exact"/>
        <w:rPr>
          <w:b/>
        </w:rPr>
      </w:pPr>
    </w:p>
    <w:p>
      <w:pPr>
        <w:widowControl/>
        <w:spacing w:line="600" w:lineRule="exact"/>
        <w:rPr>
          <w:b/>
        </w:rPr>
      </w:pPr>
    </w:p>
    <w:p>
      <w:pPr>
        <w:widowControl/>
        <w:spacing w:line="600" w:lineRule="exact"/>
        <w:jc w:val="center"/>
        <w:outlineLvl w:val="0"/>
        <w:rPr>
          <w:b/>
          <w:bCs/>
          <w:kern w:val="0"/>
          <w:sz w:val="44"/>
          <w:szCs w:val="44"/>
        </w:rPr>
      </w:pPr>
      <w:bookmarkStart w:id="0" w:name="_Toc20263"/>
      <w:r>
        <w:rPr>
          <w:rFonts w:hint="eastAsia" w:ascii="宋体" w:hAnsi="宋体"/>
          <w:b/>
          <w:sz w:val="44"/>
          <w:szCs w:val="44"/>
        </w:rPr>
        <w:t xml:space="preserve">第一部分 </w:t>
      </w:r>
      <w:r>
        <w:rPr>
          <w:rFonts w:hint="eastAsia"/>
          <w:b/>
          <w:bCs/>
          <w:kern w:val="0"/>
          <w:sz w:val="44"/>
          <w:szCs w:val="44"/>
        </w:rPr>
        <w:t>2022</w:t>
      </w:r>
      <w:r>
        <w:rPr>
          <w:b/>
          <w:bCs/>
          <w:kern w:val="0"/>
          <w:sz w:val="44"/>
          <w:szCs w:val="44"/>
        </w:rPr>
        <w:t>年</w:t>
      </w:r>
      <w:r>
        <w:rPr>
          <w:rFonts w:hint="eastAsia"/>
          <w:b/>
          <w:bCs/>
          <w:kern w:val="0"/>
          <w:sz w:val="44"/>
          <w:szCs w:val="44"/>
        </w:rPr>
        <w:t>单位</w:t>
      </w:r>
      <w:r>
        <w:rPr>
          <w:b/>
          <w:bCs/>
          <w:kern w:val="0"/>
          <w:sz w:val="44"/>
          <w:szCs w:val="44"/>
        </w:rPr>
        <w:t>预算说明</w:t>
      </w:r>
      <w:bookmarkEnd w:id="0"/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outlineLvl w:val="1"/>
        <w:rPr>
          <w:rFonts w:eastAsia="黑体"/>
          <w:bCs/>
          <w:kern w:val="0"/>
          <w:sz w:val="32"/>
          <w:szCs w:val="32"/>
        </w:rPr>
      </w:pPr>
      <w:bookmarkStart w:id="1" w:name="_Toc32627"/>
      <w:r>
        <w:rPr>
          <w:rFonts w:eastAsia="黑体"/>
          <w:bCs/>
          <w:kern w:val="0"/>
          <w:sz w:val="32"/>
          <w:szCs w:val="32"/>
        </w:rPr>
        <w:t>一、</w:t>
      </w:r>
      <w:r>
        <w:rPr>
          <w:rFonts w:hint="eastAsia" w:eastAsia="黑体"/>
          <w:bCs/>
          <w:kern w:val="0"/>
          <w:sz w:val="32"/>
          <w:szCs w:val="32"/>
        </w:rPr>
        <w:t>单位</w:t>
      </w:r>
      <w:r>
        <w:rPr>
          <w:rFonts w:eastAsia="黑体"/>
          <w:bCs/>
          <w:kern w:val="0"/>
          <w:sz w:val="32"/>
          <w:szCs w:val="32"/>
        </w:rPr>
        <w:t>基本概况</w:t>
      </w:r>
      <w:bookmarkEnd w:id="1"/>
    </w:p>
    <w:p>
      <w:pPr>
        <w:ind w:firstLine="629" w:firstLineChars="196"/>
        <w:outlineLvl w:val="2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（一）职能职责</w:t>
      </w:r>
    </w:p>
    <w:p>
      <w:pPr>
        <w:ind w:firstLine="627" w:firstLineChars="196"/>
        <w:outlineLvl w:val="2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1、</w:t>
      </w:r>
      <w:r>
        <w:rPr>
          <w:rFonts w:eastAsia="仿宋_GB2312"/>
          <w:color w:val="000000"/>
          <w:sz w:val="32"/>
          <w:szCs w:val="32"/>
        </w:rPr>
        <w:t>深入贯彻习近平新时代中国特色社会主义思想，深入贯彻党的路线方针政策和决策部署，坚持党对检察工作的绝对领导，坚决维护习近平总书记的核心地位，坚决维护党中央权威和集中统一领导。</w:t>
      </w:r>
    </w:p>
    <w:p>
      <w:pPr>
        <w:ind w:firstLine="627" w:firstLineChars="196"/>
        <w:outlineLvl w:val="2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2、贯彻落实上级人民检察院的各项工作部署，研究制定检察工作规划，部署检察工作任务。</w:t>
      </w:r>
    </w:p>
    <w:p>
      <w:pPr>
        <w:ind w:firstLine="627" w:firstLineChars="196"/>
        <w:outlineLvl w:val="2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3、依照法律规定对由县人民检察院直接受理的刑事案件行使侦查权。</w:t>
      </w:r>
    </w:p>
    <w:p>
      <w:pPr>
        <w:ind w:firstLine="627" w:firstLineChars="196"/>
        <w:outlineLvl w:val="2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4、对刑事案件依法审查批准逮捕、决定逮捕、提起公诉。</w:t>
      </w:r>
    </w:p>
    <w:p>
      <w:pPr>
        <w:ind w:firstLine="627" w:firstLineChars="196"/>
        <w:outlineLvl w:val="2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5、负责应由县人民检察院承办的刑事、民事、行政诉讼活动及刑事、民事、行政判决和裁定等生效法律文书执行的法律监督工作。</w:t>
      </w:r>
    </w:p>
    <w:p>
      <w:pPr>
        <w:ind w:firstLine="627" w:firstLineChars="196"/>
        <w:outlineLvl w:val="2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6、负责应由县人民检察院承办的提起公益诉讼工作。</w:t>
      </w:r>
    </w:p>
    <w:p>
      <w:pPr>
        <w:ind w:firstLine="627" w:firstLineChars="196"/>
        <w:outlineLvl w:val="2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7、负责应由县人民检察院承办的对看守所、社区矫正机构等执法活动的法律监督工作。</w:t>
      </w:r>
    </w:p>
    <w:p>
      <w:pPr>
        <w:ind w:firstLine="627" w:firstLineChars="196"/>
        <w:outlineLvl w:val="2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8、受理向县人民检察院的控告申诉。</w:t>
      </w:r>
    </w:p>
    <w:p>
      <w:pPr>
        <w:ind w:firstLine="627" w:firstLineChars="196"/>
        <w:outlineLvl w:val="2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9、负责检察机关的理论研究工作。</w:t>
      </w:r>
    </w:p>
    <w:p>
      <w:pPr>
        <w:ind w:firstLine="627" w:firstLineChars="196"/>
        <w:outlineLvl w:val="2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10、负责检察机关队伍建设和思想政治工作。</w:t>
      </w:r>
    </w:p>
    <w:p>
      <w:pPr>
        <w:ind w:firstLine="627" w:firstLineChars="196"/>
        <w:outlineLvl w:val="2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11、负责检务督察工作。</w:t>
      </w:r>
    </w:p>
    <w:p>
      <w:pPr>
        <w:ind w:firstLine="627" w:firstLineChars="196"/>
        <w:outlineLvl w:val="2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12、负责检察机关财物装备和检察技术信息工作。</w:t>
      </w:r>
    </w:p>
    <w:p>
      <w:pPr>
        <w:ind w:firstLine="627" w:firstLineChars="196"/>
        <w:outlineLvl w:val="2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13、负责其他应由县人民检察院承办的事项。</w:t>
      </w:r>
    </w:p>
    <w:p>
      <w:pPr>
        <w:widowControl/>
        <w:numPr>
          <w:ilvl w:val="0"/>
          <w:numId w:val="1"/>
        </w:numPr>
        <w:spacing w:line="600" w:lineRule="exact"/>
        <w:ind w:firstLine="629" w:firstLineChars="196"/>
        <w:jc w:val="left"/>
        <w:outlineLvl w:val="2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机构设置</w:t>
      </w:r>
    </w:p>
    <w:p>
      <w:pPr>
        <w:snapToGrid w:val="0"/>
        <w:spacing w:line="520" w:lineRule="exact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/>
          <w:sz w:val="32"/>
          <w:szCs w:val="32"/>
        </w:rPr>
        <w:t>我院现有8个内设机构，分别为办公室、第一检察部、第二检察部、第三检察部、第四检察部、第五检察部、第六检察部、政治部（司法警察大队）。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2.邵阳县人民检察院只有本级，没有其他预算单位，因此本部门预算仅含本级预算。</w:t>
      </w:r>
    </w:p>
    <w:p>
      <w:pPr>
        <w:widowControl/>
        <w:spacing w:line="600" w:lineRule="exact"/>
        <w:ind w:firstLine="627" w:firstLineChars="196"/>
        <w:outlineLvl w:val="1"/>
        <w:rPr>
          <w:rFonts w:ascii="仿宋_GB2312" w:hAnsi="宋体" w:eastAsia="仿宋_GB2312"/>
          <w:sz w:val="32"/>
          <w:szCs w:val="32"/>
        </w:rPr>
      </w:pPr>
      <w:bookmarkStart w:id="2" w:name="_Toc26426"/>
      <w:r>
        <w:rPr>
          <w:rFonts w:hint="eastAsia" w:eastAsia="黑体"/>
          <w:kern w:val="0"/>
          <w:sz w:val="32"/>
          <w:szCs w:val="32"/>
        </w:rPr>
        <w:t>二</w:t>
      </w:r>
      <w:r>
        <w:rPr>
          <w:rFonts w:eastAsia="黑体"/>
          <w:kern w:val="0"/>
          <w:sz w:val="32"/>
          <w:szCs w:val="32"/>
        </w:rPr>
        <w:t>、</w:t>
      </w:r>
      <w:r>
        <w:rPr>
          <w:rFonts w:hint="eastAsia" w:eastAsia="黑体"/>
          <w:bCs/>
          <w:kern w:val="0"/>
          <w:sz w:val="32"/>
          <w:szCs w:val="32"/>
        </w:rPr>
        <w:t>单位</w:t>
      </w:r>
      <w:r>
        <w:rPr>
          <w:rFonts w:eastAsia="黑体"/>
          <w:bCs/>
          <w:kern w:val="0"/>
          <w:sz w:val="32"/>
          <w:szCs w:val="32"/>
        </w:rPr>
        <w:t>收支总体情况</w:t>
      </w:r>
      <w:bookmarkEnd w:id="2"/>
    </w:p>
    <w:p>
      <w:pPr>
        <w:outlineLvl w:val="2"/>
        <w:rPr>
          <w:rFonts w:ascii="宋体" w:hAnsi="宋体" w:eastAsia="仿宋_GB2312" w:cs="宋体"/>
          <w:b/>
          <w:bCs/>
          <w:sz w:val="20"/>
          <w:szCs w:val="20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hint="eastAsia" w:ascii="仿宋_GB2312" w:eastAsia="仿宋_GB2312"/>
          <w:sz w:val="32"/>
          <w:szCs w:val="32"/>
        </w:rPr>
        <w:t>2022年本单位收入预算1570.38万元，其中，一般公共预算拨款1184.25万元，中央财政补助331.75万元，无政府性基金、国有资本经营预算拨款和纳入专户管理的非税收入，上年结余结转54.38万元。收入较去年减少89.87万元，主要是因为2022年预算收入中一般公共预算拨款增加了93.15万元，中央财政补助减少10万元，上年结余结转减少了173.02万元。</w:t>
      </w:r>
    </w:p>
    <w:p>
      <w:pPr>
        <w:outlineLvl w:val="2"/>
        <w:rPr>
          <w:rFonts w:ascii="宋体" w:hAnsi="宋体" w:eastAsia="仿宋_GB2312" w:cs="宋体"/>
          <w:b/>
          <w:bCs/>
          <w:sz w:val="20"/>
          <w:szCs w:val="20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（二）支出预算：</w:t>
      </w:r>
      <w:r>
        <w:rPr>
          <w:rFonts w:hint="eastAsia" w:ascii="仿宋_GB2312" w:eastAsia="仿宋_GB2312"/>
          <w:sz w:val="32"/>
          <w:szCs w:val="32"/>
        </w:rPr>
        <w:t>2022年本单位支出预算1570.38万元，其中，公共安全1379.08万元，教育支出3万元，社会保障和就业支出55.95万元，卫生</w:t>
      </w:r>
      <w:r>
        <w:rPr>
          <w:rFonts w:hint="eastAsia" w:ascii="仿宋_GB2312" w:hAnsi="宋体" w:eastAsia="仿宋_GB2312"/>
          <w:sz w:val="32"/>
          <w:szCs w:val="32"/>
        </w:rPr>
        <w:t>健康支出54.14万元，住房保障支出78.21万元。</w:t>
      </w:r>
      <w:r>
        <w:rPr>
          <w:rFonts w:hint="eastAsia" w:ascii="仿宋_GB2312" w:eastAsia="仿宋_GB2312"/>
          <w:sz w:val="32"/>
          <w:szCs w:val="32"/>
        </w:rPr>
        <w:t>支出较去年减少89.87万元，主要是因为公共安全支出减少98.60万，教育支出增加3万，社会保障和就业支出减少了15.30万，卫生健康支出增加22.75万，住房保障支出减少1.72万。</w:t>
      </w:r>
    </w:p>
    <w:p>
      <w:pPr>
        <w:widowControl/>
        <w:spacing w:line="600" w:lineRule="exact"/>
        <w:ind w:firstLine="640" w:firstLineChars="200"/>
        <w:outlineLvl w:val="1"/>
        <w:rPr>
          <w:rFonts w:eastAsia="黑体"/>
          <w:sz w:val="32"/>
          <w:szCs w:val="32"/>
        </w:rPr>
      </w:pPr>
      <w:bookmarkStart w:id="3" w:name="_Toc31507"/>
      <w:r>
        <w:rPr>
          <w:rFonts w:hint="eastAsia" w:eastAsia="黑体"/>
          <w:sz w:val="32"/>
          <w:szCs w:val="32"/>
        </w:rPr>
        <w:t>三、</w:t>
      </w:r>
      <w:r>
        <w:rPr>
          <w:rFonts w:eastAsia="黑体"/>
          <w:sz w:val="32"/>
          <w:szCs w:val="32"/>
        </w:rPr>
        <w:t>一般公共预算拨款支出</w:t>
      </w:r>
      <w:bookmarkEnd w:id="3"/>
    </w:p>
    <w:p>
      <w:pPr>
        <w:widowControl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本单位一般公共预算拨款支出预算1570.38万元，其中，公共安全支出1379.08万元，占87.82%；教育支出3万元，占0.19%；社会保障和就业支出55.95万元，占3.56%；卫生健康支出54.14万元，占3.45%；住房保障支出78.21万元，占4.98%。具体安排情况如下：</w:t>
      </w:r>
    </w:p>
    <w:p>
      <w:pPr>
        <w:widowControl/>
        <w:spacing w:line="600" w:lineRule="exact"/>
        <w:ind w:firstLine="660"/>
        <w:outlineLvl w:val="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（一）基本支出：</w:t>
      </w:r>
      <w:r>
        <w:rPr>
          <w:rFonts w:hint="eastAsia" w:ascii="仿宋_GB2312" w:eastAsia="仿宋_GB2312"/>
          <w:sz w:val="32"/>
          <w:szCs w:val="32"/>
        </w:rPr>
        <w:t>2022年本单位基本支出预算数1450.90万元，主要是为保障单位正常运转、完成日常工作任务而发生的各项支出，包括用于基本工资、津贴补贴等人员经费以及办公费、印刷费、水电费、差旅费、劳务费等公用经费。</w:t>
      </w:r>
    </w:p>
    <w:p>
      <w:pPr>
        <w:ind w:firstLine="640"/>
        <w:outlineLvl w:val="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（二）项目支出：</w:t>
      </w:r>
      <w:r>
        <w:rPr>
          <w:rFonts w:hint="eastAsia" w:ascii="仿宋_GB2312" w:eastAsia="仿宋_GB2312"/>
          <w:sz w:val="32"/>
          <w:szCs w:val="32"/>
        </w:rPr>
        <w:t>2022年本单位项目支出预算119.48万元，主要是</w:t>
      </w:r>
      <w:r>
        <w:rPr>
          <w:rFonts w:hint="eastAsia" w:ascii="仿宋_GB2312" w:hAnsi="宋体" w:eastAsia="仿宋_GB2312"/>
          <w:sz w:val="32"/>
          <w:szCs w:val="32"/>
        </w:rPr>
        <w:t>单位为完成特定行政工作任务或事业发展目标而发生的支出，包括有关事业发展专项、专项业务费、基本建设支出等，其中：业务工作专项支出65.10万元，主要用于公务用车购置、检察工作网电脑、公益诉讼快速检测箱、办公设备购置、检察干警基金、服装购置费等方面；运行维护专项支出54.38万元，主要用于模块化机房建设项目、检委会会议室建设、办公设备购置、检察工作网电脑等方面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/>
        <w:outlineLvl w:val="1"/>
        <w:rPr>
          <w:rFonts w:ascii="黑体" w:hAnsi="黑体" w:eastAsia="黑体" w:cs="黑体"/>
          <w:sz w:val="32"/>
          <w:szCs w:val="32"/>
        </w:rPr>
      </w:pPr>
      <w:bookmarkStart w:id="4" w:name="_Toc32368"/>
      <w:r>
        <w:rPr>
          <w:rFonts w:hint="eastAsia" w:ascii="黑体" w:hAnsi="黑体" w:eastAsia="黑体" w:cs="黑体"/>
          <w:sz w:val="32"/>
          <w:szCs w:val="32"/>
        </w:rPr>
        <w:t>四、政府性基金预算支出</w:t>
      </w:r>
      <w:bookmarkEnd w:id="4"/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2022年本单位无政府性基金安排的支出。</w:t>
      </w:r>
    </w:p>
    <w:p>
      <w:pPr>
        <w:widowControl/>
        <w:spacing w:line="600" w:lineRule="exact"/>
        <w:ind w:firstLine="660"/>
        <w:outlineLvl w:val="1"/>
        <w:rPr>
          <w:rFonts w:eastAsia="黑体"/>
          <w:sz w:val="32"/>
          <w:szCs w:val="32"/>
        </w:rPr>
      </w:pPr>
      <w:bookmarkStart w:id="5" w:name="_Toc5712"/>
      <w:r>
        <w:rPr>
          <w:rFonts w:hint="eastAsia" w:eastAsia="黑体"/>
          <w:sz w:val="32"/>
          <w:szCs w:val="32"/>
        </w:rPr>
        <w:t>五</w:t>
      </w:r>
      <w:r>
        <w:rPr>
          <w:rFonts w:eastAsia="黑体"/>
          <w:sz w:val="32"/>
          <w:szCs w:val="32"/>
        </w:rPr>
        <w:t>、其他重要事项的情况说明</w:t>
      </w:r>
      <w:bookmarkEnd w:id="5"/>
    </w:p>
    <w:p>
      <w:pPr>
        <w:widowControl/>
        <w:spacing w:line="600" w:lineRule="exact"/>
        <w:ind w:firstLine="642" w:firstLineChars="200"/>
        <w:outlineLvl w:val="2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（一）机关运行经费：</w:t>
      </w:r>
      <w:r>
        <w:rPr>
          <w:rFonts w:hint="eastAsia" w:ascii="仿宋_GB2312" w:hAnsi="宋体" w:eastAsia="仿宋_GB2312"/>
          <w:sz w:val="32"/>
          <w:szCs w:val="32"/>
        </w:rPr>
        <w:t>2022年本单位机关运行经费629.34万元，比上年预算增加104.61</w:t>
      </w:r>
      <w:r>
        <w:rPr>
          <w:rFonts w:hint="eastAsia" w:ascii="仿宋_GB2312" w:eastAsia="仿宋_GB2312"/>
          <w:sz w:val="32"/>
          <w:szCs w:val="32"/>
        </w:rPr>
        <w:t>万元，上升19.94%，主要是聘用制人员增加及案件数量增加。</w:t>
      </w:r>
    </w:p>
    <w:p>
      <w:pPr>
        <w:widowControl/>
        <w:spacing w:line="600" w:lineRule="exact"/>
        <w:ind w:firstLine="642" w:firstLineChars="200"/>
        <w:outlineLvl w:val="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（二）“三公”经费预算：</w:t>
      </w:r>
      <w:r>
        <w:rPr>
          <w:rFonts w:hint="eastAsia" w:ascii="仿宋_GB2312" w:hAnsi="宋体" w:eastAsia="仿宋_GB2312"/>
          <w:sz w:val="32"/>
          <w:szCs w:val="32"/>
        </w:rPr>
        <w:t>2022年本单位</w:t>
      </w:r>
      <w:r>
        <w:rPr>
          <w:rFonts w:hint="eastAsia" w:ascii="仿宋_GB2312" w:eastAsia="仿宋_GB2312"/>
          <w:sz w:val="32"/>
          <w:szCs w:val="32"/>
        </w:rPr>
        <w:t>“三公”经费预算数为54万元，其中，公务接待费6万元，公务用车购置及运行费48万元（其中，公务用车购置费18万元，公务用车运行费30万元），因公出国（境）费0万元。 2022年“三公”经费预算较上年持平，主要是需要满足三公经费运行的保障。</w:t>
      </w:r>
    </w:p>
    <w:p>
      <w:pPr>
        <w:ind w:firstLine="642" w:firstLineChars="200"/>
        <w:outlineLvl w:val="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（三）一般性支出情况：</w:t>
      </w:r>
      <w:r>
        <w:rPr>
          <w:rFonts w:hint="eastAsia" w:ascii="仿宋_GB2312" w:eastAsia="仿宋_GB2312"/>
          <w:sz w:val="32"/>
          <w:szCs w:val="32"/>
        </w:rPr>
        <w:t>2022年本单位会议费预算0万元，拟召开0次会议，人数0人；培训费预算3万元，拟开展0次培训，人数0人，拟参加上级组织培训30次；拟举办0次节庆、晚会、论坛、赛事活动、经费预算0万元。</w:t>
      </w:r>
    </w:p>
    <w:p>
      <w:pPr>
        <w:widowControl/>
        <w:spacing w:line="600" w:lineRule="exact"/>
        <w:ind w:firstLine="642" w:firstLineChars="200"/>
        <w:outlineLvl w:val="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（四）政府采购情况：</w:t>
      </w:r>
      <w:r>
        <w:rPr>
          <w:rFonts w:hint="eastAsia" w:ascii="仿宋_GB2312" w:eastAsia="仿宋_GB2312"/>
          <w:sz w:val="32"/>
          <w:szCs w:val="32"/>
        </w:rPr>
        <w:t>2022年</w:t>
      </w:r>
      <w:r>
        <w:rPr>
          <w:rFonts w:hint="eastAsia" w:ascii="仿宋_GB2312" w:hAnsi="宋体" w:eastAsia="仿宋_GB2312"/>
          <w:sz w:val="32"/>
          <w:szCs w:val="32"/>
        </w:rPr>
        <w:t>本单位</w:t>
      </w:r>
      <w:r>
        <w:rPr>
          <w:rFonts w:hint="eastAsia" w:ascii="仿宋_GB2312" w:eastAsia="仿宋_GB2312"/>
          <w:sz w:val="32"/>
          <w:szCs w:val="32"/>
        </w:rPr>
        <w:t>政府采购预算总额0万元，其中，</w:t>
      </w:r>
      <w:r>
        <w:rPr>
          <w:rFonts w:hint="eastAsia" w:ascii="仿宋_GB2312" w:hAnsi="宋体" w:eastAsia="仿宋_GB2312"/>
          <w:sz w:val="32"/>
          <w:szCs w:val="32"/>
        </w:rPr>
        <w:t>政府采购货物预算0</w:t>
      </w:r>
      <w:r>
        <w:rPr>
          <w:rFonts w:hint="eastAsia" w:ascii="仿宋_GB2312" w:eastAsia="仿宋_GB2312"/>
          <w:sz w:val="32"/>
          <w:szCs w:val="32"/>
        </w:rPr>
        <w:t>万元；</w:t>
      </w:r>
      <w:r>
        <w:rPr>
          <w:rFonts w:hint="eastAsia" w:ascii="仿宋_GB2312" w:hAnsi="宋体" w:eastAsia="仿宋_GB2312"/>
          <w:sz w:val="32"/>
          <w:szCs w:val="32"/>
        </w:rPr>
        <w:t>政府采购服务预算0</w:t>
      </w:r>
      <w:r>
        <w:rPr>
          <w:rFonts w:hint="eastAsia" w:ascii="仿宋_GB2312" w:eastAsia="仿宋_GB2312"/>
          <w:sz w:val="32"/>
          <w:szCs w:val="32"/>
        </w:rPr>
        <w:t>万元；工程采购预算0万元。</w:t>
      </w:r>
    </w:p>
    <w:p>
      <w:pPr>
        <w:widowControl/>
        <w:spacing w:line="600" w:lineRule="atLeast"/>
        <w:ind w:firstLine="661" w:firstLineChars="206"/>
        <w:jc w:val="left"/>
        <w:outlineLvl w:val="2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（五）国有资产占用使用及新增资产配置情况：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截至2021年12月底，本单位共有公务用车6辆，其中，机要通信用车0辆，应急保障用车0辆，执法执勤用车4辆，特种专业技术用车2辆，其他按照规定配备的公务用车0辆。单位价值50万元以上通用设备0台，单位价值100万元以上专用设备0台。2022年拟新增配置公务用车1辆，其中机要通信用车0辆，应急保障用车0辆，执法执勤用车1辆，特种专业技术用车0辆，其他按照规定配备的公务用车0辆。新增配备单位价值50万元以上通用设备0台，单位价值100万元以上专用设备0台。</w:t>
      </w:r>
    </w:p>
    <w:p>
      <w:pPr>
        <w:widowControl/>
        <w:spacing w:line="600" w:lineRule="atLeast"/>
        <w:ind w:firstLine="661" w:firstLineChars="206"/>
        <w:jc w:val="left"/>
        <w:outlineLvl w:val="2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val="en-US" w:eastAsia="zh-CN"/>
        </w:rPr>
        <w:t>(六)预算绩效目标说明：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shd w:val="clear" w:color="auto" w:fill="FFFFFF"/>
          <w:lang w:val="en-US" w:eastAsia="zh-CN"/>
        </w:rPr>
        <w:t>本部门所有支出实行绩效目标管理，纳入2022年部门整体支出绩效目标的金额1570.38万元。其中，基本支出1450.90万元，项目支出119.48万元，具体绩效目标详见报表。</w:t>
      </w:r>
      <w:bookmarkStart w:id="8" w:name="_GoBack"/>
      <w:bookmarkEnd w:id="8"/>
    </w:p>
    <w:p>
      <w:pPr>
        <w:widowControl/>
        <w:numPr>
          <w:ilvl w:val="0"/>
          <w:numId w:val="2"/>
        </w:numPr>
        <w:spacing w:line="600" w:lineRule="atLeast"/>
        <w:ind w:left="660"/>
        <w:jc w:val="left"/>
        <w:outlineLvl w:val="1"/>
        <w:rPr>
          <w:rFonts w:eastAsia="黑体"/>
          <w:sz w:val="32"/>
          <w:szCs w:val="32"/>
        </w:rPr>
      </w:pPr>
      <w:bookmarkStart w:id="6" w:name="_Toc3254"/>
      <w:r>
        <w:rPr>
          <w:rFonts w:eastAsia="黑体"/>
          <w:sz w:val="32"/>
          <w:szCs w:val="32"/>
        </w:rPr>
        <w:t>名词解释</w:t>
      </w:r>
      <w:bookmarkEnd w:id="6"/>
    </w:p>
    <w:p>
      <w:pPr>
        <w:widowControl/>
        <w:spacing w:line="600" w:lineRule="atLeas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“三公”经费：纳入省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widowControl/>
        <w:spacing w:line="600" w:lineRule="exact"/>
        <w:ind w:firstLine="660"/>
        <w:rPr>
          <w:rFonts w:ascii="仿宋_GB2312" w:eastAsia="仿宋_GB2312"/>
          <w:sz w:val="32"/>
          <w:szCs w:val="32"/>
        </w:rPr>
      </w:pPr>
    </w:p>
    <w:p>
      <w:pPr>
        <w:widowControl/>
        <w:spacing w:line="600" w:lineRule="exact"/>
        <w:ind w:firstLine="642" w:firstLineChars="200"/>
        <w:jc w:val="left"/>
        <w:outlineLvl w:val="0"/>
        <w:rPr>
          <w:rFonts w:ascii="仿宋_GB2312" w:eastAsia="仿宋_GB2312"/>
          <w:color w:val="FF0000"/>
          <w:sz w:val="32"/>
          <w:szCs w:val="32"/>
        </w:rPr>
      </w:pPr>
      <w:bookmarkStart w:id="7" w:name="_Toc17310"/>
      <w:r>
        <w:rPr>
          <w:rFonts w:eastAsia="仿宋_GB2312"/>
          <w:b/>
          <w:bCs/>
          <w:kern w:val="0"/>
          <w:sz w:val="32"/>
          <w:szCs w:val="32"/>
        </w:rPr>
        <w:t xml:space="preserve">第二部分 </w:t>
      </w:r>
      <w:r>
        <w:rPr>
          <w:rFonts w:hint="eastAsia" w:eastAsia="仿宋_GB2312"/>
          <w:b/>
          <w:bCs/>
          <w:kern w:val="0"/>
          <w:sz w:val="32"/>
          <w:szCs w:val="32"/>
        </w:rPr>
        <w:t>202</w:t>
      </w:r>
      <w:r>
        <w:rPr>
          <w:rFonts w:hint="default" w:eastAsia="仿宋_GB2312"/>
          <w:b/>
          <w:bCs/>
          <w:kern w:val="0"/>
          <w:sz w:val="32"/>
          <w:szCs w:val="32"/>
          <w:lang w:val="en-US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</w:t>
      </w:r>
      <w:r>
        <w:rPr>
          <w:rFonts w:hint="eastAsia" w:eastAsia="仿宋_GB2312"/>
          <w:b/>
          <w:bCs/>
          <w:kern w:val="0"/>
          <w:sz w:val="32"/>
          <w:szCs w:val="32"/>
        </w:rPr>
        <w:t>单位</w:t>
      </w:r>
      <w:r>
        <w:rPr>
          <w:rFonts w:eastAsia="仿宋_GB2312"/>
          <w:b/>
          <w:bCs/>
          <w:kern w:val="0"/>
          <w:sz w:val="32"/>
          <w:szCs w:val="32"/>
        </w:rPr>
        <w:t>预算表</w:t>
      </w:r>
      <w:bookmarkEnd w:id="7"/>
    </w:p>
    <w:p>
      <w:pPr>
        <w:widowControl/>
        <w:spacing w:line="600" w:lineRule="exact"/>
        <w:rPr>
          <w:rFonts w:eastAsia="仿宋_GB2312"/>
          <w:color w:val="FF0000"/>
          <w:sz w:val="32"/>
          <w:szCs w:val="32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onospace">
    <w:altName w:val="汉仪新人文宋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新人文宋简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9</w:t>
    </w:r>
    <w:r>
      <w:rPr>
        <w:lang w:val="zh-CN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851CC3"/>
    <w:rsid w:val="35DDD6B3"/>
    <w:rsid w:val="4BA61478"/>
    <w:rsid w:val="543146D4"/>
    <w:rsid w:val="7C7A3C76"/>
    <w:rsid w:val="7ED6AF3B"/>
    <w:rsid w:val="F87D3E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qFormat/>
    <w:uiPriority w:val="1"/>
  </w:style>
  <w:style w:type="table" w:default="1" w:styleId="8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5"/>
    <w:qFormat/>
    <w:uiPriority w:val="0"/>
    <w:rPr>
      <w:sz w:val="18"/>
      <w:szCs w:val="18"/>
    </w:rPr>
  </w:style>
  <w:style w:type="paragraph" w:styleId="3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0"/>
  </w:style>
  <w:style w:type="paragraph" w:styleId="6">
    <w:name w:val="toc 2"/>
    <w:basedOn w:val="1"/>
    <w:next w:val="1"/>
    <w:qFormat/>
    <w:uiPriority w:val="0"/>
    <w:pPr>
      <w:ind w:left="420" w:leftChars="200"/>
    </w:p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FollowedHyperlink"/>
    <w:basedOn w:val="9"/>
    <w:qFormat/>
    <w:uiPriority w:val="0"/>
    <w:rPr>
      <w:color w:val="555555"/>
      <w:u w:val="none"/>
    </w:rPr>
  </w:style>
  <w:style w:type="character" w:styleId="13">
    <w:name w:val="Emphasis"/>
    <w:basedOn w:val="9"/>
    <w:qFormat/>
    <w:uiPriority w:val="0"/>
  </w:style>
  <w:style w:type="character" w:styleId="14">
    <w:name w:val="HTML Definition"/>
    <w:basedOn w:val="9"/>
    <w:qFormat/>
    <w:uiPriority w:val="0"/>
  </w:style>
  <w:style w:type="character" w:styleId="15">
    <w:name w:val="HTML Typewriter"/>
    <w:basedOn w:val="9"/>
    <w:qFormat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Acronym"/>
    <w:basedOn w:val="9"/>
    <w:qFormat/>
    <w:uiPriority w:val="0"/>
  </w:style>
  <w:style w:type="character" w:styleId="17">
    <w:name w:val="HTML Variable"/>
    <w:basedOn w:val="9"/>
    <w:qFormat/>
    <w:uiPriority w:val="0"/>
  </w:style>
  <w:style w:type="character" w:styleId="18">
    <w:name w:val="Hyperlink"/>
    <w:basedOn w:val="9"/>
    <w:qFormat/>
    <w:uiPriority w:val="0"/>
    <w:rPr>
      <w:color w:val="555555"/>
      <w:u w:val="none"/>
    </w:rPr>
  </w:style>
  <w:style w:type="character" w:styleId="19">
    <w:name w:val="HTML Code"/>
    <w:basedOn w:val="9"/>
    <w:qFormat/>
    <w:uiPriority w:val="0"/>
    <w:rPr>
      <w:rFonts w:hint="default" w:ascii="monospace" w:hAnsi="monospace" w:eastAsia="monospace" w:cs="monospace"/>
      <w:sz w:val="20"/>
    </w:rPr>
  </w:style>
  <w:style w:type="character" w:styleId="20">
    <w:name w:val="HTML Cite"/>
    <w:basedOn w:val="9"/>
    <w:qFormat/>
    <w:uiPriority w:val="0"/>
    <w:rPr>
      <w:color w:val="FF0000"/>
      <w:u w:val="single"/>
    </w:rPr>
  </w:style>
  <w:style w:type="character" w:styleId="21">
    <w:name w:val="HTML Keyboard"/>
    <w:basedOn w:val="9"/>
    <w:qFormat/>
    <w:uiPriority w:val="0"/>
    <w:rPr>
      <w:rFonts w:ascii="monospace" w:hAnsi="monospace" w:eastAsia="monospace" w:cs="monospace"/>
      <w:sz w:val="20"/>
    </w:rPr>
  </w:style>
  <w:style w:type="character" w:styleId="22">
    <w:name w:val="HTML Sample"/>
    <w:basedOn w:val="9"/>
    <w:qFormat/>
    <w:uiPriority w:val="0"/>
    <w:rPr>
      <w:rFonts w:hint="default" w:ascii="monospace" w:hAnsi="monospace" w:eastAsia="monospace" w:cs="monospace"/>
    </w:rPr>
  </w:style>
  <w:style w:type="character" w:customStyle="1" w:styleId="23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24">
    <w:name w:val="p12_blue"/>
    <w:basedOn w:val="9"/>
    <w:qFormat/>
    <w:uiPriority w:val="0"/>
  </w:style>
  <w:style w:type="character" w:customStyle="1" w:styleId="25">
    <w:name w:val="批注框文本 Char"/>
    <w:link w:val="2"/>
    <w:qFormat/>
    <w:uiPriority w:val="0"/>
    <w:rPr>
      <w:kern w:val="2"/>
      <w:sz w:val="18"/>
      <w:szCs w:val="18"/>
    </w:rPr>
  </w:style>
  <w:style w:type="character" w:customStyle="1" w:styleId="26">
    <w:name w:val="retractmanager"/>
    <w:basedOn w:val="9"/>
    <w:qFormat/>
    <w:uiPriority w:val="0"/>
    <w:rPr>
      <w:color w:val="FF002A"/>
    </w:rPr>
  </w:style>
  <w:style w:type="character" w:customStyle="1" w:styleId="27">
    <w:name w:val="bsharetext"/>
    <w:basedOn w:val="9"/>
    <w:qFormat/>
    <w:uiPriority w:val="0"/>
  </w:style>
  <w:style w:type="character" w:customStyle="1" w:styleId="28">
    <w:name w:val="bds_more"/>
    <w:basedOn w:val="9"/>
    <w:qFormat/>
    <w:uiPriority w:val="0"/>
  </w:style>
  <w:style w:type="character" w:customStyle="1" w:styleId="29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30">
    <w:name w:val="bds_nopic2"/>
    <w:basedOn w:val="9"/>
    <w:qFormat/>
    <w:uiPriority w:val="0"/>
  </w:style>
  <w:style w:type="character" w:customStyle="1" w:styleId="31">
    <w:name w:val="right5"/>
    <w:basedOn w:val="9"/>
    <w:qFormat/>
    <w:uiPriority w:val="0"/>
  </w:style>
  <w:style w:type="character" w:customStyle="1" w:styleId="32">
    <w:name w:val="size"/>
    <w:basedOn w:val="9"/>
    <w:qFormat/>
    <w:uiPriority w:val="0"/>
  </w:style>
  <w:style w:type="character" w:customStyle="1" w:styleId="33">
    <w:name w:val="displaycontent"/>
    <w:basedOn w:val="9"/>
    <w:qFormat/>
    <w:uiPriority w:val="0"/>
    <w:rPr>
      <w:color w:val="FF002A"/>
    </w:rPr>
  </w:style>
  <w:style w:type="character" w:customStyle="1" w:styleId="34">
    <w:name w:val="bds_more1"/>
    <w:basedOn w:val="9"/>
    <w:qFormat/>
    <w:uiPriority w:val="0"/>
    <w:rPr>
      <w:rFonts w:hint="eastAsia" w:ascii="宋体" w:hAnsi="宋体" w:eastAsia="宋体" w:cs="宋体"/>
    </w:rPr>
  </w:style>
  <w:style w:type="character" w:customStyle="1" w:styleId="35">
    <w:name w:val="mk5_wzstyle"/>
    <w:basedOn w:val="9"/>
    <w:qFormat/>
    <w:uiPriority w:val="0"/>
  </w:style>
  <w:style w:type="character" w:customStyle="1" w:styleId="36">
    <w:name w:val="bds_more2"/>
    <w:basedOn w:val="9"/>
    <w:qFormat/>
    <w:uiPriority w:val="0"/>
  </w:style>
  <w:style w:type="character" w:customStyle="1" w:styleId="37">
    <w:name w:val="bds_nopic1"/>
    <w:basedOn w:val="9"/>
    <w:qFormat/>
    <w:uiPriority w:val="0"/>
  </w:style>
  <w:style w:type="character" w:customStyle="1" w:styleId="38">
    <w:name w:val="hover17"/>
    <w:basedOn w:val="9"/>
    <w:qFormat/>
    <w:uiPriority w:val="0"/>
  </w:style>
  <w:style w:type="character" w:customStyle="1" w:styleId="39">
    <w:name w:val="bds_nopic"/>
    <w:basedOn w:val="9"/>
    <w:qFormat/>
    <w:uiPriority w:val="0"/>
  </w:style>
  <w:style w:type="character" w:customStyle="1" w:styleId="40">
    <w:name w:val="right6"/>
    <w:basedOn w:val="9"/>
    <w:qFormat/>
    <w:uiPriority w:val="0"/>
  </w:style>
  <w:style w:type="paragraph" w:customStyle="1" w:styleId="41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43">
    <w:name w:val="普通(网站)1"/>
    <w:basedOn w:val="1"/>
    <w:qFormat/>
    <w:uiPriority w:val="0"/>
    <w:pPr>
      <w:jc w:val="left"/>
    </w:pPr>
    <w:rPr>
      <w:rFonts w:hint="eastAsia"/>
      <w:sz w:val="24"/>
    </w:rPr>
  </w:style>
  <w:style w:type="paragraph" w:customStyle="1" w:styleId="44">
    <w:name w:val="Char"/>
    <w:basedOn w:val="1"/>
    <w:qFormat/>
    <w:uiPriority w:val="0"/>
    <w:pPr>
      <w:widowControl/>
      <w:spacing w:line="360" w:lineRule="auto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2759</Words>
  <Characters>3003</Characters>
  <Paragraphs>90</Paragraphs>
  <TotalTime>153</TotalTime>
  <ScaleCrop>false</ScaleCrop>
  <LinksUpToDate>false</LinksUpToDate>
  <CharactersWithSpaces>3009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2021-03-04T16:52:00Z</dcterms:created>
  <dc:creator>高立朝 10.104.97.45</dc:creator>
  <cp:lastModifiedBy>greatwall</cp:lastModifiedBy>
  <cp:lastPrinted>2021-02-23T22:40:00Z</cp:lastPrinted>
  <dcterms:modified xsi:type="dcterms:W3CDTF">2023-10-18T11:17:47Z</dcterms:modified>
  <dc:title>附件1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  <property fmtid="{D5CDD505-2E9C-101B-9397-08002B2CF9AE}" pid="3" name="ICV">
    <vt:lpwstr>4CBFACE3059A4FE5829FDD5A6A335D19</vt:lpwstr>
  </property>
</Properties>
</file>