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600" w:lineRule="exact"/>
        <w:jc w:val="center"/>
        <w:rPr>
          <w:rFonts w:ascii="宋体" w:hAnsi="宋体"/>
          <w:b/>
          <w:sz w:val="44"/>
          <w:szCs w:val="44"/>
        </w:rPr>
      </w:pPr>
    </w:p>
    <w:p>
      <w:pPr>
        <w:widowControl/>
        <w:spacing w:line="600" w:lineRule="exact"/>
        <w:jc w:val="center"/>
        <w:rPr>
          <w:rFonts w:ascii="仿宋" w:hAnsi="仿宋" w:eastAsia="仿宋"/>
          <w:b/>
          <w:bCs/>
          <w:kern w:val="0"/>
          <w:sz w:val="44"/>
          <w:szCs w:val="44"/>
        </w:rPr>
      </w:pPr>
      <w:r>
        <w:rPr>
          <w:rFonts w:ascii="仿宋" w:hAnsi="仿宋" w:eastAsia="仿宋"/>
          <w:b/>
          <w:bCs/>
          <w:kern w:val="0"/>
          <w:sz w:val="44"/>
          <w:szCs w:val="44"/>
        </w:rPr>
        <w:t>20</w:t>
      </w:r>
      <w:r>
        <w:rPr>
          <w:rFonts w:hint="eastAsia" w:ascii="仿宋" w:hAnsi="仿宋" w:eastAsia="仿宋"/>
          <w:b/>
          <w:bCs/>
          <w:kern w:val="0"/>
          <w:sz w:val="44"/>
          <w:szCs w:val="44"/>
        </w:rPr>
        <w:t>22</w:t>
      </w:r>
      <w:r>
        <w:rPr>
          <w:rFonts w:ascii="仿宋" w:hAnsi="仿宋" w:eastAsia="仿宋"/>
          <w:b/>
          <w:bCs/>
          <w:kern w:val="0"/>
          <w:sz w:val="44"/>
          <w:szCs w:val="44"/>
        </w:rPr>
        <w:t>年</w:t>
      </w:r>
      <w:r>
        <w:rPr>
          <w:rFonts w:hint="eastAsia" w:ascii="仿宋" w:hAnsi="仿宋" w:eastAsia="仿宋"/>
          <w:b/>
          <w:bCs/>
          <w:kern w:val="0"/>
          <w:sz w:val="44"/>
          <w:szCs w:val="44"/>
        </w:rPr>
        <w:t>邵阳市双清区人民检察院单位</w:t>
      </w:r>
      <w:r>
        <w:rPr>
          <w:rFonts w:ascii="仿宋" w:hAnsi="仿宋" w:eastAsia="仿宋"/>
          <w:b/>
          <w:bCs/>
          <w:kern w:val="0"/>
          <w:sz w:val="44"/>
          <w:szCs w:val="44"/>
        </w:rPr>
        <w:t>预算</w:t>
      </w:r>
    </w:p>
    <w:p>
      <w:pPr>
        <w:widowControl/>
        <w:spacing w:line="600" w:lineRule="exact"/>
        <w:jc w:val="center"/>
        <w:rPr>
          <w:rFonts w:eastAsia="方正小标宋_GBK"/>
          <w:bCs/>
          <w:kern w:val="0"/>
          <w:sz w:val="44"/>
          <w:szCs w:val="44"/>
        </w:rPr>
      </w:pPr>
    </w:p>
    <w:p>
      <w:pPr>
        <w:widowControl/>
        <w:spacing w:line="600" w:lineRule="exact"/>
        <w:jc w:val="center"/>
        <w:rPr>
          <w:rFonts w:eastAsia="黑体"/>
          <w:bCs/>
          <w:kern w:val="0"/>
          <w:sz w:val="32"/>
          <w:szCs w:val="32"/>
        </w:rPr>
      </w:pPr>
      <w:r>
        <w:rPr>
          <w:rFonts w:hint="eastAsia"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ascii="方正小标宋_GBK" w:eastAsia="方正小标宋_GBK"/>
          <w:bCs/>
          <w:kern w:val="0"/>
          <w:sz w:val="32"/>
          <w:szCs w:val="32"/>
        </w:rPr>
      </w:pPr>
      <w:r>
        <w:rPr>
          <w:rFonts w:eastAsia="仿宋_GB2312"/>
          <w:b/>
          <w:bCs/>
          <w:kern w:val="0"/>
          <w:sz w:val="32"/>
          <w:szCs w:val="32"/>
        </w:rPr>
        <w:t>第一部分</w:t>
      </w:r>
      <w:r>
        <w:rPr>
          <w:rFonts w:eastAsia="仿宋_GB2312"/>
          <w:bCs/>
          <w:kern w:val="0"/>
          <w:sz w:val="32"/>
          <w:szCs w:val="32"/>
        </w:rPr>
        <w:t xml:space="preserve"> </w:t>
      </w:r>
      <w:r>
        <w:rPr>
          <w:rFonts w:eastAsia="方正小标宋_GBK"/>
          <w:bCs/>
          <w:kern w:val="0"/>
          <w:sz w:val="32"/>
          <w:szCs w:val="32"/>
        </w:rPr>
        <w:t>2</w:t>
      </w:r>
      <w:r>
        <w:rPr>
          <w:rFonts w:eastAsia="仿宋_GB2312"/>
          <w:bCs/>
          <w:kern w:val="0"/>
          <w:sz w:val="32"/>
          <w:szCs w:val="32"/>
        </w:rPr>
        <w:t>02</w:t>
      </w:r>
      <w:r>
        <w:rPr>
          <w:rFonts w:hint="eastAsia" w:eastAsia="仿宋_GB2312"/>
          <w:bCs/>
          <w:kern w:val="0"/>
          <w:sz w:val="32"/>
          <w:szCs w:val="32"/>
        </w:rPr>
        <w:t>2</w:t>
      </w:r>
      <w:r>
        <w:rPr>
          <w:rFonts w:hint="eastAsia" w:eastAsia="仿宋_GB2312"/>
          <w:b/>
          <w:bCs/>
          <w:kern w:val="0"/>
          <w:sz w:val="32"/>
          <w:szCs w:val="32"/>
        </w:rPr>
        <w:t>年单位预算说明</w:t>
      </w:r>
    </w:p>
    <w:p>
      <w:pPr>
        <w:widowControl/>
        <w:spacing w:line="600" w:lineRule="exact"/>
        <w:ind w:firstLine="642" w:firstLineChars="200"/>
        <w:jc w:val="left"/>
        <w:rPr>
          <w:rFonts w:eastAsia="仿宋_GB2312"/>
          <w:b/>
          <w:bCs/>
          <w:kern w:val="0"/>
          <w:sz w:val="32"/>
          <w:szCs w:val="32"/>
        </w:rPr>
      </w:pPr>
      <w:r>
        <w:rPr>
          <w:rFonts w:eastAsia="仿宋_GB2312"/>
          <w:b/>
          <w:bCs/>
          <w:kern w:val="0"/>
          <w:sz w:val="32"/>
          <w:szCs w:val="32"/>
        </w:rPr>
        <w:t>第二部分</w:t>
      </w:r>
      <w:r>
        <w:rPr>
          <w:rFonts w:eastAsia="仿宋_GB2312"/>
          <w:bCs/>
          <w:kern w:val="0"/>
          <w:sz w:val="32"/>
          <w:szCs w:val="32"/>
        </w:rPr>
        <w:t xml:space="preserve"> </w:t>
      </w:r>
      <w:r>
        <w:rPr>
          <w:rFonts w:hint="eastAsia" w:eastAsia="仿宋_GB2312"/>
          <w:bCs/>
          <w:kern w:val="0"/>
          <w:sz w:val="32"/>
          <w:szCs w:val="32"/>
        </w:rPr>
        <w:t>2022</w:t>
      </w:r>
      <w:r>
        <w:rPr>
          <w:rFonts w:eastAsia="仿宋_GB2312"/>
          <w:b/>
          <w:bCs/>
          <w:kern w:val="0"/>
          <w:sz w:val="32"/>
          <w:szCs w:val="32"/>
        </w:rPr>
        <w:t>年</w:t>
      </w:r>
      <w:r>
        <w:rPr>
          <w:rFonts w:hint="eastAsia" w:eastAsia="仿宋_GB2312"/>
          <w:b/>
          <w:bCs/>
          <w:kern w:val="0"/>
          <w:sz w:val="32"/>
          <w:szCs w:val="32"/>
        </w:rPr>
        <w:t>单位</w:t>
      </w:r>
      <w:r>
        <w:rPr>
          <w:rFonts w:eastAsia="仿宋_GB2312"/>
          <w:b/>
          <w:bCs/>
          <w:kern w:val="0"/>
          <w:sz w:val="32"/>
          <w:szCs w:val="32"/>
        </w:rPr>
        <w:t>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w:t>
      </w:r>
      <w:r>
        <w:rPr>
          <w:rFonts w:eastAsia="仿宋_GB2312"/>
          <w:sz w:val="32"/>
          <w:szCs w:val="32"/>
        </w:rPr>
        <w:t>（按</w:t>
      </w:r>
      <w:r>
        <w:rPr>
          <w:rFonts w:hint="eastAsia" w:eastAsia="仿宋_GB2312"/>
          <w:sz w:val="32"/>
          <w:szCs w:val="32"/>
        </w:rPr>
        <w:t>政府</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w:t>
      </w:r>
      <w:r>
        <w:rPr>
          <w:rFonts w:hint="eastAsia" w:eastAsia="仿宋_GB2312"/>
          <w:sz w:val="32"/>
          <w:szCs w:val="32"/>
        </w:rPr>
        <w:t>预算分类汇总</w:t>
      </w:r>
      <w:r>
        <w:rPr>
          <w:rFonts w:eastAsia="仿宋_GB2312"/>
          <w:sz w:val="32"/>
          <w:szCs w:val="32"/>
        </w:rPr>
        <w:t>表（按</w:t>
      </w:r>
      <w:r>
        <w:rPr>
          <w:rFonts w:hint="eastAsia" w:eastAsia="仿宋_GB2312"/>
          <w:sz w:val="32"/>
          <w:szCs w:val="32"/>
        </w:rPr>
        <w:t>部门</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w:t>
      </w:r>
      <w:r>
        <w:rPr>
          <w:rFonts w:hint="eastAsia" w:eastAsia="仿宋_GB2312"/>
          <w:sz w:val="32"/>
          <w:szCs w:val="32"/>
        </w:rPr>
        <w:t>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w:t>
      </w:r>
      <w:r>
        <w:rPr>
          <w:rFonts w:hint="eastAsia" w:eastAsia="仿宋_GB2312"/>
          <w:sz w:val="32"/>
          <w:szCs w:val="32"/>
        </w:rPr>
        <w:t>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r>
        <w:rPr>
          <w:rFonts w:hint="eastAsia" w:eastAsia="仿宋_GB2312"/>
          <w:sz w:val="32"/>
          <w:szCs w:val="32"/>
        </w:rPr>
        <w:t>12、一般公共预算基本支出表-公用经费（</w:t>
      </w:r>
      <w:r>
        <w:rPr>
          <w:rFonts w:eastAsia="仿宋_GB2312"/>
          <w:sz w:val="32"/>
          <w:szCs w:val="32"/>
        </w:rPr>
        <w:t>商品和服务支出</w:t>
      </w:r>
      <w:r>
        <w:rPr>
          <w:rFonts w:hint="eastAsia" w:eastAsia="仿宋_GB2312"/>
          <w:sz w:val="32"/>
          <w:szCs w:val="32"/>
        </w:rPr>
        <w:t>）</w:t>
      </w:r>
      <w:r>
        <w:rPr>
          <w:rFonts w:eastAsia="仿宋_GB2312"/>
          <w:sz w:val="32"/>
          <w:szCs w:val="32"/>
        </w:rPr>
        <w:t>（按</w:t>
      </w:r>
      <w:r>
        <w:rPr>
          <w:rFonts w:hint="eastAsia" w:eastAsia="仿宋_GB2312"/>
          <w:sz w:val="32"/>
          <w:szCs w:val="32"/>
        </w:rPr>
        <w:t>政府</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13</w:t>
      </w:r>
      <w:r>
        <w:rPr>
          <w:rFonts w:eastAsia="仿宋_GB2312"/>
          <w:sz w:val="32"/>
          <w:szCs w:val="32"/>
        </w:rPr>
        <w:t>、</w:t>
      </w:r>
      <w:r>
        <w:rPr>
          <w:rFonts w:hint="eastAsia" w:eastAsia="仿宋_GB2312"/>
          <w:sz w:val="32"/>
          <w:szCs w:val="32"/>
        </w:rPr>
        <w:t>一般公共预算基本支出表-公用经费（</w:t>
      </w:r>
      <w:r>
        <w:rPr>
          <w:rFonts w:eastAsia="仿宋_GB2312"/>
          <w:sz w:val="32"/>
          <w:szCs w:val="32"/>
        </w:rPr>
        <w:t>商品和服务支出</w:t>
      </w:r>
      <w:r>
        <w:rPr>
          <w:rFonts w:hint="eastAsia" w:eastAsia="仿宋_GB2312"/>
          <w:sz w:val="32"/>
          <w:szCs w:val="32"/>
        </w:rPr>
        <w:t>）</w:t>
      </w:r>
      <w:r>
        <w:rPr>
          <w:rFonts w:eastAsia="仿宋_GB2312"/>
          <w:sz w:val="32"/>
          <w:szCs w:val="32"/>
        </w:rPr>
        <w:t>（按</w:t>
      </w:r>
      <w:r>
        <w:rPr>
          <w:rFonts w:hint="eastAsia" w:eastAsia="仿宋_GB2312"/>
          <w:sz w:val="32"/>
          <w:szCs w:val="32"/>
        </w:rPr>
        <w:t>部门</w:t>
      </w:r>
      <w:r>
        <w:rPr>
          <w:rFonts w:eastAsia="仿宋_GB2312"/>
          <w:sz w:val="32"/>
          <w:szCs w:val="32"/>
        </w:rPr>
        <w:t>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hint="eastAsia"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hint="eastAsia"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hint="eastAsia"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hint="eastAsia"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hint="eastAsia"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hint="eastAsia"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hint="eastAsia"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hint="eastAsia" w:eastAsia="仿宋_GB2312"/>
          <w:sz w:val="32"/>
          <w:szCs w:val="32"/>
        </w:rPr>
        <w:t>23、部门整体支出绩效目标表</w:t>
      </w:r>
    </w:p>
    <w:p>
      <w:pPr>
        <w:rPr>
          <w:b/>
        </w:rPr>
      </w:pPr>
    </w:p>
    <w:p>
      <w:pPr>
        <w:rPr>
          <w:b/>
          <w:sz w:val="30"/>
          <w:szCs w:val="30"/>
        </w:rPr>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pPr>
      <w:r>
        <w:rPr>
          <w:rFonts w:hint="eastAsia"/>
          <w:b/>
          <w:sz w:val="30"/>
          <w:szCs w:val="30"/>
        </w:rPr>
        <w:t>注：以上部门预算报表中，空表表示本部门无相关收支情况。</w:t>
      </w:r>
    </w:p>
    <w:p>
      <w:pPr>
        <w:rPr>
          <w:b/>
        </w:rPr>
      </w:pPr>
    </w:p>
    <w:p>
      <w:pPr>
        <w:widowControl/>
        <w:spacing w:line="600" w:lineRule="exact"/>
        <w:jc w:val="center"/>
        <w:outlineLvl w:val="0"/>
        <w:rPr>
          <w:b/>
          <w:bCs/>
          <w:kern w:val="0"/>
          <w:sz w:val="44"/>
          <w:szCs w:val="44"/>
        </w:rPr>
      </w:pPr>
      <w:bookmarkStart w:id="0" w:name="_Toc20263"/>
      <w:r>
        <w:rPr>
          <w:rFonts w:hint="eastAsia" w:ascii="宋体" w:hAnsi="宋体"/>
          <w:b/>
          <w:sz w:val="44"/>
          <w:szCs w:val="44"/>
        </w:rPr>
        <w:t xml:space="preserve">第一部分 </w:t>
      </w:r>
      <w:r>
        <w:rPr>
          <w:rFonts w:hint="eastAsia"/>
          <w:b/>
          <w:bCs/>
          <w:kern w:val="0"/>
          <w:sz w:val="44"/>
          <w:szCs w:val="44"/>
        </w:rPr>
        <w:t>2022</w:t>
      </w:r>
      <w:r>
        <w:rPr>
          <w:b/>
          <w:bCs/>
          <w:kern w:val="0"/>
          <w:sz w:val="44"/>
          <w:szCs w:val="44"/>
        </w:rPr>
        <w:t>年</w:t>
      </w:r>
      <w:r>
        <w:rPr>
          <w:rFonts w:hint="eastAsia"/>
          <w:b/>
          <w:bCs/>
          <w:kern w:val="0"/>
          <w:sz w:val="44"/>
          <w:szCs w:val="44"/>
        </w:rPr>
        <w:t>单位</w:t>
      </w:r>
      <w:r>
        <w:rPr>
          <w:b/>
          <w:bCs/>
          <w:kern w:val="0"/>
          <w:sz w:val="44"/>
          <w:szCs w:val="44"/>
        </w:rPr>
        <w:t>预算说明</w:t>
      </w:r>
      <w:bookmarkEnd w:id="0"/>
    </w:p>
    <w:p>
      <w:pPr>
        <w:widowControl/>
        <w:spacing w:line="600" w:lineRule="exact"/>
        <w:jc w:val="left"/>
        <w:rPr>
          <w:rFonts w:eastAsia="仿宋_GB2312"/>
          <w:b/>
          <w:bCs/>
          <w:kern w:val="0"/>
          <w:sz w:val="32"/>
          <w:szCs w:val="32"/>
        </w:rPr>
      </w:pPr>
    </w:p>
    <w:p>
      <w:pPr>
        <w:widowControl/>
        <w:spacing w:line="600" w:lineRule="exact"/>
        <w:ind w:firstLine="627" w:firstLineChars="196"/>
        <w:jc w:val="left"/>
        <w:outlineLvl w:val="1"/>
        <w:rPr>
          <w:rFonts w:eastAsia="黑体"/>
          <w:bCs/>
          <w:kern w:val="0"/>
          <w:sz w:val="32"/>
          <w:szCs w:val="32"/>
        </w:rPr>
      </w:pPr>
      <w:bookmarkStart w:id="1" w:name="_Toc32627"/>
      <w:r>
        <w:rPr>
          <w:rFonts w:eastAsia="黑体"/>
          <w:bCs/>
          <w:kern w:val="0"/>
          <w:sz w:val="32"/>
          <w:szCs w:val="32"/>
        </w:rPr>
        <w:t>一、</w:t>
      </w:r>
      <w:r>
        <w:rPr>
          <w:rFonts w:hint="eastAsia" w:eastAsia="黑体"/>
          <w:bCs/>
          <w:kern w:val="0"/>
          <w:sz w:val="32"/>
          <w:szCs w:val="32"/>
        </w:rPr>
        <w:t>单位</w:t>
      </w:r>
      <w:r>
        <w:rPr>
          <w:rFonts w:eastAsia="黑体"/>
          <w:bCs/>
          <w:kern w:val="0"/>
          <w:sz w:val="32"/>
          <w:szCs w:val="32"/>
        </w:rPr>
        <w:t>基本概况</w:t>
      </w:r>
      <w:bookmarkEnd w:id="1"/>
    </w:p>
    <w:p>
      <w:pPr>
        <w:ind w:firstLine="629" w:firstLineChars="196"/>
        <w:outlineLvl w:val="2"/>
        <w:rPr>
          <w:rFonts w:ascii="仿宋_GB2312" w:hAnsi="宋体" w:eastAsia="仿宋_GB2312"/>
          <w:b/>
          <w:sz w:val="32"/>
          <w:szCs w:val="32"/>
        </w:rPr>
      </w:pPr>
      <w:r>
        <w:rPr>
          <w:rFonts w:hint="eastAsia" w:ascii="仿宋_GB2312" w:hAnsi="宋体" w:eastAsia="仿宋_GB2312"/>
          <w:b/>
          <w:sz w:val="32"/>
          <w:szCs w:val="32"/>
        </w:rPr>
        <w:t>（一）职能职责</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（一）深入贯彻习近平新时代中国特色社会主义思想，深入贯彻党的路线方针政策和决策部署，坚持党对检察工作的绝对领导，坚决维护习近平总书记的核心地位，坚决维护党中央权威和集中统一领导。</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（二）贯彻落实上级人民检察院的各项工作部署，研究制定检察工作规划，部署检察工作任务。</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（三）依照法律规定对由区人民检察院直接受理的刑事案件行使侦查权。</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（四）对刑事犯罪案件的审查批准逮捕、决定逮捕、提起公诉工作。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（五）负责应由区人民检察院承办的刑事、民事、行政诉讼活动及刑事、民事、行政判决和裁定等生效法律文书执行的法律监督工作。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（六）负责应由区人民检察院承办的提起公益诉讼工作。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（七）负责应由区人民检察院承办的对社区矫正机构、看守所等执法活动的法律监督工作。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（八）受理向区人民检察院的控告申诉。</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（九）负责区人民检察院的理论研究工作。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（十）负责区人民检察院队伍建设和思想政治工作。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（十）负责区人民检察院财务装备和检察技术信息工作。</w:t>
      </w:r>
    </w:p>
    <w:p>
      <w:pPr>
        <w:ind w:firstLine="627" w:firstLineChars="196"/>
        <w:outlineLvl w:val="2"/>
        <w:rPr>
          <w:rFonts w:ascii="仿宋_GB2312" w:hAnsi="宋体" w:eastAsia="仿宋_GB2312"/>
          <w:sz w:val="32"/>
          <w:szCs w:val="32"/>
        </w:rPr>
      </w:pPr>
      <w:r>
        <w:rPr>
          <w:rFonts w:hint="eastAsia" w:ascii="仿宋_GB2312" w:hAnsi="宋体" w:eastAsia="仿宋_GB2312"/>
          <w:sz w:val="32"/>
          <w:szCs w:val="32"/>
        </w:rPr>
        <w:t>（十一）负责其他应当由区人民检察院承办的事项。</w:t>
      </w:r>
    </w:p>
    <w:p>
      <w:pPr>
        <w:widowControl/>
        <w:spacing w:line="600" w:lineRule="exact"/>
        <w:ind w:firstLine="629" w:firstLineChars="196"/>
        <w:jc w:val="left"/>
        <w:outlineLvl w:val="2"/>
        <w:rPr>
          <w:rFonts w:ascii="仿宋_GB2312" w:eastAsia="仿宋_GB2312"/>
          <w:b/>
          <w:sz w:val="32"/>
          <w:szCs w:val="32"/>
        </w:rPr>
      </w:pPr>
      <w:r>
        <w:rPr>
          <w:rFonts w:hint="eastAsia" w:ascii="仿宋_GB2312" w:eastAsia="仿宋_GB2312"/>
          <w:b/>
          <w:sz w:val="32"/>
          <w:szCs w:val="32"/>
        </w:rPr>
        <w:t>（二）机构设置</w:t>
      </w:r>
    </w:p>
    <w:p>
      <w:pPr>
        <w:widowControl/>
        <w:spacing w:line="600" w:lineRule="exact"/>
        <w:ind w:firstLine="627" w:firstLineChars="196"/>
        <w:jc w:val="left"/>
        <w:outlineLvl w:val="2"/>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依据湘编办发【2020】9号文件有关规定，邵阳市双清区人民检察院设置第一检察部、第二检察部、第三检察部、政治部（司法警察大队）和办公室</w:t>
      </w:r>
      <w:r>
        <w:rPr>
          <w:rFonts w:hint="eastAsia" w:ascii="仿宋_GB2312" w:eastAsia="仿宋_GB2312"/>
          <w:sz w:val="32"/>
          <w:szCs w:val="32"/>
          <w:lang w:eastAsia="zh-CN"/>
        </w:rPr>
        <w:t>；</w:t>
      </w:r>
    </w:p>
    <w:p>
      <w:pPr>
        <w:widowControl/>
        <w:spacing w:line="600" w:lineRule="exact"/>
        <w:ind w:firstLine="627" w:firstLineChars="196"/>
        <w:jc w:val="left"/>
        <w:outlineLvl w:val="2"/>
        <w:rPr>
          <w:rFonts w:hint="default" w:ascii="仿宋_GB2312" w:eastAsia="仿宋_GB2312"/>
          <w:sz w:val="32"/>
          <w:szCs w:val="32"/>
          <w:lang w:val="en-US" w:eastAsia="zh-CN"/>
        </w:rPr>
      </w:pPr>
      <w:r>
        <w:rPr>
          <w:rFonts w:hint="eastAsia" w:ascii="仿宋_GB2312" w:eastAsia="仿宋_GB2312"/>
          <w:sz w:val="32"/>
          <w:szCs w:val="32"/>
          <w:lang w:val="en-US" w:eastAsia="zh-CN"/>
        </w:rPr>
        <w:t>2、邵阳市双清区人民检察院只有本级，没有其他预算单位，因此本部门预算仅含本级预算。</w:t>
      </w:r>
    </w:p>
    <w:p>
      <w:pPr>
        <w:widowControl/>
        <w:spacing w:line="600" w:lineRule="exact"/>
        <w:ind w:firstLine="629" w:firstLineChars="196"/>
        <w:outlineLvl w:val="1"/>
        <w:rPr>
          <w:rFonts w:ascii="仿宋_GB2312" w:hAnsi="宋体" w:eastAsia="仿宋_GB2312"/>
          <w:b/>
          <w:sz w:val="32"/>
          <w:szCs w:val="32"/>
        </w:rPr>
      </w:pPr>
      <w:bookmarkStart w:id="2" w:name="_Toc26426"/>
      <w:r>
        <w:rPr>
          <w:rFonts w:hint="eastAsia" w:eastAsia="黑体"/>
          <w:b/>
          <w:kern w:val="0"/>
          <w:sz w:val="32"/>
          <w:szCs w:val="32"/>
        </w:rPr>
        <w:t>二</w:t>
      </w:r>
      <w:r>
        <w:rPr>
          <w:rFonts w:eastAsia="黑体"/>
          <w:b/>
          <w:kern w:val="0"/>
          <w:sz w:val="32"/>
          <w:szCs w:val="32"/>
        </w:rPr>
        <w:t>、</w:t>
      </w:r>
      <w:r>
        <w:rPr>
          <w:rFonts w:hint="eastAsia" w:eastAsia="黑体"/>
          <w:b/>
          <w:bCs/>
          <w:kern w:val="0"/>
          <w:sz w:val="32"/>
          <w:szCs w:val="32"/>
        </w:rPr>
        <w:t>单位</w:t>
      </w:r>
      <w:r>
        <w:rPr>
          <w:rFonts w:eastAsia="黑体"/>
          <w:b/>
          <w:bCs/>
          <w:kern w:val="0"/>
          <w:sz w:val="32"/>
          <w:szCs w:val="32"/>
        </w:rPr>
        <w:t>收支总体情况</w:t>
      </w:r>
      <w:bookmarkEnd w:id="2"/>
    </w:p>
    <w:p>
      <w:pPr>
        <w:outlineLvl w:val="2"/>
        <w:rPr>
          <w:rFonts w:ascii="宋体" w:hAnsi="宋体" w:cs="宋体"/>
          <w:b/>
          <w:bCs/>
          <w:sz w:val="20"/>
          <w:szCs w:val="20"/>
        </w:rPr>
      </w:pPr>
      <w:r>
        <w:rPr>
          <w:rFonts w:hint="eastAsia" w:ascii="仿宋_GB2312" w:eastAsia="仿宋_GB2312"/>
          <w:sz w:val="32"/>
          <w:szCs w:val="32"/>
        </w:rPr>
        <w:t xml:space="preserve">    </w:t>
      </w:r>
      <w:r>
        <w:rPr>
          <w:rFonts w:hint="eastAsia" w:ascii="仿宋_GB2312" w:eastAsia="仿宋_GB2312"/>
          <w:b/>
          <w:bCs/>
          <w:sz w:val="32"/>
          <w:szCs w:val="32"/>
        </w:rPr>
        <w:t>（一）收入预算：</w:t>
      </w:r>
      <w:r>
        <w:rPr>
          <w:rFonts w:eastAsia="仿宋_GB2312"/>
          <w:sz w:val="32"/>
          <w:szCs w:val="32"/>
        </w:rPr>
        <w:t>包括一般公共预算、政府性基金、国有资本经营预算等财政拨款收入，以及经营收入、事业收入等单位资金</w:t>
      </w:r>
      <w:r>
        <w:rPr>
          <w:rFonts w:hint="eastAsia" w:ascii="仿宋_GB2312" w:eastAsia="仿宋_GB2312"/>
          <w:sz w:val="32"/>
          <w:szCs w:val="32"/>
        </w:rPr>
        <w:t>。2022年本单位收入预算1331.74万元，其中，一般公共预算拨款 1004.99万元，中央财政补助307.01万元，无政府性基金、国有资本经营预算拨款和纳入专户管理的非税收入，上年结余结转19.74万元。收入较去年减少151.44万元，主要是因为上年结转结余数据减少291.36元，一般公共预算拨款增加144.92万元，中央财政补助减少5万元。</w:t>
      </w:r>
    </w:p>
    <w:p>
      <w:pPr>
        <w:ind w:firstLine="645"/>
        <w:outlineLvl w:val="2"/>
        <w:rPr>
          <w:rFonts w:ascii="仿宋_GB2312" w:eastAsia="仿宋_GB2312"/>
          <w:sz w:val="32"/>
          <w:szCs w:val="32"/>
        </w:rPr>
      </w:pPr>
      <w:r>
        <w:rPr>
          <w:rFonts w:hint="eastAsia" w:ascii="仿宋_GB2312" w:eastAsia="仿宋_GB2312"/>
          <w:b/>
          <w:bCs/>
          <w:sz w:val="32"/>
          <w:szCs w:val="32"/>
        </w:rPr>
        <w:t>（二）支出预算：</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年本单位支出预算1331.74万元，其中，公共安全支出1132.74万元，教育支出5万元，社会保障和就业支出72万元，卫生</w:t>
      </w:r>
      <w:r>
        <w:rPr>
          <w:rFonts w:hint="eastAsia" w:ascii="仿宋_GB2312" w:hAnsi="宋体" w:eastAsia="仿宋_GB2312"/>
          <w:sz w:val="32"/>
          <w:szCs w:val="32"/>
        </w:rPr>
        <w:t>健康支出49万元，住房保障支出73万元。</w:t>
      </w:r>
      <w:r>
        <w:rPr>
          <w:rFonts w:hint="eastAsia" w:ascii="仿宋_GB2312" w:eastAsia="仿宋_GB2312"/>
          <w:sz w:val="32"/>
          <w:szCs w:val="32"/>
        </w:rPr>
        <w:t>支出较去年减少151.44万元，</w:t>
      </w:r>
      <w:bookmarkStart w:id="3" w:name="_Toc31507"/>
      <w:r>
        <w:rPr>
          <w:rFonts w:hint="eastAsia" w:ascii="仿宋_GB2312" w:eastAsia="仿宋_GB2312"/>
          <w:sz w:val="32"/>
          <w:szCs w:val="32"/>
        </w:rPr>
        <w:t>主要是公共安全支出减少141.27万元，教育支出减少10万元，社会保障和就业支出减少2.67万元，卫生健康支出增加1万元，住房保障支出增加1.5万元。</w:t>
      </w:r>
    </w:p>
    <w:p>
      <w:pPr>
        <w:ind w:firstLine="645"/>
        <w:outlineLvl w:val="2"/>
        <w:rPr>
          <w:rFonts w:eastAsia="黑体"/>
          <w:sz w:val="32"/>
          <w:szCs w:val="32"/>
        </w:rPr>
      </w:pPr>
      <w:r>
        <w:rPr>
          <w:rFonts w:hint="eastAsia" w:eastAsia="黑体"/>
          <w:sz w:val="32"/>
          <w:szCs w:val="32"/>
        </w:rPr>
        <w:t>三、</w:t>
      </w:r>
      <w:r>
        <w:rPr>
          <w:rFonts w:eastAsia="黑体"/>
          <w:sz w:val="32"/>
          <w:szCs w:val="32"/>
        </w:rPr>
        <w:t>一般公共预算拨款支出</w:t>
      </w:r>
      <w:bookmarkEnd w:id="3"/>
    </w:p>
    <w:p>
      <w:pPr>
        <w:widowControl/>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一般公共预算拨款支出预算1331.74万元，其中，公共安全支出1132.74万元，占85.06%；教育支出5万元，占0.37%；社会保障和就业支出72万元，占5.41%；卫生健康支出49万元，占3.68%；住房保障支出73万元，占5.48%。具体安排情况如下：</w:t>
      </w:r>
    </w:p>
    <w:p>
      <w:pPr>
        <w:widowControl/>
        <w:spacing w:line="600" w:lineRule="exact"/>
        <w:ind w:firstLine="660"/>
        <w:outlineLvl w:val="2"/>
        <w:rPr>
          <w:rFonts w:ascii="仿宋_GB2312" w:eastAsia="仿宋_GB2312"/>
          <w:sz w:val="32"/>
          <w:szCs w:val="32"/>
        </w:rPr>
      </w:pPr>
      <w:r>
        <w:rPr>
          <w:rFonts w:hint="eastAsia" w:ascii="仿宋_GB2312" w:eastAsia="仿宋_GB2312"/>
          <w:b/>
          <w:bCs/>
          <w:sz w:val="32"/>
          <w:szCs w:val="32"/>
        </w:rPr>
        <w:t>（一）基本支出：</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年本单位基本支出预算数1175.89万元，主要是为保障单位正常运转、完成日常工作任务而发生的各项支出，包括用于基本工资、津贴补贴等人员经费以及办公费、印刷费、水电费、办公设备购置等公用经费。</w:t>
      </w:r>
    </w:p>
    <w:p>
      <w:pPr>
        <w:ind w:firstLine="640"/>
        <w:outlineLvl w:val="2"/>
        <w:rPr>
          <w:rFonts w:ascii="仿宋_GB2312" w:eastAsia="仿宋_GB2312"/>
          <w:sz w:val="32"/>
          <w:szCs w:val="32"/>
        </w:rPr>
      </w:pPr>
      <w:r>
        <w:rPr>
          <w:rFonts w:hint="eastAsia" w:ascii="仿宋_GB2312" w:eastAsia="仿宋_GB2312"/>
          <w:b/>
          <w:bCs/>
          <w:sz w:val="32"/>
          <w:szCs w:val="32"/>
        </w:rPr>
        <w:t>（二）项目支出：</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年本单位项目支出预算155.85万元，主要是</w:t>
      </w:r>
      <w:r>
        <w:rPr>
          <w:rFonts w:hint="eastAsia" w:ascii="仿宋_GB2312" w:hAnsi="宋体" w:eastAsia="仿宋_GB2312"/>
          <w:sz w:val="32"/>
          <w:szCs w:val="32"/>
        </w:rPr>
        <w:t>单位为完成特定行政工作任务或事业发展目标而发生的支出，包括有关事业发展专项、专项业务费、基本建设支出等，其中：业务工作专项支出8.28万元，主要用于检察干警基金、乡村振兴、扫黑除恶等方面；运行维护专项支出147.57万元，主要用于密码设备购置换装、工作网电脑购置、远程提讯室设备购置、检务公开外网网站及移动平台、检察机关工作网网站、公益诉讼快速检测箱、办公设备购置等方面。</w:t>
      </w:r>
    </w:p>
    <w:p>
      <w:pPr>
        <w:ind w:firstLine="640"/>
        <w:outlineLvl w:val="1"/>
        <w:rPr>
          <w:rFonts w:ascii="黑体" w:hAnsi="黑体" w:eastAsia="黑体" w:cs="黑体"/>
          <w:sz w:val="32"/>
          <w:szCs w:val="32"/>
        </w:rPr>
      </w:pPr>
      <w:bookmarkStart w:id="4" w:name="_Toc32368"/>
      <w:r>
        <w:rPr>
          <w:rFonts w:hint="eastAsia" w:ascii="黑体" w:hAnsi="黑体" w:eastAsia="黑体" w:cs="黑体"/>
          <w:sz w:val="32"/>
          <w:szCs w:val="32"/>
        </w:rPr>
        <w:t>四、政府性基金预算支出</w:t>
      </w:r>
      <w:bookmarkEnd w:id="4"/>
    </w:p>
    <w:p>
      <w:pPr>
        <w:ind w:firstLine="640"/>
        <w:rPr>
          <w:rFonts w:ascii="仿宋_GB2312" w:eastAsia="仿宋_GB2312"/>
          <w:sz w:val="32"/>
          <w:szCs w:val="32"/>
        </w:rPr>
      </w:pPr>
      <w:r>
        <w:rPr>
          <w:rFonts w:hint="eastAsia" w:ascii="仿宋_GB2312" w:eastAsia="仿宋_GB2312"/>
          <w:sz w:val="32"/>
          <w:szCs w:val="32"/>
        </w:rPr>
        <w:t>2022年本单位无政府性基金安排的支出。</w:t>
      </w:r>
    </w:p>
    <w:p>
      <w:pPr>
        <w:widowControl/>
        <w:spacing w:line="600" w:lineRule="exact"/>
        <w:ind w:firstLine="660"/>
        <w:outlineLvl w:val="1"/>
        <w:rPr>
          <w:rFonts w:eastAsia="黑体"/>
          <w:sz w:val="32"/>
          <w:szCs w:val="32"/>
        </w:rPr>
      </w:pPr>
      <w:bookmarkStart w:id="5" w:name="_Toc5712"/>
      <w:r>
        <w:rPr>
          <w:rFonts w:hint="eastAsia" w:eastAsia="黑体"/>
          <w:sz w:val="32"/>
          <w:szCs w:val="32"/>
        </w:rPr>
        <w:t>五</w:t>
      </w:r>
      <w:r>
        <w:rPr>
          <w:rFonts w:eastAsia="黑体"/>
          <w:sz w:val="32"/>
          <w:szCs w:val="32"/>
        </w:rPr>
        <w:t>、其他重要事项的情况说明</w:t>
      </w:r>
      <w:bookmarkEnd w:id="5"/>
    </w:p>
    <w:p>
      <w:pPr>
        <w:widowControl/>
        <w:spacing w:line="600" w:lineRule="exact"/>
        <w:ind w:firstLine="642" w:firstLineChars="200"/>
        <w:outlineLvl w:val="2"/>
        <w:rPr>
          <w:rFonts w:ascii="仿宋_GB2312" w:hAnsi="宋体" w:eastAsia="仿宋_GB2312"/>
          <w:sz w:val="32"/>
          <w:szCs w:val="32"/>
        </w:rPr>
      </w:pPr>
      <w:r>
        <w:rPr>
          <w:rFonts w:hint="eastAsia" w:ascii="仿宋_GB2312" w:eastAsia="仿宋_GB2312"/>
          <w:b/>
          <w:bCs/>
          <w:sz w:val="32"/>
          <w:szCs w:val="32"/>
        </w:rPr>
        <w:t>（一）机关运行经费：</w:t>
      </w:r>
      <w:r>
        <w:rPr>
          <w:rFonts w:hint="eastAsia" w:ascii="仿宋_GB2312" w:hAnsi="宋体" w:eastAsia="仿宋_GB2312"/>
          <w:sz w:val="32"/>
          <w:szCs w:val="32"/>
        </w:rPr>
        <w:t>2022年本单位机关运行经费436.94万元，比上年预算增加51.04</w:t>
      </w:r>
      <w:r>
        <w:rPr>
          <w:rFonts w:hint="eastAsia" w:ascii="仿宋_GB2312" w:eastAsia="仿宋_GB2312"/>
          <w:sz w:val="32"/>
          <w:szCs w:val="32"/>
        </w:rPr>
        <w:t>万元，上升11.68%，主要是单位办案任务与中心工作任务加重，办公费和其他商品服务支出预算增加。</w:t>
      </w:r>
    </w:p>
    <w:p>
      <w:pPr>
        <w:widowControl/>
        <w:spacing w:line="600" w:lineRule="exact"/>
        <w:ind w:firstLine="642" w:firstLineChars="200"/>
        <w:outlineLvl w:val="2"/>
        <w:rPr>
          <w:rFonts w:ascii="仿宋_GB2312" w:eastAsia="仿宋_GB2312"/>
          <w:sz w:val="32"/>
          <w:szCs w:val="32"/>
        </w:rPr>
      </w:pPr>
      <w:r>
        <w:rPr>
          <w:rFonts w:hint="eastAsia" w:ascii="仿宋_GB2312" w:eastAsia="仿宋_GB2312"/>
          <w:b/>
          <w:bCs/>
          <w:sz w:val="32"/>
          <w:szCs w:val="32"/>
        </w:rPr>
        <w:t>（二）“三公”经费预算：</w:t>
      </w:r>
      <w:r>
        <w:rPr>
          <w:rFonts w:hint="eastAsia" w:ascii="仿宋_GB2312" w:hAnsi="宋体" w:eastAsia="仿宋_GB2312"/>
          <w:sz w:val="32"/>
          <w:szCs w:val="32"/>
        </w:rPr>
        <w:t>2022年本单位</w:t>
      </w:r>
      <w:r>
        <w:rPr>
          <w:rFonts w:hint="eastAsia" w:ascii="仿宋_GB2312" w:eastAsia="仿宋_GB2312"/>
          <w:sz w:val="32"/>
          <w:szCs w:val="32"/>
        </w:rPr>
        <w:t>“三公”经费预算数为33万元，其中，公务接待费1.7万元，公务用车购置及运行费31.3万元（其中，公务用车购置费0万元，公务用车运行费31.3万元），因公出国（境）费0万元。 2022年“三公”经费预算较上年持平，主要是单位从严控制“三公”经费预算。</w:t>
      </w:r>
    </w:p>
    <w:p>
      <w:pPr>
        <w:widowControl/>
        <w:spacing w:line="600" w:lineRule="exact"/>
        <w:ind w:firstLine="642" w:firstLineChars="200"/>
        <w:outlineLvl w:val="2"/>
        <w:rPr>
          <w:rFonts w:ascii="仿宋_GB2312" w:eastAsia="仿宋_GB2312"/>
          <w:sz w:val="32"/>
          <w:szCs w:val="32"/>
        </w:rPr>
      </w:pPr>
      <w:r>
        <w:rPr>
          <w:rFonts w:hint="eastAsia" w:ascii="仿宋_GB2312" w:eastAsia="仿宋_GB2312"/>
          <w:b/>
          <w:bCs/>
          <w:sz w:val="32"/>
          <w:szCs w:val="32"/>
        </w:rPr>
        <w:t>（三）一般性支出情况：</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年本单位会议费预算0万元，培训费预算5万元，拟开展10次培训，人数60人，内容为本院组织的业务及素能培训以及参加上级机关组织的培训活动</w:t>
      </w:r>
      <w:r>
        <w:rPr>
          <w:rFonts w:hint="eastAsia" w:ascii="仿宋_GB2312" w:eastAsia="仿宋_GB2312"/>
          <w:sz w:val="32"/>
          <w:szCs w:val="32"/>
          <w:lang w:eastAsia="zh-CN"/>
        </w:rPr>
        <w:t>，</w:t>
      </w:r>
      <w:r>
        <w:rPr>
          <w:rFonts w:hint="eastAsia" w:ascii="仿宋_GB2312" w:hAnsi="仿宋_GB2312" w:eastAsia="仿宋_GB2312" w:cs="仿宋_GB2312"/>
          <w:sz w:val="32"/>
          <w:szCs w:val="32"/>
        </w:rPr>
        <w:t>无节庆、晚会、论坛、赛事等活动。</w:t>
      </w:r>
    </w:p>
    <w:p>
      <w:pPr>
        <w:widowControl/>
        <w:spacing w:line="600" w:lineRule="exact"/>
        <w:ind w:firstLine="642" w:firstLineChars="200"/>
        <w:outlineLvl w:val="2"/>
        <w:rPr>
          <w:rFonts w:hint="eastAsia" w:ascii="仿宋_GB2312" w:eastAsia="仿宋_GB2312"/>
          <w:sz w:val="32"/>
          <w:szCs w:val="32"/>
          <w:lang w:eastAsia="zh-CN"/>
        </w:rPr>
      </w:pPr>
      <w:r>
        <w:rPr>
          <w:rFonts w:hint="eastAsia" w:ascii="仿宋_GB2312" w:eastAsia="仿宋_GB2312"/>
          <w:b/>
          <w:bCs/>
          <w:sz w:val="32"/>
          <w:szCs w:val="32"/>
        </w:rPr>
        <w:t>（四）政府采购情况：</w:t>
      </w:r>
      <w:r>
        <w:rPr>
          <w:rFonts w:hint="eastAsia" w:ascii="仿宋_GB2312" w:eastAsia="仿宋_GB2312"/>
          <w:sz w:val="32"/>
          <w:szCs w:val="32"/>
        </w:rPr>
        <w:t>2022年</w:t>
      </w:r>
      <w:r>
        <w:rPr>
          <w:rFonts w:hint="eastAsia" w:ascii="仿宋_GB2312" w:hAnsi="宋体" w:eastAsia="仿宋_GB2312"/>
          <w:sz w:val="32"/>
          <w:szCs w:val="32"/>
        </w:rPr>
        <w:t>本</w:t>
      </w:r>
      <w:r>
        <w:rPr>
          <w:rFonts w:hint="eastAsia" w:ascii="仿宋_GB2312" w:hAnsi="宋体" w:eastAsia="仿宋_GB2312"/>
          <w:sz w:val="32"/>
          <w:szCs w:val="32"/>
          <w:lang w:val="en-US" w:eastAsia="zh-CN"/>
        </w:rPr>
        <w:t>部门</w:t>
      </w:r>
      <w:r>
        <w:rPr>
          <w:rFonts w:hint="eastAsia" w:ascii="仿宋_GB2312" w:eastAsia="仿宋_GB2312"/>
          <w:sz w:val="32"/>
          <w:szCs w:val="32"/>
        </w:rPr>
        <w:t>采购预算总额0万元，其中，</w:t>
      </w:r>
      <w:r>
        <w:rPr>
          <w:rFonts w:hint="eastAsia" w:ascii="仿宋_GB2312" w:hAnsi="宋体" w:eastAsia="仿宋_GB2312"/>
          <w:sz w:val="32"/>
          <w:szCs w:val="32"/>
        </w:rPr>
        <w:t>货物</w:t>
      </w:r>
      <w:r>
        <w:rPr>
          <w:rFonts w:hint="eastAsia" w:ascii="仿宋_GB2312" w:hAnsi="宋体" w:eastAsia="仿宋_GB2312"/>
          <w:sz w:val="32"/>
          <w:szCs w:val="32"/>
          <w:lang w:val="en-US" w:eastAsia="zh-CN"/>
        </w:rPr>
        <w:t>类采购</w:t>
      </w:r>
      <w:r>
        <w:rPr>
          <w:rFonts w:hint="eastAsia" w:ascii="仿宋_GB2312" w:hAnsi="宋体" w:eastAsia="仿宋_GB2312"/>
          <w:sz w:val="32"/>
          <w:szCs w:val="32"/>
        </w:rPr>
        <w:t>预算0</w:t>
      </w:r>
      <w:r>
        <w:rPr>
          <w:rFonts w:hint="eastAsia" w:ascii="仿宋_GB2312" w:eastAsia="仿宋_GB2312"/>
          <w:sz w:val="32"/>
          <w:szCs w:val="32"/>
        </w:rPr>
        <w:t>万元；工程</w:t>
      </w:r>
      <w:r>
        <w:rPr>
          <w:rFonts w:hint="eastAsia" w:ascii="仿宋_GB2312" w:eastAsia="仿宋_GB2312"/>
          <w:sz w:val="32"/>
          <w:szCs w:val="32"/>
          <w:lang w:val="en-US" w:eastAsia="zh-CN"/>
        </w:rPr>
        <w:t>类</w:t>
      </w:r>
      <w:r>
        <w:rPr>
          <w:rFonts w:hint="eastAsia" w:ascii="仿宋_GB2312" w:eastAsia="仿宋_GB2312"/>
          <w:sz w:val="32"/>
          <w:szCs w:val="32"/>
        </w:rPr>
        <w:t>采购预算0万元</w:t>
      </w:r>
      <w:r>
        <w:rPr>
          <w:rFonts w:hint="eastAsia" w:ascii="仿宋_GB2312" w:eastAsia="仿宋_GB2312"/>
          <w:sz w:val="32"/>
          <w:szCs w:val="32"/>
          <w:lang w:eastAsia="zh-CN"/>
        </w:rPr>
        <w:t>；</w:t>
      </w:r>
      <w:r>
        <w:rPr>
          <w:rFonts w:hint="eastAsia" w:ascii="仿宋_GB2312" w:hAnsi="宋体" w:eastAsia="仿宋_GB2312"/>
          <w:sz w:val="32"/>
          <w:szCs w:val="32"/>
        </w:rPr>
        <w:t>服务</w:t>
      </w:r>
      <w:r>
        <w:rPr>
          <w:rFonts w:hint="eastAsia" w:ascii="仿宋_GB2312" w:hAnsi="宋体" w:eastAsia="仿宋_GB2312"/>
          <w:sz w:val="32"/>
          <w:szCs w:val="32"/>
          <w:lang w:val="en-US" w:eastAsia="zh-CN"/>
        </w:rPr>
        <w:t>类采购</w:t>
      </w:r>
      <w:r>
        <w:rPr>
          <w:rFonts w:hint="eastAsia" w:ascii="仿宋_GB2312" w:hAnsi="宋体" w:eastAsia="仿宋_GB2312"/>
          <w:sz w:val="32"/>
          <w:szCs w:val="32"/>
        </w:rPr>
        <w:t>预算0</w:t>
      </w:r>
      <w:r>
        <w:rPr>
          <w:rFonts w:hint="eastAsia" w:ascii="仿宋_GB2312" w:eastAsia="仿宋_GB2312"/>
          <w:sz w:val="32"/>
          <w:szCs w:val="32"/>
        </w:rPr>
        <w:t>万元</w:t>
      </w:r>
      <w:r>
        <w:rPr>
          <w:rFonts w:hint="eastAsia" w:ascii="仿宋_GB2312" w:eastAsia="仿宋_GB2312"/>
          <w:sz w:val="32"/>
          <w:szCs w:val="32"/>
          <w:lang w:eastAsia="zh-CN"/>
        </w:rPr>
        <w:t>。</w:t>
      </w:r>
    </w:p>
    <w:p>
      <w:pPr>
        <w:widowControl/>
        <w:spacing w:line="600" w:lineRule="atLeast"/>
        <w:ind w:firstLine="661" w:firstLineChars="206"/>
        <w:jc w:val="left"/>
        <w:outlineLvl w:val="2"/>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b/>
          <w:bCs/>
          <w:sz w:val="32"/>
          <w:szCs w:val="32"/>
        </w:rPr>
        <w:t>（五）国有资产占用使用及新增资产配置情况：</w:t>
      </w:r>
      <w:r>
        <w:rPr>
          <w:rFonts w:hint="eastAsia" w:ascii="仿宋_GB2312" w:hAnsi="仿宋_GB2312" w:eastAsia="仿宋_GB2312" w:cs="仿宋_GB2312"/>
          <w:kern w:val="0"/>
          <w:sz w:val="32"/>
          <w:szCs w:val="32"/>
          <w:shd w:val="clear" w:color="auto" w:fill="FFFFFF"/>
        </w:rPr>
        <w:t>截至202</w:t>
      </w:r>
      <w:r>
        <w:rPr>
          <w:rFonts w:hint="eastAsia" w:ascii="仿宋_GB2312" w:hAnsi="仿宋_GB2312" w:eastAsia="仿宋_GB2312" w:cs="仿宋_GB2312"/>
          <w:kern w:val="0"/>
          <w:sz w:val="32"/>
          <w:szCs w:val="32"/>
          <w:shd w:val="clear" w:color="auto" w:fill="FFFFFF"/>
          <w:lang w:val="en-US" w:eastAsia="zh-CN"/>
        </w:rPr>
        <w:t>2</w:t>
      </w:r>
      <w:r>
        <w:rPr>
          <w:rFonts w:hint="eastAsia" w:ascii="仿宋_GB2312" w:hAnsi="仿宋_GB2312" w:eastAsia="仿宋_GB2312" w:cs="仿宋_GB2312"/>
          <w:kern w:val="0"/>
          <w:sz w:val="32"/>
          <w:szCs w:val="32"/>
          <w:shd w:val="clear" w:color="auto" w:fill="FFFFFF"/>
        </w:rPr>
        <w:t>年12月底，本单位共有公务用车4辆，其中，机要通信用车0辆，应急保障用车0辆，执法执勤用车4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atLeast"/>
        <w:ind w:firstLine="661" w:firstLineChars="206"/>
        <w:jc w:val="left"/>
        <w:outlineLvl w:val="2"/>
        <w:rPr>
          <w:rFonts w:hint="eastAsia" w:ascii="仿宋" w:hAnsi="仿宋" w:eastAsia="仿宋" w:cs="仿宋"/>
          <w:kern w:val="0"/>
          <w:sz w:val="32"/>
          <w:szCs w:val="32"/>
          <w:shd w:val="clear" w:color="auto" w:fill="FFFFFF"/>
        </w:rPr>
      </w:pPr>
      <w:r>
        <w:rPr>
          <w:rStyle w:val="10"/>
          <w:rFonts w:hint="eastAsia" w:ascii="仿宋" w:hAnsi="仿宋" w:eastAsia="仿宋" w:cs="仿宋"/>
          <w:sz w:val="32"/>
          <w:szCs w:val="32"/>
        </w:rPr>
        <w:t>（六）预算绩效目标说明：</w:t>
      </w:r>
      <w:r>
        <w:rPr>
          <w:rFonts w:hint="eastAsia" w:ascii="仿宋" w:hAnsi="仿宋" w:eastAsia="仿宋" w:cs="仿宋"/>
          <w:sz w:val="32"/>
          <w:szCs w:val="32"/>
        </w:rPr>
        <w:t>本部门所有支出实行绩效目标管理，纳入2022年部门整体支出绩效目标的金额</w:t>
      </w:r>
      <w:r>
        <w:rPr>
          <w:rFonts w:hint="eastAsia" w:ascii="仿宋" w:hAnsi="仿宋" w:eastAsia="仿宋" w:cs="仿宋"/>
          <w:sz w:val="32"/>
          <w:szCs w:val="32"/>
          <w:lang w:val="en-US" w:eastAsia="zh-CN"/>
        </w:rPr>
        <w:t>1312</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1175.89</w:t>
      </w:r>
      <w:r>
        <w:rPr>
          <w:rFonts w:hint="eastAsia" w:ascii="仿宋" w:hAnsi="仿宋" w:eastAsia="仿宋" w:cs="仿宋"/>
          <w:sz w:val="32"/>
          <w:szCs w:val="32"/>
        </w:rPr>
        <w:t>万元，项目支出</w:t>
      </w:r>
      <w:r>
        <w:rPr>
          <w:rFonts w:hint="eastAsia" w:ascii="仿宋" w:hAnsi="仿宋" w:eastAsia="仿宋" w:cs="仿宋"/>
          <w:sz w:val="32"/>
          <w:szCs w:val="32"/>
          <w:lang w:val="en-US" w:eastAsia="zh-CN"/>
        </w:rPr>
        <w:t>136.11</w:t>
      </w:r>
      <w:r>
        <w:rPr>
          <w:rFonts w:hint="eastAsia" w:ascii="仿宋" w:hAnsi="仿宋" w:eastAsia="仿宋" w:cs="仿宋"/>
          <w:sz w:val="32"/>
          <w:szCs w:val="32"/>
        </w:rPr>
        <w:t>万元，具体绩效目标详见报表。</w:t>
      </w:r>
    </w:p>
    <w:p>
      <w:pPr>
        <w:widowControl/>
        <w:numPr>
          <w:ilvl w:val="0"/>
          <w:numId w:val="1"/>
        </w:numPr>
        <w:spacing w:line="600" w:lineRule="atLeast"/>
        <w:ind w:left="660"/>
        <w:jc w:val="left"/>
        <w:outlineLvl w:val="1"/>
        <w:rPr>
          <w:rFonts w:eastAsia="黑体"/>
          <w:sz w:val="32"/>
          <w:szCs w:val="32"/>
        </w:rPr>
      </w:pPr>
      <w:bookmarkStart w:id="6" w:name="_Toc3254"/>
      <w:r>
        <w:rPr>
          <w:rFonts w:eastAsia="黑体"/>
          <w:sz w:val="32"/>
          <w:szCs w:val="32"/>
        </w:rPr>
        <w:t>名词解释</w:t>
      </w:r>
      <w:bookmarkEnd w:id="6"/>
    </w:p>
    <w:p>
      <w:pPr>
        <w:widowControl/>
        <w:spacing w:line="600" w:lineRule="atLeast"/>
        <w:ind w:firstLine="640" w:firstLineChars="200"/>
        <w:jc w:val="left"/>
        <w:rPr>
          <w:rFonts w:ascii="仿宋_GB2312" w:eastAsia="仿宋_GB2312"/>
          <w:sz w:val="32"/>
          <w:szCs w:val="32"/>
        </w:rPr>
      </w:pPr>
      <w:r>
        <w:rPr>
          <w:rFonts w:hint="eastAsia" w:ascii="仿宋_GB2312" w:eastAsia="仿宋_GB2312"/>
          <w:sz w:val="32"/>
          <w:szCs w:val="32"/>
        </w:rPr>
        <w:t>1、机关运行经费：是指各单位的公用经费，包括办公及印刷费、邮电费、差旅费、会议费、福利费、日常维修费、专用资料及一般设备购置费、办公用房水</w:t>
      </w:r>
      <w:bookmarkStart w:id="7" w:name="_GoBack"/>
      <w:bookmarkEnd w:id="7"/>
      <w:r>
        <w:rPr>
          <w:rFonts w:hint="eastAsia" w:ascii="仿宋_GB2312" w:eastAsia="仿宋_GB2312"/>
          <w:sz w:val="32"/>
          <w:szCs w:val="32"/>
        </w:rPr>
        <w:t>电费、办公用房取暖费、办公用房物业管理费、公务用车运行维护费以及其他费用。</w:t>
      </w:r>
    </w:p>
    <w:p>
      <w:pPr>
        <w:widowControl/>
        <w:spacing w:line="600" w:lineRule="exact"/>
        <w:ind w:firstLine="660"/>
        <w:rPr>
          <w:rFonts w:ascii="仿宋_GB2312" w:eastAsia="仿宋_GB2312"/>
          <w:sz w:val="32"/>
          <w:szCs w:val="32"/>
        </w:rPr>
      </w:pPr>
      <w:r>
        <w:rPr>
          <w:rFonts w:hint="eastAsia" w:ascii="仿宋_GB2312" w:eastAsia="仿宋_GB2312"/>
          <w:sz w:val="32"/>
          <w:szCs w:val="32"/>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widowControl/>
        <w:spacing w:line="600" w:lineRule="exact"/>
        <w:ind w:firstLine="660"/>
        <w:rPr>
          <w:rFonts w:ascii="仿宋_GB2312" w:eastAsia="仿宋_GB2312"/>
          <w:sz w:val="32"/>
          <w:szCs w:val="32"/>
        </w:rPr>
      </w:pPr>
    </w:p>
    <w:p>
      <w:pPr>
        <w:widowControl/>
        <w:spacing w:line="600" w:lineRule="exact"/>
        <w:ind w:firstLine="660"/>
        <w:rPr>
          <w:rFonts w:ascii="仿宋_GB2312" w:eastAsia="仿宋_GB2312"/>
          <w:sz w:val="32"/>
          <w:szCs w:val="32"/>
        </w:rPr>
      </w:pPr>
    </w:p>
    <w:p>
      <w:pPr>
        <w:widowControl/>
        <w:spacing w:line="600" w:lineRule="exact"/>
        <w:ind w:firstLine="660"/>
        <w:rPr>
          <w:rFonts w:ascii="仿宋_GB2312" w:eastAsia="仿宋_GB2312"/>
          <w:sz w:val="32"/>
          <w:szCs w:val="32"/>
        </w:rPr>
      </w:pPr>
    </w:p>
    <w:p>
      <w:pPr>
        <w:widowControl/>
        <w:spacing w:line="600" w:lineRule="exact"/>
        <w:rPr>
          <w:rFonts w:ascii="仿宋_GB2312" w:eastAsia="仿宋_GB2312"/>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w:t>
      </w:r>
      <w:r>
        <w:rPr>
          <w:rFonts w:hint="eastAsia" w:eastAsia="方正小标宋_GBK"/>
          <w:bCs/>
          <w:kern w:val="0"/>
          <w:sz w:val="36"/>
          <w:szCs w:val="36"/>
        </w:rPr>
        <w:t>单位</w:t>
      </w:r>
      <w:r>
        <w:rPr>
          <w:rFonts w:eastAsia="方正小标宋_GBK"/>
          <w:bCs/>
          <w:kern w:val="0"/>
          <w:sz w:val="36"/>
          <w:szCs w:val="36"/>
        </w:rPr>
        <w:t>预算表</w:t>
      </w:r>
    </w:p>
    <w:p>
      <w:pPr>
        <w:widowControl/>
        <w:spacing w:line="600" w:lineRule="exact"/>
        <w:ind w:firstLine="660"/>
        <w:rPr>
          <w:rFonts w:ascii="仿宋_GB2312" w:eastAsia="仿宋_GB2312"/>
          <w:sz w:val="32"/>
          <w:szCs w:val="32"/>
        </w:rPr>
      </w:pPr>
    </w:p>
    <w:p>
      <w:pPr>
        <w:widowControl/>
        <w:spacing w:line="600" w:lineRule="exact"/>
        <w:ind w:firstLine="660"/>
        <w:rPr>
          <w:rFonts w:eastAsia="仿宋_GB2312"/>
          <w:sz w:val="32"/>
          <w:szCs w:val="32"/>
        </w:rPr>
      </w:pPr>
      <w:r>
        <w:rPr>
          <w:rFonts w:hint="eastAsia" w:ascii="仿宋_GB2312" w:eastAsia="仿宋_GB2312"/>
          <w:sz w:val="32"/>
          <w:szCs w:val="32"/>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onospace">
    <w:altName w:val="汉仪新人文宋简"/>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t>7</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mMTMzYjk5ZGMyMzJiNWI4ODViODkyYTI1ZTY1MjQifQ=="/>
  </w:docVars>
  <w:rsids>
    <w:rsidRoot w:val="00000000"/>
    <w:rsid w:val="05873561"/>
    <w:rsid w:val="202D3482"/>
    <w:rsid w:val="2072679F"/>
    <w:rsid w:val="3011735F"/>
    <w:rsid w:val="306C7E5F"/>
    <w:rsid w:val="3DF74D79"/>
    <w:rsid w:val="4AC81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2">
    <w:name w:val="Balloon Text"/>
    <w:basedOn w:val="1"/>
    <w:link w:val="25"/>
    <w:qFormat/>
    <w:uiPriority w:val="0"/>
    <w:rPr>
      <w:sz w:val="18"/>
      <w:szCs w:val="18"/>
    </w:rPr>
  </w:style>
  <w:style w:type="paragraph" w:styleId="3">
    <w:name w:val="footer"/>
    <w:basedOn w:val="1"/>
    <w:link w:val="23"/>
    <w:qFormat/>
    <w:uiPriority w:val="0"/>
    <w:pPr>
      <w:tabs>
        <w:tab w:val="center" w:pos="4153"/>
        <w:tab w:val="right" w:pos="8306"/>
      </w:tabs>
      <w:snapToGrid w:val="0"/>
      <w:jc w:val="left"/>
    </w:pPr>
    <w:rPr>
      <w:sz w:val="18"/>
      <w:szCs w:val="18"/>
    </w:rPr>
  </w:style>
  <w:style w:type="paragraph" w:styleId="4">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character" w:styleId="11">
    <w:name w:val="page number"/>
    <w:basedOn w:val="9"/>
    <w:qFormat/>
    <w:uiPriority w:val="0"/>
  </w:style>
  <w:style w:type="character" w:styleId="12">
    <w:name w:val="FollowedHyperlink"/>
    <w:basedOn w:val="9"/>
    <w:qFormat/>
    <w:uiPriority w:val="0"/>
    <w:rPr>
      <w:color w:val="555555"/>
      <w:u w:val="none"/>
    </w:rPr>
  </w:style>
  <w:style w:type="character" w:styleId="13">
    <w:name w:val="Emphasis"/>
    <w:basedOn w:val="9"/>
    <w:qFormat/>
    <w:uiPriority w:val="0"/>
  </w:style>
  <w:style w:type="character" w:styleId="14">
    <w:name w:val="HTML Definition"/>
    <w:basedOn w:val="9"/>
    <w:qFormat/>
    <w:uiPriority w:val="0"/>
  </w:style>
  <w:style w:type="character" w:styleId="15">
    <w:name w:val="HTML Typewriter"/>
    <w:basedOn w:val="9"/>
    <w:qFormat/>
    <w:uiPriority w:val="0"/>
    <w:rPr>
      <w:rFonts w:hint="default" w:ascii="monospace" w:hAnsi="monospace" w:eastAsia="monospace" w:cs="monospace"/>
      <w:sz w:val="20"/>
    </w:rPr>
  </w:style>
  <w:style w:type="character" w:styleId="16">
    <w:name w:val="HTML Acronym"/>
    <w:basedOn w:val="9"/>
    <w:qFormat/>
    <w:uiPriority w:val="0"/>
  </w:style>
  <w:style w:type="character" w:styleId="17">
    <w:name w:val="HTML Variable"/>
    <w:basedOn w:val="9"/>
    <w:qFormat/>
    <w:uiPriority w:val="0"/>
  </w:style>
  <w:style w:type="character" w:styleId="18">
    <w:name w:val="Hyperlink"/>
    <w:basedOn w:val="9"/>
    <w:qFormat/>
    <w:uiPriority w:val="0"/>
    <w:rPr>
      <w:color w:val="555555"/>
      <w:u w:val="none"/>
    </w:rPr>
  </w:style>
  <w:style w:type="character" w:styleId="19">
    <w:name w:val="HTML Code"/>
    <w:basedOn w:val="9"/>
    <w:qFormat/>
    <w:uiPriority w:val="0"/>
    <w:rPr>
      <w:rFonts w:hint="default" w:ascii="monospace" w:hAnsi="monospace" w:eastAsia="monospace" w:cs="monospace"/>
      <w:sz w:val="20"/>
    </w:rPr>
  </w:style>
  <w:style w:type="character" w:styleId="20">
    <w:name w:val="HTML Cite"/>
    <w:basedOn w:val="9"/>
    <w:qFormat/>
    <w:uiPriority w:val="0"/>
    <w:rPr>
      <w:color w:val="FF0000"/>
      <w:u w:val="single"/>
    </w:rPr>
  </w:style>
  <w:style w:type="character" w:styleId="21">
    <w:name w:val="HTML Keyboard"/>
    <w:basedOn w:val="9"/>
    <w:qFormat/>
    <w:uiPriority w:val="0"/>
    <w:rPr>
      <w:rFonts w:ascii="monospace" w:hAnsi="monospace" w:eastAsia="monospace" w:cs="monospace"/>
      <w:sz w:val="20"/>
    </w:rPr>
  </w:style>
  <w:style w:type="character" w:styleId="22">
    <w:name w:val="HTML Sample"/>
    <w:basedOn w:val="9"/>
    <w:qFormat/>
    <w:uiPriority w:val="0"/>
    <w:rPr>
      <w:rFonts w:hint="default" w:ascii="monospace" w:hAnsi="monospace" w:eastAsia="monospace" w:cs="monospace"/>
    </w:rPr>
  </w:style>
  <w:style w:type="character" w:customStyle="1" w:styleId="23">
    <w:name w:val="页脚 Char"/>
    <w:link w:val="3"/>
    <w:qFormat/>
    <w:uiPriority w:val="0"/>
    <w:rPr>
      <w:kern w:val="2"/>
      <w:sz w:val="18"/>
      <w:szCs w:val="18"/>
    </w:rPr>
  </w:style>
  <w:style w:type="character" w:customStyle="1" w:styleId="24">
    <w:name w:val="p12_blue"/>
    <w:basedOn w:val="9"/>
    <w:qFormat/>
    <w:uiPriority w:val="0"/>
  </w:style>
  <w:style w:type="character" w:customStyle="1" w:styleId="25">
    <w:name w:val="批注框文本 Char"/>
    <w:link w:val="2"/>
    <w:qFormat/>
    <w:uiPriority w:val="0"/>
    <w:rPr>
      <w:kern w:val="2"/>
      <w:sz w:val="18"/>
      <w:szCs w:val="18"/>
    </w:rPr>
  </w:style>
  <w:style w:type="character" w:customStyle="1" w:styleId="26">
    <w:name w:val="retractmanager"/>
    <w:basedOn w:val="9"/>
    <w:qFormat/>
    <w:uiPriority w:val="0"/>
    <w:rPr>
      <w:color w:val="FF002A"/>
    </w:rPr>
  </w:style>
  <w:style w:type="character" w:customStyle="1" w:styleId="27">
    <w:name w:val="bsharetext"/>
    <w:basedOn w:val="9"/>
    <w:qFormat/>
    <w:uiPriority w:val="0"/>
  </w:style>
  <w:style w:type="character" w:customStyle="1" w:styleId="28">
    <w:name w:val="bds_more"/>
    <w:basedOn w:val="9"/>
    <w:qFormat/>
    <w:uiPriority w:val="0"/>
  </w:style>
  <w:style w:type="character" w:customStyle="1" w:styleId="29">
    <w:name w:val="页眉 Char"/>
    <w:link w:val="4"/>
    <w:qFormat/>
    <w:uiPriority w:val="0"/>
    <w:rPr>
      <w:kern w:val="2"/>
      <w:sz w:val="18"/>
      <w:szCs w:val="18"/>
    </w:rPr>
  </w:style>
  <w:style w:type="character" w:customStyle="1" w:styleId="30">
    <w:name w:val="bds_nopic2"/>
    <w:basedOn w:val="9"/>
    <w:qFormat/>
    <w:uiPriority w:val="0"/>
  </w:style>
  <w:style w:type="character" w:customStyle="1" w:styleId="31">
    <w:name w:val="right5"/>
    <w:basedOn w:val="9"/>
    <w:qFormat/>
    <w:uiPriority w:val="0"/>
  </w:style>
  <w:style w:type="character" w:customStyle="1" w:styleId="32">
    <w:name w:val="size"/>
    <w:basedOn w:val="9"/>
    <w:qFormat/>
    <w:uiPriority w:val="0"/>
  </w:style>
  <w:style w:type="character" w:customStyle="1" w:styleId="33">
    <w:name w:val="displaycontent"/>
    <w:basedOn w:val="9"/>
    <w:qFormat/>
    <w:uiPriority w:val="0"/>
    <w:rPr>
      <w:color w:val="FF002A"/>
    </w:rPr>
  </w:style>
  <w:style w:type="character" w:customStyle="1" w:styleId="34">
    <w:name w:val="bds_more1"/>
    <w:basedOn w:val="9"/>
    <w:qFormat/>
    <w:uiPriority w:val="0"/>
    <w:rPr>
      <w:rFonts w:hint="eastAsia" w:ascii="宋体" w:hAnsi="宋体" w:eastAsia="宋体" w:cs="宋体"/>
    </w:rPr>
  </w:style>
  <w:style w:type="character" w:customStyle="1" w:styleId="35">
    <w:name w:val="mk5_wzstyle"/>
    <w:basedOn w:val="9"/>
    <w:qFormat/>
    <w:uiPriority w:val="0"/>
  </w:style>
  <w:style w:type="character" w:customStyle="1" w:styleId="36">
    <w:name w:val="bds_more2"/>
    <w:basedOn w:val="9"/>
    <w:qFormat/>
    <w:uiPriority w:val="0"/>
  </w:style>
  <w:style w:type="character" w:customStyle="1" w:styleId="37">
    <w:name w:val="bds_nopic1"/>
    <w:basedOn w:val="9"/>
    <w:qFormat/>
    <w:uiPriority w:val="0"/>
  </w:style>
  <w:style w:type="character" w:customStyle="1" w:styleId="38">
    <w:name w:val="hover17"/>
    <w:basedOn w:val="9"/>
    <w:qFormat/>
    <w:uiPriority w:val="0"/>
  </w:style>
  <w:style w:type="character" w:customStyle="1" w:styleId="39">
    <w:name w:val="bds_nopic"/>
    <w:basedOn w:val="9"/>
    <w:qFormat/>
    <w:uiPriority w:val="0"/>
  </w:style>
  <w:style w:type="character" w:customStyle="1" w:styleId="40">
    <w:name w:val="right6"/>
    <w:basedOn w:val="9"/>
    <w:qFormat/>
    <w:uiPriority w:val="0"/>
  </w:style>
  <w:style w:type="paragraph" w:customStyle="1" w:styleId="4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普通(网站)1"/>
    <w:basedOn w:val="1"/>
    <w:qFormat/>
    <w:uiPriority w:val="0"/>
    <w:pPr>
      <w:jc w:val="left"/>
    </w:pPr>
    <w:rPr>
      <w:rFonts w:hint="eastAsia"/>
      <w:sz w:val="24"/>
    </w:rPr>
  </w:style>
  <w:style w:type="paragraph" w:customStyle="1" w:styleId="44">
    <w:name w:val="Char"/>
    <w:basedOn w:val="1"/>
    <w:qFormat/>
    <w:uiPriority w:val="0"/>
    <w:pPr>
      <w:widowControl/>
      <w:spacing w:line="360" w:lineRule="auto"/>
      <w:jc w:val="left"/>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2909</Words>
  <Characters>3137</Characters>
  <Paragraphs>87</Paragraphs>
  <TotalTime>13</TotalTime>
  <ScaleCrop>false</ScaleCrop>
  <LinksUpToDate>false</LinksUpToDate>
  <CharactersWithSpaces>3174</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2022-02-23T11:34:00Z</dcterms:created>
  <dc:creator>高立朝 10.104.97.45</dc:creator>
  <cp:lastModifiedBy>greatwall</cp:lastModifiedBy>
  <cp:lastPrinted>2023-02-28T08:31:00Z</cp:lastPrinted>
  <dcterms:modified xsi:type="dcterms:W3CDTF">2023-10-07T10:20:23Z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34D0D0CA41DB4AAD91570D6F63C62B12_13</vt:lpwstr>
  </property>
</Properties>
</file>