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960"/>
        <w:jc w:val="both"/>
        <w:rPr>
          <w:rFonts w:ascii="Microsoft YaHei UI" w:hAnsi="Microsoft YaHei UI" w:eastAsia="Microsoft YaHei UI" w:cs="Microsoft YaHei U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2022</w:t>
      </w:r>
      <w:r>
        <w:rPr>
          <w:rFonts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古丈县人民检察院单位预算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目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 xml:space="preserve"> 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3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第一部分</w:t>
      </w:r>
      <w:r>
        <w:rPr>
          <w:rStyle w:val="5"/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2022</w:t>
      </w:r>
      <w:r>
        <w:rPr>
          <w:rStyle w:val="5"/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年单位预算说明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3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第二部分</w:t>
      </w:r>
      <w:r>
        <w:rPr>
          <w:rStyle w:val="5"/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2022</w:t>
      </w:r>
      <w:r>
        <w:rPr>
          <w:rStyle w:val="5"/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年单位预算表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、收支总表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、收入总表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、支出总表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、支出预算分类汇总表（按政府预算经济分类）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5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、支出预算分类汇总表（按部门预算经济分类）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6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、财政拨款收支总表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7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、一般公共预算支出表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8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、一般公共预算基本支出表</w:t>
      </w: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-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人员经费（工资福利支出）（按政府预算经济分类）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9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、一般公共预算基本支出表</w:t>
      </w: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-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人员经费（工资福利支出）（按部门预算经济分类）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、一般公共预算基本支出表</w:t>
      </w: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-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人员经费（对个人和家庭的补助）（按政府预算经济分类）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11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、一般公共预算基本支出表</w:t>
      </w: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-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人员经费（对个人和家庭的补助）（按部门预算经济分类）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12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、一般公共预算基本支出表</w:t>
      </w: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-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公用经费（商品和服务支出）（按政府预算经济分类）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13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、一般公共预算基本支出表</w:t>
      </w: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-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公用经费（商品和服务支出）（按部门预算经济分类）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14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、一般公共预算</w:t>
      </w: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“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三公</w:t>
      </w: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”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经费支出表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15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、政府性基金预算支出表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16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、政府性基金预算支出分类汇总表（按政府预算经济分类）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17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、政府性基金预算支出分类汇总表（按部门预算经济分类）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18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、国有资本经营预算支出表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19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、财政专户管理资金预算支出表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、省级专项资金预算汇总表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21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、省级专项资金绩效目标表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22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、其他项目支出绩效目标表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Microsoft YaHei UI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23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、部门整体支出绩效目标表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注：以上部门预算报表中，如本部门无相关收支情况，也需公开空表。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第一部分 2022年单位预算说明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kern w:val="0"/>
          <w:sz w:val="32"/>
          <w:szCs w:val="32"/>
        </w:rPr>
        <w:t>一、单位基本概况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楷体_GB2312" w:cs="Times New Roman"/>
          <w:b/>
          <w:sz w:val="32"/>
          <w:szCs w:val="32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</w:rPr>
        <w:t>（一）职能职责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古丈县人民检察院是国家的法律监督机关，接受上级人民检察院的领导，对县人民代表大会及其常务委员会负责并报告工作。主要职责有：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（一）深入贯彻习近平新时代中国特色社会主义思想，深入贯彻党的路线方针政策和决策部署，坚持党对检察工作的绝对领导，坚决维护习近平总书记的核心地位，坚决维护党中央权威和集中统一领导。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（二）贯彻落实上级人民检察院的各项工作部署，研究制定检察工作规划，部署检察工作任务。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（三）依照法律规定对由县人民检察院直接受理的刑事案件行使侦查权。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（四）对刑事案件依法审查批准逮捕、决定逮捕、提起公诉。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（五）负责应由古丈县人民检察院承办的刑事、民事、行政诉讼活动及刑事、民事、行政判决和裁定等生效法律文书执行的法律监督工作。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（六）负责应由县人民检察院承办的提起公益诉讼工作。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（七）负责应由县人民检察院承办的对看守所、社区矫正机构等执法活动的法律监督工作。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（八）受理向县人民检察院的控告申诉。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（九）负责检察机关的理论研究工作。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（十）负责检察机关队伍建设和思想政治工作。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（十一）负责检务督察工作。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（十二）负责检察机关财务装备和检察技术信息工作。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（十三）负责其他应当由县人民检察院承办的事项。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楷体_GB2312" w:cs="Times New Roman"/>
          <w:b/>
          <w:sz w:val="32"/>
          <w:szCs w:val="32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  <w:t>（二）机构设置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古丈县人民检察院内设机构包括：办公室（新闻办公室）、政治部（司法警察大队）、第一检察部、第二检察部、第三检察部。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eastAsia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古丈县人民检察院只有本级，无其他预算单位，因此本预算仅包含本级预算。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三、单位收支总体情况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  <w:t>（一）收入预算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包括一般公共预算、政府性基金、国有资本经营预算等财政拨款收入，以及经营收入、事业收入等单位资金。2022年本部门收入预算1002.91万元，其中，一般公共预算拨款804.59万元，中央财政补助190.41万元，上年结余结转7.91万元，无政府性基金，国有资本经营预算拨款和纳入专户管理的非税收入。收入较去年减少57.37万元，主要是因为上年结转数减少159.59万元（今年首次纳入预算批复），一般公共预算拨款增加102.22万元，中央财政补助与上年持平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  <w:t>（二）支出预算：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2022年本部门支出预算1002.91万元，其中，公共安全882.6万元，社会保障和就业支出46.8万元，卫生与健康支出23.93万元，住房保障支出49.58万元。支出较去年减少57.37万元，主要是公共安全支出减少35.51万元，社会保障和就业支出减少1万元，卫生与健康支出减少20.07万元，住房保障支出减少0.79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四、一般公共预算拨款支出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2022年本单位一般公共预算拨款支出预算1002.91万元，其中，公共安全支出882.6万元，占88%；社会保障和就业支出46.8万元，占4.7%；卫生与健康支出23.93万元，占2.4%；住房保障支出49.58万元，占4.9%；具体安排情况如下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  <w:t>（一）基本支出：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2022年本单位基本支出预算数884.29万元，主要是为保障部门正常运转、完成日常工作任务而发生的各项支出，包括用于基本工资、津贴补贴等人员经费以及办公费、印刷费、水电费、办公设备购置等公用经费。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  <w:t>（二）项目支出：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2022年本单位项目支出预算118.62万元，主要是单位为完成特定行政工作任务或事业发展目标而发生的支出，包括有关事业发展专项、专项业务费、基本建设支出等，其中：业务工作专项支出32.75万元，主要用于帮扶村乡村振兴工作开展、办案经费等方面；资本性支出85.87万元，主要用于办案设备、工作网电脑等方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五、政府性基金预算支出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2022年本单位无政府性基金预算安排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六、其他重要事项的情况说明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  <w:t>（一）机关运行经费：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2022年本单位机关本级的机关运行经费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348.60万元，比上年预算增加101.59万元，上升41.13 %，主要是检察业务量增加，办公设备紧缺，经费列入预算。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  <w:t>（二）“三公”经费预算：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2022年本单位“三公”经费预算数为35.00万元，其中，公务接待费12 .00万元，公务用车购置及运行费23 .00万元（其中，公务用车购置费15.00万元，公务用车运行费8.00万元），因公出国（境）费0万元。2022年“三公”经费预算较2021年持平。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  <w:t>（三）一般性支出情况：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2022年本单位会议费预算0万元；培训费预算0万元；举办节庆、晚会、论坛、赛事活动经费预算0万元。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  <w:t>（四）政府采购情况：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2022年本单位政府采购预算总额0万元；其中，货物类采购预算0万元；工程类采购预算0万元；服务类采购预算0万元。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  <w:t>（五）国有资产占用使用及新增资产配置情况：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截至2021年12月底，本单位共有公务用车3辆；其中，机要通信用车0辆，应急保障用车0辆，执法执勤用车3辆，特种专业技术用车0辆，其他按照规定配备的公务用车0辆；单位价值50万元以上通用设备0台，单位价值100万元以上专用设备0台。2022年拟新增配置公务用车1辆，其中，机要通信用车0辆，应急保障用车0辆，执法执勤用车1辆，特种专业技术用车0辆，其他按照规定配备的公务用车0辆；新增配备单位价值50万元以上通用设备0台，单位价值100万元以上专用设备0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eastAsia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单位</w:t>
      </w:r>
      <w:r>
        <w:rPr>
          <w:rFonts w:eastAsia="仿宋_GB2312"/>
          <w:bCs/>
          <w:kern w:val="0"/>
          <w:sz w:val="32"/>
          <w:szCs w:val="32"/>
        </w:rPr>
        <w:t>所有支出实行绩效目标管理。纳入202</w:t>
      </w:r>
      <w:r>
        <w:rPr>
          <w:rFonts w:hint="eastAsia" w:eastAsia="仿宋_GB2312"/>
          <w:bCs/>
          <w:kern w:val="0"/>
          <w:sz w:val="32"/>
          <w:szCs w:val="32"/>
        </w:rPr>
        <w:t>2</w:t>
      </w:r>
      <w:r>
        <w:rPr>
          <w:rFonts w:eastAsia="仿宋_GB2312"/>
          <w:bCs/>
          <w:kern w:val="0"/>
          <w:sz w:val="32"/>
          <w:szCs w:val="32"/>
        </w:rPr>
        <w:t>年部门整体支出绩效目标的金额为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1002.91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884.29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118.62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六、名词解释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1、机关运行经费：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2、“三公”经费：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祥隶繁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0NDczNGQ1YzgwYmM5ZmEyYzNkOTZkYjFjNGRkN2IifQ=="/>
  </w:docVars>
  <w:rsids>
    <w:rsidRoot w:val="42BE51EE"/>
    <w:rsid w:val="0F6B2258"/>
    <w:rsid w:val="42B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2023-09-26T03:02:00Z</dcterms:created>
  <dc:creator>天知道</dc:creator>
  <cp:lastModifiedBy>天知道</cp:lastModifiedBy>
  <dcterms:modified xsi:type="dcterms:W3CDTF">2023-09-26T03:44:28Z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6D80BF6E358B4E608F0F19A4C3282231_11</vt:lpwstr>
  </property>
</Properties>
</file>