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年邵阳市人民检察院单位预算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2"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42" w:firstLineChars="200"/>
        <w:jc w:val="left"/>
        <w:rPr>
          <w:rFonts w:hint="eastAsia" w:ascii="微软雅黑" w:hAnsi="微软雅黑" w:eastAsia="微软雅黑" w:cs="微软雅黑"/>
          <w:i w:val="0"/>
          <w:iCs w:val="0"/>
          <w:caps w:val="0"/>
          <w:color w:val="353535"/>
          <w:spacing w:val="8"/>
          <w:sz w:val="24"/>
          <w:szCs w:val="24"/>
          <w:shd w:val="clear" w:fill="FFFFFF"/>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1、收支总表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2、收入总表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3、支出总表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4、支出预算分类汇总表（按政府预算经济分类）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5、支出预算分类汇总表（按部门预算经济分类）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6、财政拨款收支总表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7、一般公共预算支出表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8、一般公共预算基本支出表-人员经费（工资福利支出）（按政府预算经济分类）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9、一般公共预算基本支出表-人员经费（工资福利支出）（按部门预算经济分类）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10、一般公共预算基本支出表-人员经费（对个人和家庭的补助）（按政府预算经济分类）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11、一般公共预算基本支出表-人员经费（对个人和家庭的补助）（按部门预算经济分类）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12、一般公共预算基本支出表-公用经费（商品和服务支出）（按政府预算经济分类）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13、一般公共预算基本支出表-公用经费（商品和服务支出）（按部门预算经济分类）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14、一般公共预算“三公”经费支出表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15、政府性基金预算支出表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16、政府性基金预算支出分类汇总表（按政府预算经济分类）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17、政府性基金预算支出分类汇总表（按部门预算经济分类）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18、国有资本经营预算支出表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19、财政专户管理资金预算支出表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20、省级专项资金预算汇总表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21、省级专项资金绩效目标表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22、其他项目支出绩效目标表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23、部门整体支出绩效目标表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shd w:val="clear" w:fill="FFFFFF"/>
        </w:rPr>
      </w:pPr>
      <w:r>
        <w:rPr>
          <w:rFonts w:hint="eastAsia" w:ascii="微软雅黑" w:hAnsi="微软雅黑" w:eastAsia="微软雅黑" w:cs="微软雅黑"/>
          <w:i w:val="0"/>
          <w:iCs w:val="0"/>
          <w:caps w:val="0"/>
          <w:color w:val="353535"/>
          <w:spacing w:val="8"/>
          <w:sz w:val="24"/>
          <w:szCs w:val="24"/>
          <w:shd w:val="clear" w:fill="FFFFFF"/>
        </w:rPr>
        <w:t>注：以上单位预算报表中，空表表示本单位无相关收支情况。</w:t>
      </w:r>
    </w:p>
    <w:p>
      <w:pPr>
        <w:rPr>
          <w:rFonts w:hint="eastAsia" w:ascii="微软雅黑" w:hAnsi="微软雅黑" w:eastAsia="微软雅黑" w:cs="微软雅黑"/>
          <w:i w:val="0"/>
          <w:iCs w:val="0"/>
          <w:caps w:val="0"/>
          <w:color w:val="353535"/>
          <w:spacing w:val="8"/>
          <w:sz w:val="24"/>
          <w:szCs w:val="24"/>
          <w:shd w:val="clear" w:fill="FFFFFF"/>
        </w:rPr>
      </w:pPr>
      <w:r>
        <w:rPr>
          <w:rFonts w:hint="eastAsia" w:ascii="微软雅黑" w:hAnsi="微软雅黑" w:eastAsia="微软雅黑" w:cs="微软雅黑"/>
          <w:i w:val="0"/>
          <w:iCs w:val="0"/>
          <w:caps w:val="0"/>
          <w:color w:val="353535"/>
          <w:spacing w:val="8"/>
          <w:sz w:val="24"/>
          <w:szCs w:val="24"/>
          <w:shd w:val="clear" w:fill="FFFFFF"/>
        </w:rPr>
        <w:br w:type="page"/>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第一部分 2022年单位预算说明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一、单位基本概况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（一）职能职责。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邵阳市人民检察院是国家的法律监督机关，领导下级人民检察院的工作，接受上级人民检察院的领导，对市人民代表大会及其常务委员会负责并报告工作。其主要职责是：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深入贯彻习近平新时代中国特色社会主义思想，深入贯彻党的路线方针政策和决策部署，统一全市检察机关思想和行动，坚持党对检察工作的绝对领导，坚决维护习近平总书记的核心地位，坚决维护党中央权威和集中统一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2、领导辖区内基层人民检察院工作。对基层人民检察院相关业务进行指导，研究制定全市检察工作的总体规划，部署检察工作任务。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3、依照法律规定对由市人民检察院直接受理的刑事案件行使侦查权，领导辖区内基层人民检察院开展依照法律规定由人民检察院直接受理的刑事案件的侦查工作。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4、对辖区内重大刑事案件依法审查批准逮捕、决定逮捕、提起公诉，领导辖区内基层人民检察院开展对刑事犯罪案件的审查批准逮捕、决定逮捕、提起公诉工作。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5、负责应由市人民检察院承办的刑事、民事、行政诉讼活动及刑事、民事、行政判决和裁定等生效法律文书执行的法律监督工作，领导辖区内基层人民检察院对刑事、民事、行政诉讼活动及刑事、民事、行政判决和裁定等生效法律文书执行的法律监督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6、负责应由市人民检察院承办的提起公益诉讼工作，领导辖区内基层人民检察院开展提起公益诉讼工作。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7、对辖区内基层人民检察院报请核准追诉的案件进行审查，决定是否报省人民检察院。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8、负责应由市人民检察院承办的对监狱、看守所等执法活动的法律监督工作，领导辖区内基层人民检察院开展对监狱、看守所等执法活动的法律监督工作。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9、接受向市人民检察院的控告申诉，领导辖区内基层人民检察院的控告申诉检察工作。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10、对辖区内基层人民检察院在行使检察权中作出的决定进行审查，纠正错误决定。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11、指导全市检察机关的理论研究工作。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12、负责全市检察机关队伍建设和思想政治工作。领导辖区内基层人民检察院依法管理检察官及其他检察人员的工作，组织指导全市检察机关教育培训工作。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13、协同市委主管部门依照干部管理权限对相关人员进行管理和考核。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14、领导辖区内基层人民检察院的检务督察工作。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15、规划和指导全市检察机关的财务装备工作，指导全市检察机关的检察技术信息工作。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16、负责其他应由市人民检察院承办的事项。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（二）机构设置。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邵阳市人民检察院机关本级现有18个内设机构，分别为：办公室（新闻办公室）、第一检察部、第二检察部、第三检察部、第四检察部、第五检察部、第六检察部、第七检察部、第八检察部、法律政策研究室、案件管理办公室、检务督察部（巡察工作领导小组办公室）、检察技术部、计划财务装备部、政治部（司法警察支队）、干部科、宣传教育科、机关党委（机关纪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2、邵阳市人民检察院只有本级，没有其他预算单位，因此本部门预算仅含本级预算。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二、单位收支总体情况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（一）收入预算：</w:t>
      </w:r>
      <w:r>
        <w:rPr>
          <w:rFonts w:hint="eastAsia" w:ascii="微软雅黑" w:hAnsi="微软雅黑" w:eastAsia="微软雅黑" w:cs="微软雅黑"/>
          <w:i w:val="0"/>
          <w:iCs w:val="0"/>
          <w:caps w:val="0"/>
          <w:color w:val="353535"/>
          <w:spacing w:val="8"/>
          <w:sz w:val="24"/>
          <w:szCs w:val="24"/>
          <w:shd w:val="clear" w:fill="FFFFFF"/>
        </w:rPr>
        <w:t>包括一般公共预算、政府性基金、国有资本经营预算等财政拨款收入，以及经营收入、事业收入等单位资金。2022年本单位收入预算3972.03万元，其中，一般公共预算拨款 2882.06万元，中央财政补助894.94万元，上年结余结转195.03万元，无政府性基金、国有资本经营预算拨款和纳入专户管理的非税收入。收入较去年增加262.13万元，主要是因为上年结转结余减少33.87万元，一般公共预算拨款增加301万元，中央财政补助减少5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（二）支出预算：</w:t>
      </w:r>
      <w:r>
        <w:rPr>
          <w:rFonts w:hint="eastAsia" w:ascii="微软雅黑" w:hAnsi="微软雅黑" w:eastAsia="微软雅黑" w:cs="微软雅黑"/>
          <w:i w:val="0"/>
          <w:iCs w:val="0"/>
          <w:caps w:val="0"/>
          <w:color w:val="353535"/>
          <w:spacing w:val="8"/>
          <w:sz w:val="24"/>
          <w:szCs w:val="24"/>
          <w:shd w:val="clear" w:fill="FFFFFF"/>
        </w:rPr>
        <w:t>2022年本单位支出预算3972.03万元，其中，公共安全支出3323.19万元，教育支出40万元，社会保障和就业支出215.84万元，卫生健康支出187万元，住房保障支出206万元。支出较去年增加 262.13万元，主要是公共安全支出增加249.69万元，教育支出减少10万元，社会保障和就业支出增加12.44万元，卫生健康支出增加5万元，住房保障支出增加5万元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三、一般公共预算拨款支出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2022年本单位一般公共预算拨款支出预算3972.03万元，其中，公共安全支出 3323.19万元，占 83.66%;教育支出 40万元，占1%;社会保障和就业支出 215.84万元，占5.43%;卫生健康支出187万元，占4.7%;住房保障支出206万元，占5.21%。具体安排情况如下：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（一）基本支出：</w:t>
      </w:r>
      <w:r>
        <w:rPr>
          <w:rFonts w:hint="eastAsia" w:ascii="微软雅黑" w:hAnsi="微软雅黑" w:eastAsia="微软雅黑" w:cs="微软雅黑"/>
          <w:i w:val="0"/>
          <w:iCs w:val="0"/>
          <w:caps w:val="0"/>
          <w:color w:val="353535"/>
          <w:spacing w:val="8"/>
          <w:sz w:val="24"/>
          <w:szCs w:val="24"/>
          <w:shd w:val="clear" w:fill="FFFFFF"/>
        </w:rPr>
        <w:t>2022年本单位基本支出预算数3486.81万元，主要是为保障单位机构正常运转、完成日常工作任务而发生的各项支出，包括用于基本工资、津贴补贴等人员经费以及办公费、印刷费、水电费、办公设备购置等公用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（二）项目支出：</w:t>
      </w:r>
      <w:r>
        <w:rPr>
          <w:rFonts w:hint="eastAsia" w:ascii="微软雅黑" w:hAnsi="微软雅黑" w:eastAsia="微软雅黑" w:cs="微软雅黑"/>
          <w:i w:val="0"/>
          <w:iCs w:val="0"/>
          <w:caps w:val="0"/>
          <w:color w:val="353535"/>
          <w:spacing w:val="8"/>
          <w:sz w:val="24"/>
          <w:szCs w:val="24"/>
          <w:shd w:val="clear" w:fill="FFFFFF"/>
        </w:rPr>
        <w:t>2022年本单位项目支出预算485.22万元，主要是部门为完成特定行政工作任务或事业发展目标而发生的支出，包括有关事业发展专项、专项业务费、基本建设支出等，其中：业务工作专项支出36.22万元，主要用于检察干警基金、查办大要案、被装购置等方面;运行维护专项支出449万元，主要用机房改造、办公设备及公务用车购置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四、政府性基金预算支出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2022年本单位无政府性基金安排的支出。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五、其他重要事项的情况说明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（一）机关运行经费：</w:t>
      </w:r>
      <w:r>
        <w:rPr>
          <w:rFonts w:hint="eastAsia" w:ascii="微软雅黑" w:hAnsi="微软雅黑" w:eastAsia="微软雅黑" w:cs="微软雅黑"/>
          <w:i w:val="0"/>
          <w:iCs w:val="0"/>
          <w:caps w:val="0"/>
          <w:color w:val="353535"/>
          <w:spacing w:val="8"/>
          <w:sz w:val="24"/>
          <w:szCs w:val="24"/>
          <w:shd w:val="clear" w:fill="FFFFFF"/>
        </w:rPr>
        <w:t>2022年本单位机关运行经费1326.45万元，比上年预算减少7.52万元，下降0.56%，主要是根据中央一般性支出压减规定对机关运行经费进行压减。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（二）“三公”经费预算：</w:t>
      </w:r>
      <w:r>
        <w:rPr>
          <w:rFonts w:hint="eastAsia" w:ascii="微软雅黑" w:hAnsi="微软雅黑" w:eastAsia="微软雅黑" w:cs="微软雅黑"/>
          <w:i w:val="0"/>
          <w:iCs w:val="0"/>
          <w:caps w:val="0"/>
          <w:color w:val="353535"/>
          <w:spacing w:val="8"/>
          <w:sz w:val="24"/>
          <w:szCs w:val="24"/>
          <w:shd w:val="clear" w:fill="FFFFFF"/>
        </w:rPr>
        <w:t>2022年本单位“三公”经费预算数为146万元，其中，公务接待费14.5万元，公务用车购置及运行费131.5万元（其中，公务用车购置费 25万元，公务用车运行费106.5万元），因公出国（境）费0万元。2022年“三公”经费预算较上年持平。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（三）一般性支出情况：</w:t>
      </w:r>
      <w:r>
        <w:rPr>
          <w:rFonts w:hint="eastAsia" w:ascii="微软雅黑" w:hAnsi="微软雅黑" w:eastAsia="微软雅黑" w:cs="微软雅黑"/>
          <w:i w:val="0"/>
          <w:iCs w:val="0"/>
          <w:caps w:val="0"/>
          <w:color w:val="353535"/>
          <w:spacing w:val="8"/>
          <w:sz w:val="24"/>
          <w:szCs w:val="24"/>
          <w:shd w:val="clear" w:fill="FFFFFF"/>
        </w:rPr>
        <w:t>2022年本单位会议费预算4万元，拟召开5会议，人数600人，内容为全市检察长会议、全市各季度工作考评会议、其他会议;培训费预算40万元，拟开展8次培训，人数1088人，内容为全市组织举办的业务及素能培训和参加上级单位组织培训，其中：参加上级单位培训15人次，全市机关组织业务培训7次，人数1037人，内容为检务督察相关知识、案件质量评查的原则、要求及评查标准的适用，普通刑事案件、监所案件、控申案件、民事行政案件的评查实务，检察业务文书评查实务、相关党务知识、财务新规、预算有关业务知识等;拟举办廉政知识抢答赛、青年干警演讲比赛活动，经费预算 6.4万元。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（四）政府采购情况：</w:t>
      </w:r>
      <w:r>
        <w:rPr>
          <w:rFonts w:hint="eastAsia" w:ascii="微软雅黑" w:hAnsi="微软雅黑" w:eastAsia="微软雅黑" w:cs="微软雅黑"/>
          <w:i w:val="0"/>
          <w:iCs w:val="0"/>
          <w:caps w:val="0"/>
          <w:color w:val="353535"/>
          <w:spacing w:val="8"/>
          <w:sz w:val="24"/>
          <w:szCs w:val="24"/>
          <w:shd w:val="clear" w:fill="FFFFFF"/>
        </w:rPr>
        <w:t>2022年本部门政府采购预算总额 118万元，其中，货物类采购预算0万元;工程类采购预算 0万元;服务类采购预算118万元。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（五）国有资产占用使用及新增资产配置情况</w:t>
      </w:r>
      <w:r>
        <w:rPr>
          <w:rFonts w:hint="eastAsia" w:ascii="微软雅黑" w:hAnsi="微软雅黑" w:eastAsia="微软雅黑" w:cs="微软雅黑"/>
          <w:i w:val="0"/>
          <w:iCs w:val="0"/>
          <w:caps w:val="0"/>
          <w:color w:val="353535"/>
          <w:spacing w:val="8"/>
          <w:sz w:val="24"/>
          <w:szCs w:val="24"/>
          <w:shd w:val="clear" w:fill="FFFFFF"/>
        </w:rPr>
        <w:t>：截至2021年12月底，本单位共有公务用车18辆，其中，机要通信用车1辆，应急保障用车 0辆，执法执勤用车14辆，特种专业技术用车3辆，其他按照规定配备的公务用车0辆;单位价值50万元以上通用设备0台，单位价值100万元以上专用设备0台。2022年拟新增配置公务用车1辆，其中，机要通信用车0辆，应急保障用车0辆，执法执勤用车0辆，特种专业技术用车1辆，其他按照规定配备的公务用车0辆;新增配备单位价值50万元以上通用设备0台，单位价值100万元以上专用设备0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（六）预算绩效目标说明：</w:t>
      </w:r>
      <w:r>
        <w:rPr>
          <w:rFonts w:hint="eastAsia" w:ascii="微软雅黑" w:hAnsi="微软雅黑" w:eastAsia="微软雅黑" w:cs="微软雅黑"/>
          <w:i w:val="0"/>
          <w:iCs w:val="0"/>
          <w:caps w:val="0"/>
          <w:color w:val="353535"/>
          <w:spacing w:val="8"/>
          <w:sz w:val="24"/>
          <w:szCs w:val="24"/>
          <w:shd w:val="clear" w:fill="FFFFFF"/>
        </w:rPr>
        <w:t>本部门所有支出实行绩效目标管理，纳入2022年部门整体支出绩效目标的金额</w:t>
      </w:r>
      <w:r>
        <w:rPr>
          <w:rFonts w:hint="eastAsia" w:ascii="微软雅黑" w:hAnsi="微软雅黑" w:eastAsia="微软雅黑" w:cs="微软雅黑"/>
          <w:i w:val="0"/>
          <w:iCs w:val="0"/>
          <w:caps w:val="0"/>
          <w:color w:val="353535"/>
          <w:spacing w:val="8"/>
          <w:sz w:val="24"/>
          <w:szCs w:val="24"/>
          <w:shd w:val="clear" w:fill="FFFFFF"/>
          <w:lang w:val="en-US" w:eastAsia="zh-CN"/>
        </w:rPr>
        <w:t>3972.03</w:t>
      </w:r>
      <w:r>
        <w:rPr>
          <w:rFonts w:hint="eastAsia" w:ascii="微软雅黑" w:hAnsi="微软雅黑" w:eastAsia="微软雅黑" w:cs="微软雅黑"/>
          <w:i w:val="0"/>
          <w:iCs w:val="0"/>
          <w:caps w:val="0"/>
          <w:color w:val="353535"/>
          <w:spacing w:val="8"/>
          <w:sz w:val="24"/>
          <w:szCs w:val="24"/>
          <w:shd w:val="clear" w:fill="FFFFFF"/>
        </w:rPr>
        <w:t>万元，其中，基本支出</w:t>
      </w:r>
      <w:r>
        <w:rPr>
          <w:rFonts w:hint="eastAsia" w:ascii="微软雅黑" w:hAnsi="微软雅黑" w:eastAsia="微软雅黑" w:cs="微软雅黑"/>
          <w:i w:val="0"/>
          <w:iCs w:val="0"/>
          <w:caps w:val="0"/>
          <w:color w:val="353535"/>
          <w:spacing w:val="8"/>
          <w:sz w:val="24"/>
          <w:szCs w:val="24"/>
          <w:shd w:val="clear" w:fill="FFFFFF"/>
          <w:lang w:val="en-US" w:eastAsia="zh-CN"/>
        </w:rPr>
        <w:t>3486.81</w:t>
      </w:r>
      <w:r>
        <w:rPr>
          <w:rFonts w:hint="eastAsia" w:ascii="微软雅黑" w:hAnsi="微软雅黑" w:eastAsia="微软雅黑" w:cs="微软雅黑"/>
          <w:i w:val="0"/>
          <w:iCs w:val="0"/>
          <w:caps w:val="0"/>
          <w:color w:val="353535"/>
          <w:spacing w:val="8"/>
          <w:sz w:val="24"/>
          <w:szCs w:val="24"/>
          <w:shd w:val="clear" w:fill="FFFFFF"/>
        </w:rPr>
        <w:t>万元，项目支出</w:t>
      </w:r>
      <w:r>
        <w:rPr>
          <w:rFonts w:hint="eastAsia" w:ascii="微软雅黑" w:hAnsi="微软雅黑" w:eastAsia="微软雅黑" w:cs="微软雅黑"/>
          <w:i w:val="0"/>
          <w:iCs w:val="0"/>
          <w:caps w:val="0"/>
          <w:color w:val="353535"/>
          <w:spacing w:val="8"/>
          <w:sz w:val="24"/>
          <w:szCs w:val="24"/>
          <w:shd w:val="clear" w:fill="FFFFFF"/>
          <w:lang w:val="en-US" w:eastAsia="zh-CN"/>
        </w:rPr>
        <w:t>485.22</w:t>
      </w:r>
      <w:bookmarkStart w:id="0" w:name="_GoBack"/>
      <w:bookmarkEnd w:id="0"/>
      <w:r>
        <w:rPr>
          <w:rFonts w:hint="eastAsia" w:ascii="微软雅黑" w:hAnsi="微软雅黑" w:eastAsia="微软雅黑" w:cs="微软雅黑"/>
          <w:i w:val="0"/>
          <w:iCs w:val="0"/>
          <w:caps w:val="0"/>
          <w:color w:val="353535"/>
          <w:spacing w:val="8"/>
          <w:sz w:val="24"/>
          <w:szCs w:val="24"/>
          <w:shd w:val="clear" w:fill="FFFFFF"/>
        </w:rPr>
        <w:t>万元，具体绩效目标详见报表。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Style w:val="6"/>
          <w:rFonts w:hint="eastAsia" w:ascii="微软雅黑" w:hAnsi="微软雅黑" w:eastAsia="微软雅黑" w:cs="微软雅黑"/>
          <w:i w:val="0"/>
          <w:iCs w:val="0"/>
          <w:caps w:val="0"/>
          <w:color w:val="353535"/>
          <w:spacing w:val="8"/>
          <w:sz w:val="24"/>
          <w:szCs w:val="24"/>
          <w:shd w:val="clear" w:fill="FFFFFF"/>
        </w:rPr>
        <w:t>六、名词解释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600" w:lineRule="atLeast"/>
        <w:ind w:left="0" w:right="0" w:firstLine="420"/>
        <w:rPr>
          <w:rFonts w:hint="eastAsia" w:ascii="微软雅黑" w:hAnsi="微软雅黑" w:eastAsia="微软雅黑" w:cs="微软雅黑"/>
          <w:i w:val="0"/>
          <w:iCs w:val="0"/>
          <w:caps w:val="0"/>
          <w:color w:val="353535"/>
          <w:spacing w:val="8"/>
          <w:sz w:val="24"/>
          <w:szCs w:val="24"/>
        </w:rPr>
      </w:pPr>
      <w:r>
        <w:rPr>
          <w:rFonts w:hint="eastAsia" w:ascii="微软雅黑" w:hAnsi="微软雅黑" w:eastAsia="微软雅黑" w:cs="微软雅黑"/>
          <w:i w:val="0"/>
          <w:iCs w:val="0"/>
          <w:caps w:val="0"/>
          <w:color w:val="353535"/>
          <w:spacing w:val="8"/>
          <w:sz w:val="24"/>
          <w:szCs w:val="24"/>
          <w:shd w:val="clear" w:fill="FFFFFF"/>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sectPr>
          <w:pgSz w:w="11906" w:h="16838"/>
          <w:pgMar w:top="2154" w:right="1531" w:bottom="1871" w:left="1531" w:header="851" w:footer="992" w:gutter="0"/>
          <w:cols w:space="0" w:num="1"/>
          <w:rtlGutter w:val="0"/>
          <w:docGrid w:type="lines" w:linePitch="312" w:charSpace="0"/>
        </w:sectPr>
      </w:pPr>
    </w:p>
    <w:p>
      <w:pPr>
        <w:widowControl/>
        <w:spacing w:line="600" w:lineRule="exact"/>
        <w:ind w:firstLine="716" w:firstLineChars="200"/>
        <w:jc w:val="center"/>
        <w:rPr>
          <w:rFonts w:eastAsia="方正小标宋_GBK"/>
          <w:bCs/>
          <w:kern w:val="0"/>
          <w:sz w:val="36"/>
          <w:szCs w:val="36"/>
        </w:rPr>
      </w:pPr>
      <w:r>
        <w:rPr>
          <w:rFonts w:hint="eastAsia" w:eastAsia="方正小标宋_GBK"/>
          <w:bCs/>
          <w:kern w:val="0"/>
          <w:sz w:val="36"/>
          <w:szCs w:val="36"/>
        </w:rPr>
        <w:t xml:space="preserve"> </w:t>
      </w: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mMjJlYjhmNTk2NzBiN2Y4ODBlNTQ5NTE3ZGRhMzQifQ=="/>
  </w:docVars>
  <w:rsids>
    <w:rsidRoot w:val="00000000"/>
    <w:rsid w:val="1C956D62"/>
    <w:rsid w:val="6B9F27D9"/>
    <w:rsid w:val="707B1B13"/>
    <w:rsid w:val="722B3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2023-08-10T23:14:00Z</dcterms:created>
  <dc:creator>Administrator</dc:creator>
  <cp:lastModifiedBy>greatwall</cp:lastModifiedBy>
  <dcterms:modified xsi:type="dcterms:W3CDTF">2023-10-07T11:49:51Z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1BCB6077C07949A390117EF28672B051_12</vt:lpwstr>
  </property>
</Properties>
</file>