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Calibri" w:hAnsi="Calibri" w:eastAsia="方正小标宋_GBK" w:cs="宋体"/>
          <w:bCs/>
          <w:color w:val="000000"/>
          <w:kern w:val="0"/>
          <w:sz w:val="44"/>
          <w:szCs w:val="44"/>
        </w:rPr>
      </w:pPr>
      <w:r>
        <w:rPr>
          <w:rFonts w:ascii="Calibri" w:hAnsi="Calibri" w:eastAsia="方正小标宋_GBK" w:cs="宋体"/>
          <w:bCs/>
          <w:color w:val="000000"/>
          <w:kern w:val="0"/>
          <w:sz w:val="44"/>
          <w:szCs w:val="44"/>
        </w:rPr>
        <w:t>2022</w:t>
      </w:r>
      <w:r>
        <w:rPr>
          <w:rFonts w:hint="eastAsia" w:ascii="Calibri" w:hAnsi="Calibri" w:eastAsia="方正小标宋_GBK" w:cs="宋体"/>
          <w:bCs/>
          <w:color w:val="000000"/>
          <w:kern w:val="0"/>
          <w:sz w:val="44"/>
          <w:szCs w:val="44"/>
        </w:rPr>
        <w:t>年祁阳市人民检察院单位预算</w:t>
      </w:r>
    </w:p>
    <w:p>
      <w:pPr>
        <w:widowControl/>
        <w:spacing w:line="600" w:lineRule="exact"/>
        <w:jc w:val="center"/>
        <w:rPr>
          <w:rFonts w:ascii="楷体_GB2312" w:hAnsi="Times New Roman" w:eastAsia="楷体_GB2312" w:cs="Times New Roman"/>
          <w:color w:val="2F1701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000000"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jc w:val="center"/>
        <w:rPr>
          <w:rFonts w:hint="eastAsia" w:ascii="Times New Roman" w:hAnsi="Times New Roman" w:eastAsia="黑体" w:cs="Times New Roman"/>
          <w:color w:val="2F1701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目</w:t>
      </w: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录</w:t>
      </w: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color w:val="2F1701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ind w:firstLine="643" w:firstLineChars="200"/>
        <w:jc w:val="left"/>
        <w:rPr>
          <w:rFonts w:ascii="Calibri" w:hAnsi="Calibri" w:eastAsia="方正小标宋_GBK" w:cs="宋体"/>
          <w:bCs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</w:rPr>
        <w:t>第一部分</w:t>
      </w:r>
      <w:r>
        <w:rPr>
          <w:rFonts w:ascii="Calibri" w:hAnsi="Calibri" w:eastAsia="仿宋_GB2312" w:cs="宋体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Calibri" w:hAnsi="Calibri" w:eastAsia="方正小标宋_GBK" w:cs="宋体"/>
          <w:b/>
          <w:bCs/>
          <w:color w:val="000000"/>
          <w:kern w:val="0"/>
          <w:sz w:val="32"/>
          <w:szCs w:val="32"/>
        </w:rPr>
        <w:t>2</w:t>
      </w:r>
      <w:r>
        <w:rPr>
          <w:rFonts w:ascii="Calibri" w:hAnsi="Calibri" w:eastAsia="仿宋_GB2312" w:cs="宋体"/>
          <w:b/>
          <w:bCs/>
          <w:color w:val="000000"/>
          <w:kern w:val="0"/>
          <w:sz w:val="32"/>
          <w:szCs w:val="32"/>
        </w:rPr>
        <w:t>022</w:t>
      </w: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ascii="Calibri" w:hAnsi="Calibri" w:eastAsia="仿宋_GB2312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</w:rPr>
        <w:t>第二部分</w:t>
      </w:r>
      <w:r>
        <w:rPr>
          <w:rFonts w:ascii="Calibri" w:hAnsi="Calibri" w:eastAsia="仿宋_GB2312" w:cs="宋体"/>
          <w:b/>
          <w:bCs/>
          <w:color w:val="000000"/>
          <w:kern w:val="0"/>
          <w:sz w:val="32"/>
          <w:szCs w:val="32"/>
        </w:rPr>
        <w:t xml:space="preserve"> 2022</w:t>
      </w:r>
      <w:r>
        <w:rPr>
          <w:rFonts w:hint="eastAsia" w:ascii="Calibri" w:hAnsi="Calibri" w:eastAsia="仿宋_GB2312" w:cs="宋体"/>
          <w:b/>
          <w:bCs/>
          <w:color w:val="000000"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、收支总表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、收入总表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3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、支出总表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4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5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6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7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8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、一般公共预算基本支出表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-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9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、一般公共预算基本支出表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-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10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、一般公共预算基本支出表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-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11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、一般公共预算基本支出表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-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12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、一般公共预算基本支出表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-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13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、一般公共预算基本支出表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-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14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、一般公共预算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“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三公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”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经费支出表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15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16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17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18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19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20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21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22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23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bCs/>
          <w:color w:val="000000"/>
          <w:kern w:val="0"/>
          <w:sz w:val="32"/>
          <w:szCs w:val="32"/>
        </w:rPr>
        <w:t>注：以上单位预算报表中，空表表示本单位无相关收支情况。</w:t>
      </w:r>
    </w:p>
    <w:p>
      <w:pPr>
        <w:widowControl/>
        <w:spacing w:line="600" w:lineRule="exact"/>
        <w:ind w:firstLine="640" w:firstLineChars="200"/>
        <w:jc w:val="left"/>
        <w:rPr>
          <w:rFonts w:ascii="宋体" w:hAnsi="宋体" w:eastAsia="仿宋_GB2312" w:cs="宋体"/>
          <w:bCs/>
          <w:color w:val="2F1701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Calibri" w:hAnsi="Calibri" w:eastAsia="仿宋_GB2312" w:cs="宋体"/>
          <w:bCs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bCs/>
          <w:color w:val="000000"/>
          <w:kern w:val="0"/>
          <w:sz w:val="32"/>
          <w:szCs w:val="32"/>
        </w:rPr>
        <w:t>                        </w:t>
      </w:r>
    </w:p>
    <w:p>
      <w:pPr>
        <w:widowControl/>
        <w:spacing w:line="600" w:lineRule="exact"/>
        <w:jc w:val="left"/>
        <w:rPr>
          <w:rFonts w:ascii="Calibri" w:hAnsi="Calibri" w:eastAsia="仿宋_GB2312" w:cs="宋体"/>
          <w:bCs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Calibri" w:hAnsi="Calibri" w:eastAsia="仿宋_GB2312" w:cs="宋体"/>
          <w:bCs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Calibri" w:hAnsi="Calibri" w:eastAsia="仿宋_GB2312" w:cs="宋体"/>
          <w:bCs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宋体" w:hAnsi="宋体" w:eastAsia="仿宋_GB2312" w:cs="宋体"/>
          <w:bCs/>
          <w:color w:val="2F1701"/>
          <w:kern w:val="0"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44"/>
          <w:szCs w:val="44"/>
        </w:rPr>
        <w:t xml:space="preserve">第一部分 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44"/>
          <w:szCs w:val="44"/>
        </w:rPr>
        <w:t>2022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44"/>
          <w:szCs w:val="44"/>
        </w:rPr>
        <w:t>年单位预算说明</w:t>
      </w:r>
    </w:p>
    <w:p>
      <w:pPr>
        <w:widowControl/>
        <w:spacing w:line="600" w:lineRule="exact"/>
        <w:jc w:val="left"/>
        <w:rPr>
          <w:rFonts w:ascii="Times New Roman" w:hAnsi="Times New Roman" w:eastAsia="仿宋_GB2312" w:cs="Times New Roman"/>
          <w:b/>
          <w:bCs/>
          <w:color w:val="2F1701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ind w:firstLine="627" w:firstLineChars="196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一、单位基本概况</w:t>
      </w:r>
    </w:p>
    <w:p>
      <w:pPr>
        <w:widowControl/>
        <w:spacing w:line="384" w:lineRule="atLeast"/>
        <w:ind w:firstLine="630" w:firstLineChars="196"/>
        <w:jc w:val="left"/>
        <w:rPr>
          <w:rFonts w:ascii="仿宋_GB2312" w:hAnsi="宋体" w:eastAsia="仿宋_GB2312" w:cs="Times New Roman"/>
          <w:b/>
          <w:bCs/>
          <w:color w:val="2F1701"/>
          <w:kern w:val="0"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0"/>
          <w:sz w:val="32"/>
          <w:szCs w:val="32"/>
        </w:rPr>
        <w:t>（一）职能职责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我院是国家的法律监督机关，接受上级人民检察院的领导，对县人民代表大会及其常务委员会负责并报告工作。其主要职责是：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（一）深入贯彻习近平新时代中国特色社会主义思想，深入贯彻党的路线方针政策和决策部署，坚持党对检察工作的绝对领导，坚决维护习近平总书记的核心地位，坚决维护党中央权威和集中统一领导。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（二）依照法律规定对由我市人民检察院直接受理的刑事案件行使侦查权。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（三）对辖区内重大刑事案件依法审查批准逮捕、决定逮捕、提起公诉。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（四）负责应由我院承办的刑事、民事、行政诉讼活动及刑事、民事、行政判决和裁定等生效法律文书执行的法律监督工作。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（五）负责应由我院承办的提起公益诉讼工作。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（六）负责应由我院承办的对监狱、看守所等执法活动的法律监督工作。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（七）负责应由我院承办的控告申诉检察工作。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（八）负责应由我院承办的检务督察工作。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（九）根据上级院的指导，做好检察机关的财务装备工作和检察技术信息工作。</w:t>
      </w:r>
    </w:p>
    <w:p>
      <w:pPr>
        <w:widowControl/>
        <w:spacing w:line="384" w:lineRule="atLeast"/>
        <w:ind w:firstLine="627" w:firstLineChars="196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（十）负责其他应当由我院承办的事项。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仿宋_GB2312" w:hAnsi="Times New Roman" w:eastAsia="仿宋_GB2312" w:cs="Times New Roman"/>
          <w:b/>
          <w:bCs/>
          <w:color w:val="2F1701"/>
          <w:kern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（二）机构设置</w:t>
      </w: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  <w:lang w:eastAsia="zh-CN"/>
        </w:rPr>
        <w:t>及预算单位构成</w:t>
      </w:r>
    </w:p>
    <w:p>
      <w:pPr>
        <w:widowControl/>
        <w:snapToGrid w:val="0"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祁阳市人民检察院机关现有8个内设机构及1个派驻机构，分别为：第一检察部、第二检察部、第三检察部、第四检察部、第五检察部、第六检察部、政治部（司法警察大队）、办公室（技术科）、驻金洞管理区检察室。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祁阳市人民检察院只有本级，无其他预算单位，派驻的金洞管理区检察室为非独立核算机构，其预算纳入机关预算，因此本预算仅含本级预算。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二、单位收支总体情况</w:t>
      </w:r>
    </w:p>
    <w:p>
      <w:pPr>
        <w:widowControl/>
        <w:spacing w:line="384" w:lineRule="atLeast"/>
        <w:ind w:firstLine="645"/>
        <w:jc w:val="left"/>
        <w:rPr>
          <w:rFonts w:hint="eastAsia" w:ascii="Calibri" w:hAnsi="Calibri" w:eastAsia="仿宋_GB2312" w:cs="宋体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（一）收入预算：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2022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年本单位收入预算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u w:val="single"/>
        </w:rPr>
        <w:t>1808.68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万元，其中，一般公共预算拨款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u w:val="single"/>
        </w:rPr>
        <w:t xml:space="preserve"> 1349.05 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中央财政补助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u w:val="single"/>
        </w:rPr>
        <w:t>401.95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万元，上年结余结转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u w:val="single"/>
        </w:rPr>
        <w:t>57.68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政府性基金预算拨款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u w:val="single"/>
        </w:rPr>
        <w:t xml:space="preserve"> 0 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万元，国有资本经营预算拨款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u w:val="single"/>
        </w:rPr>
        <w:t xml:space="preserve"> 0 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万元，纳入专户管理的非税收入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 xml:space="preserve"> 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u w:val="single"/>
        </w:rPr>
        <w:t>0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万元。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收入较去年增加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37.22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万元，是因为一般公共预算拨款增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147.54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万元，中央财政补助减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9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万元，上年结余结转减少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101.32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万元，主要是根据办案业务需要，增加了办案业务经费。</w:t>
      </w:r>
    </w:p>
    <w:p>
      <w:pPr>
        <w:widowControl/>
        <w:spacing w:line="384" w:lineRule="atLeast"/>
        <w:ind w:firstLine="643" w:firstLineChars="200"/>
        <w:jc w:val="left"/>
        <w:rPr>
          <w:rFonts w:ascii="宋体" w:hAnsi="宋体" w:eastAsia="仿宋_GB2312" w:cs="宋体"/>
          <w:b/>
          <w:bCs/>
          <w:color w:val="2F1701"/>
          <w:kern w:val="0"/>
          <w:sz w:val="20"/>
          <w:szCs w:val="20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（二）支出预算：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2022年本单位支出预算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 w:color="000000"/>
        </w:rPr>
        <w:t>1808.68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万元，其中，公共安全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1552.84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万元，教育支出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25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万元，社会保障和就业支出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89.84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万元，卫生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健康支出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  <w:u w:val="single"/>
        </w:rPr>
        <w:t>41.5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万元，住房保障支出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  <w:u w:val="single"/>
        </w:rPr>
        <w:t>99.5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万元。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支出较去年增加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37.22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万元，主要是公共安全支出增加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58.23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万元，教育支出减少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万元，社会保障和就业支出增加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8.12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万元，卫生健康支出减少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35.92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万元，住房保障支出增加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16.79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</w:rPr>
        <w:t>三、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一般公共预算拨款支出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2022年一般公共预算拨款支出预算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1808.68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万元，其中，公共安全支出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1552.84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85.85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%；教育支出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25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1.39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%；社会保障和就业支出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89.84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4.97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%；卫生健康支出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41.5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2.29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%；住房保障支出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99.5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5.5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（一）基本支出：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2022年本单位基本支出预算数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1659.8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万元，主要是为保障部门正常运转、完成日常工作任务而发生的各项支出，包括用于基本工资、津贴补贴等人员经费以及办公费、印刷费、水电费、公务用车运行维护费、其他交通费用等公用经费。</w:t>
      </w:r>
    </w:p>
    <w:p>
      <w:pPr>
        <w:widowControl/>
        <w:spacing w:line="384" w:lineRule="atLeast"/>
        <w:ind w:firstLine="640"/>
        <w:jc w:val="left"/>
        <w:outlineLvl w:val="2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（二）项目支出：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2022年本单位项目支出预算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148.88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万元，主要是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部门为完成特定行政工作任务或事业发展目标而发生的支出，包括有关事业发展专项、专项业务费、基本建设支出等，其中：运行维护专项支出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  <w:u w:val="single"/>
        </w:rPr>
        <w:t>117.68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万元，主要用于会议室维修改造、办公办案设备购置、乡村振兴等工作开支； 业务工作专项支出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  <w:u w:val="single"/>
        </w:rPr>
        <w:t>31.2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万元，主要用业务工作网、公益诉讼办案业务方面。</w:t>
      </w:r>
    </w:p>
    <w:p>
      <w:pPr>
        <w:widowControl/>
        <w:spacing w:line="384" w:lineRule="atLeast"/>
        <w:ind w:firstLine="640"/>
        <w:jc w:val="left"/>
        <w:rPr>
          <w:rFonts w:hint="eastAsia" w:ascii="黑体" w:hAnsi="黑体" w:eastAsia="黑体" w:cs="宋体"/>
          <w:color w:val="2F1701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四、政府性基金预算支出</w:t>
      </w:r>
    </w:p>
    <w:p>
      <w:pPr>
        <w:widowControl/>
        <w:spacing w:line="384" w:lineRule="atLeast"/>
        <w:ind w:firstLine="640"/>
        <w:jc w:val="left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2022年本单位无政府性基金安排的支出。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43" w:firstLineChars="200"/>
        <w:jc w:val="left"/>
        <w:outlineLvl w:val="2"/>
        <w:rPr>
          <w:rFonts w:ascii="仿宋_GB2312" w:hAnsi="宋体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（一）机关运行经费：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 xml:space="preserve"> 2022年本单位机关运行经费 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  <w:u w:val="single"/>
        </w:rPr>
        <w:t>581.76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万元，比上年预算增加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  <w:u w:val="single"/>
        </w:rPr>
        <w:t>31.85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万元，增加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5.79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 xml:space="preserve"> %，按要求严格控制机关运行经费，但是2022年维修维护费、劳务费、办案差旅费等支出需求增加。</w:t>
      </w:r>
    </w:p>
    <w:p>
      <w:pPr>
        <w:widowControl/>
        <w:spacing w:line="600" w:lineRule="exact"/>
        <w:ind w:firstLine="643" w:firstLineChars="200"/>
        <w:jc w:val="left"/>
        <w:rPr>
          <w:rFonts w:hint="eastAsia" w:ascii="仿宋_GB2312" w:hAnsi="Times New Roman" w:eastAsia="仿宋_GB2312" w:cs="Times New Roman"/>
          <w:b/>
          <w:bCs/>
          <w:color w:val="FF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（二）“三公”经费预算：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 xml:space="preserve"> 2022年本单位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“三公”经费预算数为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49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万元，其中，公务接待费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万元，公务用车购置及运行费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27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万元（其中，公务用车购置费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25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万元，公务用车运行费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万元），因公出国（境）费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0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万元。 2022年“三公”经费预与上年持平，持平的原因是2022年需购置公务用车一台，为保障“三公”经费正常开支，没有压缩。</w:t>
      </w:r>
    </w:p>
    <w:p>
      <w:pPr>
        <w:widowControl/>
        <w:spacing w:line="384" w:lineRule="atLeast"/>
        <w:ind w:firstLine="643" w:firstLineChars="200"/>
        <w:jc w:val="left"/>
        <w:outlineLvl w:val="2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（三）一般性支出情况：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2022年本单位会议费预算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万元，拟召开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次会议，会议人数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100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人，内容为：公益讼诉会议，检察监督会议，老干部会议等；培训费预算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25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万元，拟开展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8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次培训，人数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80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人，内容为刑事检察业务培训、公益诉讼业务培训、职务犯罪检察业务培训、控告申诉业务培训、案管业务培训、保密培训、主题教育培训、书记员培训等。</w:t>
      </w:r>
      <w:r>
        <w:rPr>
          <w:rFonts w:hint="eastAsia" w:ascii="仿宋_GB2312" w:hAnsi="仿宋" w:eastAsia="仿宋_GB2312" w:cs="Times New Roman"/>
          <w:color w:val="000000"/>
          <w:kern w:val="0"/>
          <w:sz w:val="32"/>
          <w:szCs w:val="32"/>
        </w:rPr>
        <w:t>本年度未计划举行节庆、晚会、论坛、赛赛等活动。</w:t>
      </w:r>
    </w:p>
    <w:p>
      <w:pPr>
        <w:widowControl/>
        <w:spacing w:line="600" w:lineRule="exact"/>
        <w:ind w:firstLine="660"/>
        <w:jc w:val="left"/>
        <w:rPr>
          <w:rFonts w:hint="eastAsia" w:ascii="仿宋_GB2312" w:hAnsi="Times New Roman" w:eastAsia="仿宋_GB2312" w:cs="Times New Roman"/>
          <w:color w:val="2F1701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kern w:val="0"/>
          <w:sz w:val="32"/>
          <w:szCs w:val="32"/>
        </w:rPr>
        <w:t>（四）政府采购情况：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本单位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政府采购预算总额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万元，其中，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政府采购货物预算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  <w:u w:val="single"/>
        </w:rPr>
        <w:t>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万元；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</w:rPr>
        <w:t>政府采购服务预算</w:t>
      </w:r>
      <w:r>
        <w:rPr>
          <w:rFonts w:hint="eastAsia" w:ascii="仿宋_GB2312" w:hAnsi="宋体" w:eastAsia="仿宋_GB2312" w:cs="Times New Roman"/>
          <w:color w:val="000000"/>
          <w:kern w:val="0"/>
          <w:sz w:val="32"/>
          <w:szCs w:val="32"/>
          <w:u w:val="single"/>
        </w:rPr>
        <w:t>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万元；工程采购预算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u w:val="single"/>
        </w:rPr>
        <w:t>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万元。</w:t>
      </w:r>
    </w:p>
    <w:p>
      <w:pPr>
        <w:widowControl/>
        <w:spacing w:line="600" w:lineRule="atLeast"/>
        <w:ind w:firstLine="662" w:firstLineChars="206"/>
        <w:jc w:val="left"/>
        <w:outlineLvl w:val="2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（五）国有资产占用使用及新增资产配置情况：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截至2021年12月31日，本单位共有车辆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14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台，其中在我院现使用车辆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台，经2021年底资产清查，还有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台车辆及1台车辆配饰费用，因为历史原因，在进一步办理处置手续中。本单位现存公务用车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辆（不含驻金洞林业检察科执法执勤用车1辆），其中，机要通信用车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辆，应急保障用车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辆，执法执勤用车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辆，特种专业技术用车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辆，其他按照规定配备的公务用车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辆。单位价值50万元以上通用设备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 xml:space="preserve"> 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台，单位价值100万元以上专用设备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台。2022年拟新增配置公务用车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辆，新增配备单位价值50万元以上通用设备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台，单位价值100万元以上专用设备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台。</w:t>
      </w:r>
    </w:p>
    <w:p>
      <w:pPr>
        <w:widowControl/>
        <w:spacing w:line="600" w:lineRule="atLeast"/>
        <w:ind w:firstLine="662" w:firstLineChars="206"/>
        <w:jc w:val="left"/>
        <w:outlineLvl w:val="2"/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shd w:val="clear" w:color="auto" w:fill="FFFFFF"/>
          <w:lang w:eastAsia="zh-CN"/>
        </w:rPr>
        <w:t>（六）</w:t>
      </w:r>
      <w:r>
        <w:rPr>
          <w:rFonts w:hint="eastAsia" w:ascii="仿宋_GB2312" w:hAnsi="Calibri" w:eastAsia="仿宋_GB2312" w:cs="宋体"/>
          <w:b/>
          <w:bCs/>
          <w:color w:val="000000"/>
          <w:kern w:val="0"/>
          <w:sz w:val="32"/>
          <w:szCs w:val="32"/>
          <w:lang w:eastAsia="zh-CN"/>
        </w:rPr>
        <w:t>预算绩效目标说明：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本单位所有支出实行绩效目标管理。纳入202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年单位整体支出绩效目标的金额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1808.68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万元，其中，基本支出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1659.8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万元，项目支出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148.88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万元。项目支出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148.88万元的</w:t>
      </w:r>
      <w:r>
        <w:rPr>
          <w:rFonts w:hint="eastAsia" w:ascii="仿宋_GB2312" w:hAnsi="Calibri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绩效目标是保障乡村振兴工作正常开展及办案业务工作的顺利运行。具体绩效目标详见报表。</w:t>
      </w:r>
      <w:bookmarkStart w:id="0" w:name="_GoBack"/>
      <w:bookmarkEnd w:id="0"/>
    </w:p>
    <w:p>
      <w:pPr>
        <w:widowControl/>
        <w:spacing w:line="600" w:lineRule="atLeast"/>
        <w:ind w:firstLine="662" w:firstLineChars="206"/>
        <w:jc w:val="left"/>
        <w:outlineLvl w:val="2"/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Calibri" w:eastAsia="仿宋_GB2312" w:cs="宋体"/>
          <w:b/>
          <w:bCs/>
          <w:color w:val="000000"/>
          <w:kern w:val="0"/>
          <w:sz w:val="32"/>
          <w:szCs w:val="32"/>
        </w:rPr>
        <w:t>其他问题说明：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2022年祁阳市人民检察院无政府性基金预算支出、国有资本经营预算支出、财政专户管理资金预算支出和省级专项资金预算，所以表15、16、17、18、19、20、21、22无数据。</w:t>
      </w:r>
    </w:p>
    <w:p>
      <w:pPr>
        <w:widowControl/>
        <w:spacing w:line="600" w:lineRule="exact"/>
        <w:ind w:firstLine="660"/>
        <w:jc w:val="left"/>
        <w:rPr>
          <w:rFonts w:hint="eastAsia" w:ascii="宋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Calibri" w:hAnsi="Calibri" w:eastAsia="黑体" w:cs="宋体"/>
          <w:color w:val="000000"/>
          <w:kern w:val="0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1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、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“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三公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”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经费：纳入省（市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/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县）财政预算管理的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“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三公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“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widowControl/>
        <w:spacing w:line="600" w:lineRule="exact"/>
        <w:ind w:firstLine="660"/>
        <w:jc w:val="left"/>
        <w:rPr>
          <w:rFonts w:ascii="宋体" w:hAnsi="宋体" w:eastAsia="仿宋_GB2312" w:cs="宋体"/>
          <w:color w:val="2F1701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 w:eastAsia="宋体" w:cs="宋体"/>
          <w:color w:val="2F1701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/>
        <w:jc w:val="center"/>
        <w:rPr>
          <w:rFonts w:ascii="ˎ̥" w:hAnsi="ˎ̥" w:eastAsia="宋体" w:cs="宋体"/>
          <w:color w:val="2F1701"/>
          <w:kern w:val="0"/>
          <w:sz w:val="18"/>
          <w:szCs w:val="18"/>
        </w:rPr>
      </w:pPr>
      <w:r>
        <w:rPr>
          <w:rFonts w:ascii="ˎ̥" w:hAnsi="ˎ̥" w:eastAsia="宋体" w:cs="宋体"/>
          <w:color w:val="2F1701"/>
          <w:kern w:val="0"/>
          <w:sz w:val="18"/>
          <w:szCs w:val="18"/>
        </w:rPr>
        <w:t> </w:t>
      </w:r>
    </w:p>
    <w:p>
      <w:pPr>
        <w:widowControl/>
        <w:spacing w:before="100" w:beforeAutospacing="1" w:after="100" w:afterAutospacing="1"/>
        <w:jc w:val="left"/>
        <w:rPr>
          <w:rFonts w:ascii="ˎ̥" w:hAnsi="ˎ̥" w:eastAsia="宋体" w:cs="宋体"/>
          <w:color w:val="2F1701"/>
          <w:kern w:val="0"/>
          <w:sz w:val="18"/>
          <w:szCs w:val="18"/>
        </w:rPr>
      </w:pPr>
      <w:r>
        <w:rPr>
          <w:rFonts w:ascii="ˎ̥" w:hAnsi="ˎ̥" w:eastAsia="宋体" w:cs="宋体"/>
          <w:color w:val="2F1701"/>
          <w:kern w:val="0"/>
          <w:sz w:val="18"/>
          <w:szCs w:val="18"/>
        </w:rPr>
        <w:t> </w:t>
      </w:r>
    </w:p>
    <w:p>
      <w:pPr>
        <w:widowControl/>
        <w:spacing w:before="100" w:beforeAutospacing="1" w:after="100" w:afterAutospacing="1"/>
        <w:jc w:val="left"/>
        <w:rPr>
          <w:rFonts w:ascii="ˎ̥" w:hAnsi="ˎ̥" w:eastAsia="宋体" w:cs="宋体"/>
          <w:color w:val="2F1701"/>
          <w:kern w:val="0"/>
          <w:sz w:val="18"/>
          <w:szCs w:val="18"/>
        </w:rPr>
      </w:pPr>
      <w:r>
        <w:rPr>
          <w:rFonts w:ascii="ˎ̥" w:hAnsi="ˎ̥" w:eastAsia="宋体" w:cs="宋体"/>
          <w:color w:val="2F1701"/>
          <w:kern w:val="0"/>
          <w:sz w:val="18"/>
          <w:szCs w:val="18"/>
        </w:rPr>
        <w:br w:type="textWrapping"/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E2ZWU2ZmRiOGRlYWFlODFiYTIwZjgyYTQ2YWE3YjkifQ=="/>
  </w:docVars>
  <w:rsids>
    <w:rsidRoot w:val="002A4CB1"/>
    <w:rsid w:val="00002971"/>
    <w:rsid w:val="00004394"/>
    <w:rsid w:val="00022365"/>
    <w:rsid w:val="000235A1"/>
    <w:rsid w:val="00024E42"/>
    <w:rsid w:val="00036DB6"/>
    <w:rsid w:val="0004106A"/>
    <w:rsid w:val="00044BD6"/>
    <w:rsid w:val="00044FCD"/>
    <w:rsid w:val="00051DA1"/>
    <w:rsid w:val="00056256"/>
    <w:rsid w:val="00070FE7"/>
    <w:rsid w:val="00071E7F"/>
    <w:rsid w:val="000756FC"/>
    <w:rsid w:val="00084667"/>
    <w:rsid w:val="0008698C"/>
    <w:rsid w:val="00086E5D"/>
    <w:rsid w:val="000878F4"/>
    <w:rsid w:val="00091716"/>
    <w:rsid w:val="00097EAD"/>
    <w:rsid w:val="000A2655"/>
    <w:rsid w:val="000A4BE7"/>
    <w:rsid w:val="000A664E"/>
    <w:rsid w:val="000B2E6A"/>
    <w:rsid w:val="000B6133"/>
    <w:rsid w:val="000C1D6E"/>
    <w:rsid w:val="000C3902"/>
    <w:rsid w:val="000C5A56"/>
    <w:rsid w:val="000D1210"/>
    <w:rsid w:val="000D3F1E"/>
    <w:rsid w:val="000D5ACC"/>
    <w:rsid w:val="000D5E23"/>
    <w:rsid w:val="000E0080"/>
    <w:rsid w:val="000E0B54"/>
    <w:rsid w:val="000E154B"/>
    <w:rsid w:val="000E4CCE"/>
    <w:rsid w:val="000F0C6F"/>
    <w:rsid w:val="000F22C5"/>
    <w:rsid w:val="000F2B99"/>
    <w:rsid w:val="000F3B18"/>
    <w:rsid w:val="000F5C0E"/>
    <w:rsid w:val="000F623C"/>
    <w:rsid w:val="001027DC"/>
    <w:rsid w:val="00102F71"/>
    <w:rsid w:val="00106FDB"/>
    <w:rsid w:val="001072B6"/>
    <w:rsid w:val="001108CB"/>
    <w:rsid w:val="00110CFF"/>
    <w:rsid w:val="00111654"/>
    <w:rsid w:val="001120C3"/>
    <w:rsid w:val="00112751"/>
    <w:rsid w:val="00113342"/>
    <w:rsid w:val="00120A30"/>
    <w:rsid w:val="00121A37"/>
    <w:rsid w:val="001231FA"/>
    <w:rsid w:val="001251BC"/>
    <w:rsid w:val="00127271"/>
    <w:rsid w:val="001330C7"/>
    <w:rsid w:val="001336E7"/>
    <w:rsid w:val="00133F4F"/>
    <w:rsid w:val="00135F5B"/>
    <w:rsid w:val="001375A1"/>
    <w:rsid w:val="00143E36"/>
    <w:rsid w:val="001450E0"/>
    <w:rsid w:val="00153746"/>
    <w:rsid w:val="001538D6"/>
    <w:rsid w:val="00154708"/>
    <w:rsid w:val="00164B2C"/>
    <w:rsid w:val="001659AD"/>
    <w:rsid w:val="001701C4"/>
    <w:rsid w:val="0017570E"/>
    <w:rsid w:val="00175AF1"/>
    <w:rsid w:val="00176398"/>
    <w:rsid w:val="0017640A"/>
    <w:rsid w:val="00182F0A"/>
    <w:rsid w:val="00183B2A"/>
    <w:rsid w:val="00185599"/>
    <w:rsid w:val="00195895"/>
    <w:rsid w:val="00196FEA"/>
    <w:rsid w:val="001A477F"/>
    <w:rsid w:val="001A5F5C"/>
    <w:rsid w:val="001A61CA"/>
    <w:rsid w:val="001A7686"/>
    <w:rsid w:val="001B0F0F"/>
    <w:rsid w:val="001B4B4A"/>
    <w:rsid w:val="001C6F5E"/>
    <w:rsid w:val="001C70EE"/>
    <w:rsid w:val="001C7FA9"/>
    <w:rsid w:val="001E398A"/>
    <w:rsid w:val="001F1DC1"/>
    <w:rsid w:val="001F2E2A"/>
    <w:rsid w:val="001F77DA"/>
    <w:rsid w:val="00200ACF"/>
    <w:rsid w:val="00210C08"/>
    <w:rsid w:val="00210C0B"/>
    <w:rsid w:val="00211405"/>
    <w:rsid w:val="00213B56"/>
    <w:rsid w:val="002155C8"/>
    <w:rsid w:val="00217E18"/>
    <w:rsid w:val="002209E5"/>
    <w:rsid w:val="00224768"/>
    <w:rsid w:val="002350BF"/>
    <w:rsid w:val="00235360"/>
    <w:rsid w:val="002409E1"/>
    <w:rsid w:val="00245CA8"/>
    <w:rsid w:val="00247BCD"/>
    <w:rsid w:val="00251176"/>
    <w:rsid w:val="0025333B"/>
    <w:rsid w:val="00260AAF"/>
    <w:rsid w:val="00266B24"/>
    <w:rsid w:val="002714BC"/>
    <w:rsid w:val="00275F41"/>
    <w:rsid w:val="002769FB"/>
    <w:rsid w:val="0028063E"/>
    <w:rsid w:val="00281773"/>
    <w:rsid w:val="0028640D"/>
    <w:rsid w:val="00286ED3"/>
    <w:rsid w:val="00287AE5"/>
    <w:rsid w:val="00290C9C"/>
    <w:rsid w:val="00293932"/>
    <w:rsid w:val="0029707D"/>
    <w:rsid w:val="0029785E"/>
    <w:rsid w:val="002A1F5F"/>
    <w:rsid w:val="002A26C7"/>
    <w:rsid w:val="002A39E2"/>
    <w:rsid w:val="002A4CB1"/>
    <w:rsid w:val="002B06DB"/>
    <w:rsid w:val="002B2C90"/>
    <w:rsid w:val="002B3C78"/>
    <w:rsid w:val="002B66CE"/>
    <w:rsid w:val="002B70F8"/>
    <w:rsid w:val="002C0C61"/>
    <w:rsid w:val="002D0CB7"/>
    <w:rsid w:val="002D2D60"/>
    <w:rsid w:val="002D39B6"/>
    <w:rsid w:val="002D42B4"/>
    <w:rsid w:val="002D675F"/>
    <w:rsid w:val="002D6E56"/>
    <w:rsid w:val="002E0B2B"/>
    <w:rsid w:val="002E5E73"/>
    <w:rsid w:val="002F10D5"/>
    <w:rsid w:val="002F2780"/>
    <w:rsid w:val="002F4042"/>
    <w:rsid w:val="002F423D"/>
    <w:rsid w:val="002F6757"/>
    <w:rsid w:val="00302EEC"/>
    <w:rsid w:val="00305544"/>
    <w:rsid w:val="00314996"/>
    <w:rsid w:val="00327BDF"/>
    <w:rsid w:val="0033217C"/>
    <w:rsid w:val="0033445B"/>
    <w:rsid w:val="00334D47"/>
    <w:rsid w:val="00337159"/>
    <w:rsid w:val="00341F2E"/>
    <w:rsid w:val="00343FAF"/>
    <w:rsid w:val="003452E8"/>
    <w:rsid w:val="0035754B"/>
    <w:rsid w:val="003575B0"/>
    <w:rsid w:val="00362522"/>
    <w:rsid w:val="0036460E"/>
    <w:rsid w:val="00392D7F"/>
    <w:rsid w:val="003964AD"/>
    <w:rsid w:val="003978CC"/>
    <w:rsid w:val="003A0009"/>
    <w:rsid w:val="003A2EBF"/>
    <w:rsid w:val="003A64C9"/>
    <w:rsid w:val="003B14A9"/>
    <w:rsid w:val="003B23D0"/>
    <w:rsid w:val="003B2C58"/>
    <w:rsid w:val="003B403E"/>
    <w:rsid w:val="003C0DA2"/>
    <w:rsid w:val="003C275C"/>
    <w:rsid w:val="003C4B9B"/>
    <w:rsid w:val="003C639D"/>
    <w:rsid w:val="003E1A30"/>
    <w:rsid w:val="003E1E7F"/>
    <w:rsid w:val="003E248B"/>
    <w:rsid w:val="003E3B3E"/>
    <w:rsid w:val="003E49AB"/>
    <w:rsid w:val="003E4B7C"/>
    <w:rsid w:val="003E777C"/>
    <w:rsid w:val="003F516E"/>
    <w:rsid w:val="003F5776"/>
    <w:rsid w:val="003F6340"/>
    <w:rsid w:val="003F6463"/>
    <w:rsid w:val="003F69BC"/>
    <w:rsid w:val="00401345"/>
    <w:rsid w:val="00402118"/>
    <w:rsid w:val="00407C29"/>
    <w:rsid w:val="00410898"/>
    <w:rsid w:val="00411E83"/>
    <w:rsid w:val="00414E7B"/>
    <w:rsid w:val="004155F4"/>
    <w:rsid w:val="00416455"/>
    <w:rsid w:val="004167AF"/>
    <w:rsid w:val="0042368E"/>
    <w:rsid w:val="00434AF1"/>
    <w:rsid w:val="004447CE"/>
    <w:rsid w:val="004462CD"/>
    <w:rsid w:val="00455A1E"/>
    <w:rsid w:val="00455B3C"/>
    <w:rsid w:val="00456279"/>
    <w:rsid w:val="004575AB"/>
    <w:rsid w:val="00464DC1"/>
    <w:rsid w:val="00465FDA"/>
    <w:rsid w:val="00466BD1"/>
    <w:rsid w:val="00470AB3"/>
    <w:rsid w:val="00471D78"/>
    <w:rsid w:val="00476DF3"/>
    <w:rsid w:val="00481E8A"/>
    <w:rsid w:val="004827F2"/>
    <w:rsid w:val="00483A17"/>
    <w:rsid w:val="004846B4"/>
    <w:rsid w:val="00486102"/>
    <w:rsid w:val="00490187"/>
    <w:rsid w:val="004921F2"/>
    <w:rsid w:val="00493163"/>
    <w:rsid w:val="004961E5"/>
    <w:rsid w:val="004A015C"/>
    <w:rsid w:val="004A03C3"/>
    <w:rsid w:val="004A0DE4"/>
    <w:rsid w:val="004A1539"/>
    <w:rsid w:val="004A4F18"/>
    <w:rsid w:val="004A7487"/>
    <w:rsid w:val="004A7C27"/>
    <w:rsid w:val="004B220B"/>
    <w:rsid w:val="004B29C2"/>
    <w:rsid w:val="004B49CC"/>
    <w:rsid w:val="004B617B"/>
    <w:rsid w:val="004B7273"/>
    <w:rsid w:val="004C08EF"/>
    <w:rsid w:val="004C2747"/>
    <w:rsid w:val="004C32EB"/>
    <w:rsid w:val="004C398C"/>
    <w:rsid w:val="004C4F1A"/>
    <w:rsid w:val="004C5F18"/>
    <w:rsid w:val="004D44CC"/>
    <w:rsid w:val="004E0FBC"/>
    <w:rsid w:val="004E27F1"/>
    <w:rsid w:val="004E4B78"/>
    <w:rsid w:val="004F3C56"/>
    <w:rsid w:val="004F4140"/>
    <w:rsid w:val="004F52B7"/>
    <w:rsid w:val="004F58E2"/>
    <w:rsid w:val="00502798"/>
    <w:rsid w:val="00503403"/>
    <w:rsid w:val="005034D2"/>
    <w:rsid w:val="0050364F"/>
    <w:rsid w:val="005071B4"/>
    <w:rsid w:val="0051309B"/>
    <w:rsid w:val="0052522E"/>
    <w:rsid w:val="00532D19"/>
    <w:rsid w:val="00532D32"/>
    <w:rsid w:val="0053352F"/>
    <w:rsid w:val="00533561"/>
    <w:rsid w:val="00533924"/>
    <w:rsid w:val="0054016B"/>
    <w:rsid w:val="00541DB7"/>
    <w:rsid w:val="005442AE"/>
    <w:rsid w:val="005461CF"/>
    <w:rsid w:val="00546207"/>
    <w:rsid w:val="0054669A"/>
    <w:rsid w:val="005472E9"/>
    <w:rsid w:val="00551FF9"/>
    <w:rsid w:val="0055236C"/>
    <w:rsid w:val="00553300"/>
    <w:rsid w:val="005565C1"/>
    <w:rsid w:val="0056027D"/>
    <w:rsid w:val="00560B9D"/>
    <w:rsid w:val="0057623C"/>
    <w:rsid w:val="005820DF"/>
    <w:rsid w:val="0058472A"/>
    <w:rsid w:val="005865B1"/>
    <w:rsid w:val="00587076"/>
    <w:rsid w:val="00590F5C"/>
    <w:rsid w:val="00594671"/>
    <w:rsid w:val="00594CC6"/>
    <w:rsid w:val="005A1368"/>
    <w:rsid w:val="005A2866"/>
    <w:rsid w:val="005A2BFE"/>
    <w:rsid w:val="005A4D3B"/>
    <w:rsid w:val="005A612A"/>
    <w:rsid w:val="005A6CB0"/>
    <w:rsid w:val="005A7216"/>
    <w:rsid w:val="005C4226"/>
    <w:rsid w:val="005C636E"/>
    <w:rsid w:val="005D0BE5"/>
    <w:rsid w:val="005D33B2"/>
    <w:rsid w:val="005D4955"/>
    <w:rsid w:val="005E412A"/>
    <w:rsid w:val="005E4C63"/>
    <w:rsid w:val="005E4DD1"/>
    <w:rsid w:val="005F12A1"/>
    <w:rsid w:val="005F5CC0"/>
    <w:rsid w:val="005F60C0"/>
    <w:rsid w:val="005F7428"/>
    <w:rsid w:val="006010C5"/>
    <w:rsid w:val="00604ED7"/>
    <w:rsid w:val="00605981"/>
    <w:rsid w:val="00610107"/>
    <w:rsid w:val="006127D2"/>
    <w:rsid w:val="0061321B"/>
    <w:rsid w:val="00614121"/>
    <w:rsid w:val="00615A44"/>
    <w:rsid w:val="0061656F"/>
    <w:rsid w:val="00620134"/>
    <w:rsid w:val="00621BC2"/>
    <w:rsid w:val="00631CE4"/>
    <w:rsid w:val="00632124"/>
    <w:rsid w:val="0065155B"/>
    <w:rsid w:val="00652EF6"/>
    <w:rsid w:val="00656EFA"/>
    <w:rsid w:val="00661A03"/>
    <w:rsid w:val="00664623"/>
    <w:rsid w:val="00664E3F"/>
    <w:rsid w:val="00665922"/>
    <w:rsid w:val="00666F2F"/>
    <w:rsid w:val="00671922"/>
    <w:rsid w:val="0067235F"/>
    <w:rsid w:val="00673DEB"/>
    <w:rsid w:val="00675E29"/>
    <w:rsid w:val="00676814"/>
    <w:rsid w:val="00680DA6"/>
    <w:rsid w:val="00681065"/>
    <w:rsid w:val="0068133A"/>
    <w:rsid w:val="00694EFF"/>
    <w:rsid w:val="006A0B4F"/>
    <w:rsid w:val="006A25C5"/>
    <w:rsid w:val="006A603B"/>
    <w:rsid w:val="006B0295"/>
    <w:rsid w:val="006B5D4E"/>
    <w:rsid w:val="006C16FD"/>
    <w:rsid w:val="006C1F17"/>
    <w:rsid w:val="006C3167"/>
    <w:rsid w:val="006C3A8E"/>
    <w:rsid w:val="006C5DBA"/>
    <w:rsid w:val="006C6B0C"/>
    <w:rsid w:val="006D2CBA"/>
    <w:rsid w:val="006D3968"/>
    <w:rsid w:val="006E436D"/>
    <w:rsid w:val="007001EC"/>
    <w:rsid w:val="0070276B"/>
    <w:rsid w:val="0070367F"/>
    <w:rsid w:val="00707E22"/>
    <w:rsid w:val="00723D9C"/>
    <w:rsid w:val="00737064"/>
    <w:rsid w:val="00740876"/>
    <w:rsid w:val="00741A67"/>
    <w:rsid w:val="00742442"/>
    <w:rsid w:val="00752D18"/>
    <w:rsid w:val="00753311"/>
    <w:rsid w:val="0076247A"/>
    <w:rsid w:val="007641EC"/>
    <w:rsid w:val="007653F5"/>
    <w:rsid w:val="00765FF3"/>
    <w:rsid w:val="007663C6"/>
    <w:rsid w:val="0076709D"/>
    <w:rsid w:val="00772313"/>
    <w:rsid w:val="0077679C"/>
    <w:rsid w:val="00777073"/>
    <w:rsid w:val="007778C8"/>
    <w:rsid w:val="0078121E"/>
    <w:rsid w:val="00782C41"/>
    <w:rsid w:val="0079176D"/>
    <w:rsid w:val="00793527"/>
    <w:rsid w:val="00796AAB"/>
    <w:rsid w:val="007A09A9"/>
    <w:rsid w:val="007A4B29"/>
    <w:rsid w:val="007B58B1"/>
    <w:rsid w:val="007C1653"/>
    <w:rsid w:val="007C4A68"/>
    <w:rsid w:val="007C7417"/>
    <w:rsid w:val="007D3FD5"/>
    <w:rsid w:val="007D5A6C"/>
    <w:rsid w:val="007E18C1"/>
    <w:rsid w:val="007E1C1A"/>
    <w:rsid w:val="007E5623"/>
    <w:rsid w:val="007E6193"/>
    <w:rsid w:val="007F2D17"/>
    <w:rsid w:val="00802C55"/>
    <w:rsid w:val="00802D25"/>
    <w:rsid w:val="008045F8"/>
    <w:rsid w:val="0081075C"/>
    <w:rsid w:val="00820592"/>
    <w:rsid w:val="0082395C"/>
    <w:rsid w:val="00827D6E"/>
    <w:rsid w:val="0083096A"/>
    <w:rsid w:val="00831C21"/>
    <w:rsid w:val="00832F5E"/>
    <w:rsid w:val="00860038"/>
    <w:rsid w:val="008621D8"/>
    <w:rsid w:val="00866A6C"/>
    <w:rsid w:val="0087018B"/>
    <w:rsid w:val="00871A89"/>
    <w:rsid w:val="008739A1"/>
    <w:rsid w:val="00877DE0"/>
    <w:rsid w:val="00882D27"/>
    <w:rsid w:val="00885ABA"/>
    <w:rsid w:val="00885F0C"/>
    <w:rsid w:val="00890709"/>
    <w:rsid w:val="00890D81"/>
    <w:rsid w:val="00891F0C"/>
    <w:rsid w:val="00892060"/>
    <w:rsid w:val="00893C00"/>
    <w:rsid w:val="00895993"/>
    <w:rsid w:val="008977A4"/>
    <w:rsid w:val="008A0925"/>
    <w:rsid w:val="008A476D"/>
    <w:rsid w:val="008A79D5"/>
    <w:rsid w:val="008B71DF"/>
    <w:rsid w:val="008D2DFD"/>
    <w:rsid w:val="008D3614"/>
    <w:rsid w:val="008E020E"/>
    <w:rsid w:val="008E3036"/>
    <w:rsid w:val="008E5922"/>
    <w:rsid w:val="008E7C20"/>
    <w:rsid w:val="008F1DC5"/>
    <w:rsid w:val="008F5117"/>
    <w:rsid w:val="00900E60"/>
    <w:rsid w:val="00914F75"/>
    <w:rsid w:val="0091551C"/>
    <w:rsid w:val="00922CFA"/>
    <w:rsid w:val="00923C5A"/>
    <w:rsid w:val="009246C9"/>
    <w:rsid w:val="00926C37"/>
    <w:rsid w:val="00931C28"/>
    <w:rsid w:val="00940ADE"/>
    <w:rsid w:val="00944CC5"/>
    <w:rsid w:val="009453A9"/>
    <w:rsid w:val="0094716C"/>
    <w:rsid w:val="00952993"/>
    <w:rsid w:val="00952F1E"/>
    <w:rsid w:val="0095583A"/>
    <w:rsid w:val="0096136E"/>
    <w:rsid w:val="00964801"/>
    <w:rsid w:val="00965C9A"/>
    <w:rsid w:val="00972796"/>
    <w:rsid w:val="009728DC"/>
    <w:rsid w:val="00972EEB"/>
    <w:rsid w:val="009744D2"/>
    <w:rsid w:val="00974998"/>
    <w:rsid w:val="009764D1"/>
    <w:rsid w:val="00982202"/>
    <w:rsid w:val="00987A01"/>
    <w:rsid w:val="009911D4"/>
    <w:rsid w:val="0099252B"/>
    <w:rsid w:val="00993C47"/>
    <w:rsid w:val="00994E8D"/>
    <w:rsid w:val="00996A6C"/>
    <w:rsid w:val="00997956"/>
    <w:rsid w:val="009A27A0"/>
    <w:rsid w:val="009A3C63"/>
    <w:rsid w:val="009B0B81"/>
    <w:rsid w:val="009B2E60"/>
    <w:rsid w:val="009B4F78"/>
    <w:rsid w:val="009B6F67"/>
    <w:rsid w:val="009B7767"/>
    <w:rsid w:val="009C417B"/>
    <w:rsid w:val="009C41E4"/>
    <w:rsid w:val="009D47B4"/>
    <w:rsid w:val="009D74EE"/>
    <w:rsid w:val="009E3797"/>
    <w:rsid w:val="009E3DA0"/>
    <w:rsid w:val="009E6695"/>
    <w:rsid w:val="009E7405"/>
    <w:rsid w:val="009F2780"/>
    <w:rsid w:val="009F3BFB"/>
    <w:rsid w:val="00A003E5"/>
    <w:rsid w:val="00A070DC"/>
    <w:rsid w:val="00A146A9"/>
    <w:rsid w:val="00A14A4A"/>
    <w:rsid w:val="00A16E1A"/>
    <w:rsid w:val="00A17D37"/>
    <w:rsid w:val="00A21241"/>
    <w:rsid w:val="00A2314B"/>
    <w:rsid w:val="00A23233"/>
    <w:rsid w:val="00A23913"/>
    <w:rsid w:val="00A25272"/>
    <w:rsid w:val="00A2588F"/>
    <w:rsid w:val="00A25C5B"/>
    <w:rsid w:val="00A25DB4"/>
    <w:rsid w:val="00A26F37"/>
    <w:rsid w:val="00A2743E"/>
    <w:rsid w:val="00A30E0B"/>
    <w:rsid w:val="00A31166"/>
    <w:rsid w:val="00A32139"/>
    <w:rsid w:val="00A3513F"/>
    <w:rsid w:val="00A35F52"/>
    <w:rsid w:val="00A366A9"/>
    <w:rsid w:val="00A37978"/>
    <w:rsid w:val="00A41C0B"/>
    <w:rsid w:val="00A533CE"/>
    <w:rsid w:val="00A57CCC"/>
    <w:rsid w:val="00A64F5B"/>
    <w:rsid w:val="00A674EB"/>
    <w:rsid w:val="00A70657"/>
    <w:rsid w:val="00A735FB"/>
    <w:rsid w:val="00A7436D"/>
    <w:rsid w:val="00A753DC"/>
    <w:rsid w:val="00A851CA"/>
    <w:rsid w:val="00A87E74"/>
    <w:rsid w:val="00A902A6"/>
    <w:rsid w:val="00A97C89"/>
    <w:rsid w:val="00AA03B2"/>
    <w:rsid w:val="00AA5616"/>
    <w:rsid w:val="00AA59A9"/>
    <w:rsid w:val="00AB104C"/>
    <w:rsid w:val="00AB2223"/>
    <w:rsid w:val="00AB26FB"/>
    <w:rsid w:val="00AB338A"/>
    <w:rsid w:val="00AB51A9"/>
    <w:rsid w:val="00AB5C3B"/>
    <w:rsid w:val="00AC1891"/>
    <w:rsid w:val="00AC7776"/>
    <w:rsid w:val="00AD304E"/>
    <w:rsid w:val="00AD628F"/>
    <w:rsid w:val="00AE6CC0"/>
    <w:rsid w:val="00AF10D0"/>
    <w:rsid w:val="00AF2B18"/>
    <w:rsid w:val="00AF5D36"/>
    <w:rsid w:val="00AF5EE5"/>
    <w:rsid w:val="00AF72C1"/>
    <w:rsid w:val="00B05F1A"/>
    <w:rsid w:val="00B07389"/>
    <w:rsid w:val="00B0789D"/>
    <w:rsid w:val="00B100E4"/>
    <w:rsid w:val="00B1313D"/>
    <w:rsid w:val="00B13613"/>
    <w:rsid w:val="00B1416C"/>
    <w:rsid w:val="00B147E2"/>
    <w:rsid w:val="00B20A79"/>
    <w:rsid w:val="00B27A79"/>
    <w:rsid w:val="00B27D29"/>
    <w:rsid w:val="00B30A04"/>
    <w:rsid w:val="00B30DE9"/>
    <w:rsid w:val="00B32E00"/>
    <w:rsid w:val="00B33FFB"/>
    <w:rsid w:val="00B3639A"/>
    <w:rsid w:val="00B364D4"/>
    <w:rsid w:val="00B36F9B"/>
    <w:rsid w:val="00B42250"/>
    <w:rsid w:val="00B45ADA"/>
    <w:rsid w:val="00B47C45"/>
    <w:rsid w:val="00B56B5A"/>
    <w:rsid w:val="00B612FD"/>
    <w:rsid w:val="00B63A36"/>
    <w:rsid w:val="00B63B2B"/>
    <w:rsid w:val="00B778FD"/>
    <w:rsid w:val="00B8209A"/>
    <w:rsid w:val="00B825FA"/>
    <w:rsid w:val="00B93015"/>
    <w:rsid w:val="00B95AEF"/>
    <w:rsid w:val="00BA2F2F"/>
    <w:rsid w:val="00BA3311"/>
    <w:rsid w:val="00BA6186"/>
    <w:rsid w:val="00BB10E5"/>
    <w:rsid w:val="00BB25ED"/>
    <w:rsid w:val="00BB3103"/>
    <w:rsid w:val="00BD078A"/>
    <w:rsid w:val="00BD10C6"/>
    <w:rsid w:val="00BD3D71"/>
    <w:rsid w:val="00BE3025"/>
    <w:rsid w:val="00BE3A1F"/>
    <w:rsid w:val="00BE3F8E"/>
    <w:rsid w:val="00BF0099"/>
    <w:rsid w:val="00BF406A"/>
    <w:rsid w:val="00BF5532"/>
    <w:rsid w:val="00BF7D8F"/>
    <w:rsid w:val="00C0742A"/>
    <w:rsid w:val="00C12440"/>
    <w:rsid w:val="00C157E8"/>
    <w:rsid w:val="00C17557"/>
    <w:rsid w:val="00C2316F"/>
    <w:rsid w:val="00C3374B"/>
    <w:rsid w:val="00C34811"/>
    <w:rsid w:val="00C3517D"/>
    <w:rsid w:val="00C36F8F"/>
    <w:rsid w:val="00C3711F"/>
    <w:rsid w:val="00C4224E"/>
    <w:rsid w:val="00C45094"/>
    <w:rsid w:val="00C47C70"/>
    <w:rsid w:val="00C52947"/>
    <w:rsid w:val="00C56C02"/>
    <w:rsid w:val="00C61FFE"/>
    <w:rsid w:val="00C63216"/>
    <w:rsid w:val="00C64A26"/>
    <w:rsid w:val="00C67A8F"/>
    <w:rsid w:val="00C774C9"/>
    <w:rsid w:val="00C808D7"/>
    <w:rsid w:val="00C85799"/>
    <w:rsid w:val="00C863ED"/>
    <w:rsid w:val="00C90A5E"/>
    <w:rsid w:val="00C91AE7"/>
    <w:rsid w:val="00CA1AF4"/>
    <w:rsid w:val="00CA5B55"/>
    <w:rsid w:val="00CA7D75"/>
    <w:rsid w:val="00CA7ECE"/>
    <w:rsid w:val="00CB14A2"/>
    <w:rsid w:val="00CB354E"/>
    <w:rsid w:val="00CB4889"/>
    <w:rsid w:val="00CB5727"/>
    <w:rsid w:val="00CB5AA3"/>
    <w:rsid w:val="00CB6D04"/>
    <w:rsid w:val="00CB72F4"/>
    <w:rsid w:val="00CB7981"/>
    <w:rsid w:val="00CC1555"/>
    <w:rsid w:val="00CD216E"/>
    <w:rsid w:val="00CD28A3"/>
    <w:rsid w:val="00CD2D7F"/>
    <w:rsid w:val="00CD4DCE"/>
    <w:rsid w:val="00CE4D23"/>
    <w:rsid w:val="00CE53E4"/>
    <w:rsid w:val="00CF071F"/>
    <w:rsid w:val="00CF18DD"/>
    <w:rsid w:val="00CF196D"/>
    <w:rsid w:val="00CF2074"/>
    <w:rsid w:val="00CF2720"/>
    <w:rsid w:val="00CF4C5C"/>
    <w:rsid w:val="00CF54BB"/>
    <w:rsid w:val="00D00600"/>
    <w:rsid w:val="00D02FD9"/>
    <w:rsid w:val="00D04902"/>
    <w:rsid w:val="00D116A1"/>
    <w:rsid w:val="00D15F5A"/>
    <w:rsid w:val="00D20CC1"/>
    <w:rsid w:val="00D24359"/>
    <w:rsid w:val="00D24D20"/>
    <w:rsid w:val="00D27A61"/>
    <w:rsid w:val="00D32A94"/>
    <w:rsid w:val="00D32BE1"/>
    <w:rsid w:val="00D33D34"/>
    <w:rsid w:val="00D46E65"/>
    <w:rsid w:val="00D5214D"/>
    <w:rsid w:val="00D5307E"/>
    <w:rsid w:val="00D5418D"/>
    <w:rsid w:val="00D5430B"/>
    <w:rsid w:val="00D546C2"/>
    <w:rsid w:val="00D56D17"/>
    <w:rsid w:val="00D57453"/>
    <w:rsid w:val="00D6234B"/>
    <w:rsid w:val="00D64C1D"/>
    <w:rsid w:val="00D658F1"/>
    <w:rsid w:val="00D66A5A"/>
    <w:rsid w:val="00D71043"/>
    <w:rsid w:val="00D74A40"/>
    <w:rsid w:val="00D75B30"/>
    <w:rsid w:val="00D826C6"/>
    <w:rsid w:val="00D84BA5"/>
    <w:rsid w:val="00D86715"/>
    <w:rsid w:val="00D8682D"/>
    <w:rsid w:val="00D91B37"/>
    <w:rsid w:val="00DA292F"/>
    <w:rsid w:val="00DA2B2E"/>
    <w:rsid w:val="00DA3EA5"/>
    <w:rsid w:val="00DA4099"/>
    <w:rsid w:val="00DA6C71"/>
    <w:rsid w:val="00DB0CF5"/>
    <w:rsid w:val="00DB6068"/>
    <w:rsid w:val="00DC2F5A"/>
    <w:rsid w:val="00DC3D02"/>
    <w:rsid w:val="00DC6D92"/>
    <w:rsid w:val="00DD240C"/>
    <w:rsid w:val="00DE4B76"/>
    <w:rsid w:val="00DE4F9C"/>
    <w:rsid w:val="00DF28D5"/>
    <w:rsid w:val="00DF7D8C"/>
    <w:rsid w:val="00E05398"/>
    <w:rsid w:val="00E06B2B"/>
    <w:rsid w:val="00E06F2D"/>
    <w:rsid w:val="00E135F4"/>
    <w:rsid w:val="00E13FFF"/>
    <w:rsid w:val="00E1668C"/>
    <w:rsid w:val="00E20B72"/>
    <w:rsid w:val="00E23ACF"/>
    <w:rsid w:val="00E25327"/>
    <w:rsid w:val="00E259BA"/>
    <w:rsid w:val="00E269E2"/>
    <w:rsid w:val="00E3089F"/>
    <w:rsid w:val="00E309FE"/>
    <w:rsid w:val="00E3131B"/>
    <w:rsid w:val="00E32FD7"/>
    <w:rsid w:val="00E378A2"/>
    <w:rsid w:val="00E4711A"/>
    <w:rsid w:val="00E47939"/>
    <w:rsid w:val="00E50B81"/>
    <w:rsid w:val="00E51EC7"/>
    <w:rsid w:val="00E54FA0"/>
    <w:rsid w:val="00E5589D"/>
    <w:rsid w:val="00E6497C"/>
    <w:rsid w:val="00E74BBC"/>
    <w:rsid w:val="00E81CE0"/>
    <w:rsid w:val="00E820D2"/>
    <w:rsid w:val="00E84F3D"/>
    <w:rsid w:val="00E9119C"/>
    <w:rsid w:val="00E953D0"/>
    <w:rsid w:val="00E95C34"/>
    <w:rsid w:val="00EA2BFE"/>
    <w:rsid w:val="00EB0D86"/>
    <w:rsid w:val="00EB3136"/>
    <w:rsid w:val="00EB3BD6"/>
    <w:rsid w:val="00EB5736"/>
    <w:rsid w:val="00ED0550"/>
    <w:rsid w:val="00ED0BF2"/>
    <w:rsid w:val="00ED154D"/>
    <w:rsid w:val="00ED3FC3"/>
    <w:rsid w:val="00EE0B78"/>
    <w:rsid w:val="00EE536C"/>
    <w:rsid w:val="00EF20E1"/>
    <w:rsid w:val="00EF405D"/>
    <w:rsid w:val="00EF73FD"/>
    <w:rsid w:val="00F003C7"/>
    <w:rsid w:val="00F00DFB"/>
    <w:rsid w:val="00F0496A"/>
    <w:rsid w:val="00F05AD9"/>
    <w:rsid w:val="00F11E6B"/>
    <w:rsid w:val="00F132C8"/>
    <w:rsid w:val="00F13B59"/>
    <w:rsid w:val="00F14951"/>
    <w:rsid w:val="00F15341"/>
    <w:rsid w:val="00F157BC"/>
    <w:rsid w:val="00F202E7"/>
    <w:rsid w:val="00F202F3"/>
    <w:rsid w:val="00F207F4"/>
    <w:rsid w:val="00F24EAE"/>
    <w:rsid w:val="00F25711"/>
    <w:rsid w:val="00F25E2E"/>
    <w:rsid w:val="00F26B69"/>
    <w:rsid w:val="00F30180"/>
    <w:rsid w:val="00F32C0F"/>
    <w:rsid w:val="00F348F7"/>
    <w:rsid w:val="00F3547A"/>
    <w:rsid w:val="00F354A5"/>
    <w:rsid w:val="00F37627"/>
    <w:rsid w:val="00F41578"/>
    <w:rsid w:val="00F420B6"/>
    <w:rsid w:val="00F460FE"/>
    <w:rsid w:val="00F523D6"/>
    <w:rsid w:val="00F53D12"/>
    <w:rsid w:val="00F61F6D"/>
    <w:rsid w:val="00F62C8F"/>
    <w:rsid w:val="00F64536"/>
    <w:rsid w:val="00F64FE7"/>
    <w:rsid w:val="00F71CF1"/>
    <w:rsid w:val="00F75034"/>
    <w:rsid w:val="00F80EBB"/>
    <w:rsid w:val="00F819EB"/>
    <w:rsid w:val="00F823EB"/>
    <w:rsid w:val="00F8427D"/>
    <w:rsid w:val="00F85148"/>
    <w:rsid w:val="00F8533E"/>
    <w:rsid w:val="00F85C7E"/>
    <w:rsid w:val="00F860EB"/>
    <w:rsid w:val="00FB1C0F"/>
    <w:rsid w:val="00FB480B"/>
    <w:rsid w:val="00FC001F"/>
    <w:rsid w:val="00FC1B04"/>
    <w:rsid w:val="00FC257F"/>
    <w:rsid w:val="00FC288A"/>
    <w:rsid w:val="00FC5978"/>
    <w:rsid w:val="00FC702B"/>
    <w:rsid w:val="00FD31A8"/>
    <w:rsid w:val="00FD49BB"/>
    <w:rsid w:val="00FE5BB6"/>
    <w:rsid w:val="00FF13E8"/>
    <w:rsid w:val="00FF1CDC"/>
    <w:rsid w:val="00FF24F6"/>
    <w:rsid w:val="00FF387C"/>
    <w:rsid w:val="00FF4C1E"/>
    <w:rsid w:val="00FF4DA8"/>
    <w:rsid w:val="00FF79B5"/>
    <w:rsid w:val="00FF7EE6"/>
    <w:rsid w:val="01714809"/>
    <w:rsid w:val="03547F3F"/>
    <w:rsid w:val="059565ED"/>
    <w:rsid w:val="07EC2AA0"/>
    <w:rsid w:val="08144141"/>
    <w:rsid w:val="09A45050"/>
    <w:rsid w:val="11F254F3"/>
    <w:rsid w:val="11F33019"/>
    <w:rsid w:val="12971BF6"/>
    <w:rsid w:val="12B207DE"/>
    <w:rsid w:val="1B6805D3"/>
    <w:rsid w:val="1C7D3C0B"/>
    <w:rsid w:val="1D0165EA"/>
    <w:rsid w:val="1DB01DBE"/>
    <w:rsid w:val="1F354C71"/>
    <w:rsid w:val="22E744D4"/>
    <w:rsid w:val="2338367C"/>
    <w:rsid w:val="2BC03B14"/>
    <w:rsid w:val="2E1E4B22"/>
    <w:rsid w:val="2F283EAA"/>
    <w:rsid w:val="33062754"/>
    <w:rsid w:val="349E076A"/>
    <w:rsid w:val="360A60B7"/>
    <w:rsid w:val="36107446"/>
    <w:rsid w:val="362353CB"/>
    <w:rsid w:val="3A6D4E67"/>
    <w:rsid w:val="3B554279"/>
    <w:rsid w:val="3CC72F54"/>
    <w:rsid w:val="3F454604"/>
    <w:rsid w:val="3FF676AC"/>
    <w:rsid w:val="44071E88"/>
    <w:rsid w:val="458539AC"/>
    <w:rsid w:val="46737CA9"/>
    <w:rsid w:val="46AC4F69"/>
    <w:rsid w:val="4A275032"/>
    <w:rsid w:val="4B0233A9"/>
    <w:rsid w:val="4E50267E"/>
    <w:rsid w:val="4E5C54C6"/>
    <w:rsid w:val="508B5BEF"/>
    <w:rsid w:val="561B7A15"/>
    <w:rsid w:val="571406EC"/>
    <w:rsid w:val="573941DB"/>
    <w:rsid w:val="59A87812"/>
    <w:rsid w:val="5E7A5C21"/>
    <w:rsid w:val="6779459B"/>
    <w:rsid w:val="68AB69D7"/>
    <w:rsid w:val="69942189"/>
    <w:rsid w:val="69CC12FA"/>
    <w:rsid w:val="6CFC1EF7"/>
    <w:rsid w:val="6D090170"/>
    <w:rsid w:val="703F2826"/>
    <w:rsid w:val="738B18DE"/>
    <w:rsid w:val="73B17DE0"/>
    <w:rsid w:val="7ACD0A2E"/>
    <w:rsid w:val="7BD52290"/>
    <w:rsid w:val="7C9760DC"/>
    <w:rsid w:val="7F2A46A1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519</Words>
  <Characters>2963</Characters>
  <Lines>24</Lines>
  <Paragraphs>6</Paragraphs>
  <TotalTime>11</TotalTime>
  <ScaleCrop>false</ScaleCrop>
  <LinksUpToDate>false</LinksUpToDate>
  <CharactersWithSpaces>3476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2023-09-26T01:38:00Z</dcterms:created>
  <dc:creator>ymm</dc:creator>
  <cp:lastModifiedBy>Jane.Z</cp:lastModifiedBy>
  <dcterms:modified xsi:type="dcterms:W3CDTF">2023-09-26T02:21:01Z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12C9FCF435894776BC3509934FF0B701_12</vt:lpwstr>
  </property>
</Properties>
</file>