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ind w:left="0"/>
        <w:rPr>
          <w:rFonts w:ascii="Times New Roman"/>
          <w:sz w:val="11"/>
        </w:rPr>
      </w:pPr>
    </w:p>
    <w:p>
      <w:pPr>
        <w:pStyle w:val="4"/>
        <w:spacing w:before="37"/>
        <w:ind w:left="1078"/>
      </w:pPr>
      <w:r>
        <w:rPr>
          <w:w w:val="95"/>
        </w:rPr>
        <w:t>2022年麻阳苗族自治县人民检察</w:t>
      </w:r>
      <w:r>
        <w:rPr>
          <w:spacing w:val="-10"/>
          <w:w w:val="95"/>
        </w:rPr>
        <w:t>院</w:t>
      </w:r>
    </w:p>
    <w:p>
      <w:pPr>
        <w:pStyle w:val="4"/>
      </w:pPr>
      <w:r>
        <w:rPr>
          <w:w w:val="95"/>
        </w:rPr>
        <w:t>单位预</w:t>
      </w:r>
      <w:r>
        <w:rPr>
          <w:spacing w:val="-10"/>
          <w:w w:val="95"/>
        </w:rPr>
        <w:t>算</w:t>
      </w:r>
    </w:p>
    <w:p>
      <w:pPr>
        <w:pStyle w:val="3"/>
        <w:spacing w:before="0"/>
        <w:ind w:left="0"/>
        <w:rPr>
          <w:rFonts w:ascii="黑体"/>
          <w:sz w:val="44"/>
        </w:rPr>
      </w:pPr>
    </w:p>
    <w:p>
      <w:pPr>
        <w:pStyle w:val="3"/>
        <w:spacing w:before="11"/>
        <w:ind w:left="0"/>
        <w:rPr>
          <w:rFonts w:ascii="黑体"/>
          <w:sz w:val="61"/>
        </w:rPr>
      </w:pPr>
    </w:p>
    <w:p>
      <w:pPr>
        <w:pStyle w:val="3"/>
        <w:spacing w:before="0"/>
        <w:ind w:left="861" w:right="1016"/>
        <w:jc w:val="center"/>
        <w:rPr>
          <w:rFonts w:ascii="黑体" w:eastAsia="黑体"/>
        </w:rPr>
      </w:pPr>
      <w:r>
        <w:rPr>
          <w:rFonts w:ascii="黑体" w:eastAsia="黑体"/>
          <w:spacing w:val="-7"/>
        </w:rPr>
        <w:t>目 录</w:t>
      </w:r>
    </w:p>
    <w:p>
      <w:pPr>
        <w:pStyle w:val="3"/>
        <w:spacing w:before="0"/>
        <w:ind w:left="0"/>
        <w:rPr>
          <w:rFonts w:ascii="黑体"/>
        </w:rPr>
      </w:pPr>
    </w:p>
    <w:p>
      <w:pPr>
        <w:pStyle w:val="3"/>
        <w:spacing w:before="8"/>
        <w:ind w:left="0"/>
        <w:rPr>
          <w:rFonts w:ascii="黑体"/>
          <w:sz w:val="29"/>
        </w:rPr>
      </w:pPr>
    </w:p>
    <w:p>
      <w:pPr>
        <w:pStyle w:val="2"/>
        <w:ind w:left="751"/>
        <w:jc w:val="both"/>
        <w:rPr>
          <w:rFonts w:hint="eastAsia" w:ascii="仿宋" w:eastAsia="仿宋"/>
        </w:rPr>
      </w:pPr>
      <w:r>
        <w:rPr>
          <w:rFonts w:hint="eastAsia" w:ascii="仿宋" w:eastAsia="仿宋"/>
          <w:w w:val="95"/>
        </w:rPr>
        <w:t>第一部分</w:t>
      </w:r>
      <w:r>
        <w:rPr>
          <w:rFonts w:hint="eastAsia" w:ascii="仿宋" w:eastAsia="仿宋"/>
          <w:spacing w:val="6"/>
          <w:w w:val="150"/>
        </w:rPr>
        <w:t xml:space="preserve"> </w:t>
      </w:r>
      <w:r>
        <w:rPr>
          <w:rFonts w:hint="eastAsia" w:ascii="仿宋" w:eastAsia="仿宋"/>
          <w:w w:val="95"/>
        </w:rPr>
        <w:t>2022</w:t>
      </w:r>
      <w:r>
        <w:rPr>
          <w:rFonts w:hint="eastAsia" w:ascii="仿宋" w:eastAsia="仿宋"/>
          <w:spacing w:val="-10"/>
          <w:w w:val="95"/>
        </w:rPr>
        <w:t xml:space="preserve"> 年单</w:t>
      </w:r>
      <w:r>
        <w:rPr>
          <w:rFonts w:hint="eastAsia" w:ascii="仿宋" w:eastAsia="仿宋"/>
          <w:w w:val="95"/>
        </w:rPr>
        <w:t>位预算说</w:t>
      </w:r>
      <w:r>
        <w:rPr>
          <w:rFonts w:hint="eastAsia" w:ascii="仿宋" w:eastAsia="仿宋"/>
          <w:spacing w:val="-10"/>
          <w:w w:val="95"/>
        </w:rPr>
        <w:t>明</w:t>
      </w:r>
    </w:p>
    <w:p>
      <w:pPr>
        <w:spacing w:before="190"/>
        <w:ind w:left="751" w:right="0" w:firstLine="0"/>
        <w:jc w:val="both"/>
        <w:rPr>
          <w:rFonts w:hint="eastAsia" w:ascii="仿宋" w:eastAsia="仿宋"/>
          <w:b/>
          <w:sz w:val="32"/>
        </w:rPr>
      </w:pPr>
      <w:r>
        <w:rPr>
          <w:rFonts w:hint="eastAsia" w:ascii="仿宋" w:eastAsia="仿宋"/>
          <w:b/>
          <w:w w:val="95"/>
          <w:sz w:val="32"/>
        </w:rPr>
        <w:t>第二部分</w:t>
      </w:r>
      <w:r>
        <w:rPr>
          <w:rFonts w:hint="eastAsia" w:ascii="仿宋" w:eastAsia="仿宋"/>
          <w:b/>
          <w:spacing w:val="78"/>
          <w:sz w:val="32"/>
        </w:rPr>
        <w:t xml:space="preserve"> </w:t>
      </w:r>
      <w:r>
        <w:rPr>
          <w:rFonts w:hint="eastAsia" w:ascii="仿宋" w:eastAsia="仿宋"/>
          <w:b/>
          <w:w w:val="95"/>
          <w:sz w:val="32"/>
        </w:rPr>
        <w:t>2022</w:t>
      </w:r>
      <w:r>
        <w:rPr>
          <w:rFonts w:hint="eastAsia" w:ascii="仿宋" w:eastAsia="仿宋"/>
          <w:b/>
          <w:spacing w:val="-11"/>
          <w:w w:val="95"/>
          <w:sz w:val="32"/>
        </w:rPr>
        <w:t xml:space="preserve"> 年单</w:t>
      </w:r>
      <w:r>
        <w:rPr>
          <w:rFonts w:hint="eastAsia" w:ascii="仿宋" w:eastAsia="仿宋"/>
          <w:b/>
          <w:w w:val="95"/>
          <w:sz w:val="32"/>
        </w:rPr>
        <w:t>位预</w:t>
      </w:r>
      <w:r>
        <w:rPr>
          <w:rFonts w:hint="eastAsia" w:ascii="仿宋" w:eastAsia="仿宋"/>
          <w:b/>
          <w:spacing w:val="-5"/>
          <w:w w:val="95"/>
          <w:sz w:val="32"/>
        </w:rPr>
        <w:t>算表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1</w:t>
      </w:r>
      <w:r>
        <w:rPr>
          <w:w w:val="95"/>
        </w:rPr>
        <w:t>、收支总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2</w:t>
      </w:r>
      <w:r>
        <w:rPr>
          <w:w w:val="95"/>
        </w:rPr>
        <w:t>、收入总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3</w:t>
      </w:r>
      <w:r>
        <w:rPr>
          <w:w w:val="95"/>
        </w:rPr>
        <w:t>、支出总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4</w:t>
      </w:r>
      <w:r>
        <w:rPr>
          <w:w w:val="95"/>
        </w:rPr>
        <w:t>、支出预算分类汇总表（按政府预算经济分类</w:t>
      </w:r>
      <w:r>
        <w:rPr>
          <w:spacing w:val="-10"/>
          <w:w w:val="95"/>
        </w:rPr>
        <w:t>）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5</w:t>
      </w:r>
      <w:r>
        <w:rPr>
          <w:w w:val="95"/>
        </w:rPr>
        <w:t>、支出预算分类汇总表（按部门预算经济分类</w:t>
      </w:r>
      <w:r>
        <w:rPr>
          <w:spacing w:val="-10"/>
          <w:w w:val="95"/>
        </w:rPr>
        <w:t>）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6</w:t>
      </w:r>
      <w:r>
        <w:rPr>
          <w:w w:val="95"/>
        </w:rPr>
        <w:t>、财政拨款收支总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7</w:t>
      </w:r>
      <w:r>
        <w:rPr>
          <w:w w:val="95"/>
        </w:rPr>
        <w:t>、一般公共预算支出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8</w:t>
      </w:r>
      <w:r>
        <w:rPr>
          <w:w w:val="95"/>
        </w:rPr>
        <w:t>、一般公共预算基本支出表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>人员经费（工资福利支出</w:t>
      </w:r>
      <w:r>
        <w:rPr>
          <w:spacing w:val="-10"/>
          <w:w w:val="95"/>
        </w:rPr>
        <w:t>）</w:t>
      </w:r>
    </w:p>
    <w:p>
      <w:pPr>
        <w:pStyle w:val="3"/>
        <w:jc w:val="both"/>
      </w:pPr>
      <w:r>
        <w:rPr>
          <w:w w:val="95"/>
        </w:rPr>
        <w:t>（按政府预算经济分类</w:t>
      </w:r>
      <w:r>
        <w:rPr>
          <w:spacing w:val="-10"/>
          <w:w w:val="95"/>
        </w:rPr>
        <w:t>）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9</w:t>
      </w:r>
      <w:r>
        <w:rPr>
          <w:w w:val="95"/>
        </w:rPr>
        <w:t>、一般公共预算基本支出表</w:t>
      </w:r>
      <w:r>
        <w:rPr>
          <w:rFonts w:ascii="Times New Roman" w:eastAsia="Times New Roman"/>
          <w:w w:val="95"/>
        </w:rPr>
        <w:t>-</w:t>
      </w:r>
      <w:r>
        <w:rPr>
          <w:w w:val="95"/>
        </w:rPr>
        <w:t>人员经费（工资福利支出</w:t>
      </w:r>
      <w:r>
        <w:rPr>
          <w:spacing w:val="-10"/>
          <w:w w:val="95"/>
        </w:rPr>
        <w:t>）</w:t>
      </w:r>
    </w:p>
    <w:p>
      <w:pPr>
        <w:pStyle w:val="3"/>
        <w:jc w:val="both"/>
      </w:pPr>
      <w:r>
        <w:rPr>
          <w:w w:val="95"/>
        </w:rPr>
        <w:t>（按部门预算经济分类</w:t>
      </w:r>
      <w:r>
        <w:rPr>
          <w:spacing w:val="-10"/>
          <w:w w:val="95"/>
        </w:rPr>
        <w:t>）</w:t>
      </w:r>
    </w:p>
    <w:p>
      <w:pPr>
        <w:pStyle w:val="3"/>
        <w:spacing w:line="350" w:lineRule="auto"/>
        <w:ind w:right="271" w:firstLine="633"/>
        <w:jc w:val="both"/>
      </w:pPr>
      <w:r>
        <w:rPr>
          <w:rFonts w:ascii="Times New Roman" w:eastAsia="Times New Roman"/>
          <w:spacing w:val="-2"/>
          <w:w w:val="99"/>
        </w:rPr>
        <w:t>10</w:t>
      </w:r>
      <w:r>
        <w:rPr>
          <w:spacing w:val="-7"/>
          <w:w w:val="99"/>
        </w:rPr>
        <w:t>、一般公共预算基本支出表</w:t>
      </w:r>
      <w:r>
        <w:rPr>
          <w:rFonts w:ascii="Times New Roman" w:eastAsia="Times New Roman"/>
          <w:spacing w:val="-1"/>
          <w:w w:val="99"/>
        </w:rPr>
        <w:t>-</w:t>
      </w:r>
      <w:r>
        <w:rPr>
          <w:spacing w:val="-8"/>
          <w:w w:val="99"/>
        </w:rPr>
        <w:t>人员经费</w:t>
      </w:r>
      <w:r>
        <w:rPr>
          <w:w w:val="99"/>
        </w:rPr>
        <w:t>（</w:t>
      </w:r>
      <w:r>
        <w:rPr>
          <w:spacing w:val="-3"/>
          <w:w w:val="99"/>
        </w:rPr>
        <w:t>对个人和家庭的补助</w:t>
      </w:r>
      <w:r>
        <w:rPr>
          <w:spacing w:val="-161"/>
          <w:w w:val="99"/>
        </w:rPr>
        <w:t>）</w:t>
      </w:r>
      <w:r>
        <w:rPr>
          <w:spacing w:val="-3"/>
          <w:w w:val="99"/>
        </w:rPr>
        <w:t>（按政府预算经济分类</w:t>
      </w:r>
      <w:r>
        <w:rPr>
          <w:w w:val="99"/>
        </w:rPr>
        <w:t>）</w:t>
      </w:r>
    </w:p>
    <w:p>
      <w:pPr>
        <w:pStyle w:val="3"/>
        <w:spacing w:before="0" w:line="350" w:lineRule="auto"/>
        <w:ind w:right="271" w:firstLine="633"/>
        <w:jc w:val="both"/>
      </w:pPr>
      <w:r>
        <w:rPr>
          <w:rFonts w:ascii="Times New Roman" w:eastAsia="Times New Roman"/>
          <w:spacing w:val="-6"/>
        </w:rPr>
        <w:t>11</w:t>
      </w:r>
      <w:r>
        <w:rPr>
          <w:spacing w:val="-6"/>
        </w:rPr>
        <w:t>、一般公共预算基本支出表</w:t>
      </w:r>
      <w:r>
        <w:rPr>
          <w:rFonts w:ascii="Times New Roman" w:eastAsia="Times New Roman"/>
          <w:spacing w:val="-6"/>
        </w:rPr>
        <w:t>-</w:t>
      </w:r>
      <w:r>
        <w:rPr>
          <w:spacing w:val="-6"/>
        </w:rPr>
        <w:t>人员经费（对个人和家庭</w:t>
      </w:r>
      <w:r>
        <w:rPr>
          <w:spacing w:val="-2"/>
        </w:rPr>
        <w:t>的补助</w:t>
      </w:r>
      <w:r>
        <w:rPr>
          <w:spacing w:val="-161"/>
        </w:rPr>
        <w:t>）</w:t>
      </w:r>
      <w:r>
        <w:rPr>
          <w:spacing w:val="-3"/>
        </w:rPr>
        <w:t>（</w:t>
      </w:r>
      <w:r>
        <w:rPr>
          <w:spacing w:val="-2"/>
        </w:rPr>
        <w:t>按部门预算经济分类）</w:t>
      </w:r>
    </w:p>
    <w:p>
      <w:pPr>
        <w:spacing w:after="0" w:line="350" w:lineRule="auto"/>
        <w:jc w:val="both"/>
      </w:pPr>
    </w:p>
    <w:p>
      <w:pPr>
        <w:pStyle w:val="3"/>
        <w:spacing w:before="54" w:line="350" w:lineRule="auto"/>
        <w:ind w:right="271" w:firstLine="633"/>
        <w:jc w:val="both"/>
      </w:pPr>
      <w:r>
        <w:rPr>
          <w:rFonts w:ascii="Times New Roman" w:eastAsia="Times New Roman"/>
          <w:spacing w:val="-2"/>
          <w:w w:val="99"/>
        </w:rPr>
        <w:t>12</w:t>
      </w:r>
      <w:r>
        <w:rPr>
          <w:spacing w:val="-7"/>
          <w:w w:val="99"/>
        </w:rPr>
        <w:t>、一般公共预算基本支出表</w:t>
      </w:r>
      <w:r>
        <w:rPr>
          <w:rFonts w:ascii="Times New Roman" w:eastAsia="Times New Roman"/>
          <w:spacing w:val="-1"/>
          <w:w w:val="99"/>
        </w:rPr>
        <w:t>-</w:t>
      </w:r>
      <w:r>
        <w:rPr>
          <w:spacing w:val="-8"/>
          <w:w w:val="99"/>
        </w:rPr>
        <w:t>公用经费</w:t>
      </w:r>
      <w:r>
        <w:rPr>
          <w:w w:val="99"/>
        </w:rPr>
        <w:t>（</w:t>
      </w:r>
      <w:r>
        <w:rPr>
          <w:spacing w:val="-3"/>
          <w:w w:val="99"/>
        </w:rPr>
        <w:t>商品和服务支出</w:t>
      </w:r>
      <w:r>
        <w:rPr>
          <w:spacing w:val="-161"/>
          <w:w w:val="99"/>
        </w:rPr>
        <w:t>）</w:t>
      </w:r>
      <w:r>
        <w:rPr>
          <w:spacing w:val="-3"/>
          <w:w w:val="99"/>
        </w:rPr>
        <w:t>（按政府预算经济分类</w:t>
      </w:r>
      <w:r>
        <w:rPr>
          <w:w w:val="99"/>
        </w:rPr>
        <w:t>）</w:t>
      </w:r>
    </w:p>
    <w:p>
      <w:pPr>
        <w:pStyle w:val="3"/>
        <w:spacing w:before="2" w:line="350" w:lineRule="auto"/>
        <w:ind w:right="271" w:firstLine="633"/>
        <w:jc w:val="both"/>
      </w:pPr>
      <w:r>
        <w:rPr>
          <w:rFonts w:ascii="Times New Roman" w:eastAsia="Times New Roman"/>
          <w:spacing w:val="-2"/>
          <w:w w:val="99"/>
        </w:rPr>
        <w:t>13</w:t>
      </w:r>
      <w:r>
        <w:rPr>
          <w:spacing w:val="-7"/>
          <w:w w:val="99"/>
        </w:rPr>
        <w:t>、一般公共预算基本支出表</w:t>
      </w:r>
      <w:r>
        <w:rPr>
          <w:rFonts w:ascii="Times New Roman" w:eastAsia="Times New Roman"/>
          <w:spacing w:val="-1"/>
          <w:w w:val="99"/>
        </w:rPr>
        <w:t>-</w:t>
      </w:r>
      <w:r>
        <w:rPr>
          <w:spacing w:val="-8"/>
          <w:w w:val="99"/>
        </w:rPr>
        <w:t>公用经费</w:t>
      </w:r>
      <w:r>
        <w:rPr>
          <w:w w:val="99"/>
        </w:rPr>
        <w:t>（</w:t>
      </w:r>
      <w:r>
        <w:rPr>
          <w:spacing w:val="-3"/>
          <w:w w:val="99"/>
        </w:rPr>
        <w:t>商品和服务支出</w:t>
      </w:r>
      <w:r>
        <w:rPr>
          <w:spacing w:val="-161"/>
          <w:w w:val="99"/>
        </w:rPr>
        <w:t>）</w:t>
      </w:r>
      <w:r>
        <w:rPr>
          <w:spacing w:val="-3"/>
          <w:w w:val="99"/>
        </w:rPr>
        <w:t>（按部门预算经济分类</w:t>
      </w:r>
      <w:r>
        <w:rPr>
          <w:w w:val="99"/>
        </w:rPr>
        <w:t>）</w:t>
      </w:r>
    </w:p>
    <w:p>
      <w:pPr>
        <w:pStyle w:val="3"/>
        <w:spacing w:before="3"/>
        <w:ind w:left="751"/>
        <w:jc w:val="both"/>
      </w:pPr>
      <w:r>
        <w:rPr>
          <w:rFonts w:ascii="Times New Roman" w:hAnsi="Times New Roman" w:eastAsia="Times New Roman"/>
          <w:w w:val="95"/>
        </w:rPr>
        <w:t>14</w:t>
      </w:r>
      <w:r>
        <w:rPr>
          <w:w w:val="95"/>
        </w:rPr>
        <w:t>、一般公共预算</w:t>
      </w:r>
      <w:r>
        <w:rPr>
          <w:rFonts w:ascii="Times New Roman" w:hAnsi="Times New Roman" w:eastAsia="Times New Roman"/>
          <w:w w:val="95"/>
        </w:rPr>
        <w:t>“</w:t>
      </w:r>
      <w:r>
        <w:rPr>
          <w:w w:val="95"/>
        </w:rPr>
        <w:t>三公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经费支出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15</w:t>
      </w:r>
      <w:r>
        <w:rPr>
          <w:w w:val="95"/>
        </w:rPr>
        <w:t>、政府性基金预算支出</w:t>
      </w:r>
      <w:r>
        <w:rPr>
          <w:spacing w:val="-10"/>
          <w:w w:val="95"/>
        </w:rPr>
        <w:t>表</w:t>
      </w:r>
    </w:p>
    <w:p>
      <w:pPr>
        <w:pStyle w:val="3"/>
        <w:spacing w:line="350" w:lineRule="auto"/>
        <w:ind w:right="341" w:firstLine="633"/>
        <w:jc w:val="both"/>
      </w:pPr>
      <w:r>
        <w:rPr>
          <w:rFonts w:ascii="Times New Roman" w:eastAsia="Times New Roman"/>
          <w:spacing w:val="-2"/>
          <w:w w:val="99"/>
        </w:rPr>
        <w:t>16</w:t>
      </w:r>
      <w:r>
        <w:rPr>
          <w:spacing w:val="-3"/>
          <w:w w:val="99"/>
        </w:rPr>
        <w:t>、政府性基金预算支出分类汇总表（按政府预算经济分类</w:t>
      </w:r>
      <w:r>
        <w:rPr>
          <w:w w:val="99"/>
        </w:rPr>
        <w:t>）</w:t>
      </w:r>
    </w:p>
    <w:p>
      <w:pPr>
        <w:pStyle w:val="3"/>
        <w:spacing w:before="3" w:line="350" w:lineRule="auto"/>
        <w:ind w:right="341" w:firstLine="633"/>
        <w:jc w:val="both"/>
      </w:pPr>
      <w:r>
        <w:rPr>
          <w:rFonts w:ascii="Times New Roman" w:eastAsia="Times New Roman"/>
          <w:spacing w:val="-2"/>
          <w:w w:val="99"/>
        </w:rPr>
        <w:t>17</w:t>
      </w:r>
      <w:r>
        <w:rPr>
          <w:spacing w:val="-3"/>
          <w:w w:val="99"/>
        </w:rPr>
        <w:t>、政府性基金预算支出分类汇总表（按部门预算经济分类</w:t>
      </w:r>
      <w:r>
        <w:rPr>
          <w:w w:val="99"/>
        </w:rPr>
        <w:t>）</w:t>
      </w:r>
    </w:p>
    <w:p>
      <w:pPr>
        <w:pStyle w:val="3"/>
        <w:spacing w:before="3"/>
        <w:ind w:left="751"/>
        <w:jc w:val="both"/>
      </w:pPr>
      <w:r>
        <w:rPr>
          <w:rFonts w:ascii="Times New Roman" w:eastAsia="Times New Roman"/>
          <w:w w:val="95"/>
        </w:rPr>
        <w:t>18</w:t>
      </w:r>
      <w:r>
        <w:rPr>
          <w:w w:val="95"/>
        </w:rPr>
        <w:t>、国有资本经营预算支出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19</w:t>
      </w:r>
      <w:r>
        <w:rPr>
          <w:w w:val="95"/>
        </w:rPr>
        <w:t>、财政专户管理资金预算支出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20</w:t>
      </w:r>
      <w:r>
        <w:rPr>
          <w:w w:val="95"/>
        </w:rPr>
        <w:t>、省级专项资金预算汇总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21</w:t>
      </w:r>
      <w:r>
        <w:rPr>
          <w:w w:val="95"/>
        </w:rPr>
        <w:t>、省级专项资金绩效目标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22</w:t>
      </w:r>
      <w:r>
        <w:rPr>
          <w:w w:val="95"/>
        </w:rPr>
        <w:t>、其他项目支出绩效目标</w:t>
      </w:r>
      <w:r>
        <w:rPr>
          <w:spacing w:val="-10"/>
          <w:w w:val="95"/>
        </w:rPr>
        <w:t>表</w:t>
      </w:r>
    </w:p>
    <w:p>
      <w:pPr>
        <w:pStyle w:val="3"/>
        <w:ind w:left="751"/>
        <w:jc w:val="both"/>
      </w:pPr>
      <w:r>
        <w:rPr>
          <w:rFonts w:ascii="Times New Roman" w:eastAsia="Times New Roman"/>
          <w:w w:val="95"/>
        </w:rPr>
        <w:t>23</w:t>
      </w:r>
      <w:r>
        <w:rPr>
          <w:w w:val="95"/>
        </w:rPr>
        <w:t>、部门整体支出绩效目标</w:t>
      </w:r>
      <w:r>
        <w:rPr>
          <w:spacing w:val="-10"/>
          <w:w w:val="95"/>
        </w:rPr>
        <w:t>表</w:t>
      </w:r>
    </w:p>
    <w:p>
      <w:pPr>
        <w:spacing w:after="0" w:line="350" w:lineRule="auto"/>
        <w:jc w:val="both"/>
      </w:pPr>
    </w:p>
    <w:p>
      <w:pPr>
        <w:spacing w:after="0" w:line="350" w:lineRule="auto"/>
        <w:jc w:val="both"/>
        <w:rPr>
          <w:rFonts w:hint="default" w:ascii="宋体" w:hAnsi="宋体" w:eastAsia="宋体" w:cs="宋体"/>
          <w:w w:val="95"/>
          <w:sz w:val="32"/>
          <w:szCs w:val="32"/>
          <w:lang w:val="en-US" w:eastAsia="zh-CN" w:bidi="ar-SA"/>
        </w:rPr>
        <w:sectPr>
          <w:type w:val="continuous"/>
          <w:pgSz w:w="11910" w:h="16840"/>
          <w:pgMar w:top="1240" w:right="1520" w:bottom="1180" w:left="1680" w:header="0" w:footer="993" w:gutter="0"/>
          <w:cols w:space="720" w:num="1"/>
        </w:sectPr>
      </w:pPr>
      <w:r>
        <w:rPr>
          <w:rFonts w:hint="eastAsia" w:ascii="宋体" w:hAnsi="宋体" w:eastAsia="宋体" w:cs="宋体"/>
          <w:w w:val="95"/>
          <w:sz w:val="32"/>
          <w:szCs w:val="32"/>
          <w:lang w:val="en-US" w:eastAsia="zh-CN" w:bidi="ar-SA"/>
        </w:rPr>
        <w:t>注：以上部门预算报表中，空表表示本部门无相关收支情况。</w:t>
      </w:r>
    </w:p>
    <w:p>
      <w:pPr>
        <w:spacing w:after="0" w:line="350" w:lineRule="auto"/>
        <w:jc w:val="both"/>
        <w:sectPr>
          <w:footerReference r:id="rId5" w:type="default"/>
          <w:type w:val="continuous"/>
          <w:pgSz w:w="11910" w:h="16840"/>
          <w:pgMar w:top="1600" w:right="1520" w:bottom="1180" w:left="1680" w:header="0" w:footer="993" w:gutter="0"/>
          <w:pgNumType w:start="1"/>
          <w:cols w:space="720" w:num="1"/>
        </w:sectPr>
      </w:pPr>
    </w:p>
    <w:p>
      <w:pPr>
        <w:spacing w:before="54"/>
        <w:ind w:left="863" w:right="1016" w:firstLine="0"/>
        <w:jc w:val="center"/>
        <w:rPr>
          <w:rFonts w:ascii="PMingLiU" w:eastAsia="PMingLiU"/>
          <w:sz w:val="36"/>
        </w:rPr>
      </w:pPr>
      <w:r>
        <w:rPr>
          <w:rFonts w:ascii="PMingLiU" w:eastAsia="PMingLiU"/>
          <w:spacing w:val="11"/>
          <w:sz w:val="36"/>
        </w:rPr>
        <w:t xml:space="preserve">第一部分 </w:t>
      </w:r>
      <w:r>
        <w:rPr>
          <w:rFonts w:ascii="Times New Roman" w:eastAsia="Times New Roman"/>
          <w:sz w:val="36"/>
        </w:rPr>
        <w:t>2022</w:t>
      </w:r>
      <w:r>
        <w:rPr>
          <w:rFonts w:ascii="Times New Roman" w:eastAsia="Times New Roman"/>
          <w:spacing w:val="-15"/>
          <w:sz w:val="36"/>
        </w:rPr>
        <w:t xml:space="preserve"> </w:t>
      </w:r>
      <w:r>
        <w:rPr>
          <w:rFonts w:ascii="PMingLiU" w:eastAsia="PMingLiU"/>
          <w:spacing w:val="-2"/>
          <w:sz w:val="36"/>
        </w:rPr>
        <w:t>年单位预算说明</w:t>
      </w:r>
    </w:p>
    <w:p>
      <w:pPr>
        <w:pStyle w:val="3"/>
        <w:spacing w:before="9"/>
        <w:ind w:left="0"/>
        <w:jc w:val="both"/>
        <w:rPr>
          <w:rFonts w:ascii="PMingLiU"/>
          <w:sz w:val="52"/>
        </w:rPr>
      </w:pPr>
    </w:p>
    <w:p>
      <w:pPr>
        <w:pStyle w:val="3"/>
        <w:spacing w:before="0"/>
        <w:ind w:left="736"/>
        <w:jc w:val="both"/>
        <w:rPr>
          <w:rFonts w:ascii="黑体" w:eastAsia="黑体"/>
        </w:rPr>
      </w:pPr>
      <w:r>
        <w:rPr>
          <w:rFonts w:ascii="黑体" w:eastAsia="黑体"/>
          <w:w w:val="95"/>
        </w:rPr>
        <w:t>一、单位基本概</w:t>
      </w:r>
      <w:r>
        <w:rPr>
          <w:rFonts w:ascii="黑体" w:eastAsia="黑体"/>
          <w:spacing w:val="-10"/>
          <w:w w:val="95"/>
        </w:rPr>
        <w:t>况</w:t>
      </w:r>
    </w:p>
    <w:p>
      <w:pPr>
        <w:pStyle w:val="2"/>
        <w:spacing w:before="84"/>
        <w:jc w:val="both"/>
      </w:pPr>
      <w:r>
        <w:rPr>
          <w:w w:val="95"/>
        </w:rPr>
        <w:t>（一）职能职责</w:t>
      </w:r>
      <w:r>
        <w:rPr>
          <w:spacing w:val="-10"/>
          <w:w w:val="95"/>
        </w:rPr>
        <w:t>。</w:t>
      </w:r>
    </w:p>
    <w:p>
      <w:pPr>
        <w:pStyle w:val="3"/>
        <w:spacing w:before="103" w:line="338" w:lineRule="auto"/>
        <w:ind w:right="269" w:firstLine="633"/>
        <w:jc w:val="both"/>
      </w:pPr>
      <w:r>
        <w:rPr>
          <w:spacing w:val="-2"/>
          <w:w w:val="99"/>
        </w:rPr>
        <w:t>1</w:t>
      </w:r>
      <w:r>
        <w:rPr>
          <w:spacing w:val="-11"/>
          <w:w w:val="99"/>
        </w:rPr>
        <w:t>、深入贯彻习近平新时代中国特色社会主义思想，深入</w:t>
      </w:r>
      <w:r>
        <w:rPr>
          <w:spacing w:val="-2"/>
          <w:w w:val="99"/>
        </w:rPr>
        <w:t>贯彻党的路线方针政策和决策部署，坚持党对检察工作的绝</w:t>
      </w:r>
      <w:r>
        <w:rPr>
          <w:w w:val="99"/>
        </w:rPr>
        <w:t>对领导，坚决维护习近平总书记的核心地位，坚决维护党中</w:t>
      </w:r>
      <w:r>
        <w:rPr>
          <w:spacing w:val="-3"/>
          <w:w w:val="99"/>
        </w:rPr>
        <w:t>央权威和集中统一领导。</w:t>
      </w:r>
    </w:p>
    <w:p>
      <w:pPr>
        <w:pStyle w:val="3"/>
        <w:spacing w:before="6" w:line="340" w:lineRule="auto"/>
        <w:ind w:right="269" w:firstLine="633"/>
        <w:jc w:val="both"/>
      </w:pPr>
      <w:r>
        <w:rPr>
          <w:spacing w:val="-2"/>
          <w:w w:val="95"/>
        </w:rPr>
        <w:t>2、贯彻落实上级人民检察院的各项工作部署，研究制定</w:t>
      </w:r>
      <w:r>
        <w:rPr>
          <w:spacing w:val="-2"/>
        </w:rPr>
        <w:t>检察工作规划，部署检察工作任务。</w:t>
      </w:r>
    </w:p>
    <w:p>
      <w:pPr>
        <w:pStyle w:val="3"/>
        <w:spacing w:before="0" w:line="338" w:lineRule="auto"/>
        <w:ind w:right="271" w:firstLine="633"/>
        <w:jc w:val="both"/>
      </w:pPr>
      <w:r>
        <w:rPr>
          <w:spacing w:val="-2"/>
          <w:w w:val="99"/>
        </w:rPr>
        <w:t>3</w:t>
      </w:r>
      <w:r>
        <w:rPr>
          <w:spacing w:val="-13"/>
          <w:w w:val="99"/>
        </w:rPr>
        <w:t>、依照法律规定对由县人民检察院直接受理的刑事案件</w:t>
      </w:r>
      <w:r>
        <w:rPr>
          <w:spacing w:val="-3"/>
          <w:w w:val="99"/>
        </w:rPr>
        <w:t>行使侦查权。</w:t>
      </w:r>
    </w:p>
    <w:p>
      <w:pPr>
        <w:pStyle w:val="3"/>
        <w:spacing w:before="0"/>
        <w:ind w:left="751"/>
        <w:jc w:val="both"/>
      </w:pPr>
      <w:r>
        <w:rPr>
          <w:w w:val="95"/>
        </w:rPr>
        <w:t>4</w:t>
      </w:r>
      <w:r>
        <w:rPr>
          <w:spacing w:val="-87"/>
          <w:w w:val="95"/>
        </w:rPr>
        <w:t>、</w:t>
      </w:r>
      <w:r>
        <w:rPr>
          <w:w w:val="95"/>
        </w:rPr>
        <w:t>对刑事案件依法审查批准逮</w:t>
      </w:r>
      <w:r>
        <w:rPr>
          <w:spacing w:val="-42"/>
          <w:w w:val="95"/>
        </w:rPr>
        <w:t>捕、</w:t>
      </w:r>
      <w:r>
        <w:rPr>
          <w:w w:val="95"/>
        </w:rPr>
        <w:t>决定逮捕</w:t>
      </w:r>
      <w:r>
        <w:rPr>
          <w:spacing w:val="-84"/>
          <w:w w:val="95"/>
        </w:rPr>
        <w:t>、</w:t>
      </w:r>
      <w:r>
        <w:rPr>
          <w:w w:val="95"/>
        </w:rPr>
        <w:t>提起公诉</w:t>
      </w:r>
      <w:r>
        <w:rPr>
          <w:spacing w:val="-10"/>
          <w:w w:val="95"/>
        </w:rPr>
        <w:t>。</w:t>
      </w:r>
    </w:p>
    <w:p>
      <w:pPr>
        <w:pStyle w:val="3"/>
        <w:spacing w:before="171" w:line="338" w:lineRule="auto"/>
        <w:ind w:right="269" w:firstLine="633"/>
        <w:jc w:val="both"/>
      </w:pPr>
      <w:r>
        <w:rPr>
          <w:spacing w:val="-2"/>
          <w:w w:val="99"/>
        </w:rPr>
        <w:t>5</w:t>
      </w:r>
      <w:r>
        <w:rPr>
          <w:spacing w:val="-12"/>
          <w:w w:val="99"/>
        </w:rPr>
        <w:t>、负责应由县人民检察院承办的刑事、民事、行政诉讼</w:t>
      </w:r>
      <w:r>
        <w:rPr>
          <w:spacing w:val="-2"/>
          <w:w w:val="99"/>
        </w:rPr>
        <w:t>活动及刑事、民事、行政判决和裁定等生效法律文书执行的</w:t>
      </w:r>
      <w:r>
        <w:rPr>
          <w:spacing w:val="-3"/>
          <w:w w:val="99"/>
        </w:rPr>
        <w:t>法律监督工作。</w:t>
      </w:r>
    </w:p>
    <w:p>
      <w:pPr>
        <w:pStyle w:val="3"/>
        <w:spacing w:before="6"/>
        <w:ind w:left="751"/>
        <w:jc w:val="both"/>
      </w:pPr>
      <w:r>
        <w:rPr>
          <w:w w:val="95"/>
        </w:rPr>
        <w:t>6、负责应由县人民检察院承办的提起公益诉讼</w:t>
      </w:r>
      <w:r>
        <w:rPr>
          <w:spacing w:val="-4"/>
          <w:w w:val="95"/>
        </w:rPr>
        <w:t>工作。</w:t>
      </w:r>
    </w:p>
    <w:p>
      <w:pPr>
        <w:pStyle w:val="3"/>
        <w:spacing w:before="168" w:line="340" w:lineRule="auto"/>
        <w:ind w:right="269" w:firstLine="633"/>
        <w:jc w:val="both"/>
      </w:pPr>
      <w:r>
        <w:rPr>
          <w:spacing w:val="-2"/>
          <w:w w:val="95"/>
        </w:rPr>
        <w:t>7、负责应由县人民检察院承办的对看守所、社区矫正机</w:t>
      </w:r>
      <w:r>
        <w:rPr>
          <w:spacing w:val="-2"/>
        </w:rPr>
        <w:t>构等执法活动的法律监督工作。</w:t>
      </w:r>
    </w:p>
    <w:p>
      <w:pPr>
        <w:pStyle w:val="3"/>
        <w:spacing w:before="0" w:line="407" w:lineRule="exact"/>
        <w:ind w:left="751"/>
        <w:jc w:val="both"/>
      </w:pPr>
      <w:r>
        <w:rPr>
          <w:w w:val="95"/>
        </w:rPr>
        <w:t>8、受理向县人民检察院的控告申诉</w:t>
      </w:r>
      <w:r>
        <w:rPr>
          <w:spacing w:val="-10"/>
          <w:w w:val="95"/>
        </w:rPr>
        <w:t>。</w:t>
      </w:r>
    </w:p>
    <w:p>
      <w:pPr>
        <w:pStyle w:val="3"/>
        <w:spacing w:before="169"/>
        <w:ind w:left="751"/>
        <w:jc w:val="both"/>
      </w:pPr>
      <w:r>
        <w:rPr>
          <w:w w:val="95"/>
        </w:rPr>
        <w:t>9、负责检察机关的理论研究</w:t>
      </w:r>
      <w:r>
        <w:rPr>
          <w:spacing w:val="-4"/>
          <w:w w:val="95"/>
        </w:rPr>
        <w:t>工作。</w:t>
      </w:r>
    </w:p>
    <w:p>
      <w:pPr>
        <w:pStyle w:val="3"/>
        <w:spacing w:before="170"/>
        <w:ind w:left="751"/>
        <w:jc w:val="both"/>
      </w:pPr>
      <w:r>
        <w:rPr>
          <w:w w:val="95"/>
        </w:rPr>
        <w:t>10、负责检察机关队伍建设和思想政治工作</w:t>
      </w:r>
      <w:r>
        <w:rPr>
          <w:spacing w:val="-10"/>
          <w:w w:val="95"/>
        </w:rPr>
        <w:t>。</w:t>
      </w:r>
    </w:p>
    <w:p>
      <w:pPr>
        <w:pStyle w:val="3"/>
        <w:spacing w:before="171"/>
        <w:ind w:left="751"/>
        <w:jc w:val="both"/>
      </w:pPr>
      <w:r>
        <w:rPr>
          <w:w w:val="95"/>
        </w:rPr>
        <w:t>11、负责检务督察工作</w:t>
      </w:r>
      <w:r>
        <w:rPr>
          <w:spacing w:val="-10"/>
          <w:w w:val="95"/>
        </w:rPr>
        <w:t>。</w:t>
      </w:r>
    </w:p>
    <w:p>
      <w:pPr>
        <w:pStyle w:val="3"/>
        <w:spacing w:before="168" w:line="340" w:lineRule="auto"/>
        <w:ind w:right="269" w:firstLine="633"/>
        <w:jc w:val="both"/>
        <w:rPr>
          <w:spacing w:val="-2"/>
        </w:rPr>
      </w:pPr>
      <w:r>
        <w:rPr>
          <w:spacing w:val="-2"/>
        </w:rPr>
        <w:t>12、负责检察机关财物装备和检察技术信息工作。</w:t>
      </w:r>
    </w:p>
    <w:p>
      <w:pPr>
        <w:pStyle w:val="3"/>
        <w:spacing w:before="168" w:line="340" w:lineRule="auto"/>
        <w:ind w:right="269" w:firstLine="633"/>
        <w:jc w:val="both"/>
        <w:rPr>
          <w:spacing w:val="-2"/>
        </w:rPr>
        <w:sectPr>
          <w:pgSz w:w="11910" w:h="16840"/>
          <w:pgMar w:top="1200" w:right="1520" w:bottom="1180" w:left="1680" w:header="0" w:footer="993" w:gutter="0"/>
          <w:cols w:space="720" w:num="1"/>
        </w:sectPr>
      </w:pPr>
      <w:r>
        <w:rPr>
          <w:rFonts w:hint="eastAsia"/>
          <w:spacing w:val="-2"/>
        </w:rPr>
        <w:t>13、负责其他应当由县人民检察院承办的事项。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360" w:lineRule="auto"/>
        <w:jc w:val="both"/>
        <w:textAlignment w:val="auto"/>
      </w:pPr>
      <w:r>
        <w:rPr>
          <w:w w:val="95"/>
        </w:rPr>
        <w:t>（二）机构设置</w:t>
      </w:r>
      <w:r>
        <w:rPr>
          <w:spacing w:val="-10"/>
          <w:w w:val="95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341" w:firstLine="619"/>
        <w:jc w:val="both"/>
        <w:textAlignment w:val="auto"/>
        <w:rPr>
          <w:w w:val="99"/>
        </w:rPr>
      </w:pPr>
      <w:r>
        <w:rPr>
          <w:spacing w:val="-3"/>
          <w:w w:val="99"/>
        </w:rPr>
        <w:t>麻阳苗族自治县人民检察院现共有</w:t>
      </w:r>
      <w:r>
        <w:rPr>
          <w:spacing w:val="-83"/>
        </w:rPr>
        <w:t xml:space="preserve"> </w:t>
      </w:r>
      <w:r>
        <w:rPr>
          <w:rFonts w:ascii="Times New Roman" w:eastAsia="Times New Roman"/>
          <w:w w:val="99"/>
        </w:rPr>
        <w:t>5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3"/>
          <w:w w:val="99"/>
        </w:rPr>
        <w:t>个内设机构，分别为：第一检察部、第二检察部、第三检察部、办公室、政治部（</w:t>
      </w:r>
      <w:r>
        <w:rPr>
          <w:spacing w:val="-4"/>
          <w:w w:val="99"/>
        </w:rPr>
        <w:t>司法警察大队</w:t>
      </w:r>
      <w:r>
        <w:rPr>
          <w:spacing w:val="-159"/>
          <w:w w:val="99"/>
        </w:rPr>
        <w:t>）</w:t>
      </w:r>
      <w:r>
        <w:rPr>
          <w:w w:val="99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736"/>
        <w:jc w:val="both"/>
        <w:textAlignment w:val="auto"/>
        <w:rPr>
          <w:rFonts w:hint="eastAsia" w:ascii="黑体" w:eastAsia="黑体"/>
          <w:w w:val="95"/>
          <w:lang w:eastAsia="zh-CN"/>
        </w:rPr>
      </w:pPr>
      <w:r>
        <w:rPr>
          <w:rFonts w:hint="eastAsia" w:ascii="黑体" w:eastAsia="黑体"/>
          <w:w w:val="95"/>
          <w:lang w:eastAsia="zh-CN"/>
        </w:rPr>
        <w:t>二、部门预算单位构成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341" w:firstLine="619"/>
        <w:jc w:val="both"/>
        <w:textAlignment w:val="auto"/>
        <w:rPr>
          <w:rFonts w:hint="eastAsia"/>
          <w:w w:val="99"/>
          <w:lang w:eastAsia="zh-CN"/>
        </w:rPr>
      </w:pPr>
      <w:r>
        <w:rPr>
          <w:rFonts w:hint="eastAsia"/>
          <w:w w:val="99"/>
          <w:lang w:eastAsia="zh-CN"/>
        </w:rPr>
        <w:t>麻阳苗族自治县人民检察院</w:t>
      </w:r>
      <w:r>
        <w:rPr>
          <w:rFonts w:hint="eastAsia"/>
          <w:w w:val="99"/>
          <w:lang w:val="en-US" w:eastAsia="zh-CN"/>
        </w:rPr>
        <w:t>2022年</w:t>
      </w:r>
      <w:r>
        <w:rPr>
          <w:rFonts w:hint="eastAsia"/>
          <w:w w:val="99"/>
          <w:lang w:eastAsia="zh-CN"/>
        </w:rPr>
        <w:t>部门预算只有本级，没有其他预算单位，因此本部门预算仅含本级预算。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736"/>
        <w:jc w:val="both"/>
        <w:textAlignment w:val="auto"/>
        <w:rPr>
          <w:rFonts w:ascii="黑体" w:eastAsia="黑体"/>
        </w:rPr>
      </w:pPr>
      <w:r>
        <w:rPr>
          <w:rFonts w:hint="eastAsia" w:ascii="黑体" w:eastAsia="黑体"/>
          <w:w w:val="95"/>
          <w:lang w:eastAsia="zh-CN"/>
        </w:rPr>
        <w:t>三</w:t>
      </w:r>
      <w:r>
        <w:rPr>
          <w:rFonts w:ascii="黑体" w:eastAsia="黑体"/>
          <w:w w:val="95"/>
        </w:rPr>
        <w:t>、单位收支总体情</w:t>
      </w:r>
      <w:r>
        <w:rPr>
          <w:rFonts w:ascii="黑体" w:eastAsia="黑体"/>
          <w:spacing w:val="-10"/>
          <w:w w:val="95"/>
        </w:rPr>
        <w:t>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341" w:firstLine="619"/>
        <w:jc w:val="both"/>
        <w:textAlignment w:val="auto"/>
        <w:rPr>
          <w:rFonts w:hint="eastAsia"/>
          <w:w w:val="99"/>
          <w:lang w:eastAsia="zh-CN"/>
        </w:rPr>
      </w:pPr>
      <w:r>
        <w:rPr>
          <w:rFonts w:ascii="Microsoft JhengHei" w:eastAsia="Microsoft JhengHei"/>
          <w:b/>
          <w:spacing w:val="2"/>
          <w:w w:val="99"/>
        </w:rPr>
        <w:t>（一）收入预算：</w:t>
      </w:r>
      <w:r>
        <w:rPr>
          <w:rFonts w:hint="eastAsia"/>
          <w:w w:val="99"/>
          <w:lang w:eastAsia="zh-CN"/>
        </w:rPr>
        <w:t>包括一般公共预算、政府性基金、国有资本经营预算等财政拨款收入，以及经营收入、事业收入等单位资金。2022 年本部门收入预算 1179.9 万元，其中，一般公共预算拨款 904.81 万元，政府性基金预算拨款 0 万元，国有资本经营预算拨款 0  万元，纳入专户管理的非税收入0 万元，中央财政补助 248.19 万元，上年结转结余 26.9 万元。收入较去年减少 72.33  万元，主要是一般公共预算拨款增加83.57 万元，中央财政补助减少 12 万元，上年结转结余减少143.9 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4" w:line="360" w:lineRule="auto"/>
        <w:ind w:right="199" w:firstLine="619"/>
        <w:jc w:val="both"/>
        <w:textAlignment w:val="auto"/>
      </w:pPr>
      <w:r>
        <w:rPr>
          <w:rFonts w:ascii="Microsoft JhengHei" w:eastAsia="Microsoft JhengHei"/>
          <w:b/>
          <w:spacing w:val="-2"/>
        </w:rPr>
        <w:t>（二）支出预算：</w:t>
      </w:r>
      <w:r>
        <w:rPr>
          <w:rFonts w:ascii="Times New Roman" w:eastAsia="Times New Roman"/>
          <w:spacing w:val="-2"/>
        </w:rPr>
        <w:t>2022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2"/>
        </w:rPr>
        <w:t>年本部门支出预</w:t>
      </w:r>
      <w:r>
        <w:rPr>
          <w:spacing w:val="-43"/>
        </w:rPr>
        <w:t xml:space="preserve">算 </w:t>
      </w:r>
      <w:r>
        <w:rPr>
          <w:rFonts w:ascii="Times New Roman" w:eastAsia="Times New Roman"/>
          <w:spacing w:val="-2"/>
        </w:rPr>
        <w:t>1179.9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2"/>
        </w:rPr>
        <w:t>万元，</w:t>
      </w:r>
      <w:r>
        <w:t>其中，公</w:t>
      </w:r>
      <w:r>
        <w:rPr>
          <w:spacing w:val="-17"/>
        </w:rPr>
        <w:t xml:space="preserve">共安全 </w:t>
      </w:r>
      <w:r>
        <w:rPr>
          <w:rFonts w:ascii="Times New Roman" w:eastAsia="Times New Roman"/>
        </w:rPr>
        <w:t xml:space="preserve">1016.05 </w:t>
      </w:r>
      <w:r>
        <w:t>万元，教</w:t>
      </w:r>
      <w:r>
        <w:rPr>
          <w:spacing w:val="-32"/>
        </w:rPr>
        <w:t xml:space="preserve">育 </w:t>
      </w:r>
      <w:r>
        <w:rPr>
          <w:rFonts w:ascii="Times New Roman" w:eastAsia="Times New Roman"/>
        </w:rPr>
        <w:t xml:space="preserve">4 </w:t>
      </w:r>
      <w:r>
        <w:t>万元，社会保障和就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8" w:line="360" w:lineRule="auto"/>
        <w:jc w:val="both"/>
        <w:textAlignment w:val="auto"/>
      </w:pPr>
      <w:r>
        <w:rPr>
          <w:w w:val="95"/>
        </w:rPr>
        <w:t>业支</w:t>
      </w:r>
      <w:r>
        <w:rPr>
          <w:spacing w:val="-9"/>
          <w:w w:val="95"/>
        </w:rPr>
        <w:t xml:space="preserve">出 </w:t>
      </w:r>
      <w:r>
        <w:rPr>
          <w:rFonts w:ascii="Times New Roman" w:eastAsia="Times New Roman"/>
          <w:w w:val="95"/>
        </w:rPr>
        <w:t>60.2</w:t>
      </w:r>
      <w:r>
        <w:rPr>
          <w:rFonts w:ascii="Times New Roman" w:eastAsia="Times New Roman"/>
          <w:spacing w:val="62"/>
        </w:rPr>
        <w:t xml:space="preserve"> </w:t>
      </w:r>
      <w:r>
        <w:rPr>
          <w:w w:val="95"/>
        </w:rPr>
        <w:t>万元，卫生健康支</w:t>
      </w:r>
      <w:r>
        <w:rPr>
          <w:spacing w:val="-8"/>
          <w:w w:val="95"/>
        </w:rPr>
        <w:t xml:space="preserve">出 </w:t>
      </w:r>
      <w:r>
        <w:rPr>
          <w:rFonts w:ascii="Times New Roman" w:eastAsia="Times New Roman"/>
          <w:w w:val="95"/>
        </w:rPr>
        <w:t>31.08</w:t>
      </w:r>
      <w:r>
        <w:rPr>
          <w:rFonts w:ascii="Times New Roman" w:eastAsia="Times New Roman"/>
          <w:spacing w:val="62"/>
        </w:rPr>
        <w:t xml:space="preserve"> </w:t>
      </w:r>
      <w:r>
        <w:rPr>
          <w:w w:val="95"/>
        </w:rPr>
        <w:t>万元，住房保障支</w:t>
      </w:r>
      <w:r>
        <w:rPr>
          <w:spacing w:val="-10"/>
          <w:w w:val="95"/>
        </w:rPr>
        <w:t>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4"/>
        <w:jc w:val="both"/>
        <w:textAlignment w:val="auto"/>
      </w:pPr>
      <w:r>
        <w:rPr>
          <w:rFonts w:ascii="Times New Roman" w:eastAsia="Times New Roman"/>
          <w:spacing w:val="-2"/>
        </w:rPr>
        <w:t>68.57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10"/>
        </w:rPr>
        <w:t xml:space="preserve">万元。支出较去年减少 </w:t>
      </w:r>
      <w:r>
        <w:rPr>
          <w:rFonts w:ascii="Times New Roman" w:eastAsia="Times New Roman"/>
          <w:spacing w:val="-2"/>
        </w:rPr>
        <w:t>72.33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2"/>
        </w:rPr>
        <w:t>万元，主要是公共安全支</w:t>
      </w:r>
      <w:r>
        <w:rPr>
          <w:spacing w:val="-19"/>
        </w:rPr>
        <w:t xml:space="preserve">出减少 </w:t>
      </w:r>
      <w:r>
        <w:rPr>
          <w:rFonts w:ascii="Times New Roman" w:eastAsia="Times New Roman"/>
        </w:rPr>
        <w:t xml:space="preserve">46.37 </w:t>
      </w:r>
      <w:r>
        <w:rPr>
          <w:spacing w:val="-8"/>
        </w:rPr>
        <w:t xml:space="preserve">万元，教育支出减少 </w:t>
      </w:r>
      <w:r>
        <w:rPr>
          <w:rFonts w:ascii="Times New Roman" w:eastAsia="Times New Roman"/>
        </w:rPr>
        <w:t xml:space="preserve">6 </w:t>
      </w:r>
      <w:r>
        <w:t>万元，社会保障和就业</w:t>
      </w:r>
      <w:r>
        <w:rPr>
          <w:spacing w:val="-17"/>
        </w:rPr>
        <w:t xml:space="preserve">支出增加 </w:t>
      </w:r>
      <w:r>
        <w:rPr>
          <w:rFonts w:ascii="Times New Roman" w:eastAsia="Times New Roman"/>
        </w:rPr>
        <w:t>6.19</w:t>
      </w:r>
      <w:r>
        <w:rPr>
          <w:rFonts w:ascii="Times New Roman" w:eastAsia="Times New Roman"/>
          <w:spacing w:val="-20"/>
        </w:rPr>
        <w:t xml:space="preserve"> </w:t>
      </w:r>
      <w:r>
        <w:rPr>
          <w:spacing w:val="-7"/>
        </w:rPr>
        <w:t xml:space="preserve">万元，卫生健康支出减少 </w:t>
      </w:r>
      <w:r>
        <w:rPr>
          <w:rFonts w:ascii="Times New Roman" w:eastAsia="Times New Roman"/>
        </w:rPr>
        <w:t>21.93</w:t>
      </w:r>
      <w:r>
        <w:rPr>
          <w:rFonts w:ascii="Times New Roman" w:eastAsia="Times New Roman"/>
          <w:spacing w:val="-16"/>
        </w:rPr>
        <w:t xml:space="preserve"> </w:t>
      </w:r>
      <w:r>
        <w:t>万元，住房保</w:t>
      </w:r>
      <w:r>
        <w:rPr>
          <w:spacing w:val="-5"/>
        </w:rPr>
        <w:t xml:space="preserve">障支出减少 </w:t>
      </w:r>
      <w:r>
        <w:rPr>
          <w:rFonts w:ascii="Times New Roman" w:eastAsia="Times New Roman"/>
        </w:rPr>
        <w:t xml:space="preserve">4.22 </w:t>
      </w:r>
      <w:r>
        <w:t>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4" w:line="360" w:lineRule="auto"/>
        <w:ind w:left="777"/>
        <w:jc w:val="both"/>
        <w:textAlignment w:val="auto"/>
        <w:rPr>
          <w:rFonts w:ascii="黑体" w:eastAsia="黑体"/>
        </w:rPr>
      </w:pPr>
      <w:r>
        <w:rPr>
          <w:rFonts w:hint="eastAsia" w:ascii="黑体" w:eastAsia="黑体"/>
          <w:w w:val="95"/>
          <w:lang w:eastAsia="zh-CN"/>
        </w:rPr>
        <w:t>四</w:t>
      </w:r>
      <w:r>
        <w:rPr>
          <w:rFonts w:ascii="黑体" w:eastAsia="黑体"/>
          <w:w w:val="95"/>
        </w:rPr>
        <w:t>、一般公共预算拨款支</w:t>
      </w:r>
      <w:r>
        <w:rPr>
          <w:rFonts w:ascii="黑体" w:eastAsia="黑体"/>
          <w:spacing w:val="-10"/>
          <w:w w:val="95"/>
        </w:rPr>
        <w:t>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77"/>
        <w:jc w:val="both"/>
        <w:textAlignment w:val="auto"/>
      </w:pPr>
      <w:r>
        <w:rPr>
          <w:rFonts w:ascii="Times New Roman" w:eastAsia="Times New Roman"/>
          <w:w w:val="95"/>
        </w:rPr>
        <w:t>2022</w:t>
      </w:r>
      <w:r>
        <w:rPr>
          <w:rFonts w:ascii="Times New Roman" w:eastAsia="Times New Roman"/>
          <w:spacing w:val="70"/>
        </w:rPr>
        <w:t xml:space="preserve"> </w:t>
      </w:r>
      <w:r>
        <w:rPr>
          <w:w w:val="95"/>
        </w:rPr>
        <w:t>年本部门一般公共预算拨款支出预</w:t>
      </w:r>
      <w:r>
        <w:rPr>
          <w:spacing w:val="-2"/>
          <w:w w:val="95"/>
        </w:rPr>
        <w:t xml:space="preserve">算 </w:t>
      </w:r>
      <w:r>
        <w:rPr>
          <w:rFonts w:ascii="Times New Roman" w:eastAsia="Times New Roman"/>
          <w:w w:val="95"/>
        </w:rPr>
        <w:t>1179.9</w:t>
      </w:r>
      <w:r>
        <w:rPr>
          <w:rFonts w:ascii="Times New Roman" w:eastAsia="Times New Roman"/>
          <w:spacing w:val="74"/>
        </w:rPr>
        <w:t xml:space="preserve"> </w:t>
      </w:r>
      <w:r>
        <w:rPr>
          <w:w w:val="95"/>
        </w:rPr>
        <w:t>万元</w:t>
      </w:r>
      <w:r>
        <w:rPr>
          <w:spacing w:val="-10"/>
          <w:w w:val="95"/>
        </w:rPr>
        <w:t>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09"/>
        <w:jc w:val="both"/>
        <w:textAlignment w:val="auto"/>
      </w:pPr>
      <w:r>
        <w:t>其中，公共安全支</w:t>
      </w:r>
      <w:r>
        <w:rPr>
          <w:spacing w:val="-35"/>
        </w:rPr>
        <w:t xml:space="preserve">出 </w:t>
      </w:r>
      <w:r>
        <w:rPr>
          <w:rFonts w:ascii="Times New Roman" w:eastAsia="Times New Roman"/>
        </w:rPr>
        <w:t xml:space="preserve">1016.05 </w:t>
      </w:r>
      <w:r>
        <w:t>万元</w:t>
      </w:r>
      <w:r>
        <w:rPr>
          <w:spacing w:val="-23"/>
        </w:rPr>
        <w:t xml:space="preserve">，占 </w:t>
      </w:r>
      <w:r>
        <w:rPr>
          <w:rFonts w:ascii="Times New Roman" w:eastAsia="Times New Roman"/>
        </w:rPr>
        <w:t>86.11%</w:t>
      </w:r>
      <w:r>
        <w:t>；教育支</w:t>
      </w:r>
      <w:r>
        <w:rPr>
          <w:spacing w:val="-34"/>
        </w:rPr>
        <w:t xml:space="preserve">出 </w:t>
      </w:r>
      <w:r>
        <w:rPr>
          <w:rFonts w:ascii="Times New Roman" w:eastAsia="Times New Roman"/>
        </w:rPr>
        <w:t>4</w:t>
      </w:r>
      <w:r>
        <w:rPr>
          <w:spacing w:val="-2"/>
        </w:rPr>
        <w:t>万元</w:t>
      </w:r>
      <w:r>
        <w:rPr>
          <w:spacing w:val="-30"/>
        </w:rPr>
        <w:t xml:space="preserve">，占 </w:t>
      </w:r>
      <w:r>
        <w:rPr>
          <w:rFonts w:ascii="Times New Roman" w:eastAsia="Times New Roman"/>
          <w:spacing w:val="-2"/>
        </w:rPr>
        <w:t>0.34%</w:t>
      </w:r>
      <w:r>
        <w:rPr>
          <w:spacing w:val="-2"/>
        </w:rPr>
        <w:t>；社会保障和就业支</w:t>
      </w:r>
      <w:r>
        <w:rPr>
          <w:spacing w:val="-42"/>
        </w:rPr>
        <w:t xml:space="preserve">出 </w:t>
      </w:r>
      <w:r>
        <w:rPr>
          <w:rFonts w:ascii="Times New Roman" w:eastAsia="Times New Roman"/>
          <w:spacing w:val="-2"/>
        </w:rPr>
        <w:t>60.2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2"/>
        </w:rPr>
        <w:t>万元</w:t>
      </w:r>
      <w:r>
        <w:rPr>
          <w:spacing w:val="-29"/>
        </w:rPr>
        <w:t xml:space="preserve">，占 </w:t>
      </w:r>
      <w:r>
        <w:rPr>
          <w:rFonts w:ascii="Times New Roman" w:eastAsia="Times New Roman"/>
          <w:spacing w:val="-2"/>
        </w:rPr>
        <w:t>5.1%</w:t>
      </w:r>
      <w:r>
        <w:rPr>
          <w:spacing w:val="-2"/>
        </w:rPr>
        <w:t>；</w:t>
      </w:r>
      <w:r>
        <w:t>卫生健康支出</w:t>
      </w:r>
      <w:r>
        <w:rPr>
          <w:spacing w:val="-86"/>
        </w:rPr>
        <w:t xml:space="preserve"> </w:t>
      </w:r>
      <w:r>
        <w:rPr>
          <w:rFonts w:ascii="Times New Roman" w:eastAsia="Times New Roman"/>
        </w:rPr>
        <w:t>31.08</w:t>
      </w:r>
      <w:r>
        <w:rPr>
          <w:rFonts w:ascii="Times New Roman" w:eastAsia="Times New Roman"/>
          <w:spacing w:val="-20"/>
        </w:rPr>
        <w:t xml:space="preserve"> </w:t>
      </w:r>
      <w:r>
        <w:t>万元</w:t>
      </w:r>
      <w:r>
        <w:rPr>
          <w:spacing w:val="-27"/>
        </w:rPr>
        <w:t xml:space="preserve">，占 </w:t>
      </w:r>
      <w:r>
        <w:rPr>
          <w:rFonts w:ascii="Times New Roman" w:eastAsia="Times New Roman"/>
        </w:rPr>
        <w:t>2.63%</w:t>
      </w:r>
      <w:r>
        <w:t>；住房保障支出</w:t>
      </w:r>
      <w:r>
        <w:rPr>
          <w:spacing w:val="-86"/>
        </w:rPr>
        <w:t xml:space="preserve"> </w:t>
      </w:r>
      <w:r>
        <w:rPr>
          <w:rFonts w:ascii="Times New Roman" w:eastAsia="Times New Roman"/>
        </w:rPr>
        <w:t>68.57</w:t>
      </w:r>
      <w:r>
        <w:rPr>
          <w:rFonts w:ascii="Times New Roman" w:eastAsia="Times New Roman"/>
          <w:spacing w:val="-20"/>
        </w:rPr>
        <w:t xml:space="preserve"> </w:t>
      </w:r>
      <w:r>
        <w:t>万元</w:t>
      </w:r>
      <w:r>
        <w:rPr>
          <w:spacing w:val="-17"/>
        </w:rPr>
        <w:t xml:space="preserve">，占 </w:t>
      </w:r>
      <w:r>
        <w:rPr>
          <w:rFonts w:ascii="Times New Roman" w:eastAsia="Times New Roman"/>
        </w:rPr>
        <w:t>5.82%</w:t>
      </w:r>
      <w:r>
        <w:t>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777" w:right="0" w:firstLine="0"/>
        <w:jc w:val="both"/>
        <w:textAlignment w:val="auto"/>
        <w:rPr>
          <w:rFonts w:ascii="Times New Roman" w:eastAsia="Times New Roman"/>
          <w:sz w:val="32"/>
        </w:rPr>
      </w:pPr>
      <w:r>
        <w:rPr>
          <w:rFonts w:ascii="Microsoft JhengHei" w:eastAsia="Microsoft JhengHei"/>
          <w:b/>
          <w:w w:val="95"/>
          <w:sz w:val="32"/>
        </w:rPr>
        <w:t>（一）基本支出：</w:t>
      </w:r>
      <w:r>
        <w:rPr>
          <w:rFonts w:ascii="Times New Roman" w:eastAsia="Times New Roman"/>
          <w:w w:val="95"/>
          <w:sz w:val="32"/>
        </w:rPr>
        <w:t>2022</w:t>
      </w:r>
      <w:r>
        <w:rPr>
          <w:rFonts w:ascii="Times New Roman" w:eastAsia="Times New Roman"/>
          <w:spacing w:val="70"/>
          <w:w w:val="150"/>
          <w:sz w:val="32"/>
        </w:rPr>
        <w:t xml:space="preserve"> </w:t>
      </w:r>
      <w:r>
        <w:rPr>
          <w:w w:val="95"/>
          <w:sz w:val="32"/>
        </w:rPr>
        <w:t>年本部门基本支出预算数</w:t>
      </w:r>
      <w:r>
        <w:rPr>
          <w:spacing w:val="33"/>
          <w:sz w:val="32"/>
        </w:rPr>
        <w:t xml:space="preserve"> </w:t>
      </w:r>
      <w:r>
        <w:rPr>
          <w:rFonts w:ascii="Times New Roman" w:eastAsia="Times New Roman"/>
          <w:spacing w:val="-4"/>
          <w:w w:val="95"/>
          <w:sz w:val="32"/>
        </w:rPr>
        <w:t>1023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341"/>
        <w:jc w:val="both"/>
        <w:textAlignment w:val="auto"/>
      </w:pPr>
      <w:r>
        <w:rPr>
          <w:spacing w:val="-3"/>
          <w:w w:val="99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777" w:right="0" w:firstLine="0"/>
        <w:jc w:val="both"/>
        <w:textAlignment w:val="auto"/>
        <w:rPr>
          <w:sz w:val="32"/>
        </w:rPr>
      </w:pPr>
      <w:r>
        <w:rPr>
          <w:rFonts w:ascii="Microsoft JhengHei" w:eastAsia="Microsoft JhengHei"/>
          <w:b/>
          <w:w w:val="95"/>
          <w:sz w:val="32"/>
        </w:rPr>
        <w:t>（二）项目支出：</w:t>
      </w:r>
      <w:r>
        <w:rPr>
          <w:rFonts w:ascii="Times New Roman" w:eastAsia="Times New Roman"/>
          <w:w w:val="95"/>
          <w:sz w:val="32"/>
        </w:rPr>
        <w:t>2022</w:t>
      </w:r>
      <w:r>
        <w:rPr>
          <w:rFonts w:ascii="Times New Roman" w:eastAsia="Times New Roman"/>
          <w:spacing w:val="75"/>
          <w:sz w:val="32"/>
        </w:rPr>
        <w:t xml:space="preserve"> </w:t>
      </w:r>
      <w:r>
        <w:rPr>
          <w:w w:val="95"/>
          <w:sz w:val="32"/>
        </w:rPr>
        <w:t>年本部门项目支出预算</w:t>
      </w:r>
      <w:r>
        <w:rPr>
          <w:spacing w:val="-6"/>
          <w:sz w:val="32"/>
        </w:rPr>
        <w:t xml:space="preserve"> </w:t>
      </w:r>
      <w:r>
        <w:rPr>
          <w:rFonts w:ascii="Times New Roman" w:eastAsia="Times New Roman"/>
          <w:w w:val="95"/>
          <w:sz w:val="32"/>
        </w:rPr>
        <w:t>156.9</w:t>
      </w:r>
      <w:r>
        <w:rPr>
          <w:rFonts w:ascii="Times New Roman" w:eastAsia="Times New Roman"/>
          <w:spacing w:val="44"/>
          <w:w w:val="150"/>
          <w:sz w:val="32"/>
        </w:rPr>
        <w:t xml:space="preserve"> </w:t>
      </w:r>
      <w:r>
        <w:rPr>
          <w:spacing w:val="-10"/>
          <w:w w:val="95"/>
          <w:sz w:val="32"/>
        </w:rPr>
        <w:t>万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274"/>
        <w:jc w:val="both"/>
        <w:textAlignment w:val="auto"/>
      </w:pPr>
      <w:r>
        <w:rPr>
          <w:spacing w:val="-2"/>
        </w:rPr>
        <w:t>元，主要是部门为完成特定行政工作任务或事业发展目标而发生的支出，包括有关事业发展专项、专项业务费、基本建设支出等，其中：业务工作经费支</w:t>
      </w:r>
      <w:r>
        <w:rPr>
          <w:spacing w:val="-20"/>
        </w:rPr>
        <w:t xml:space="preserve">出 </w:t>
      </w:r>
      <w:r>
        <w:rPr>
          <w:rFonts w:ascii="Times New Roman" w:eastAsia="Times New Roman"/>
          <w:spacing w:val="-2"/>
        </w:rPr>
        <w:t>120</w:t>
      </w:r>
      <w:r>
        <w:rPr>
          <w:rFonts w:ascii="Times New Roman" w:eastAsia="Times New Roman"/>
          <w:spacing w:val="-18"/>
        </w:rPr>
        <w:t xml:space="preserve"> </w:t>
      </w:r>
      <w:r>
        <w:rPr>
          <w:spacing w:val="-2"/>
        </w:rPr>
        <w:t>万元，主要用于检察办案、公益诉讼快速检测、检察干警基金、检察工作网电</w:t>
      </w:r>
      <w:r>
        <w:t>脑、办公设备购置等方面；运行维护经费支</w:t>
      </w:r>
      <w:r>
        <w:rPr>
          <w:spacing w:val="-20"/>
        </w:rPr>
        <w:t xml:space="preserve">出 </w:t>
      </w:r>
      <w:r>
        <w:rPr>
          <w:rFonts w:ascii="Times New Roman" w:eastAsia="Times New Roman"/>
        </w:rPr>
        <w:t>30.32</w:t>
      </w:r>
      <w:r>
        <w:rPr>
          <w:rFonts w:ascii="Times New Roman" w:eastAsia="Times New Roman"/>
          <w:spacing w:val="-2"/>
        </w:rPr>
        <w:t xml:space="preserve"> </w:t>
      </w:r>
      <w:r>
        <w:t>万元，</w:t>
      </w:r>
      <w:r>
        <w:rPr>
          <w:spacing w:val="-2"/>
        </w:rPr>
        <w:t>主要用于档案数字化建设、防疫经费、服装购置等方面；其</w:t>
      </w:r>
      <w:r>
        <w:rPr>
          <w:w w:val="95"/>
        </w:rPr>
        <w:t xml:space="preserve">他事业类发展资金支出 </w:t>
      </w:r>
      <w:r>
        <w:rPr>
          <w:rFonts w:ascii="Times New Roman" w:eastAsia="Times New Roman"/>
          <w:w w:val="95"/>
        </w:rPr>
        <w:t>6.58</w:t>
      </w:r>
      <w:r>
        <w:rPr>
          <w:rFonts w:ascii="Times New Roman" w:eastAsia="Times New Roman"/>
          <w:spacing w:val="40"/>
        </w:rPr>
        <w:t xml:space="preserve"> </w:t>
      </w:r>
      <w:r>
        <w:rPr>
          <w:w w:val="95"/>
        </w:rPr>
        <w:t>万元，主要用于检察办案设备配</w:t>
      </w:r>
      <w:r>
        <w:rPr>
          <w:spacing w:val="-6"/>
        </w:rPr>
        <w:t>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" w:line="360" w:lineRule="auto"/>
        <w:ind w:left="777"/>
        <w:jc w:val="both"/>
        <w:textAlignment w:val="auto"/>
        <w:rPr>
          <w:rFonts w:ascii="黑体" w:eastAsia="黑体"/>
        </w:rPr>
      </w:pPr>
      <w:r>
        <w:rPr>
          <w:rFonts w:ascii="黑体" w:eastAsia="黑体"/>
          <w:w w:val="95"/>
        </w:rPr>
        <w:t>五、政府性基金预算支</w:t>
      </w:r>
      <w:r>
        <w:rPr>
          <w:rFonts w:ascii="黑体" w:eastAsia="黑体"/>
          <w:spacing w:val="-10"/>
          <w:w w:val="95"/>
        </w:rPr>
        <w:t>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77"/>
        <w:jc w:val="both"/>
        <w:textAlignment w:val="auto"/>
      </w:pPr>
      <w:r>
        <w:rPr>
          <w:rFonts w:ascii="Times New Roman" w:eastAsia="Times New Roman"/>
          <w:w w:val="95"/>
        </w:rPr>
        <w:t>2022</w:t>
      </w:r>
      <w:r>
        <w:rPr>
          <w:rFonts w:ascii="Times New Roman" w:eastAsia="Times New Roman"/>
          <w:spacing w:val="45"/>
        </w:rPr>
        <w:t xml:space="preserve">  </w:t>
      </w:r>
      <w:r>
        <w:rPr>
          <w:w w:val="95"/>
        </w:rPr>
        <w:t>年本部门无政府性基金安排的支出</w:t>
      </w:r>
      <w:r>
        <w:rPr>
          <w:spacing w:val="-10"/>
          <w:w w:val="95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77"/>
        <w:jc w:val="both"/>
        <w:textAlignment w:val="auto"/>
        <w:rPr>
          <w:rFonts w:ascii="黑体" w:eastAsia="黑体"/>
        </w:rPr>
      </w:pPr>
      <w:r>
        <w:rPr>
          <w:rFonts w:hint="eastAsia" w:ascii="黑体" w:eastAsia="黑体"/>
          <w:w w:val="95"/>
          <w:lang w:eastAsia="zh-CN"/>
        </w:rPr>
        <w:t>六</w:t>
      </w:r>
      <w:r>
        <w:rPr>
          <w:rFonts w:ascii="黑体" w:eastAsia="黑体"/>
          <w:w w:val="95"/>
        </w:rPr>
        <w:t>、其他重要事项的情况说</w:t>
      </w:r>
      <w:r>
        <w:rPr>
          <w:rFonts w:ascii="黑体" w:eastAsia="黑体"/>
          <w:spacing w:val="-10"/>
          <w:w w:val="95"/>
        </w:rPr>
        <w:t>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777" w:right="0" w:firstLine="0"/>
        <w:jc w:val="both"/>
        <w:textAlignment w:val="auto"/>
        <w:rPr>
          <w:sz w:val="32"/>
        </w:rPr>
      </w:pPr>
      <w:r>
        <w:rPr>
          <w:rFonts w:ascii="Microsoft JhengHei" w:eastAsia="Microsoft JhengHei"/>
          <w:b/>
          <w:w w:val="95"/>
          <w:sz w:val="32"/>
        </w:rPr>
        <w:t>（一）机关运行经费：</w:t>
      </w:r>
      <w:r>
        <w:rPr>
          <w:rFonts w:ascii="Times New Roman" w:eastAsia="Times New Roman"/>
          <w:w w:val="95"/>
          <w:sz w:val="32"/>
        </w:rPr>
        <w:t>2022</w:t>
      </w:r>
      <w:r>
        <w:rPr>
          <w:rFonts w:ascii="Times New Roman" w:eastAsia="Times New Roman"/>
          <w:spacing w:val="58"/>
          <w:sz w:val="32"/>
        </w:rPr>
        <w:t xml:space="preserve">  </w:t>
      </w:r>
      <w:r>
        <w:rPr>
          <w:w w:val="95"/>
          <w:sz w:val="32"/>
        </w:rPr>
        <w:t>年本部门机关本级行政事</w:t>
      </w:r>
      <w:r>
        <w:rPr>
          <w:spacing w:val="-10"/>
          <w:w w:val="95"/>
          <w:sz w:val="32"/>
        </w:rPr>
        <w:t>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right="113"/>
        <w:jc w:val="both"/>
        <w:textAlignment w:val="auto"/>
      </w:pPr>
      <w:r>
        <w:t>单位的机关运行经</w:t>
      </w:r>
      <w:r>
        <w:rPr>
          <w:spacing w:val="-33"/>
        </w:rPr>
        <w:t xml:space="preserve">费 </w:t>
      </w:r>
      <w:r>
        <w:rPr>
          <w:rFonts w:ascii="Times New Roman" w:eastAsia="Times New Roman"/>
        </w:rPr>
        <w:t xml:space="preserve">303.23 </w:t>
      </w:r>
      <w:r>
        <w:t>万元，比上年预算减</w:t>
      </w:r>
      <w:r>
        <w:rPr>
          <w:spacing w:val="-33"/>
        </w:rPr>
        <w:t xml:space="preserve">少 </w:t>
      </w:r>
      <w:r>
        <w:rPr>
          <w:rFonts w:ascii="Times New Roman" w:eastAsia="Times New Roman"/>
        </w:rPr>
        <w:t xml:space="preserve">17.29 </w:t>
      </w:r>
      <w:r>
        <w:t>万</w:t>
      </w:r>
      <w:r>
        <w:rPr>
          <w:w w:val="95"/>
        </w:rPr>
        <w:t>元，下降</w:t>
      </w:r>
      <w:r>
        <w:rPr>
          <w:spacing w:val="14"/>
        </w:rPr>
        <w:t xml:space="preserve"> </w:t>
      </w:r>
      <w:r>
        <w:rPr>
          <w:rFonts w:ascii="Times New Roman" w:eastAsia="Times New Roman"/>
          <w:w w:val="95"/>
        </w:rPr>
        <w:t>5.39%</w:t>
      </w:r>
      <w:r>
        <w:rPr>
          <w:w w:val="95"/>
        </w:rPr>
        <w:t>，主要是按要求严格控制机关运行经费预算。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777" w:right="0" w:firstLine="0"/>
        <w:jc w:val="both"/>
        <w:textAlignment w:val="auto"/>
        <w:rPr>
          <w:sz w:val="32"/>
        </w:rPr>
      </w:pPr>
      <w:r>
        <w:rPr>
          <w:rFonts w:ascii="Microsoft JhengHei" w:hAnsi="Microsoft JhengHei" w:eastAsia="Microsoft JhengHei"/>
          <w:b/>
          <w:w w:val="95"/>
          <w:sz w:val="32"/>
        </w:rPr>
        <w:t>（二）</w:t>
      </w:r>
      <w:r>
        <w:rPr>
          <w:rFonts w:ascii="Times New Roman" w:hAnsi="Times New Roman" w:eastAsia="Times New Roman"/>
          <w:b/>
          <w:w w:val="95"/>
          <w:sz w:val="32"/>
        </w:rPr>
        <w:t>“</w:t>
      </w:r>
      <w:r>
        <w:rPr>
          <w:rFonts w:ascii="Microsoft JhengHei" w:hAnsi="Microsoft JhengHei" w:eastAsia="Microsoft JhengHei"/>
          <w:b/>
          <w:w w:val="95"/>
          <w:sz w:val="32"/>
        </w:rPr>
        <w:t>三公</w:t>
      </w:r>
      <w:r>
        <w:rPr>
          <w:rFonts w:ascii="Times New Roman" w:hAnsi="Times New Roman" w:eastAsia="Times New Roman"/>
          <w:b/>
          <w:w w:val="95"/>
          <w:sz w:val="32"/>
        </w:rPr>
        <w:t>”</w:t>
      </w:r>
      <w:r>
        <w:rPr>
          <w:rFonts w:ascii="Microsoft JhengHei" w:hAnsi="Microsoft JhengHei" w:eastAsia="Microsoft JhengHei"/>
          <w:b/>
          <w:w w:val="95"/>
          <w:sz w:val="32"/>
        </w:rPr>
        <w:t>经费预算：</w:t>
      </w:r>
      <w:r>
        <w:rPr>
          <w:rFonts w:ascii="Times New Roman" w:hAnsi="Times New Roman" w:eastAsia="Times New Roman"/>
          <w:w w:val="95"/>
          <w:sz w:val="32"/>
        </w:rPr>
        <w:t>2022</w:t>
      </w:r>
      <w:r>
        <w:rPr>
          <w:rFonts w:ascii="Times New Roman" w:hAnsi="Times New Roman" w:eastAsia="Times New Roman"/>
          <w:spacing w:val="63"/>
          <w:sz w:val="32"/>
        </w:rPr>
        <w:t xml:space="preserve">  </w:t>
      </w:r>
      <w:r>
        <w:rPr>
          <w:w w:val="95"/>
          <w:sz w:val="32"/>
        </w:rPr>
        <w:t>年本部门机关本级行政</w:t>
      </w:r>
      <w:r>
        <w:rPr>
          <w:spacing w:val="-10"/>
          <w:w w:val="95"/>
          <w:sz w:val="32"/>
        </w:rPr>
        <w:t>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jc w:val="both"/>
        <w:textAlignment w:val="auto"/>
        <w:rPr>
          <w:rFonts w:ascii="Times New Roman" w:hAnsi="Times New Roman" w:eastAsia="Times New Roman"/>
        </w:rPr>
      </w:pPr>
      <w:r>
        <w:rPr>
          <w:w w:val="95"/>
        </w:rPr>
        <w:t>业单位</w:t>
      </w:r>
      <w:r>
        <w:rPr>
          <w:rFonts w:ascii="Times New Roman" w:hAnsi="Times New Roman" w:eastAsia="Times New Roman"/>
          <w:w w:val="95"/>
        </w:rPr>
        <w:t>“</w:t>
      </w:r>
      <w:r>
        <w:rPr>
          <w:w w:val="95"/>
        </w:rPr>
        <w:t>三公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经费预算数为</w:t>
      </w:r>
      <w:r>
        <w:rPr>
          <w:spacing w:val="67"/>
        </w:rPr>
        <w:t xml:space="preserve"> </w:t>
      </w:r>
      <w:r>
        <w:rPr>
          <w:rFonts w:ascii="Times New Roman" w:hAnsi="Times New Roman" w:eastAsia="Times New Roman"/>
          <w:w w:val="95"/>
        </w:rPr>
        <w:t>30</w:t>
      </w:r>
      <w:r>
        <w:rPr>
          <w:rFonts w:ascii="Times New Roman" w:hAnsi="Times New Roman" w:eastAsia="Times New Roman"/>
          <w:spacing w:val="35"/>
        </w:rPr>
        <w:t xml:space="preserve">  </w:t>
      </w:r>
      <w:r>
        <w:rPr>
          <w:w w:val="95"/>
        </w:rPr>
        <w:t>万元，其中，公务接待费</w:t>
      </w:r>
      <w:r>
        <w:rPr>
          <w:spacing w:val="63"/>
        </w:rPr>
        <w:t xml:space="preserve"> </w:t>
      </w:r>
      <w:r>
        <w:rPr>
          <w:rFonts w:ascii="Times New Roman" w:hAnsi="Times New Roman" w:eastAsia="Times New Roman"/>
          <w:spacing w:val="-5"/>
          <w:w w:val="95"/>
        </w:rPr>
        <w:t>12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</w:pPr>
      <w:r>
        <w:rPr>
          <w:w w:val="95"/>
        </w:rPr>
        <w:t>万元，公务用车购置及运行费</w:t>
      </w:r>
      <w:r>
        <w:t xml:space="preserve"> </w:t>
      </w:r>
      <w:r>
        <w:rPr>
          <w:rFonts w:ascii="Times New Roman" w:eastAsia="Times New Roman"/>
          <w:w w:val="95"/>
        </w:rPr>
        <w:t>18</w:t>
      </w:r>
      <w:r>
        <w:rPr>
          <w:rFonts w:ascii="Times New Roman" w:eastAsia="Times New Roman"/>
          <w:spacing w:val="48"/>
          <w:w w:val="150"/>
        </w:rPr>
        <w:t xml:space="preserve"> </w:t>
      </w:r>
      <w:r>
        <w:rPr>
          <w:w w:val="95"/>
        </w:rPr>
        <w:t>万元（其中，公务用车购</w:t>
      </w:r>
      <w:r>
        <w:rPr>
          <w:spacing w:val="-10"/>
          <w:w w:val="95"/>
        </w:rPr>
        <w:t>置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rPr>
          <w:rFonts w:ascii="Times New Roman" w:eastAsia="Times New Roman"/>
        </w:rPr>
      </w:pPr>
      <w:r>
        <w:rPr>
          <w:w w:val="95"/>
        </w:rPr>
        <w:t>费</w:t>
      </w:r>
      <w:r>
        <w:rPr>
          <w:spacing w:val="-6"/>
        </w:rPr>
        <w:t xml:space="preserve"> </w:t>
      </w:r>
      <w:r>
        <w:rPr>
          <w:rFonts w:ascii="Times New Roman" w:eastAsia="Times New Roman"/>
          <w:w w:val="95"/>
        </w:rPr>
        <w:t>0</w:t>
      </w:r>
      <w:r>
        <w:rPr>
          <w:rFonts w:ascii="Times New Roman" w:eastAsia="Times New Roman"/>
          <w:spacing w:val="42"/>
          <w:w w:val="150"/>
        </w:rPr>
        <w:t xml:space="preserve"> </w:t>
      </w:r>
      <w:r>
        <w:rPr>
          <w:w w:val="95"/>
        </w:rPr>
        <w:t>万元，公务用车运行费</w:t>
      </w:r>
      <w:r>
        <w:rPr>
          <w:spacing w:val="1"/>
        </w:rPr>
        <w:t xml:space="preserve"> </w:t>
      </w:r>
      <w:r>
        <w:rPr>
          <w:rFonts w:ascii="Times New Roman" w:eastAsia="Times New Roman"/>
          <w:w w:val="95"/>
        </w:rPr>
        <w:t>18</w:t>
      </w:r>
      <w:r>
        <w:rPr>
          <w:rFonts w:ascii="Times New Roman" w:eastAsia="Times New Roman"/>
          <w:spacing w:val="42"/>
          <w:w w:val="150"/>
        </w:rPr>
        <w:t xml:space="preserve"> </w:t>
      </w:r>
      <w:r>
        <w:rPr>
          <w:w w:val="95"/>
        </w:rPr>
        <w:t>万元</w:t>
      </w:r>
      <w:r>
        <w:rPr>
          <w:spacing w:val="-154"/>
          <w:w w:val="95"/>
        </w:rPr>
        <w:t>）</w:t>
      </w:r>
      <w:r>
        <w:rPr>
          <w:spacing w:val="2"/>
          <w:w w:val="95"/>
        </w:rPr>
        <w:t>，因</w:t>
      </w:r>
      <w:r>
        <w:rPr>
          <w:w w:val="95"/>
        </w:rPr>
        <w:t>公出国（境）费</w:t>
      </w:r>
      <w:r>
        <w:t xml:space="preserve"> </w:t>
      </w:r>
      <w:r>
        <w:rPr>
          <w:rFonts w:ascii="Times New Roman" w:eastAsia="Times New Roman"/>
          <w:spacing w:val="-10"/>
          <w:w w:val="95"/>
        </w:rPr>
        <w:t>0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rPr>
          <w:spacing w:val="-10"/>
          <w:w w:val="95"/>
        </w:rPr>
      </w:pPr>
      <w:r>
        <w:rPr>
          <w:w w:val="95"/>
        </w:rPr>
        <w:t>万元。</w:t>
      </w:r>
      <w:r>
        <w:rPr>
          <w:rFonts w:ascii="Times New Roman" w:hAnsi="Times New Roman" w:eastAsia="Times New Roman"/>
          <w:w w:val="95"/>
        </w:rPr>
        <w:t>2022</w:t>
      </w:r>
      <w:r>
        <w:rPr>
          <w:rFonts w:ascii="Times New Roman" w:hAnsi="Times New Roman" w:eastAsia="Times New Roman"/>
          <w:spacing w:val="61"/>
        </w:rPr>
        <w:t xml:space="preserve"> </w:t>
      </w:r>
      <w:r>
        <w:rPr>
          <w:w w:val="95"/>
        </w:rPr>
        <w:t>年</w:t>
      </w:r>
      <w:r>
        <w:rPr>
          <w:rFonts w:ascii="Times New Roman" w:hAnsi="Times New Roman" w:eastAsia="Times New Roman"/>
          <w:w w:val="95"/>
        </w:rPr>
        <w:t>“</w:t>
      </w:r>
      <w:r>
        <w:rPr>
          <w:w w:val="95"/>
        </w:rPr>
        <w:t>三公</w:t>
      </w:r>
      <w:r>
        <w:rPr>
          <w:rFonts w:ascii="Times New Roman" w:hAnsi="Times New Roman" w:eastAsia="Times New Roman"/>
          <w:w w:val="95"/>
        </w:rPr>
        <w:t>”</w:t>
      </w:r>
      <w:r>
        <w:rPr>
          <w:w w:val="95"/>
        </w:rPr>
        <w:t>经费预算</w:t>
      </w:r>
      <w:r>
        <w:rPr>
          <w:spacing w:val="-5"/>
          <w:w w:val="95"/>
        </w:rPr>
        <w:t xml:space="preserve">较 </w:t>
      </w:r>
      <w:r>
        <w:rPr>
          <w:rFonts w:ascii="Times New Roman" w:hAnsi="Times New Roman" w:eastAsia="Times New Roman"/>
          <w:w w:val="95"/>
        </w:rPr>
        <w:t>2021</w:t>
      </w:r>
      <w:r>
        <w:rPr>
          <w:rFonts w:ascii="Times New Roman" w:hAnsi="Times New Roman" w:eastAsia="Times New Roman"/>
          <w:spacing w:val="61"/>
        </w:rPr>
        <w:t xml:space="preserve"> </w:t>
      </w:r>
      <w:r>
        <w:rPr>
          <w:w w:val="95"/>
        </w:rPr>
        <w:t>年持平</w:t>
      </w:r>
      <w:r>
        <w:rPr>
          <w:rFonts w:hint="eastAsia"/>
          <w:w w:val="95"/>
          <w:lang w:eastAsia="zh-CN"/>
        </w:rPr>
        <w:t>，主要是严格按照中央文件精神，“三公”经费预算不增加，今年全省检察系统“三公”经费未超去年</w:t>
      </w:r>
      <w:r>
        <w:rPr>
          <w:spacing w:val="-10"/>
          <w:w w:val="95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24" w:firstLineChars="200"/>
        <w:jc w:val="both"/>
        <w:textAlignment w:val="auto"/>
        <w:rPr>
          <w:rFonts w:hint="eastAsia" w:eastAsia="宋体"/>
          <w:spacing w:val="-3"/>
          <w:w w:val="99"/>
          <w:lang w:eastAsia="zh-CN"/>
        </w:rPr>
      </w:pPr>
      <w:r>
        <w:rPr>
          <w:rFonts w:ascii="Microsoft JhengHei" w:eastAsia="Microsoft JhengHei"/>
          <w:b/>
          <w:spacing w:val="-4"/>
        </w:rPr>
        <w:t>（三）一般性支出情况：</w:t>
      </w:r>
      <w:r>
        <w:rPr>
          <w:rFonts w:ascii="Times New Roman" w:eastAsia="Times New Roman"/>
          <w:spacing w:val="-4"/>
        </w:rPr>
        <w:t>20</w:t>
      </w:r>
      <w:r>
        <w:rPr>
          <w:spacing w:val="-3"/>
          <w:w w:val="99"/>
        </w:rPr>
        <w:t>22 年本部门会议费预算 0 万元，拟召开 0 会议，人数 0 人；培训费预算 4 万元，拟开展18 次培训，人数 20 人，内容为参加上级单位组织的刑事检察业务培训、职务犯罪检察业务培训、公益诉讼业务培训、司法警察业务培训、控告申诉业务培训、检察监督业务培训、案件管理业务培训、保密培训、新进人员入职培训、书记员培训、全省财务统管业务培训、政工业务培训等。</w:t>
      </w:r>
      <w:r>
        <w:rPr>
          <w:rFonts w:hint="eastAsia"/>
          <w:spacing w:val="-3"/>
          <w:w w:val="99"/>
          <w:lang w:eastAsia="zh-CN"/>
        </w:rPr>
        <w:t>无节庆、晚会、论坛、赛事活动的经费预算。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17" w:leftChars="0" w:right="0" w:firstLine="760" w:firstLineChars="250"/>
        <w:jc w:val="both"/>
        <w:textAlignment w:val="auto"/>
        <w:rPr>
          <w:sz w:val="32"/>
        </w:rPr>
      </w:pPr>
      <w:r>
        <w:rPr>
          <w:rFonts w:ascii="Microsoft JhengHei" w:eastAsia="Microsoft JhengHei"/>
          <w:b/>
          <w:w w:val="95"/>
          <w:sz w:val="32"/>
        </w:rPr>
        <w:t>（四）政府采购情况：</w:t>
      </w:r>
      <w:r>
        <w:rPr>
          <w:rFonts w:hint="eastAsia" w:cs="宋体"/>
          <w:spacing w:val="-12"/>
          <w:w w:val="99"/>
          <w:sz w:val="32"/>
          <w:szCs w:val="32"/>
          <w:lang w:val="en-US" w:eastAsia="zh-CN" w:bidi="ar-SA"/>
        </w:rPr>
        <w:t>2022年本单位政府采购预算总额0万元，其中：货物类采购预算0万元；工程类采购预算0万元；服务类采购预算0万元</w:t>
      </w:r>
      <w:r>
        <w:rPr>
          <w:rFonts w:ascii="宋体" w:hAnsi="宋体" w:eastAsia="宋体" w:cs="宋体"/>
          <w:spacing w:val="-12"/>
          <w:w w:val="99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" w:line="360" w:lineRule="auto"/>
        <w:ind w:left="777"/>
        <w:jc w:val="both"/>
        <w:textAlignment w:val="auto"/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</w:pPr>
      <w:r>
        <w:rPr>
          <w:spacing w:val="-2"/>
        </w:rPr>
        <w:t>（</w:t>
      </w:r>
      <w:r>
        <w:rPr>
          <w:rFonts w:hint="eastAsia" w:eastAsia="宋体"/>
          <w:spacing w:val="-2"/>
          <w:lang w:eastAsia="zh-CN"/>
        </w:rPr>
        <w:t>五</w:t>
      </w:r>
      <w:r>
        <w:rPr>
          <w:spacing w:val="-2"/>
        </w:rPr>
        <w:t>）国有资产占用使用及新增资产配置情况：</w:t>
      </w: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截至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5"/>
        <w:jc w:val="both"/>
        <w:textAlignment w:val="auto"/>
        <w:rPr>
          <w:spacing w:val="-2"/>
        </w:rPr>
      </w:pP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2021 年 12 月底，本部门共有公务用车 4 辆，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其中，机要通依和车0辆，应急保障用车0辆，执法执勤用车4辆，特种专业技术用车0辆，其他按照规定配备的公务用车0辆。</w:t>
      </w: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单位价值 50 万元以上通用设备 0 台，单位价值 100 万元以上专用设备 0 台。2022 年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拟</w:t>
      </w: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新增配置公务用车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0辆</w:t>
      </w: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；新增配备单位价值50 万元以上通用设备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0台，</w:t>
      </w:r>
      <w:r>
        <w:rPr>
          <w:rFonts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单位价值100 万元以上专</w:t>
      </w:r>
      <w:r>
        <w:rPr>
          <w:spacing w:val="-2"/>
        </w:rPr>
        <w:t>用设备</w:t>
      </w:r>
      <w:r>
        <w:rPr>
          <w:rFonts w:hint="eastAsia"/>
          <w:spacing w:val="-2"/>
          <w:lang w:val="en-US" w:eastAsia="zh-CN"/>
        </w:rPr>
        <w:t>0台</w:t>
      </w:r>
      <w:r>
        <w:rPr>
          <w:spacing w:val="-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firstLine="61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</w:pPr>
      <w:r>
        <w:rPr>
          <w:rFonts w:hint="eastAsia" w:ascii="Microsoft JhengHei"/>
          <w:b/>
          <w:w w:val="95"/>
          <w:sz w:val="32"/>
          <w:lang w:eastAsia="zh-CN"/>
        </w:rPr>
        <w:t>预算绩效目标说明</w:t>
      </w:r>
      <w:r>
        <w:rPr>
          <w:rFonts w:ascii="Microsoft JhengHei" w:eastAsia="Microsoft JhengHei"/>
          <w:b/>
          <w:w w:val="95"/>
          <w:sz w:val="32"/>
        </w:rPr>
        <w:t>：</w:t>
      </w:r>
      <w:r>
        <w:rPr>
          <w:rFonts w:hint="eastAsia" w:ascii="Times New Roman"/>
          <w:w w:val="95"/>
          <w:sz w:val="32"/>
          <w:lang w:eastAsia="zh-CN"/>
        </w:rPr>
        <w:t>本</w:t>
      </w:r>
      <w:r>
        <w:rPr>
          <w:rFonts w:hint="eastAsia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部门所有支出实行绩效目标管理。纳入2022年部门整体支出绩效目标的金额为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1179.9</w:t>
      </w:r>
      <w:r>
        <w:rPr>
          <w:rFonts w:hint="eastAsia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万元，其中，基本支出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1023</w:t>
      </w:r>
      <w:r>
        <w:rPr>
          <w:rFonts w:hint="eastAsia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万元，项目支出</w:t>
      </w:r>
      <w:r>
        <w:rPr>
          <w:rFonts w:hint="eastAsia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156.9</w:t>
      </w:r>
      <w:r>
        <w:rPr>
          <w:rFonts w:hint="eastAsia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  <w:t>万元，具体绩效目标详见报表。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firstLine="61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-3"/>
          <w:w w:val="99"/>
          <w:sz w:val="32"/>
          <w:szCs w:val="32"/>
          <w:lang w:val="en-US" w:eastAsia="zh-CN" w:bidi="ar-SA"/>
        </w:rPr>
      </w:pPr>
      <w:r>
        <w:rPr>
          <w:rFonts w:hint="eastAsia" w:ascii="Microsoft JhengHei"/>
          <w:b/>
          <w:w w:val="95"/>
          <w:sz w:val="32"/>
          <w:lang w:val="en-US" w:eastAsia="zh-CN"/>
        </w:rPr>
        <w:t>其他问题说明：</w:t>
      </w:r>
      <w:r>
        <w:rPr>
          <w:rFonts w:hint="eastAsia" w:ascii="Times New Roman"/>
          <w:w w:val="95"/>
          <w:sz w:val="32"/>
          <w:lang w:val="en-US" w:eastAsia="zh-CN"/>
        </w:rPr>
        <w:t>2022年麻阳苗族自治县人民检察院无政府性基金预算支出、国有资本经营预算支出、财政专户管理资金预算支出和省级专项资金预算，所以表15、16、17、18、19、20、21、22无数据。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777"/>
        <w:jc w:val="both"/>
        <w:textAlignment w:val="auto"/>
        <w:rPr>
          <w:rFonts w:ascii="黑体" w:eastAsia="黑体"/>
        </w:rPr>
      </w:pPr>
      <w:r>
        <w:rPr>
          <w:rFonts w:ascii="黑体" w:eastAsia="黑体"/>
          <w:w w:val="95"/>
        </w:rPr>
        <w:t>六、名词解</w:t>
      </w:r>
      <w:r>
        <w:rPr>
          <w:rFonts w:ascii="黑体" w:eastAsia="黑体"/>
          <w:spacing w:val="-10"/>
          <w:w w:val="95"/>
        </w:rPr>
        <w:t>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left="119" w:right="340" w:firstLine="620" w:firstLineChars="200"/>
        <w:jc w:val="both"/>
        <w:textAlignment w:val="auto"/>
        <w:rPr>
          <w:spacing w:val="-3"/>
          <w:w w:val="99"/>
        </w:rPr>
      </w:pPr>
      <w:r>
        <w:rPr>
          <w:spacing w:val="-3"/>
          <w:w w:val="99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60" w:lineRule="auto"/>
        <w:ind w:left="119" w:right="340" w:firstLine="620" w:firstLineChars="200"/>
        <w:jc w:val="both"/>
        <w:textAlignment w:val="auto"/>
        <w:rPr>
          <w:spacing w:val="-3"/>
          <w:w w:val="99"/>
        </w:rPr>
      </w:pPr>
      <w:r>
        <w:rPr>
          <w:spacing w:val="-3"/>
          <w:w w:val="99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7" w:line="351" w:lineRule="auto"/>
        <w:ind w:left="119" w:right="340" w:firstLine="620" w:firstLineChars="200"/>
        <w:jc w:val="both"/>
        <w:textAlignment w:val="auto"/>
        <w:rPr>
          <w:spacing w:val="-3"/>
          <w:w w:val="99"/>
        </w:rPr>
        <w:sectPr>
          <w:pgSz w:w="11910" w:h="16840"/>
          <w:pgMar w:top="1240" w:right="1520" w:bottom="1180" w:left="1680" w:header="0" w:footer="993" w:gutter="0"/>
          <w:cols w:space="720" w:num="1"/>
        </w:sect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7"/>
        <w:ind w:left="0"/>
        <w:rPr>
          <w:sz w:val="29"/>
        </w:rPr>
      </w:pPr>
    </w:p>
    <w:p>
      <w:pPr>
        <w:spacing w:before="50"/>
        <w:ind w:left="1078" w:right="522" w:firstLine="0"/>
        <w:jc w:val="center"/>
        <w:rPr>
          <w:rFonts w:ascii="黑体" w:eastAsia="黑体"/>
          <w:sz w:val="36"/>
        </w:rPr>
      </w:pPr>
      <w:r>
        <w:rPr>
          <w:rFonts w:ascii="黑体" w:eastAsia="黑体"/>
          <w:spacing w:val="-8"/>
          <w:sz w:val="36"/>
        </w:rPr>
        <w:t xml:space="preserve">第二部分 </w:t>
      </w:r>
      <w:r>
        <w:rPr>
          <w:rFonts w:ascii="黑体" w:eastAsia="黑体"/>
          <w:sz w:val="36"/>
        </w:rPr>
        <w:t>2022</w:t>
      </w:r>
      <w:r>
        <w:rPr>
          <w:rFonts w:ascii="黑体" w:eastAsia="黑体"/>
          <w:spacing w:val="-16"/>
          <w:sz w:val="36"/>
        </w:rPr>
        <w:t xml:space="preserve"> 年单位预算表</w:t>
      </w:r>
    </w:p>
    <w:sectPr>
      <w:pgSz w:w="11910" w:h="16840"/>
      <w:pgMar w:top="1600" w:right="1520" w:bottom="1180" w:left="1680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altName w:val="DejaVu Sans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Droid Sans Fallback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9922510</wp:posOffset>
              </wp:positionV>
              <wp:extent cx="146050" cy="15240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true"/>
                  </wps:wsp>
                </a:graphicData>
              </a:graphic>
            </wp:anchor>
          </w:drawing>
        </mc:Choice>
        <mc:Fallback>
          <w:pict>
            <v:shape id="docshape1" o:spid="_x0000_s1026" o:spt="202" type="#_x0000_t202" style="position:absolute;left:0pt;margin-left:292.4pt;margin-top:781.3pt;height:12pt;width:11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BYAAABkcnMvUEsBAhQAFAAAAAgAh07iQN57VF/aAAAADQEA&#10;AA8AAAAAAAAAAQAgAAAAOAAAAGRycy9kb3ducmV2LnhtbFBLAQIUABQAAAAIAIdO4kDD3KPlkAEA&#10;ACcDAAAOAAAAAAAAAAEAIAAAAD8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rPr>
                        <w:rFonts w:asci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CD052E"/>
    <w:multiLevelType w:val="singleLevel"/>
    <w:tmpl w:val="B9CD052E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lZDllMGU0ODg3MDE5YjNlM2E2NDIwZGExMzQ0NGUifQ=="/>
  </w:docVars>
  <w:rsids>
    <w:rsidRoot w:val="00000000"/>
    <w:rsid w:val="04DE6454"/>
    <w:rsid w:val="137ECF8E"/>
    <w:rsid w:val="14A86526"/>
    <w:rsid w:val="19004587"/>
    <w:rsid w:val="3ACC4283"/>
    <w:rsid w:val="513444D8"/>
    <w:rsid w:val="55CE77BC"/>
    <w:rsid w:val="5D52426E"/>
    <w:rsid w:val="5F4730B2"/>
    <w:rsid w:val="609B70AD"/>
    <w:rsid w:val="67196C18"/>
    <w:rsid w:val="69AC6DCF"/>
    <w:rsid w:val="69F44115"/>
    <w:rsid w:val="6CCB28EC"/>
    <w:rsid w:val="74FB9195"/>
    <w:rsid w:val="75673016"/>
    <w:rsid w:val="765A459F"/>
    <w:rsid w:val="7E2570D6"/>
    <w:rsid w:val="7F77552A"/>
    <w:rsid w:val="EEFF19F1"/>
    <w:rsid w:val="FDFB0F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736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117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36"/>
      <w:ind w:left="862" w:right="1016"/>
      <w:jc w:val="center"/>
    </w:pPr>
    <w:rPr>
      <w:rFonts w:ascii="黑体" w:hAnsi="黑体" w:eastAsia="黑体" w:cs="黑体"/>
      <w:sz w:val="44"/>
      <w:szCs w:val="4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2998</Words>
  <Characters>3243</Characters>
  <TotalTime>15</TotalTime>
  <ScaleCrop>false</ScaleCrop>
  <LinksUpToDate>false</LinksUpToDate>
  <CharactersWithSpaces>3382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2022-11-02T17:32:00Z</dcterms:created>
  <dc:creator>Administrator</dc:creator>
  <cp:lastModifiedBy>greatwall</cp:lastModifiedBy>
  <dcterms:modified xsi:type="dcterms:W3CDTF">2023-09-26T15:17:50Z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2022-11-01T00:00:00Z</vt:filetime>
  </property>
  <property fmtid="{D5CDD505-2E9C-101B-9397-08002B2CF9AE}" pid="5" name="KSOProductBuildVer">
    <vt:lpwstr>2052-11.8.2.10422</vt:lpwstr>
  </property>
  <property fmtid="{D5CDD505-2E9C-101B-9397-08002B2CF9AE}" pid="6" name="ICV">
    <vt:lpwstr>DA2EA65C374845119309DD1B93E6EFC4</vt:lpwstr>
  </property>
</Properties>
</file>