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225" w:afterAutospacing="0" w:line="600" w:lineRule="atLeast"/>
        <w:jc w:val="center"/>
        <w:rPr>
          <w:rFonts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44"/>
          <w:szCs w:val="44"/>
        </w:rPr>
        <w:t>20</w:t>
      </w:r>
      <w:r>
        <w:rPr>
          <w:rFonts w:ascii="Times New Roman" w:hAnsi="Times New Roman" w:eastAsia="方正小标宋_GBK" w:cs="Times New Roman"/>
          <w:color w:val="575757"/>
          <w:sz w:val="44"/>
          <w:szCs w:val="44"/>
        </w:rPr>
        <w:t>22</w:t>
      </w:r>
      <w:r>
        <w:rPr>
          <w:rFonts w:hint="eastAsia" w:ascii="方正小标宋_GBK" w:hAnsi="Times New Roman" w:eastAsia="方正小标宋_GBK" w:cs="Times New Roman"/>
          <w:color w:val="575757"/>
          <w:sz w:val="44"/>
          <w:szCs w:val="44"/>
        </w:rPr>
        <w:t>年</w:t>
      </w:r>
      <w:r>
        <w:rPr>
          <w:rFonts w:hint="eastAsia" w:ascii="方正小标宋_GBK" w:hAnsi="微软雅黑" w:eastAsia="方正小标宋_GBK"/>
          <w:color w:val="575757"/>
          <w:sz w:val="44"/>
          <w:szCs w:val="44"/>
        </w:rPr>
        <w:t>冷水江市人民检察院单位</w:t>
      </w:r>
      <w:r>
        <w:rPr>
          <w:rFonts w:hint="eastAsia" w:ascii="方正小标宋_GBK" w:hAnsi="Times New Roman" w:eastAsia="方正小标宋_GBK" w:cs="Times New Roman"/>
          <w:color w:val="575757"/>
          <w:sz w:val="44"/>
          <w:szCs w:val="44"/>
        </w:rPr>
        <w:t>预算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jc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楷体_GB2312" w:hAnsi="微软雅黑" w:eastAsia="楷体_GB2312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jc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黑体" w:hAnsi="黑体" w:eastAsia="黑体"/>
          <w:color w:val="575757"/>
          <w:sz w:val="32"/>
          <w:szCs w:val="32"/>
        </w:rPr>
        <w:t>目</w:t>
      </w:r>
      <w:r>
        <w:rPr>
          <w:rFonts w:ascii="Calibri" w:hAnsi="Calibri" w:eastAsia="黑体" w:cs="Calibri"/>
          <w:color w:val="575757"/>
          <w:sz w:val="32"/>
          <w:szCs w:val="32"/>
        </w:rPr>
        <w:t> </w:t>
      </w:r>
      <w:r>
        <w:rPr>
          <w:rFonts w:hint="eastAsia" w:ascii="黑体" w:hAnsi="黑体" w:eastAsia="黑体"/>
          <w:color w:val="575757"/>
          <w:sz w:val="32"/>
          <w:szCs w:val="32"/>
        </w:rPr>
        <w:t>录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Times New Roman" w:eastAsia="仿宋_GB2312" w:cs="Times New Roman"/>
          <w:color w:val="575757"/>
          <w:sz w:val="32"/>
          <w:szCs w:val="32"/>
        </w:rPr>
        <w:t>第一部分</w:t>
      </w:r>
      <w:r>
        <w:rPr>
          <w:rStyle w:val="5"/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方正小标宋_GBK" w:hAnsi="微软雅黑" w:eastAsia="方正小标宋_GBK"/>
          <w:color w:val="575757"/>
          <w:sz w:val="32"/>
          <w:szCs w:val="32"/>
        </w:rPr>
        <w:t>2</w:t>
      </w:r>
      <w:r>
        <w:rPr>
          <w:rStyle w:val="5"/>
          <w:rFonts w:ascii="Times New Roman" w:hAnsi="Times New Roman" w:eastAsia="仿宋_GB2312" w:cs="Times New Roman"/>
          <w:color w:val="575757"/>
          <w:sz w:val="32"/>
          <w:szCs w:val="32"/>
        </w:rPr>
        <w:t>022</w:t>
      </w: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年冷水江市人民检察院预算说明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Times New Roman" w:eastAsia="仿宋_GB2312" w:cs="Times New Roman"/>
          <w:color w:val="575757"/>
          <w:sz w:val="32"/>
          <w:szCs w:val="32"/>
        </w:rPr>
        <w:t>第二部分</w:t>
      </w:r>
      <w:r>
        <w:rPr>
          <w:rStyle w:val="5"/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Style w:val="5"/>
          <w:rFonts w:ascii="Times New Roman" w:hAnsi="Times New Roman" w:eastAsia="仿宋_GB2312" w:cs="Times New Roman"/>
          <w:color w:val="575757"/>
          <w:sz w:val="32"/>
          <w:szCs w:val="32"/>
        </w:rPr>
        <w:t>2022</w:t>
      </w:r>
      <w:r>
        <w:rPr>
          <w:rStyle w:val="5"/>
          <w:rFonts w:hint="eastAsia" w:ascii="仿宋_GB2312" w:hAnsi="Times New Roman" w:eastAsia="仿宋_GB2312" w:cs="Times New Roman"/>
          <w:color w:val="575757"/>
          <w:sz w:val="32"/>
          <w:szCs w:val="32"/>
        </w:rPr>
        <w:t>年</w:t>
      </w: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冷水江市人民检察院</w:t>
      </w:r>
      <w:r>
        <w:rPr>
          <w:rStyle w:val="5"/>
          <w:rFonts w:hint="eastAsia" w:ascii="仿宋_GB2312" w:hAnsi="Times New Roman" w:eastAsia="仿宋_GB2312" w:cs="Times New Roman"/>
          <w:color w:val="575757"/>
          <w:sz w:val="32"/>
          <w:szCs w:val="32"/>
        </w:rPr>
        <w:t>预算表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、收支总表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、收入总表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、支出总表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支出预算分类汇总表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（按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政府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、支出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预算分类汇总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表（按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部门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财政拨款收支总表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7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一般公共预算支出表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8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一般公共预算基本支出表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-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人员经费（工资福利支出）（按政府预算经济分类）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9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、一般公共预算基本支出表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-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人员经费（工资福利支出）（按部门预算经济分类）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10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、一般公共预算基本支出表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-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人员经费（对个人和家庭的补助）（按政府预算经济分类）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11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、一般公共预算基本支出表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-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人员经费（对个人和家庭的补助）（按部门预算经济分类）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12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、一般公共预算基本支出表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-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公用经费（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商品和服务支出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（按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政府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13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、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一般公共预算基本支出表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-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公用经费（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商品和服务支出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（按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部门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14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、一般公共预算“三公”经费支出表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15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、政府性基金预算支出表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16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、政府性基金预算支出分类汇总表（按政府预算经济分类）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17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、政府性基金预算支出分类汇总表（按部门预算经济分类）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18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、国有资本经营预算支出表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19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、财政专户管理资金预算支出表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20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、省级专项资金预算汇总表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21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、省级专项资金绩效目标表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22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、其他项目支出绩效目标表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23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、部门整体支出绩效目标表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注：以上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单位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预算报表中，空表表示本单位无相关收支情况。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/>
          <w:color w:val="575757"/>
          <w:sz w:val="44"/>
          <w:szCs w:val="44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/>
          <w:color w:val="575757"/>
          <w:sz w:val="44"/>
          <w:szCs w:val="44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jc w:val="center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/>
          <w:color w:val="575757"/>
          <w:sz w:val="44"/>
          <w:szCs w:val="44"/>
        </w:rPr>
        <w:t>第一部分 </w:t>
      </w:r>
      <w:r>
        <w:rPr>
          <w:rStyle w:val="5"/>
          <w:rFonts w:ascii="Times New Roman" w:hAnsi="Times New Roman" w:cs="Times New Roman"/>
          <w:color w:val="575757"/>
          <w:sz w:val="44"/>
          <w:szCs w:val="44"/>
        </w:rPr>
        <w:t>2022</w:t>
      </w:r>
      <w:r>
        <w:rPr>
          <w:rStyle w:val="5"/>
          <w:rFonts w:hint="eastAsia" w:cs="Times New Roman"/>
          <w:color w:val="575757"/>
          <w:sz w:val="44"/>
          <w:szCs w:val="44"/>
        </w:rPr>
        <w:t>年</w:t>
      </w:r>
      <w:r>
        <w:rPr>
          <w:rStyle w:val="5"/>
          <w:rFonts w:hint="eastAsia"/>
          <w:color w:val="575757"/>
          <w:sz w:val="44"/>
          <w:szCs w:val="44"/>
        </w:rPr>
        <w:t>单位</w:t>
      </w:r>
      <w:r>
        <w:rPr>
          <w:rStyle w:val="5"/>
          <w:rFonts w:hint="eastAsia" w:cs="Times New Roman"/>
          <w:color w:val="575757"/>
          <w:sz w:val="44"/>
          <w:szCs w:val="44"/>
        </w:rPr>
        <w:t>预算说明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ascii="Times New Roman" w:hAnsi="Times New Roman" w:eastAsia="微软雅黑" w:cs="Times New Roman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30"/>
        <w:rPr>
          <w:rFonts w:hint="eastAsia" w:ascii="微软雅黑" w:hAnsi="微软雅黑" w:eastAsia="微软雅黑"/>
          <w:color w:val="575757"/>
        </w:rPr>
      </w:pPr>
      <w:r>
        <w:rPr>
          <w:rFonts w:hint="eastAsia" w:ascii="黑体" w:hAnsi="黑体" w:eastAsia="黑体" w:cs="Times New Roman"/>
          <w:color w:val="575757"/>
          <w:sz w:val="32"/>
          <w:szCs w:val="32"/>
        </w:rPr>
        <w:t>一、部门基本概况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30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（一）职能职责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795"/>
        <w:jc w:val="both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湖南省冷水江市人民检察院是国家的法律监督机关，接受上级人民检察院的领导，对市人民代表大会及其常务委员会负责并报告工作。其主要职责是：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0"/>
          <w:szCs w:val="30"/>
        </w:rPr>
        <w:t>（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一）深入贯彻习近平新时代中国特色社会主义思想，深入贯彻党的路线方针政策和决策部署，统一全市检察机关思想和行动，坚持党对检察工作的绝对领导，坚决维护习近平总书记的核心地位，坚决维护党中央权威和集中统一领导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（二）负责应由人民检察院承办的提起公益诉讼工作。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（三）依照法律规定对由人民检察院直接受理的刑事案件行使侦查权。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（四）对辖区内重大刑事案件依法审查批准逮捕、决定逮捕、提起公诉。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（五）负责应由人民检察院承办的刑事、民事、行政诉讼活动及刑事、民事、行政判决和裁定等生效法律文书执行的法律监督工作。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（六）负责应由人民检察院承办的对监狱、看守所等执法活动的法律监督工作。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（七）接受向人民检察院的控告申诉。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textAlignment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（八）负责其他应当由人民检察院承办的事项。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30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（二）机构设置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0" w:firstLineChars="200"/>
        <w:jc w:val="both"/>
        <w:rPr>
          <w:rFonts w:ascii="仿宋_GB2312" w:hAnsi="微软雅黑" w:eastAsia="仿宋_GB2312"/>
          <w:color w:val="575757"/>
          <w:sz w:val="32"/>
          <w:szCs w:val="32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冷水江市人民检察院有8个内设机构，分别为：办公室（新闻办公室）、政治部、第一检察部、第二检察部、第三检察部、第四检察部、第五检察部、第六检察部。</w:t>
      </w:r>
    </w:p>
    <w:p>
      <w:pPr>
        <w:widowControl/>
        <w:spacing w:line="600" w:lineRule="exact"/>
        <w:ind w:firstLine="629" w:firstLineChars="196"/>
        <w:jc w:val="left"/>
        <w:rPr>
          <w:rFonts w:eastAsia="黑体"/>
          <w:kern w:val="0"/>
          <w:sz w:val="32"/>
          <w:szCs w:val="32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（三）</w:t>
      </w:r>
      <w:r>
        <w:rPr>
          <w:rFonts w:hint="eastAsia" w:eastAsia="黑体"/>
          <w:kern w:val="0"/>
          <w:sz w:val="32"/>
          <w:szCs w:val="32"/>
        </w:rPr>
        <w:t>部门预算单位构成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微软雅黑" w:eastAsia="仿宋_GB2312" w:cs="宋体"/>
          <w:color w:val="575757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575757"/>
          <w:kern w:val="0"/>
          <w:sz w:val="32"/>
          <w:szCs w:val="32"/>
        </w:rPr>
        <w:t>冷水江市人民检察院只有本级，没有其他预算单位，因此本部门预算仅含本级预算。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30"/>
        <w:rPr>
          <w:rFonts w:hint="eastAsia" w:ascii="微软雅黑" w:hAnsi="微软雅黑" w:eastAsia="微软雅黑"/>
          <w:color w:val="575757"/>
        </w:rPr>
      </w:pP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384"/>
        <w:jc w:val="both"/>
        <w:rPr>
          <w:rFonts w:hint="eastAsia" w:ascii="微软雅黑" w:hAnsi="微软雅黑" w:eastAsia="微软雅黑"/>
          <w:color w:val="575757"/>
        </w:rPr>
      </w:pP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30"/>
        <w:rPr>
          <w:rFonts w:hint="eastAsia" w:ascii="微软雅黑" w:hAnsi="微软雅黑" w:eastAsia="微软雅黑"/>
          <w:color w:val="575757"/>
        </w:rPr>
      </w:pPr>
      <w:r>
        <w:rPr>
          <w:rFonts w:hint="eastAsia" w:ascii="黑体" w:hAnsi="黑体" w:eastAsia="黑体"/>
          <w:color w:val="575757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Times New Roman"/>
          <w:color w:val="575757"/>
          <w:sz w:val="32"/>
          <w:szCs w:val="32"/>
        </w:rPr>
        <w:t>部门收支总体情况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（一）收入预算：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包括一般公共预算拨款、中央财政补助和上年结余结转资金。2022年本单位收入预算1621.25万元，其中，一般公共预算拨款1185.89万元，中央财政补助310.11万元，上年结余结转125.25万元，无政府性基金、国有资本经营预算拨款和纳入专户管理的非税收入。收入较去年增加242.92万元，主要是因为上年结转结余增加121.95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万元（今年首次纳入预算批复），一般公共预算拨款增加129.97万元，中央财政补助减少9万元。</w:t>
      </w:r>
    </w:p>
    <w:p>
      <w:pPr>
        <w:pStyle w:val="2"/>
        <w:shd w:val="clear" w:color="auto" w:fill="FFFFFF"/>
        <w:spacing w:before="0" w:beforeAutospacing="0" w:after="225" w:afterAutospacing="0" w:line="450" w:lineRule="atLeast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    </w:t>
      </w: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（二）支出预算：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2022年本单位支出预算1621.25万元，其中，公共安全1433.45万元，教育支出0万元，社会保障和就业支出78.6万元，卫生健康支出40.8万元，住房保障支出68.4万元。支出较去年增加242.92万元，主要是公共安全支出增加254.8万元，教育支出减少0万元，社会保障和就业支出减少10.78万元，卫生健康支出增加2.4万元，住房保障支出减少3.5万元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hint="eastAsia" w:ascii="黑体" w:hAnsi="黑体" w:eastAsia="黑体"/>
          <w:color w:val="575757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color w:val="575757"/>
          <w:sz w:val="32"/>
          <w:szCs w:val="32"/>
        </w:rPr>
        <w:t>、</w:t>
      </w:r>
      <w:r>
        <w:rPr>
          <w:rFonts w:hint="eastAsia" w:ascii="黑体" w:hAnsi="黑体" w:eastAsia="黑体" w:cs="Times New Roman"/>
          <w:color w:val="575757"/>
          <w:sz w:val="32"/>
          <w:szCs w:val="32"/>
        </w:rPr>
        <w:t>一般公共预算拨款支出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2022年一般公共预算拨款支出预算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1621.25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万元，其中，公共安全支出1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433.45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万元，占8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8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.5%；教育支出0万元，占0%；社会保障和就业支出78.6万元，占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.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8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%；卫生健康支出40.8万元，占2.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5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%；住房保障支出68.4万元，占4.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2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%。具体安排情况如下：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60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（一）基本支出：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2022年本单位基本支出预算数1426.5万元，主要是为保障部门正常运转、完成日常工作任务而发生的各项支出，包括用于基本工资、津贴补贴等人员经费以及办公费、印刷费、水电费、办公设备购置等公用经费。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pStyle w:val="2"/>
        <w:shd w:val="clear" w:color="auto" w:fill="FFFFFF"/>
        <w:spacing w:before="0" w:beforeAutospacing="0" w:after="225" w:afterAutospacing="0" w:line="45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（二）项目支出：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2022年本单位项目支出预算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194.75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万元，主要是部门为完成特定行政工作任务或事业发展目标而发生的支出，包括</w:t>
      </w:r>
      <w:r>
        <w:rPr>
          <w:rFonts w:hint="eastAsia" w:ascii="仿宋_GB2312" w:hAnsi="微软雅黑" w:eastAsia="仿宋_GB2312"/>
          <w:color w:val="575757"/>
          <w:sz w:val="32"/>
          <w:szCs w:val="32"/>
          <w:lang w:val="en-US" w:eastAsia="zh-CN"/>
        </w:rPr>
        <w:t>业务工作经费、运行维护经费、其他事业发展资金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等，主要用于乡村振兴、办公设备购置开支。</w:t>
      </w:r>
    </w:p>
    <w:p>
      <w:pPr>
        <w:pStyle w:val="2"/>
        <w:shd w:val="clear" w:color="auto" w:fill="FFFFFF"/>
        <w:spacing w:before="0" w:beforeAutospacing="0" w:after="225" w:afterAutospacing="0" w:line="45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hint="eastAsia" w:ascii="黑体" w:hAnsi="黑体" w:eastAsia="黑体"/>
          <w:color w:val="575757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575757"/>
          <w:sz w:val="32"/>
          <w:szCs w:val="32"/>
        </w:rPr>
        <w:t>、政府性基金预算支出</w:t>
      </w:r>
    </w:p>
    <w:p>
      <w:pPr>
        <w:pStyle w:val="2"/>
        <w:shd w:val="clear" w:color="auto" w:fill="FFFFFF"/>
        <w:spacing w:before="0" w:beforeAutospacing="0" w:after="225" w:afterAutospacing="0" w:line="45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2022年本部门无政府性基金安排的支出。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60"/>
        <w:rPr>
          <w:rFonts w:hint="eastAsia" w:ascii="微软雅黑" w:hAnsi="微软雅黑" w:eastAsia="微软雅黑"/>
          <w:color w:val="575757"/>
        </w:rPr>
      </w:pPr>
      <w:r>
        <w:rPr>
          <w:rFonts w:hint="eastAsia" w:ascii="黑体" w:hAnsi="黑体" w:eastAsia="黑体" w:cs="Times New Roman"/>
          <w:color w:val="575757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color w:val="575757"/>
          <w:sz w:val="32"/>
          <w:szCs w:val="32"/>
        </w:rPr>
        <w:t>、其他重要事项的情况说明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（一）机关运行经费：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如考虑中央财政补助，按全口径统计，2022年机关运行经费517.3万元， 2021年机关运行经费预算为386.65万元，2022年比2021年预算增加130.65万元，提高33.8%，主要是人员工资标准提高,年初预算增加.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（二）“三公”经费预算：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如考虑中央财政补助，按全口径统计，2022年 “三公”经费预算数为55.28万元，其中，公务接待费19.28万元，公务用车购置及运行费36万元（其中，公务用车购置费0万元，公务用车运行费36万元），因公出国（境）费0万元。2022年“三公”经费预算较2021年保持不变。</w:t>
      </w:r>
    </w:p>
    <w:p>
      <w:pPr>
        <w:pStyle w:val="2"/>
        <w:shd w:val="clear" w:color="auto" w:fill="FFFFFF"/>
        <w:spacing w:before="0" w:beforeAutospacing="0" w:after="225" w:afterAutospacing="0" w:line="45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（三）一般性支出情况：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2022年本单位会议费预算0万元。培训费0万元。无节庆、晚会、论坛、赛事活动预算。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60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（四）政府采购情况：</w:t>
      </w:r>
      <w:r>
        <w:rPr>
          <w:rFonts w:hint="eastAsia" w:ascii="仿宋_GB2312" w:hAnsi="微软雅黑" w:eastAsia="仿宋_GB2312"/>
          <w:color w:val="575757"/>
          <w:sz w:val="32"/>
          <w:szCs w:val="32"/>
        </w:rPr>
        <w:t>2022年本单位政府采购预算总额0万元，其中，政府采购货物预算0万元；政府采购服务预算0万元；工程采购预算0万元。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60"/>
        <w:rPr>
          <w:rFonts w:hint="eastAsia" w:ascii="微软雅黑" w:hAnsi="微软雅黑" w:eastAsia="微软雅黑"/>
          <w:color w:val="575757"/>
        </w:rPr>
      </w:pPr>
      <w:r>
        <w:rPr>
          <w:rStyle w:val="5"/>
          <w:rFonts w:hint="eastAsia" w:ascii="仿宋_GB2312" w:hAnsi="微软雅黑" w:eastAsia="仿宋_GB2312"/>
          <w:color w:val="575757"/>
          <w:sz w:val="32"/>
          <w:szCs w:val="32"/>
        </w:rPr>
        <w:t>（五）国有资产占用使用及新增资产配置情况：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截至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202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年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12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月底，本单位共有公务用车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辆，其中，机要通信用车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1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辆，应急保障用车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辆，执法执勤用车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5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辆，特种专业技术用车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辆，其他按照规定配备的公务用车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辆；单位价值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50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万元以上通用设备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台，单位价值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100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万元以上专用设备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台。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202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年拟新增配置公务用车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辆，其中，机要通信用车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辆，应急保障用车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辆，执法执勤用车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辆，特种专业技术用车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辆，其他按照规定配备的公务用车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辆；新增配备单位价值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50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万元以上通用设备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台，单位价值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100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万元以上专用设备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</w:t>
      </w:r>
      <w:r>
        <w:rPr>
          <w:rFonts w:ascii="Times New Roman" w:hAnsi="Times New Roman" w:eastAsia="仿宋_GB2312" w:cs="Times New Roman"/>
          <w:color w:val="575757"/>
          <w:sz w:val="32"/>
          <w:szCs w:val="32"/>
        </w:rPr>
        <w:t>0</w:t>
      </w:r>
      <w:r>
        <w:rPr>
          <w:rFonts w:ascii="Times New Roman" w:hAnsi="Times New Roman" w:eastAsia="微软雅黑" w:cs="Times New Roman"/>
          <w:color w:val="575757"/>
          <w:sz w:val="32"/>
          <w:szCs w:val="32"/>
        </w:rPr>
        <w:t>  </w:t>
      </w:r>
      <w:r>
        <w:rPr>
          <w:rFonts w:hint="eastAsia" w:ascii="仿宋_GB2312" w:hAnsi="Times New Roman" w:eastAsia="仿宋_GB2312" w:cs="Times New Roman"/>
          <w:color w:val="575757"/>
          <w:sz w:val="32"/>
          <w:szCs w:val="32"/>
        </w:rPr>
        <w:t>台。</w:t>
      </w:r>
    </w:p>
    <w:p>
      <w:pPr>
        <w:widowControl/>
        <w:numPr>
          <w:ilvl w:val="0"/>
          <w:numId w:val="0"/>
        </w:numPr>
        <w:spacing w:line="600" w:lineRule="exact"/>
        <w:ind w:firstLine="642" w:firstLineChars="200"/>
        <w:jc w:val="left"/>
        <w:rPr>
          <w:rFonts w:hint="default" w:ascii="仿宋_GB2312" w:hAnsi="Times New Roman" w:eastAsia="仿宋_GB2312" w:cs="Times New Roman"/>
          <w:color w:val="575757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微软雅黑" w:eastAsia="仿宋_GB2312" w:cs="Times New Roman"/>
          <w:color w:val="575757"/>
          <w:kern w:val="0"/>
          <w:sz w:val="32"/>
          <w:szCs w:val="32"/>
          <w:lang w:val="en-US" w:eastAsia="zh-CN" w:bidi="ar-SA"/>
        </w:rPr>
        <w:t>（六） 预算绩效目标说明：</w:t>
      </w:r>
      <w:r>
        <w:rPr>
          <w:rFonts w:hint="eastAsia" w:ascii="仿宋_GB2312" w:hAnsi="Times New Roman" w:eastAsia="仿宋_GB2312" w:cs="Times New Roman"/>
          <w:color w:val="575757"/>
          <w:kern w:val="0"/>
          <w:sz w:val="32"/>
          <w:szCs w:val="32"/>
          <w:lang w:val="en-US" w:eastAsia="zh-CN" w:bidi="ar-SA"/>
        </w:rPr>
        <w:t>本单位所有支出实行绩效目标管理。纳入2022年部门整体支出绩效目标的金额为</w:t>
      </w:r>
      <w:r>
        <w:rPr>
          <w:rFonts w:hint="eastAsia" w:ascii="仿宋_GB2312" w:eastAsia="仿宋_GB2312" w:cs="Times New Roman"/>
          <w:color w:val="575757"/>
          <w:kern w:val="0"/>
          <w:sz w:val="32"/>
          <w:szCs w:val="32"/>
          <w:lang w:val="en-US" w:eastAsia="zh-CN" w:bidi="ar-SA"/>
        </w:rPr>
        <w:t>1496</w:t>
      </w:r>
      <w:r>
        <w:rPr>
          <w:rFonts w:hint="eastAsia" w:ascii="仿宋_GB2312" w:hAnsi="Times New Roman" w:eastAsia="仿宋_GB2312" w:cs="Times New Roman"/>
          <w:color w:val="575757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仿宋_GB2312" w:eastAsia="仿宋_GB2312" w:cs="Times New Roman"/>
          <w:color w:val="575757"/>
          <w:kern w:val="0"/>
          <w:sz w:val="32"/>
          <w:szCs w:val="32"/>
          <w:lang w:val="en-US" w:eastAsia="zh-CN" w:bidi="ar-SA"/>
        </w:rPr>
        <w:t>，其中,基本支出1426.5万元，项目支出69.5万元，具体绩效目标详见报表。</w:t>
      </w:r>
      <w:bookmarkStart w:id="0" w:name="_GoBack"/>
      <w:bookmarkEnd w:id="0"/>
    </w:p>
    <w:p>
      <w:pPr>
        <w:widowControl/>
        <w:numPr>
          <w:ilvl w:val="0"/>
          <w:numId w:val="0"/>
        </w:numPr>
        <w:spacing w:line="600" w:lineRule="exact"/>
        <w:ind w:firstLine="642" w:firstLineChars="200"/>
        <w:jc w:val="left"/>
        <w:rPr>
          <w:rFonts w:hint="eastAsia" w:ascii="仿宋_GB2312" w:hAnsi="Times New Roman" w:eastAsia="仿宋_GB2312" w:cs="Times New Roman"/>
          <w:color w:val="575757"/>
          <w:kern w:val="0"/>
          <w:sz w:val="32"/>
          <w:szCs w:val="32"/>
          <w:lang w:val="en-US" w:eastAsia="zh-CN" w:bidi="ar-SA"/>
        </w:rPr>
      </w:pPr>
      <w:r>
        <w:rPr>
          <w:rStyle w:val="5"/>
          <w:rFonts w:hint="eastAsia" w:ascii="仿宋_GB2312" w:hAnsi="微软雅黑" w:eastAsia="仿宋_GB2312" w:cs="Times New Roman"/>
          <w:b/>
          <w:bCs/>
          <w:color w:val="575757"/>
          <w:kern w:val="0"/>
          <w:sz w:val="32"/>
          <w:szCs w:val="32"/>
          <w:lang w:val="en-US" w:eastAsia="zh-CN" w:bidi="ar-SA"/>
        </w:rPr>
        <w:t>（七）其他问题说明：</w:t>
      </w:r>
      <w:r>
        <w:rPr>
          <w:rFonts w:hint="eastAsia" w:ascii="仿宋_GB2312" w:hAnsi="Times New Roman" w:eastAsia="仿宋_GB2312" w:cs="Times New Roman"/>
          <w:color w:val="575757"/>
          <w:kern w:val="0"/>
          <w:sz w:val="32"/>
          <w:szCs w:val="32"/>
          <w:lang w:val="en-US" w:eastAsia="zh-CN" w:bidi="ar-SA"/>
        </w:rPr>
        <w:t>2022年娄底市冷水江市人民检察院无政府性基金预算支出、国有资本经营预算支出、财政专户管理资金预算支出和省级专项资金预算，所以表15、16、17、18、19、20、21无数据。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eastAsia="仿宋_GB2312"/>
          <w:bCs/>
          <w:kern w:val="0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225" w:afterAutospacing="0" w:line="600" w:lineRule="atLeast"/>
        <w:ind w:left="660"/>
        <w:rPr>
          <w:rFonts w:hint="eastAsia" w:ascii="微软雅黑" w:hAnsi="微软雅黑" w:eastAsia="微软雅黑"/>
          <w:color w:val="575757"/>
        </w:rPr>
      </w:pPr>
      <w:r>
        <w:rPr>
          <w:rFonts w:hint="eastAsia" w:ascii="黑体" w:hAnsi="黑体" w:eastAsia="黑体"/>
          <w:color w:val="575757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color w:val="575757"/>
          <w:sz w:val="32"/>
          <w:szCs w:val="32"/>
        </w:rPr>
        <w:t>、</w:t>
      </w:r>
      <w:r>
        <w:rPr>
          <w:rFonts w:hint="eastAsia" w:ascii="黑体" w:hAnsi="黑体" w:eastAsia="黑体" w:cs="Times New Roman"/>
          <w:color w:val="575757"/>
          <w:sz w:val="32"/>
          <w:szCs w:val="32"/>
        </w:rPr>
        <w:t>名词解释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45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60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60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660"/>
        <w:rPr>
          <w:rFonts w:hint="eastAsia" w:ascii="微软雅黑" w:hAnsi="微软雅黑" w:eastAsia="微软雅黑"/>
          <w:color w:val="575757"/>
        </w:rPr>
      </w:pPr>
      <w:r>
        <w:rPr>
          <w:rFonts w:hint="eastAsia" w:ascii="仿宋_GB2312" w:hAnsi="微软雅黑" w:eastAsia="仿宋_GB2312"/>
          <w:color w:val="575757"/>
          <w:sz w:val="32"/>
          <w:szCs w:val="32"/>
        </w:rPr>
        <w:t> </w:t>
      </w:r>
    </w:p>
    <w:p>
      <w:pPr>
        <w:pStyle w:val="2"/>
        <w:shd w:val="clear" w:color="auto" w:fill="FFFFFF"/>
        <w:spacing w:before="0" w:beforeAutospacing="0" w:after="225" w:afterAutospacing="0" w:line="600" w:lineRule="atLeast"/>
        <w:ind w:firstLine="720"/>
        <w:jc w:val="center"/>
        <w:rPr>
          <w:rFonts w:hint="eastAsia" w:ascii="微软雅黑" w:hAnsi="微软雅黑" w:eastAsia="微软雅黑"/>
          <w:color w:val="575757"/>
        </w:rPr>
      </w:pPr>
      <w:r>
        <w:rPr>
          <w:rFonts w:hint="eastAsia" w:ascii="方正小标宋_GBK" w:hAnsi="Times New Roman" w:eastAsia="方正小标宋_GBK" w:cs="Times New Roman"/>
          <w:color w:val="575757"/>
          <w:sz w:val="36"/>
          <w:szCs w:val="36"/>
        </w:rPr>
        <w:t>第二部分</w:t>
      </w:r>
      <w:r>
        <w:rPr>
          <w:rFonts w:ascii="Times New Roman" w:hAnsi="Times New Roman" w:eastAsia="微软雅黑" w:cs="Times New Roman"/>
          <w:color w:val="575757"/>
          <w:sz w:val="36"/>
          <w:szCs w:val="36"/>
        </w:rPr>
        <w:t> 202</w:t>
      </w:r>
      <w:r>
        <w:rPr>
          <w:rFonts w:ascii="Times New Roman" w:hAnsi="Times New Roman" w:eastAsia="方正小标宋_GBK" w:cs="Times New Roman"/>
          <w:color w:val="575757"/>
          <w:sz w:val="36"/>
          <w:szCs w:val="36"/>
        </w:rPr>
        <w:t>2</w:t>
      </w:r>
      <w:r>
        <w:rPr>
          <w:rFonts w:hint="eastAsia" w:ascii="方正小标宋_GBK" w:hAnsi="Times New Roman" w:eastAsia="方正小标宋_GBK" w:cs="Times New Roman"/>
          <w:color w:val="575757"/>
          <w:sz w:val="36"/>
          <w:szCs w:val="36"/>
        </w:rPr>
        <w:t>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YjJjMmNmOWUzOWRmZGZmY2RkODUzNzk2ZjQ1YzQifQ=="/>
  </w:docVars>
  <w:rsids>
    <w:rsidRoot w:val="00813AD6"/>
    <w:rsid w:val="000F275A"/>
    <w:rsid w:val="00247BEE"/>
    <w:rsid w:val="00261CA8"/>
    <w:rsid w:val="00813AD6"/>
    <w:rsid w:val="00C7679F"/>
    <w:rsid w:val="00D56799"/>
    <w:rsid w:val="226B18B6"/>
    <w:rsid w:val="30F97972"/>
    <w:rsid w:val="37D471D6"/>
    <w:rsid w:val="3BC43CF2"/>
    <w:rsid w:val="44FC3AB0"/>
    <w:rsid w:val="6C996570"/>
    <w:rsid w:val="70F55000"/>
    <w:rsid w:val="7764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2809</Words>
  <Characters>3061</Characters>
  <Lines>21</Lines>
  <Paragraphs>6</Paragraphs>
  <TotalTime>15</TotalTime>
  <ScaleCrop>false</ScaleCrop>
  <LinksUpToDate>false</LinksUpToDate>
  <CharactersWithSpaces>3121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2022-11-09T10:51:00Z</dcterms:created>
  <dc:creator>lenovo</dc:creator>
  <cp:lastModifiedBy>greatwall</cp:lastModifiedBy>
  <dcterms:modified xsi:type="dcterms:W3CDTF">2023-10-07T11:08:29Z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640C197E80B74854827A6AAC567DCAEC</vt:lpwstr>
  </property>
</Properties>
</file>