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bookmarkStart w:id="0" w:name="_GoBack"/>
      <w:r>
        <w:rPr>
          <w:rFonts w:eastAsia="方正小标宋_GBK"/>
          <w:bCs/>
          <w:kern w:val="0"/>
          <w:sz w:val="44"/>
          <w:szCs w:val="44"/>
        </w:rPr>
        <w:t>20</w:t>
      </w:r>
      <w:r>
        <w:rPr>
          <w:rFonts w:hint="eastAsia" w:eastAsia="方正小标宋_GBK"/>
          <w:bCs/>
          <w:kern w:val="0"/>
          <w:sz w:val="44"/>
          <w:szCs w:val="44"/>
        </w:rPr>
        <w:t>2</w:t>
      </w:r>
      <w:r>
        <w:rPr>
          <w:rFonts w:hint="eastAsia" w:eastAsia="方正小标宋_GBK"/>
          <w:bCs/>
          <w:kern w:val="0"/>
          <w:sz w:val="44"/>
          <w:szCs w:val="44"/>
          <w:lang w:val="en-US" w:eastAsia="zh-CN"/>
        </w:rPr>
        <w:t>2</w:t>
      </w:r>
      <w:r>
        <w:rPr>
          <w:rFonts w:eastAsia="方正小标宋_GBK"/>
          <w:bCs/>
          <w:kern w:val="0"/>
          <w:sz w:val="44"/>
          <w:szCs w:val="44"/>
        </w:rPr>
        <w:t>年</w:t>
      </w:r>
      <w:r>
        <w:rPr>
          <w:rFonts w:hint="eastAsia" w:ascii="方正小标宋_GBK" w:eastAsia="方正小标宋_GBK"/>
          <w:bCs/>
          <w:kern w:val="0"/>
          <w:sz w:val="44"/>
          <w:szCs w:val="44"/>
        </w:rPr>
        <w:t>桂阳县人民检察院</w:t>
      </w:r>
      <w:r>
        <w:rPr>
          <w:rFonts w:hint="eastAsia" w:eastAsia="方正小标宋_GBK"/>
          <w:bCs/>
          <w:kern w:val="0"/>
          <w:sz w:val="44"/>
          <w:szCs w:val="44"/>
        </w:rPr>
        <w:t>单位</w:t>
      </w:r>
      <w:r>
        <w:rPr>
          <w:rFonts w:eastAsia="方正小标宋_GBK"/>
          <w:bCs/>
          <w:kern w:val="0"/>
          <w:sz w:val="44"/>
          <w:szCs w:val="44"/>
        </w:rPr>
        <w:t>预算</w:t>
      </w:r>
    </w:p>
    <w:bookmarkEnd w:id="0"/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36" w:firstLineChars="200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</w:t>
      </w:r>
      <w:r>
        <w:rPr>
          <w:rFonts w:hint="eastAsia" w:eastAsia="仿宋_GB2312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年单位预算说明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</w:t>
      </w:r>
      <w:r>
        <w:rPr>
          <w:rFonts w:hint="eastAsia" w:eastAsia="仿宋_GB2312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年单位预算表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36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</w:t>
      </w:r>
      <w:r>
        <w:rPr>
          <w:rFonts w:hint="eastAsia" w:eastAsia="仿宋_GB2312"/>
          <w:bCs/>
          <w:kern w:val="0"/>
          <w:sz w:val="32"/>
          <w:szCs w:val="32"/>
        </w:rPr>
        <w:t>单位</w:t>
      </w:r>
      <w:r>
        <w:rPr>
          <w:rFonts w:eastAsia="仿宋_GB2312"/>
          <w:bCs/>
          <w:kern w:val="0"/>
          <w:sz w:val="32"/>
          <w:szCs w:val="32"/>
        </w:rPr>
        <w:t>预算报表中，空表表示本单位无相关收支情况。</w:t>
      </w:r>
    </w:p>
    <w:p>
      <w:pPr>
        <w:widowControl/>
        <w:spacing w:line="600" w:lineRule="exact"/>
        <w:ind w:firstLine="636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eastAsia" w:eastAsia="仿宋_GB2312"/>
          <w:bCs/>
          <w:kern w:val="0"/>
          <w:sz w:val="32"/>
          <w:szCs w:val="32"/>
          <w:lang w:val="en-US" w:eastAsia="zh-CN"/>
        </w:rPr>
      </w:pPr>
    </w:p>
    <w:p>
      <w:pPr>
        <w:widowControl/>
        <w:spacing w:line="600" w:lineRule="exact"/>
        <w:rPr>
          <w:rFonts w:hint="eastAsia" w:eastAsia="仿宋_GB2312"/>
          <w:bCs/>
          <w:kern w:val="0"/>
          <w:sz w:val="32"/>
          <w:szCs w:val="32"/>
          <w:lang w:val="en-US" w:eastAsia="zh-CN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 202</w:t>
      </w:r>
      <w:r>
        <w:rPr>
          <w:rFonts w:hint="eastAsia" w:eastAsia="方正小标宋_GBK"/>
          <w:bCs/>
          <w:kern w:val="0"/>
          <w:sz w:val="36"/>
          <w:szCs w:val="36"/>
        </w:rPr>
        <w:t>2</w:t>
      </w:r>
      <w:r>
        <w:rPr>
          <w:rFonts w:eastAsia="方正小标宋_GBK"/>
          <w:bCs/>
          <w:kern w:val="0"/>
          <w:sz w:val="36"/>
          <w:szCs w:val="36"/>
        </w:rPr>
        <w:t>年单位预算说明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4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>
      <w:pPr>
        <w:spacing w:line="560" w:lineRule="exact"/>
        <w:ind w:firstLine="636" w:firstLineChars="200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>
      <w:pPr>
        <w:spacing w:line="560" w:lineRule="exact"/>
        <w:ind w:firstLine="636" w:firstLineChars="20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1.</w:t>
      </w:r>
      <w:r>
        <w:rPr>
          <w:rFonts w:eastAsia="仿宋_GB2312"/>
          <w:color w:val="000000"/>
          <w:sz w:val="32"/>
          <w:szCs w:val="32"/>
        </w:rPr>
        <w:t>深入贯彻习近平新时代中国特色社会主义思想，深入贯彻党的路线方针政策和决策部署，统一机关思想和行动，坚持党对检察工作的绝对领导，坚决维护习近平总书记的核心地位，坚决维护党中央权威和集中统一领导。</w:t>
      </w:r>
    </w:p>
    <w:p>
      <w:pPr>
        <w:spacing w:line="560" w:lineRule="exact"/>
        <w:ind w:firstLine="636" w:firstLineChars="20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2.</w:t>
      </w:r>
      <w:r>
        <w:rPr>
          <w:rFonts w:eastAsia="仿宋_GB2312"/>
          <w:color w:val="000000"/>
          <w:sz w:val="32"/>
          <w:szCs w:val="32"/>
        </w:rPr>
        <w:t>依照法律规定对由</w:t>
      </w:r>
      <w:r>
        <w:rPr>
          <w:rFonts w:hint="eastAsia" w:eastAsia="仿宋_GB2312"/>
          <w:color w:val="000000"/>
          <w:sz w:val="32"/>
          <w:szCs w:val="32"/>
        </w:rPr>
        <w:t>桂阳县</w:t>
      </w:r>
      <w:r>
        <w:rPr>
          <w:rFonts w:eastAsia="仿宋_GB2312"/>
          <w:color w:val="000000"/>
          <w:sz w:val="32"/>
          <w:szCs w:val="32"/>
        </w:rPr>
        <w:t>人民检察院直接受理的刑事案件行使侦查权，开展对依照法律规定由人民检察院直接受理的刑事案件的侦查工作。</w:t>
      </w:r>
    </w:p>
    <w:p>
      <w:pPr>
        <w:spacing w:line="560" w:lineRule="exact"/>
        <w:ind w:firstLine="636" w:firstLineChars="20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3.</w:t>
      </w:r>
      <w:r>
        <w:rPr>
          <w:rFonts w:eastAsia="仿宋_GB2312"/>
          <w:color w:val="000000"/>
          <w:sz w:val="32"/>
          <w:szCs w:val="32"/>
        </w:rPr>
        <w:t>开展对刑事犯罪案件的审查批准逮捕、决定逮捕、提起公诉工作。</w:t>
      </w:r>
    </w:p>
    <w:p>
      <w:pPr>
        <w:spacing w:line="560" w:lineRule="exact"/>
        <w:ind w:firstLine="636" w:firstLineChars="200"/>
        <w:rPr>
          <w:rFonts w:hint="eastAsia"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4.</w:t>
      </w:r>
      <w:r>
        <w:rPr>
          <w:rFonts w:eastAsia="仿宋_GB2312"/>
          <w:color w:val="000000"/>
          <w:sz w:val="32"/>
          <w:szCs w:val="32"/>
        </w:rPr>
        <w:t>负责应由</w:t>
      </w:r>
      <w:r>
        <w:rPr>
          <w:rFonts w:hint="eastAsia" w:eastAsia="仿宋_GB2312"/>
          <w:color w:val="000000"/>
          <w:sz w:val="32"/>
          <w:szCs w:val="32"/>
        </w:rPr>
        <w:t>桂阳县</w:t>
      </w:r>
      <w:r>
        <w:rPr>
          <w:rFonts w:eastAsia="仿宋_GB2312"/>
          <w:color w:val="000000"/>
          <w:sz w:val="32"/>
          <w:szCs w:val="32"/>
        </w:rPr>
        <w:t>人民检察院承办的刑事、民事、行政诉讼活动及刑事、民事、行政判决和裁定等生效法律文书执行的法律监督工作</w:t>
      </w:r>
      <w:r>
        <w:rPr>
          <w:rFonts w:hint="eastAsia" w:eastAsia="仿宋_GB2312"/>
          <w:color w:val="000000"/>
          <w:sz w:val="32"/>
          <w:szCs w:val="32"/>
        </w:rPr>
        <w:t>。</w:t>
      </w:r>
    </w:p>
    <w:p>
      <w:pPr>
        <w:spacing w:line="560" w:lineRule="exact"/>
        <w:ind w:firstLine="636" w:firstLineChars="200"/>
        <w:rPr>
          <w:rFonts w:hint="eastAsia"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5.</w:t>
      </w:r>
      <w:r>
        <w:rPr>
          <w:rFonts w:eastAsia="仿宋_GB2312"/>
          <w:color w:val="000000"/>
          <w:sz w:val="32"/>
          <w:szCs w:val="32"/>
        </w:rPr>
        <w:t>负责应由</w:t>
      </w:r>
      <w:r>
        <w:rPr>
          <w:rFonts w:hint="eastAsia" w:eastAsia="仿宋_GB2312"/>
          <w:color w:val="000000"/>
          <w:sz w:val="32"/>
          <w:szCs w:val="32"/>
        </w:rPr>
        <w:t>桂阳县</w:t>
      </w:r>
      <w:r>
        <w:rPr>
          <w:rFonts w:eastAsia="仿宋_GB2312"/>
          <w:color w:val="000000"/>
          <w:sz w:val="32"/>
          <w:szCs w:val="32"/>
        </w:rPr>
        <w:t>人民检察院承办的提起公益诉讼工作</w:t>
      </w:r>
      <w:r>
        <w:rPr>
          <w:rFonts w:hint="eastAsia" w:eastAsia="仿宋_GB2312"/>
          <w:color w:val="000000"/>
          <w:sz w:val="32"/>
          <w:szCs w:val="32"/>
        </w:rPr>
        <w:t>。</w:t>
      </w:r>
    </w:p>
    <w:p>
      <w:pPr>
        <w:spacing w:line="560" w:lineRule="exact"/>
        <w:ind w:firstLine="636" w:firstLineChars="200"/>
        <w:rPr>
          <w:rFonts w:hint="eastAsia"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6.</w:t>
      </w:r>
      <w:r>
        <w:rPr>
          <w:rFonts w:eastAsia="仿宋_GB2312"/>
          <w:color w:val="000000"/>
          <w:sz w:val="32"/>
          <w:szCs w:val="32"/>
        </w:rPr>
        <w:t>负责应由</w:t>
      </w:r>
      <w:r>
        <w:rPr>
          <w:rFonts w:hint="eastAsia" w:eastAsia="仿宋_GB2312"/>
          <w:color w:val="000000"/>
          <w:sz w:val="32"/>
          <w:szCs w:val="32"/>
        </w:rPr>
        <w:t>桂阳县</w:t>
      </w:r>
      <w:r>
        <w:rPr>
          <w:rFonts w:eastAsia="仿宋_GB2312"/>
          <w:color w:val="000000"/>
          <w:sz w:val="32"/>
          <w:szCs w:val="32"/>
        </w:rPr>
        <w:t>人民检察院承办的对监狱、看守所等执法活动的法律监督工作</w:t>
      </w:r>
      <w:r>
        <w:rPr>
          <w:rFonts w:hint="eastAsia" w:eastAsia="仿宋_GB2312"/>
          <w:color w:val="000000"/>
          <w:sz w:val="32"/>
          <w:szCs w:val="32"/>
        </w:rPr>
        <w:t>。</w:t>
      </w:r>
    </w:p>
    <w:p>
      <w:pPr>
        <w:spacing w:line="560" w:lineRule="exact"/>
        <w:ind w:firstLine="636" w:firstLineChars="200"/>
        <w:rPr>
          <w:rFonts w:hint="eastAsia"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7.</w:t>
      </w:r>
      <w:r>
        <w:rPr>
          <w:rFonts w:eastAsia="仿宋_GB2312"/>
          <w:color w:val="000000"/>
          <w:sz w:val="32"/>
          <w:szCs w:val="32"/>
        </w:rPr>
        <w:t>受理向</w:t>
      </w:r>
      <w:r>
        <w:rPr>
          <w:rFonts w:hint="eastAsia" w:eastAsia="仿宋_GB2312"/>
          <w:color w:val="000000"/>
          <w:sz w:val="32"/>
          <w:szCs w:val="32"/>
        </w:rPr>
        <w:t>桂阳县</w:t>
      </w:r>
      <w:r>
        <w:rPr>
          <w:rFonts w:eastAsia="仿宋_GB2312"/>
          <w:color w:val="000000"/>
          <w:sz w:val="32"/>
          <w:szCs w:val="32"/>
        </w:rPr>
        <w:t>人民检察院的控告申诉</w:t>
      </w:r>
      <w:r>
        <w:rPr>
          <w:rFonts w:hint="eastAsia" w:eastAsia="仿宋_GB2312"/>
          <w:color w:val="000000"/>
          <w:sz w:val="32"/>
          <w:szCs w:val="32"/>
        </w:rPr>
        <w:t>。</w:t>
      </w:r>
    </w:p>
    <w:p>
      <w:pPr>
        <w:widowControl/>
        <w:spacing w:line="600" w:lineRule="exact"/>
        <w:ind w:firstLine="624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8.</w:t>
      </w:r>
      <w:r>
        <w:rPr>
          <w:rFonts w:eastAsia="仿宋_GB2312"/>
          <w:color w:val="000000"/>
          <w:sz w:val="32"/>
          <w:szCs w:val="32"/>
        </w:rPr>
        <w:t>负责其他应当由</w:t>
      </w:r>
      <w:r>
        <w:rPr>
          <w:rFonts w:hint="eastAsia" w:eastAsia="仿宋_GB2312"/>
          <w:color w:val="000000"/>
          <w:sz w:val="32"/>
          <w:szCs w:val="32"/>
        </w:rPr>
        <w:t>桂阳县</w:t>
      </w:r>
      <w:r>
        <w:rPr>
          <w:rFonts w:eastAsia="仿宋_GB2312"/>
          <w:color w:val="000000"/>
          <w:sz w:val="32"/>
          <w:szCs w:val="32"/>
        </w:rPr>
        <w:t>人民检察院承办的事项。</w:t>
      </w:r>
    </w:p>
    <w:p>
      <w:pPr>
        <w:widowControl/>
        <w:spacing w:line="600" w:lineRule="exact"/>
        <w:ind w:firstLine="624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（二）机构设置。</w:t>
      </w:r>
    </w:p>
    <w:p>
      <w:pPr>
        <w:widowControl/>
        <w:spacing w:line="600" w:lineRule="exact"/>
        <w:ind w:firstLine="624" w:firstLineChars="196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桂阳县人民检察院在2020年内设机构改革后，设立第一检察部、第二检察部、第三检察部、第四检察部、第五检察部、第六检察部、办公室和政治部等8个内设部门。</w:t>
      </w:r>
    </w:p>
    <w:p>
      <w:pPr>
        <w:widowControl/>
        <w:spacing w:line="600" w:lineRule="exact"/>
        <w:ind w:firstLine="624" w:firstLineChars="196"/>
        <w:jc w:val="left"/>
        <w:rPr>
          <w:rFonts w:hint="eastAsia" w:eastAsia="楷体_GB2312"/>
          <w:b/>
          <w:sz w:val="32"/>
          <w:szCs w:val="32"/>
          <w:lang w:eastAsia="zh-CN"/>
        </w:rPr>
      </w:pPr>
      <w:r>
        <w:rPr>
          <w:rFonts w:hint="eastAsia" w:eastAsia="楷体_GB2312"/>
          <w:b/>
          <w:sz w:val="32"/>
          <w:szCs w:val="32"/>
          <w:lang w:eastAsia="zh-CN"/>
        </w:rPr>
        <w:t>（三）部门预算单位构成。</w:t>
      </w:r>
    </w:p>
    <w:p>
      <w:pPr>
        <w:widowControl/>
        <w:numPr>
          <w:numId w:val="0"/>
        </w:numPr>
        <w:spacing w:line="600" w:lineRule="exact"/>
        <w:ind w:firstLine="636" w:firstLineChars="200"/>
        <w:jc w:val="lef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我院只有本级，没有其他预算单位，因此本单位预算仅含本级预算。</w:t>
      </w:r>
    </w:p>
    <w:p>
      <w:pPr>
        <w:widowControl/>
        <w:spacing w:line="600" w:lineRule="exact"/>
        <w:ind w:firstLine="624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二、单位收支总体情况</w:t>
      </w:r>
    </w:p>
    <w:p>
      <w:pPr>
        <w:widowControl/>
        <w:spacing w:line="600" w:lineRule="exact"/>
        <w:ind w:firstLine="624" w:firstLineChars="196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</w:t>
      </w:r>
      <w:r>
        <w:rPr>
          <w:rFonts w:hint="eastAsia" w:ascii="仿宋_GB2312" w:hAnsi="宋体" w:eastAsia="仿宋_GB2312"/>
          <w:sz w:val="32"/>
          <w:szCs w:val="32"/>
        </w:rPr>
        <w:t>营预算等财政拨款收入，以及经营收入、事业收入等单位资金。2022年本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单位</w:t>
      </w:r>
      <w:r>
        <w:rPr>
          <w:rFonts w:hint="eastAsia" w:ascii="仿宋_GB2312" w:hAnsi="宋体" w:eastAsia="仿宋_GB2312"/>
          <w:sz w:val="32"/>
          <w:szCs w:val="32"/>
        </w:rPr>
        <w:t>收入预算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1510.74</w:t>
      </w:r>
      <w:r>
        <w:rPr>
          <w:rFonts w:hint="eastAsia" w:ascii="仿宋_GB2312" w:hAnsi="宋体" w:eastAsia="仿宋_GB2312"/>
          <w:sz w:val="32"/>
          <w:szCs w:val="32"/>
        </w:rPr>
        <w:t>万元，其中，一般公共预算拨款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1080.93</w:t>
      </w:r>
      <w:r>
        <w:rPr>
          <w:rFonts w:hint="eastAsia" w:ascii="仿宋_GB2312" w:hAnsi="宋体" w:eastAsia="仿宋_GB2312"/>
          <w:sz w:val="32"/>
          <w:szCs w:val="32"/>
        </w:rPr>
        <w:t>万元，中央财政补助3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76.07</w:t>
      </w:r>
      <w:r>
        <w:rPr>
          <w:rFonts w:hint="eastAsia" w:ascii="仿宋_GB2312" w:hAnsi="宋体" w:eastAsia="仿宋_GB2312"/>
          <w:sz w:val="32"/>
          <w:szCs w:val="32"/>
        </w:rPr>
        <w:t>万元，上年结余结转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53.74</w:t>
      </w:r>
      <w:r>
        <w:rPr>
          <w:rFonts w:hint="eastAsia" w:ascii="仿宋_GB2312" w:hAnsi="宋体" w:eastAsia="仿宋_GB2312"/>
          <w:sz w:val="32"/>
          <w:szCs w:val="32"/>
        </w:rPr>
        <w:t>万元，无政府性基金、国有资本经营预算拨款和纳入专户管理的非税收入。收入较去年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52.06</w:t>
      </w:r>
      <w:r>
        <w:rPr>
          <w:rFonts w:hint="eastAsia" w:ascii="仿宋_GB2312" w:hAnsi="宋体" w:eastAsia="仿宋_GB2312"/>
          <w:sz w:val="32"/>
          <w:szCs w:val="32"/>
        </w:rPr>
        <w:t>万元，主要是因为上年结转结余增加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15.54</w:t>
      </w:r>
      <w:r>
        <w:rPr>
          <w:rFonts w:hint="eastAsia" w:ascii="仿宋_GB2312" w:hAnsi="宋体" w:eastAsia="仿宋_GB2312"/>
          <w:sz w:val="32"/>
          <w:szCs w:val="32"/>
        </w:rPr>
        <w:t>万元，一般公共预算拨款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49.52</w:t>
      </w:r>
      <w:r>
        <w:rPr>
          <w:rFonts w:hint="eastAsia" w:ascii="仿宋_GB2312" w:hAnsi="宋体" w:eastAsia="仿宋_GB2312"/>
          <w:sz w:val="32"/>
          <w:szCs w:val="32"/>
        </w:rPr>
        <w:t>万元，中央财政补助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/>
          <w:sz w:val="32"/>
          <w:szCs w:val="32"/>
        </w:rPr>
        <w:t>13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.00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24" w:firstLineChars="196"/>
        <w:rPr>
          <w:rFonts w:hint="eastAsia" w:ascii="仿宋_GB2312" w:hAnsi="宋体"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hint="eastAsia" w:ascii="仿宋_GB2312" w:hAnsi="宋体" w:eastAsia="仿宋_GB2312"/>
          <w:sz w:val="32"/>
          <w:szCs w:val="32"/>
        </w:rPr>
        <w:t>2022年本单位支出预算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1510.74</w:t>
      </w:r>
      <w:r>
        <w:rPr>
          <w:rFonts w:hint="eastAsia" w:ascii="仿宋_GB2312" w:hAnsi="宋体" w:eastAsia="仿宋_GB2312"/>
          <w:sz w:val="32"/>
          <w:szCs w:val="32"/>
        </w:rPr>
        <w:t>万元，其中，公共安全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支出</w:t>
      </w:r>
      <w:r>
        <w:rPr>
          <w:rFonts w:hint="eastAsia" w:ascii="仿宋_GB2312" w:hAnsi="宋体" w:eastAsia="仿宋_GB2312"/>
          <w:sz w:val="32"/>
          <w:szCs w:val="32"/>
        </w:rPr>
        <w:t>12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55.42</w:t>
      </w:r>
      <w:r>
        <w:rPr>
          <w:rFonts w:hint="eastAsia" w:ascii="仿宋_GB2312" w:hAnsi="宋体" w:eastAsia="仿宋_GB2312"/>
          <w:sz w:val="32"/>
          <w:szCs w:val="32"/>
        </w:rPr>
        <w:t>万元，社会保障和就业支出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104.80</w:t>
      </w:r>
      <w:r>
        <w:rPr>
          <w:rFonts w:hint="eastAsia" w:ascii="仿宋_GB2312" w:hAnsi="宋体" w:eastAsia="仿宋_GB2312"/>
          <w:sz w:val="32"/>
          <w:szCs w:val="32"/>
        </w:rPr>
        <w:t>万元，卫生健康支出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50.40</w:t>
      </w:r>
      <w:r>
        <w:rPr>
          <w:rFonts w:hint="eastAsia" w:ascii="仿宋_GB2312" w:hAnsi="宋体" w:eastAsia="仿宋_GB2312"/>
          <w:sz w:val="32"/>
          <w:szCs w:val="32"/>
        </w:rPr>
        <w:t>万元，住房保障支出100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.12</w:t>
      </w:r>
      <w:r>
        <w:rPr>
          <w:rFonts w:hint="eastAsia" w:ascii="仿宋_GB2312" w:hAnsi="宋体" w:eastAsia="仿宋_GB2312"/>
          <w:sz w:val="32"/>
          <w:szCs w:val="32"/>
        </w:rPr>
        <w:t>万元。支出较去年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52.06</w:t>
      </w:r>
      <w:r>
        <w:rPr>
          <w:rFonts w:hint="eastAsia" w:ascii="仿宋_GB2312" w:hAnsi="宋体" w:eastAsia="仿宋_GB2312"/>
          <w:sz w:val="32"/>
          <w:szCs w:val="32"/>
        </w:rPr>
        <w:t>万元，主要是公共安全支出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8.87</w:t>
      </w:r>
      <w:r>
        <w:rPr>
          <w:rFonts w:hint="eastAsia" w:ascii="仿宋_GB2312" w:hAnsi="宋体" w:eastAsia="仿宋_GB2312"/>
          <w:sz w:val="32"/>
          <w:szCs w:val="32"/>
        </w:rPr>
        <w:t>万元，社会保障和就业支出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28.38</w:t>
      </w:r>
      <w:r>
        <w:rPr>
          <w:rFonts w:hint="eastAsia" w:ascii="仿宋_GB2312" w:hAnsi="宋体" w:eastAsia="仿宋_GB2312"/>
          <w:sz w:val="32"/>
          <w:szCs w:val="32"/>
        </w:rPr>
        <w:t>万元，卫生健康支出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14.69</w:t>
      </w:r>
      <w:r>
        <w:rPr>
          <w:rFonts w:hint="eastAsia" w:ascii="仿宋_GB2312" w:hAnsi="宋体" w:eastAsia="仿宋_GB2312"/>
          <w:sz w:val="32"/>
          <w:szCs w:val="32"/>
        </w:rPr>
        <w:t>万元，住房保障支出增加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0.12</w:t>
      </w:r>
      <w:r>
        <w:rPr>
          <w:rFonts w:hint="eastAsia" w:ascii="仿宋_GB2312" w:hAnsi="宋体" w:eastAsia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三、一般公共预算拨款支出</w:t>
      </w:r>
    </w:p>
    <w:p>
      <w:pPr>
        <w:widowControl/>
        <w:spacing w:line="600" w:lineRule="exact"/>
        <w:ind w:firstLine="66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2022年本</w:t>
      </w:r>
      <w:r>
        <w:rPr>
          <w:rFonts w:eastAsia="仿宋_GB2312"/>
          <w:sz w:val="32"/>
          <w:szCs w:val="32"/>
        </w:rPr>
        <w:t>单位一般公共预算</w:t>
      </w:r>
      <w:r>
        <w:rPr>
          <w:rFonts w:hint="eastAsia" w:ascii="仿宋_GB2312" w:hAnsi="宋体" w:eastAsia="仿宋_GB2312"/>
          <w:sz w:val="32"/>
          <w:szCs w:val="32"/>
        </w:rPr>
        <w:t>拨款支出预算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1510.74</w:t>
      </w:r>
      <w:r>
        <w:rPr>
          <w:rFonts w:hint="eastAsia" w:ascii="仿宋_GB2312" w:hAnsi="宋体" w:eastAsia="仿宋_GB2312"/>
          <w:sz w:val="32"/>
          <w:szCs w:val="32"/>
        </w:rPr>
        <w:t>万元，其中，公共安全支出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1255.42</w:t>
      </w:r>
      <w:r>
        <w:rPr>
          <w:rFonts w:hint="eastAsia" w:ascii="仿宋_GB2312" w:hAnsi="宋体" w:eastAsia="仿宋_GB2312"/>
          <w:sz w:val="32"/>
          <w:szCs w:val="32"/>
        </w:rPr>
        <w:t>万元，占8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3.10</w:t>
      </w:r>
      <w:r>
        <w:rPr>
          <w:rFonts w:hint="eastAsia" w:ascii="仿宋_GB2312" w:hAnsi="宋体" w:eastAsia="仿宋_GB2312"/>
          <w:sz w:val="32"/>
          <w:szCs w:val="32"/>
        </w:rPr>
        <w:t>%；社会保障和就业支出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104.80</w:t>
      </w:r>
      <w:r>
        <w:rPr>
          <w:rFonts w:hint="eastAsia" w:ascii="仿宋_GB2312" w:hAnsi="宋体" w:eastAsia="仿宋_GB2312"/>
          <w:sz w:val="32"/>
          <w:szCs w:val="32"/>
        </w:rPr>
        <w:t>万元，占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6.93</w:t>
      </w:r>
      <w:r>
        <w:rPr>
          <w:rFonts w:hint="eastAsia" w:ascii="仿宋_GB2312" w:hAnsi="宋体" w:eastAsia="仿宋_GB2312"/>
          <w:sz w:val="32"/>
          <w:szCs w:val="32"/>
        </w:rPr>
        <w:t>%；卫生健康支出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50.40</w:t>
      </w:r>
      <w:r>
        <w:rPr>
          <w:rFonts w:hint="eastAsia" w:ascii="仿宋_GB2312" w:hAnsi="宋体" w:eastAsia="仿宋_GB2312"/>
          <w:sz w:val="32"/>
          <w:szCs w:val="32"/>
        </w:rPr>
        <w:t>万元，占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3.34</w:t>
      </w:r>
      <w:r>
        <w:rPr>
          <w:rFonts w:hint="eastAsia" w:ascii="仿宋_GB2312" w:hAnsi="宋体" w:eastAsia="仿宋_GB2312"/>
          <w:sz w:val="32"/>
          <w:szCs w:val="32"/>
        </w:rPr>
        <w:t>%；住房保障支出100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.12</w:t>
      </w:r>
      <w:r>
        <w:rPr>
          <w:rFonts w:hint="eastAsia" w:ascii="仿宋_GB2312" w:hAnsi="宋体" w:eastAsia="仿宋_GB2312"/>
          <w:sz w:val="32"/>
          <w:szCs w:val="32"/>
        </w:rPr>
        <w:t>万元，占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6.63</w:t>
      </w:r>
      <w:r>
        <w:rPr>
          <w:rFonts w:hint="eastAsia" w:ascii="仿宋_GB2312" w:hAnsi="宋体" w:eastAsia="仿宋_GB2312"/>
          <w:sz w:val="32"/>
          <w:szCs w:val="32"/>
        </w:rPr>
        <w:t>%。具体安排情况如下：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hint="eastAsia" w:ascii="仿宋_GB2312" w:hAnsi="宋体" w:eastAsia="仿宋_GB2312"/>
          <w:sz w:val="32"/>
          <w:szCs w:val="32"/>
        </w:rPr>
        <w:t>2022年本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单位</w:t>
      </w:r>
      <w:r>
        <w:rPr>
          <w:rFonts w:hint="eastAsia" w:ascii="仿宋_GB2312" w:hAnsi="宋体" w:eastAsia="仿宋_GB2312"/>
          <w:sz w:val="32"/>
          <w:szCs w:val="32"/>
        </w:rPr>
        <w:t>基本支出预算数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1335.97</w:t>
      </w:r>
      <w:r>
        <w:rPr>
          <w:rFonts w:hint="eastAsia" w:ascii="仿宋_GB2312" w:hAnsi="宋体" w:eastAsia="仿宋_GB2312"/>
          <w:sz w:val="32"/>
          <w:szCs w:val="32"/>
        </w:rPr>
        <w:t>万元，主要是为保障部门正常运转、完成日常工作任务而发生的各项支出，包括用于基本工资、津贴补贴等人员经费以及办公费、印刷费、水电费、办公设备购置等公用经费。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hint="eastAsia" w:ascii="仿宋_GB2312" w:hAnsi="宋体" w:eastAsia="仿宋_GB2312"/>
          <w:sz w:val="32"/>
          <w:szCs w:val="32"/>
        </w:rPr>
        <w:t>2022年本单位项目支出预算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174.77</w:t>
      </w:r>
      <w:r>
        <w:rPr>
          <w:rFonts w:hint="eastAsia" w:ascii="仿宋_GB2312" w:hAnsi="宋体" w:eastAsia="仿宋_GB2312"/>
          <w:sz w:val="32"/>
          <w:szCs w:val="32"/>
        </w:rPr>
        <w:t>万元，主要是部门为完成特定行政工作任务或事业发展目标而发生的支出，包括有关事业发展专项、专项业务费、基本建设支出等，其中：业务工作专项支出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24.94</w:t>
      </w:r>
      <w:r>
        <w:rPr>
          <w:rFonts w:hint="eastAsia" w:ascii="仿宋_GB2312" w:hAnsi="宋体" w:eastAsia="仿宋_GB2312"/>
          <w:sz w:val="32"/>
          <w:szCs w:val="32"/>
        </w:rPr>
        <w:t>万元，主要用于扫黑除恶工作、援疆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和乡村振兴</w:t>
      </w:r>
      <w:r>
        <w:rPr>
          <w:rFonts w:hint="eastAsia" w:ascii="仿宋_GB2312" w:hAnsi="宋体" w:eastAsia="仿宋_GB2312"/>
          <w:sz w:val="32"/>
          <w:szCs w:val="32"/>
        </w:rPr>
        <w:t>等方面；运行维护专项支出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149.83</w:t>
      </w:r>
      <w:r>
        <w:rPr>
          <w:rFonts w:hint="eastAsia" w:ascii="仿宋_GB2312" w:hAnsi="宋体" w:eastAsia="仿宋_GB2312"/>
          <w:sz w:val="32"/>
          <w:szCs w:val="32"/>
        </w:rPr>
        <w:t>万元，主要用于办公设备购置、被装购置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、公务用车购置、</w:t>
      </w:r>
      <w:r>
        <w:rPr>
          <w:rFonts w:hint="eastAsia" w:ascii="仿宋_GB2312" w:hAnsi="宋体" w:eastAsia="仿宋_GB2312"/>
          <w:sz w:val="32"/>
          <w:szCs w:val="32"/>
        </w:rPr>
        <w:t>维修（护）费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和公开听证室</w:t>
      </w:r>
      <w:r>
        <w:rPr>
          <w:rFonts w:hint="eastAsia" w:ascii="仿宋_GB2312" w:hAnsi="宋体" w:eastAsia="仿宋_GB2312"/>
          <w:sz w:val="32"/>
          <w:szCs w:val="32"/>
        </w:rPr>
        <w:t>等方面。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四、政府性基金预算支出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1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年本单位无政府性基金安排的支出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五、其他重要事项的情况说明</w:t>
      </w:r>
    </w:p>
    <w:p>
      <w:pPr>
        <w:widowControl/>
        <w:spacing w:line="600" w:lineRule="exact"/>
        <w:ind w:firstLine="636" w:firstLineChars="20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hint="eastAsia" w:ascii="仿宋_GB2312" w:hAnsi="宋体" w:eastAsia="仿宋_GB2312"/>
          <w:sz w:val="32"/>
          <w:szCs w:val="32"/>
        </w:rPr>
        <w:t>2022年本单位机关运行经费5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23.84</w:t>
      </w:r>
      <w:r>
        <w:rPr>
          <w:rFonts w:hint="eastAsia" w:ascii="仿宋_GB2312" w:hAnsi="宋体" w:eastAsia="仿宋_GB2312"/>
          <w:sz w:val="32"/>
          <w:szCs w:val="32"/>
        </w:rPr>
        <w:t>万元，比上年预算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10.9</w:t>
      </w:r>
      <w:r>
        <w:rPr>
          <w:rFonts w:hint="eastAsia" w:ascii="仿宋_GB2312" w:hAnsi="宋体" w:eastAsia="仿宋_GB2312"/>
          <w:sz w:val="32"/>
          <w:szCs w:val="32"/>
        </w:rPr>
        <w:t>万元，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上升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2.13</w:t>
      </w:r>
      <w:r>
        <w:rPr>
          <w:rFonts w:hint="eastAsia" w:ascii="仿宋_GB2312" w:hAnsi="宋体" w:eastAsia="仿宋_GB2312"/>
          <w:sz w:val="32"/>
          <w:szCs w:val="32"/>
        </w:rPr>
        <w:t>%，主要是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由于检察机关运行维护需要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hint="eastAsia" w:ascii="仿宋_GB2312" w:hAnsi="宋体"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hint="eastAsia" w:ascii="仿宋_GB2312" w:hAnsi="宋体" w:eastAsia="仿宋_GB2312"/>
          <w:sz w:val="32"/>
          <w:szCs w:val="32"/>
        </w:rPr>
        <w:t>2022年本单位“三公”经费预算数为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41</w:t>
      </w:r>
      <w:r>
        <w:rPr>
          <w:rFonts w:hint="eastAsia" w:ascii="仿宋_GB2312" w:hAnsi="宋体" w:eastAsia="仿宋_GB2312"/>
          <w:sz w:val="32"/>
          <w:szCs w:val="32"/>
        </w:rPr>
        <w:t>万元，其中，公务接待费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/>
          <w:sz w:val="32"/>
          <w:szCs w:val="32"/>
        </w:rPr>
        <w:t>万元，公务用车购置及运行费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35</w:t>
      </w:r>
      <w:r>
        <w:rPr>
          <w:rFonts w:hint="eastAsia" w:ascii="仿宋_GB2312" w:hAnsi="宋体" w:eastAsia="仿宋_GB2312"/>
          <w:sz w:val="32"/>
          <w:szCs w:val="32"/>
        </w:rPr>
        <w:t>万元（其中，公务用车购置费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32.5</w:t>
      </w:r>
      <w:r>
        <w:rPr>
          <w:rFonts w:hint="eastAsia" w:ascii="仿宋_GB2312" w:hAnsi="宋体" w:eastAsia="仿宋_GB2312"/>
          <w:sz w:val="32"/>
          <w:szCs w:val="32"/>
        </w:rPr>
        <w:t>万元，公务用车运行费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2.5</w:t>
      </w:r>
      <w:r>
        <w:rPr>
          <w:rFonts w:hint="eastAsia" w:ascii="仿宋_GB2312" w:hAnsi="宋体" w:eastAsia="仿宋_GB2312"/>
          <w:sz w:val="32"/>
          <w:szCs w:val="32"/>
        </w:rPr>
        <w:t>万元），因公出国（境）费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/>
          <w:sz w:val="32"/>
          <w:szCs w:val="32"/>
        </w:rPr>
        <w:t>万元。2022年“三公”经费预算较2021年持平。</w:t>
      </w:r>
    </w:p>
    <w:p>
      <w:pPr>
        <w:ind w:firstLine="636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年本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单位</w:t>
      </w:r>
      <w:r>
        <w:rPr>
          <w:rFonts w:hint="eastAsia" w:ascii="仿宋_GB2312" w:hAnsi="宋体" w:eastAsia="仿宋_GB2312"/>
          <w:sz w:val="32"/>
          <w:szCs w:val="32"/>
        </w:rPr>
        <w:t>无会议费和培训费。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hint="eastAsia"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年本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单位政府采购预算总额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0万元，其中，货物类采购预算0万元；工程类采购预算0万元；服务类采购预算0万元。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eastAsia="楷体_GB2312"/>
          <w:b/>
          <w:sz w:val="32"/>
          <w:szCs w:val="32"/>
          <w:lang w:eastAsia="zh-CN"/>
        </w:rPr>
        <w:t>（五）</w:t>
      </w:r>
      <w:r>
        <w:rPr>
          <w:rFonts w:eastAsia="楷体_GB2312"/>
          <w:b/>
          <w:sz w:val="32"/>
          <w:szCs w:val="32"/>
        </w:rPr>
        <w:t>国有资产占用使用及新增资产配置情况：</w:t>
      </w:r>
      <w:r>
        <w:rPr>
          <w:rFonts w:hint="eastAsia" w:ascii="仿宋_GB2312" w:hAnsi="宋体" w:eastAsia="仿宋_GB2312"/>
          <w:sz w:val="32"/>
          <w:szCs w:val="32"/>
        </w:rPr>
        <w:t>截至202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年12月底，本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单位</w:t>
      </w:r>
      <w:r>
        <w:rPr>
          <w:rFonts w:hint="eastAsia" w:ascii="仿宋_GB2312" w:hAnsi="宋体" w:eastAsia="仿宋_GB2312"/>
          <w:sz w:val="32"/>
          <w:szCs w:val="32"/>
        </w:rPr>
        <w:t>共有车辆6台，其中，执法执勤用车5辆，特种专业技术用车1辆。202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年拟新增配置公务用车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辆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,</w:t>
      </w:r>
      <w:r>
        <w:rPr>
          <w:rFonts w:hint="eastAsia" w:ascii="仿宋_GB2312" w:hAnsi="宋体" w:eastAsia="仿宋_GB2312"/>
          <w:sz w:val="32"/>
          <w:szCs w:val="32"/>
        </w:rPr>
        <w:t>其中，执法执勤用车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辆。单位价值50万元以上通用设备0台，单位价值100万元以上专用设备0台。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eastAsia="楷体_GB2312"/>
          <w:b/>
          <w:sz w:val="32"/>
          <w:szCs w:val="32"/>
          <w:lang w:eastAsia="zh-CN"/>
        </w:rPr>
        <w:t>（六）预算绩效目标说明：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本单位所有支出实行绩效目标管理，纳入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2022年单位整体支出绩效目标的金额为1510.74万元，其中，基本支出1335.97万元，项目支出174.77万元，具体绩效目标详见报表。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</w:t>
      </w:r>
      <w:r>
        <w:rPr>
          <w:rFonts w:hint="eastAsia" w:eastAsia="仿宋_GB2312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br w:type="page"/>
      </w: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第二部分 202</w:t>
      </w:r>
      <w:r>
        <w:rPr>
          <w:rFonts w:hint="eastAsia" w:eastAsia="方正小标宋_GBK"/>
          <w:bCs/>
          <w:kern w:val="0"/>
          <w:sz w:val="36"/>
          <w:szCs w:val="36"/>
        </w:rPr>
        <w:t>2</w:t>
      </w:r>
      <w:r>
        <w:rPr>
          <w:rFonts w:eastAsia="方正小标宋_GBK"/>
          <w:bCs/>
          <w:kern w:val="0"/>
          <w:sz w:val="36"/>
          <w:szCs w:val="36"/>
        </w:rPr>
        <w:t>年单位预算表</w:t>
      </w:r>
    </w:p>
    <w:p>
      <w:pPr>
        <w:rPr>
          <w:rFonts w:eastAsia="方正小标宋_GBK"/>
          <w:bCs/>
          <w:kern w:val="0"/>
          <w:sz w:val="36"/>
          <w:szCs w:val="36"/>
        </w:rPr>
      </w:pPr>
    </w:p>
    <w:sectPr>
      <w:footerReference r:id="rId3" w:type="default"/>
      <w:footerReference r:id="rId4" w:type="even"/>
      <w:pgSz w:w="11907" w:h="16840"/>
      <w:pgMar w:top="1134" w:right="1797" w:bottom="1304" w:left="1797" w:header="851" w:footer="992" w:gutter="0"/>
      <w:cols w:space="720" w:num="1"/>
      <w:docGrid w:type="linesAndChars" w:linePitch="495" w:charSpace="-59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5</w:t>
    </w:r>
    <w: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jZTZmNTY4NjllYWRmMDA4OGFmOWRiZDI0NGI2MTYifQ=="/>
  </w:docVars>
  <w:rsids>
    <w:rsidRoot w:val="00F947F0"/>
    <w:rsid w:val="00001712"/>
    <w:rsid w:val="000153CF"/>
    <w:rsid w:val="00053CAC"/>
    <w:rsid w:val="0005772A"/>
    <w:rsid w:val="00092386"/>
    <w:rsid w:val="000C169D"/>
    <w:rsid w:val="000C34A8"/>
    <w:rsid w:val="000E4464"/>
    <w:rsid w:val="000E7E83"/>
    <w:rsid w:val="000F122D"/>
    <w:rsid w:val="000F1AE6"/>
    <w:rsid w:val="0011067B"/>
    <w:rsid w:val="00112564"/>
    <w:rsid w:val="0012612A"/>
    <w:rsid w:val="001277DB"/>
    <w:rsid w:val="0014469F"/>
    <w:rsid w:val="00151067"/>
    <w:rsid w:val="00194281"/>
    <w:rsid w:val="001A722D"/>
    <w:rsid w:val="001B2201"/>
    <w:rsid w:val="001B40A6"/>
    <w:rsid w:val="001D5D9C"/>
    <w:rsid w:val="00202517"/>
    <w:rsid w:val="00204DF7"/>
    <w:rsid w:val="00211A10"/>
    <w:rsid w:val="002375EE"/>
    <w:rsid w:val="002473FE"/>
    <w:rsid w:val="00261A74"/>
    <w:rsid w:val="002907B7"/>
    <w:rsid w:val="00291581"/>
    <w:rsid w:val="002A3A1B"/>
    <w:rsid w:val="002C2F37"/>
    <w:rsid w:val="002C31A6"/>
    <w:rsid w:val="002C6EDD"/>
    <w:rsid w:val="002F4545"/>
    <w:rsid w:val="00305B43"/>
    <w:rsid w:val="00321952"/>
    <w:rsid w:val="00334CF4"/>
    <w:rsid w:val="00350B2A"/>
    <w:rsid w:val="00352C7A"/>
    <w:rsid w:val="00360DDA"/>
    <w:rsid w:val="00363566"/>
    <w:rsid w:val="00373263"/>
    <w:rsid w:val="003734B2"/>
    <w:rsid w:val="003750F2"/>
    <w:rsid w:val="00376202"/>
    <w:rsid w:val="00394547"/>
    <w:rsid w:val="00396EE4"/>
    <w:rsid w:val="003A09E0"/>
    <w:rsid w:val="003D1692"/>
    <w:rsid w:val="003D29EF"/>
    <w:rsid w:val="0040635B"/>
    <w:rsid w:val="004133F4"/>
    <w:rsid w:val="00414270"/>
    <w:rsid w:val="00422990"/>
    <w:rsid w:val="00425148"/>
    <w:rsid w:val="00427396"/>
    <w:rsid w:val="0048232E"/>
    <w:rsid w:val="00494793"/>
    <w:rsid w:val="004A4B5F"/>
    <w:rsid w:val="004A7A20"/>
    <w:rsid w:val="004A7DE6"/>
    <w:rsid w:val="004C2937"/>
    <w:rsid w:val="004C7C73"/>
    <w:rsid w:val="004D0BA6"/>
    <w:rsid w:val="004E7889"/>
    <w:rsid w:val="004F2317"/>
    <w:rsid w:val="004F2B24"/>
    <w:rsid w:val="005264EC"/>
    <w:rsid w:val="005373FA"/>
    <w:rsid w:val="00540119"/>
    <w:rsid w:val="00556D03"/>
    <w:rsid w:val="00557F16"/>
    <w:rsid w:val="00572C36"/>
    <w:rsid w:val="0058338E"/>
    <w:rsid w:val="00584FFD"/>
    <w:rsid w:val="00586F08"/>
    <w:rsid w:val="00594F66"/>
    <w:rsid w:val="00597E81"/>
    <w:rsid w:val="005C0793"/>
    <w:rsid w:val="005C2DBA"/>
    <w:rsid w:val="005D1447"/>
    <w:rsid w:val="005D6732"/>
    <w:rsid w:val="005E0995"/>
    <w:rsid w:val="005F2AB5"/>
    <w:rsid w:val="005F4481"/>
    <w:rsid w:val="006013D3"/>
    <w:rsid w:val="006024B3"/>
    <w:rsid w:val="0067368B"/>
    <w:rsid w:val="006902FF"/>
    <w:rsid w:val="006920CE"/>
    <w:rsid w:val="00697524"/>
    <w:rsid w:val="006976C0"/>
    <w:rsid w:val="006A42A1"/>
    <w:rsid w:val="006B17B0"/>
    <w:rsid w:val="006B1D11"/>
    <w:rsid w:val="006C051D"/>
    <w:rsid w:val="006D0E53"/>
    <w:rsid w:val="006F10C6"/>
    <w:rsid w:val="006F6CEF"/>
    <w:rsid w:val="00721FB1"/>
    <w:rsid w:val="0072400B"/>
    <w:rsid w:val="007258EF"/>
    <w:rsid w:val="00746291"/>
    <w:rsid w:val="007504E7"/>
    <w:rsid w:val="00766703"/>
    <w:rsid w:val="00771697"/>
    <w:rsid w:val="00775E79"/>
    <w:rsid w:val="00781DAB"/>
    <w:rsid w:val="007831DC"/>
    <w:rsid w:val="007868AB"/>
    <w:rsid w:val="00787BDE"/>
    <w:rsid w:val="00790E30"/>
    <w:rsid w:val="007A09E3"/>
    <w:rsid w:val="007B02E6"/>
    <w:rsid w:val="007D2A19"/>
    <w:rsid w:val="007E0B48"/>
    <w:rsid w:val="008442F7"/>
    <w:rsid w:val="00844EE7"/>
    <w:rsid w:val="008606C3"/>
    <w:rsid w:val="00860703"/>
    <w:rsid w:val="008A1A21"/>
    <w:rsid w:val="008C150B"/>
    <w:rsid w:val="008D036A"/>
    <w:rsid w:val="008E64EB"/>
    <w:rsid w:val="008F4A7E"/>
    <w:rsid w:val="00915B45"/>
    <w:rsid w:val="00916F4D"/>
    <w:rsid w:val="0094364E"/>
    <w:rsid w:val="0095690B"/>
    <w:rsid w:val="00957690"/>
    <w:rsid w:val="009616BF"/>
    <w:rsid w:val="00965491"/>
    <w:rsid w:val="00986BE9"/>
    <w:rsid w:val="00990355"/>
    <w:rsid w:val="009A16A3"/>
    <w:rsid w:val="009B55F2"/>
    <w:rsid w:val="009C355C"/>
    <w:rsid w:val="009D6CDD"/>
    <w:rsid w:val="009E74EC"/>
    <w:rsid w:val="009F7EFC"/>
    <w:rsid w:val="00A04236"/>
    <w:rsid w:val="00A15EE9"/>
    <w:rsid w:val="00A26331"/>
    <w:rsid w:val="00A26F91"/>
    <w:rsid w:val="00A7228A"/>
    <w:rsid w:val="00A966B5"/>
    <w:rsid w:val="00AA2443"/>
    <w:rsid w:val="00AD1617"/>
    <w:rsid w:val="00AD223D"/>
    <w:rsid w:val="00AD3446"/>
    <w:rsid w:val="00AD682D"/>
    <w:rsid w:val="00AD7CAD"/>
    <w:rsid w:val="00AF4EDE"/>
    <w:rsid w:val="00AF57FD"/>
    <w:rsid w:val="00AF66CB"/>
    <w:rsid w:val="00B01FE0"/>
    <w:rsid w:val="00B07380"/>
    <w:rsid w:val="00B15BF1"/>
    <w:rsid w:val="00B23414"/>
    <w:rsid w:val="00B308A3"/>
    <w:rsid w:val="00B340A2"/>
    <w:rsid w:val="00B44F99"/>
    <w:rsid w:val="00B55CF0"/>
    <w:rsid w:val="00B61CE3"/>
    <w:rsid w:val="00B81DAF"/>
    <w:rsid w:val="00B83106"/>
    <w:rsid w:val="00B944D8"/>
    <w:rsid w:val="00B95545"/>
    <w:rsid w:val="00BA23B1"/>
    <w:rsid w:val="00BC09F3"/>
    <w:rsid w:val="00BC19FC"/>
    <w:rsid w:val="00C06F22"/>
    <w:rsid w:val="00C10046"/>
    <w:rsid w:val="00C145C2"/>
    <w:rsid w:val="00C1788F"/>
    <w:rsid w:val="00C2022E"/>
    <w:rsid w:val="00C22FF2"/>
    <w:rsid w:val="00C2380B"/>
    <w:rsid w:val="00C31834"/>
    <w:rsid w:val="00C4194A"/>
    <w:rsid w:val="00C51028"/>
    <w:rsid w:val="00C56F1B"/>
    <w:rsid w:val="00C6274C"/>
    <w:rsid w:val="00C710F0"/>
    <w:rsid w:val="00C7161B"/>
    <w:rsid w:val="00C72B2E"/>
    <w:rsid w:val="00C803CA"/>
    <w:rsid w:val="00C826ED"/>
    <w:rsid w:val="00C91AB3"/>
    <w:rsid w:val="00CB005E"/>
    <w:rsid w:val="00CB162E"/>
    <w:rsid w:val="00CB596D"/>
    <w:rsid w:val="00CD0B53"/>
    <w:rsid w:val="00CD5B66"/>
    <w:rsid w:val="00CF380C"/>
    <w:rsid w:val="00D02B3B"/>
    <w:rsid w:val="00D0321A"/>
    <w:rsid w:val="00D15A9D"/>
    <w:rsid w:val="00D16F40"/>
    <w:rsid w:val="00D27554"/>
    <w:rsid w:val="00D35C74"/>
    <w:rsid w:val="00D4092B"/>
    <w:rsid w:val="00D521AE"/>
    <w:rsid w:val="00D66585"/>
    <w:rsid w:val="00D735EF"/>
    <w:rsid w:val="00D86B62"/>
    <w:rsid w:val="00D878A5"/>
    <w:rsid w:val="00DA3F53"/>
    <w:rsid w:val="00DA4B82"/>
    <w:rsid w:val="00DC4C91"/>
    <w:rsid w:val="00DC5FFC"/>
    <w:rsid w:val="00DE2296"/>
    <w:rsid w:val="00E02D16"/>
    <w:rsid w:val="00E21E42"/>
    <w:rsid w:val="00E31169"/>
    <w:rsid w:val="00E3772E"/>
    <w:rsid w:val="00E37F88"/>
    <w:rsid w:val="00E4277D"/>
    <w:rsid w:val="00E43455"/>
    <w:rsid w:val="00E53026"/>
    <w:rsid w:val="00E605C0"/>
    <w:rsid w:val="00E7072E"/>
    <w:rsid w:val="00E97AE6"/>
    <w:rsid w:val="00EA4B43"/>
    <w:rsid w:val="00EE0784"/>
    <w:rsid w:val="00EE27BE"/>
    <w:rsid w:val="00EF78CC"/>
    <w:rsid w:val="00F00CF3"/>
    <w:rsid w:val="00F046B7"/>
    <w:rsid w:val="00F07E45"/>
    <w:rsid w:val="00F203EB"/>
    <w:rsid w:val="00F20835"/>
    <w:rsid w:val="00F433C8"/>
    <w:rsid w:val="00F545D6"/>
    <w:rsid w:val="00F56BB7"/>
    <w:rsid w:val="00F947F0"/>
    <w:rsid w:val="00FA1FCF"/>
    <w:rsid w:val="00FD4B9B"/>
    <w:rsid w:val="00FD5E2E"/>
    <w:rsid w:val="00FD6E33"/>
    <w:rsid w:val="00FF6EED"/>
    <w:rsid w:val="0ACF47E7"/>
    <w:rsid w:val="13F75CB4"/>
    <w:rsid w:val="1B126C91"/>
    <w:rsid w:val="22971141"/>
    <w:rsid w:val="27EF289F"/>
    <w:rsid w:val="2FEF7F6F"/>
    <w:rsid w:val="3B9AB981"/>
    <w:rsid w:val="3DF22091"/>
    <w:rsid w:val="56F766D1"/>
    <w:rsid w:val="56FFD49B"/>
    <w:rsid w:val="5B521350"/>
    <w:rsid w:val="5B5868E5"/>
    <w:rsid w:val="5DF6F514"/>
    <w:rsid w:val="64F70759"/>
    <w:rsid w:val="6DBE8269"/>
    <w:rsid w:val="75DEB02A"/>
    <w:rsid w:val="75EB7B5A"/>
    <w:rsid w:val="79F7A641"/>
    <w:rsid w:val="7BD217B3"/>
    <w:rsid w:val="7EBE5A57"/>
    <w:rsid w:val="7FDFBF27"/>
    <w:rsid w:val="BBFF0FCB"/>
    <w:rsid w:val="D4FF9B33"/>
    <w:rsid w:val="DDFF00AA"/>
    <w:rsid w:val="DEFB0359"/>
    <w:rsid w:val="DF57BA7F"/>
    <w:rsid w:val="DFDBF7EF"/>
    <w:rsid w:val="E1FD342B"/>
    <w:rsid w:val="E7BFF0D1"/>
    <w:rsid w:val="EFFB4F16"/>
    <w:rsid w:val="F5FF94C4"/>
    <w:rsid w:val="F7DDF231"/>
    <w:rsid w:val="F7EF324C"/>
    <w:rsid w:val="FA9BC135"/>
    <w:rsid w:val="FBDD89B7"/>
    <w:rsid w:val="FBF9747D"/>
    <w:rsid w:val="FD5E0C0A"/>
    <w:rsid w:val="FF9BE4CF"/>
    <w:rsid w:val="FFF6799A"/>
    <w:rsid w:val="FFF769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34"/>
    </w:pPr>
    <w:rPr>
      <w:rFonts w:eastAsia="仿宋_GB2312"/>
    </w:r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qFormat/>
    <w:uiPriority w:val="0"/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11">
    <w:name w:val="页眉 Char"/>
    <w:link w:val="5"/>
    <w:qFormat/>
    <w:uiPriority w:val="0"/>
    <w:rPr>
      <w:kern w:val="2"/>
      <w:sz w:val="18"/>
      <w:szCs w:val="18"/>
    </w:rPr>
  </w:style>
  <w:style w:type="paragraph" w:customStyle="1" w:styleId="12">
    <w:name w:val=" Char Char Char Char Char Char1"/>
    <w:basedOn w:val="1"/>
    <w:qFormat/>
    <w:uiPriority w:val="0"/>
    <w:rPr>
      <w:rFonts w:ascii="Tahoma" w:hAnsi="Tahoma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2436</Words>
  <Characters>2685</Characters>
  <Lines>18</Lines>
  <Paragraphs>5</Paragraphs>
  <TotalTime>20</TotalTime>
  <ScaleCrop>false</ScaleCrop>
  <LinksUpToDate>false</LinksUpToDate>
  <CharactersWithSpaces>2690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2022-02-18T03:31:00Z</dcterms:created>
  <dc:creator>朱娜</dc:creator>
  <cp:lastModifiedBy>Administrator</cp:lastModifiedBy>
  <cp:lastPrinted>2022-02-17T22:50:00Z</cp:lastPrinted>
  <dcterms:modified xsi:type="dcterms:W3CDTF">2023-09-26T03:02:11Z</dcterms:modified>
  <dc:title>湖南省财政厅处室便函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821AE9F214884583A5B676C9845E7D7E_13</vt:lpwstr>
  </property>
</Properties>
</file>