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600" w:lineRule="exact"/>
        <w:jc w:val="center"/>
        <w:rPr>
          <w:rFonts w:eastAsia="方正小标宋_GBK"/>
          <w:bCs/>
          <w:kern w:val="0"/>
          <w:sz w:val="44"/>
          <w:szCs w:val="44"/>
        </w:rPr>
      </w:pPr>
      <w:r>
        <w:rPr>
          <w:rFonts w:eastAsia="方正小标宋_GBK"/>
          <w:bCs/>
          <w:kern w:val="0"/>
          <w:sz w:val="44"/>
          <w:szCs w:val="44"/>
        </w:rPr>
        <w:t>20</w:t>
      </w:r>
      <w:r>
        <w:rPr>
          <w:rFonts w:hint="eastAsia" w:eastAsia="方正小标宋_GBK"/>
          <w:bCs/>
          <w:kern w:val="0"/>
          <w:sz w:val="44"/>
          <w:szCs w:val="44"/>
        </w:rPr>
        <w:t>22</w:t>
      </w:r>
      <w:r>
        <w:rPr>
          <w:rFonts w:eastAsia="方正小标宋_GBK"/>
          <w:bCs/>
          <w:kern w:val="0"/>
          <w:sz w:val="44"/>
          <w:szCs w:val="44"/>
        </w:rPr>
        <w:t>年</w:t>
      </w:r>
      <w:r>
        <w:rPr>
          <w:rFonts w:hint="eastAsia" w:ascii="方正小标宋_GBK" w:eastAsia="方正小标宋_GBK"/>
          <w:bCs/>
          <w:kern w:val="0"/>
          <w:sz w:val="44"/>
          <w:szCs w:val="44"/>
        </w:rPr>
        <w:t>湘西州人民检察院</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p>
    <w:p>
      <w:pPr>
        <w:widowControl/>
        <w:spacing w:line="600" w:lineRule="exact"/>
        <w:jc w:val="center"/>
        <w:rPr>
          <w:rFonts w:eastAsia="黑体"/>
          <w:bCs/>
          <w:kern w:val="0"/>
          <w:sz w:val="32"/>
          <w:szCs w:val="32"/>
        </w:rPr>
      </w:pPr>
      <w:r>
        <w:rPr>
          <w:rFonts w:hint="eastAsia"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ascii="方正小标宋_GBK" w:eastAsia="方正小标宋_GBK"/>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w:t>
      </w:r>
      <w:r>
        <w:rPr>
          <w:rFonts w:hint="eastAsia" w:eastAsia="仿宋_GB2312"/>
          <w:b/>
          <w:bCs/>
          <w:kern w:val="0"/>
          <w:sz w:val="32"/>
          <w:szCs w:val="32"/>
        </w:rPr>
        <w:t>单位</w:t>
      </w:r>
      <w:r>
        <w:rPr>
          <w:rFonts w:eastAsia="仿宋_GB2312"/>
          <w:b/>
          <w:bCs/>
          <w:kern w:val="0"/>
          <w:sz w:val="32"/>
          <w:szCs w:val="32"/>
        </w:rPr>
        <w:t>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w:t>
      </w:r>
      <w:r>
        <w:rPr>
          <w:rFonts w:hint="eastAsia" w:eastAsia="仿宋_GB2312"/>
          <w:sz w:val="32"/>
          <w:szCs w:val="32"/>
        </w:rPr>
        <w:t>支出预算分类汇总表</w:t>
      </w:r>
      <w:r>
        <w:rPr>
          <w:rFonts w:eastAsia="仿宋_GB2312"/>
          <w:sz w:val="32"/>
          <w:szCs w:val="32"/>
        </w:rPr>
        <w:t>（按</w:t>
      </w:r>
      <w:r>
        <w:rPr>
          <w:rFonts w:hint="eastAsia" w:eastAsia="仿宋_GB2312"/>
          <w:sz w:val="32"/>
          <w:szCs w:val="32"/>
        </w:rPr>
        <w:t>政府</w:t>
      </w:r>
      <w:r>
        <w:rPr>
          <w:rFonts w:eastAsia="仿宋_GB2312"/>
          <w:sz w:val="32"/>
          <w:szCs w:val="32"/>
        </w:rPr>
        <w:t>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w:t>
      </w:r>
      <w:r>
        <w:rPr>
          <w:rFonts w:hint="eastAsia" w:eastAsia="仿宋_GB2312"/>
          <w:sz w:val="32"/>
          <w:szCs w:val="32"/>
        </w:rPr>
        <w:t>预算分类汇总</w:t>
      </w:r>
      <w:r>
        <w:rPr>
          <w:rFonts w:eastAsia="仿宋_GB2312"/>
          <w:sz w:val="32"/>
          <w:szCs w:val="32"/>
        </w:rPr>
        <w:t>表（按</w:t>
      </w:r>
      <w:r>
        <w:rPr>
          <w:rFonts w:hint="eastAsia" w:eastAsia="仿宋_GB2312"/>
          <w:sz w:val="32"/>
          <w:szCs w:val="32"/>
        </w:rPr>
        <w:t>部门</w:t>
      </w:r>
      <w:r>
        <w:rPr>
          <w:rFonts w:eastAsia="仿宋_GB2312"/>
          <w:sz w:val="32"/>
          <w:szCs w:val="32"/>
        </w:rPr>
        <w:t>预算经济分类）</w:t>
      </w:r>
    </w:p>
    <w:p>
      <w:pPr>
        <w:widowControl/>
        <w:spacing w:line="600" w:lineRule="exact"/>
        <w:ind w:firstLine="640" w:firstLineChars="200"/>
        <w:jc w:val="left"/>
        <w:rPr>
          <w:rFonts w:eastAsia="仿宋_GB2312"/>
          <w:sz w:val="32"/>
          <w:szCs w:val="32"/>
        </w:rPr>
      </w:pPr>
      <w:r>
        <w:rPr>
          <w:rFonts w:eastAsia="仿宋_GB2312"/>
          <w:sz w:val="32"/>
          <w:szCs w:val="32"/>
        </w:rPr>
        <w:t>6、</w:t>
      </w:r>
      <w:r>
        <w:rPr>
          <w:rFonts w:hint="eastAsia" w:eastAsia="仿宋_GB2312"/>
          <w:sz w:val="32"/>
          <w:szCs w:val="32"/>
        </w:rPr>
        <w:t>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w:t>
      </w:r>
      <w:r>
        <w:rPr>
          <w:rFonts w:hint="eastAsia" w:eastAsia="仿宋_GB2312"/>
          <w:sz w:val="32"/>
          <w:szCs w:val="32"/>
        </w:rPr>
        <w:t>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w:t>
      </w:r>
      <w:r>
        <w:rPr>
          <w:rFonts w:hint="eastAsia" w:eastAsia="仿宋_GB2312"/>
          <w:sz w:val="32"/>
          <w:szCs w:val="32"/>
        </w:rPr>
        <w:t>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r>
        <w:rPr>
          <w:rFonts w:hint="eastAsia" w:eastAsia="仿宋_GB2312"/>
          <w:sz w:val="32"/>
          <w:szCs w:val="32"/>
        </w:rPr>
        <w:t>12、一般公共预算基本支出表-公用经费（</w:t>
      </w:r>
      <w:r>
        <w:rPr>
          <w:rFonts w:eastAsia="仿宋_GB2312"/>
          <w:sz w:val="32"/>
          <w:szCs w:val="32"/>
        </w:rPr>
        <w:t>商品和服务支出</w:t>
      </w:r>
      <w:r>
        <w:rPr>
          <w:rFonts w:hint="eastAsia" w:eastAsia="仿宋_GB2312"/>
          <w:sz w:val="32"/>
          <w:szCs w:val="32"/>
        </w:rPr>
        <w:t>）</w:t>
      </w:r>
      <w:r>
        <w:rPr>
          <w:rFonts w:eastAsia="仿宋_GB2312"/>
          <w:sz w:val="32"/>
          <w:szCs w:val="32"/>
        </w:rPr>
        <w:t>（按</w:t>
      </w:r>
      <w:r>
        <w:rPr>
          <w:rFonts w:hint="eastAsia" w:eastAsia="仿宋_GB2312"/>
          <w:sz w:val="32"/>
          <w:szCs w:val="32"/>
        </w:rPr>
        <w:t>政府</w:t>
      </w:r>
      <w:r>
        <w:rPr>
          <w:rFonts w:eastAsia="仿宋_GB2312"/>
          <w:sz w:val="32"/>
          <w:szCs w:val="32"/>
        </w:rPr>
        <w:t>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13</w:t>
      </w:r>
      <w:r>
        <w:rPr>
          <w:rFonts w:eastAsia="仿宋_GB2312"/>
          <w:sz w:val="32"/>
          <w:szCs w:val="32"/>
        </w:rPr>
        <w:t>、</w:t>
      </w:r>
      <w:r>
        <w:rPr>
          <w:rFonts w:hint="eastAsia" w:eastAsia="仿宋_GB2312"/>
          <w:sz w:val="32"/>
          <w:szCs w:val="32"/>
        </w:rPr>
        <w:t>一般公共预算基本支出表-公用经费（</w:t>
      </w:r>
      <w:r>
        <w:rPr>
          <w:rFonts w:eastAsia="仿宋_GB2312"/>
          <w:sz w:val="32"/>
          <w:szCs w:val="32"/>
        </w:rPr>
        <w:t>商品和服务支出</w:t>
      </w:r>
      <w:r>
        <w:rPr>
          <w:rFonts w:hint="eastAsia" w:eastAsia="仿宋_GB2312"/>
          <w:sz w:val="32"/>
          <w:szCs w:val="32"/>
        </w:rPr>
        <w:t>）</w:t>
      </w:r>
      <w:r>
        <w:rPr>
          <w:rFonts w:eastAsia="仿宋_GB2312"/>
          <w:sz w:val="32"/>
          <w:szCs w:val="32"/>
        </w:rPr>
        <w:t>（按</w:t>
      </w:r>
      <w:r>
        <w:rPr>
          <w:rFonts w:hint="eastAsia" w:eastAsia="仿宋_GB2312"/>
          <w:sz w:val="32"/>
          <w:szCs w:val="32"/>
        </w:rPr>
        <w:t>部门</w:t>
      </w:r>
      <w:r>
        <w:rPr>
          <w:rFonts w:eastAsia="仿宋_GB2312"/>
          <w:sz w:val="32"/>
          <w:szCs w:val="32"/>
        </w:rPr>
        <w:t>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hint="eastAsia"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hint="eastAsia"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hint="eastAsia"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hint="eastAsia"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hint="eastAsia"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hint="eastAsia"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hint="eastAsia" w:eastAsia="仿宋_GB2312"/>
          <w:sz w:val="32"/>
          <w:szCs w:val="32"/>
        </w:rPr>
        <w:t>23、部门整体支出绩效目标表</w:t>
      </w:r>
    </w:p>
    <w:p>
      <w:pPr>
        <w:widowControl/>
        <w:spacing w:line="600" w:lineRule="exact"/>
        <w:jc w:val="center"/>
        <w:rPr>
          <w:rFonts w:ascii="宋体" w:hAnsi="宋体"/>
        </w:rPr>
      </w:pPr>
    </w:p>
    <w:p>
      <w:pPr>
        <w:widowControl/>
        <w:spacing w:line="600" w:lineRule="exact"/>
        <w:jc w:val="center"/>
        <w:rPr>
          <w:rFonts w:ascii="宋体" w:hAnsi="宋体"/>
        </w:rPr>
      </w:pPr>
    </w:p>
    <w:p>
      <w:pPr>
        <w:widowControl/>
        <w:spacing w:line="600" w:lineRule="exact"/>
        <w:jc w:val="center"/>
        <w:rPr>
          <w:rFonts w:ascii="宋体" w:hAnsi="宋体"/>
        </w:rPr>
      </w:pPr>
    </w:p>
    <w:p>
      <w:pPr>
        <w:widowControl/>
        <w:spacing w:line="600" w:lineRule="exact"/>
        <w:jc w:val="center"/>
        <w:rPr>
          <w:rFonts w:ascii="宋体" w:hAnsi="宋体"/>
        </w:rPr>
      </w:pPr>
    </w:p>
    <w:p>
      <w:pPr>
        <w:widowControl/>
        <w:spacing w:line="600" w:lineRule="exact"/>
        <w:jc w:val="center"/>
        <w:rPr>
          <w:rFonts w:ascii="宋体" w:hAnsi="宋体"/>
        </w:rPr>
      </w:pPr>
    </w:p>
    <w:p>
      <w:pPr>
        <w:widowControl/>
        <w:spacing w:line="600" w:lineRule="exact"/>
        <w:jc w:val="center"/>
        <w:rPr>
          <w:rFonts w:ascii="宋体" w:hAnsi="宋体"/>
        </w:rPr>
      </w:pPr>
    </w:p>
    <w:p>
      <w:pPr>
        <w:widowControl/>
        <w:spacing w:line="600" w:lineRule="exact"/>
        <w:jc w:val="center"/>
        <w:rPr>
          <w:rFonts w:ascii="宋体" w:hAnsi="宋体"/>
        </w:rPr>
      </w:pPr>
    </w:p>
    <w:p>
      <w:pPr>
        <w:widowControl/>
        <w:spacing w:line="600" w:lineRule="exact"/>
        <w:jc w:val="center"/>
        <w:rPr>
          <w:b/>
          <w:bCs/>
          <w:kern w:val="0"/>
          <w:sz w:val="44"/>
          <w:szCs w:val="44"/>
        </w:rPr>
      </w:pPr>
      <w:r>
        <w:rPr>
          <w:rFonts w:hint="eastAsia" w:ascii="宋体" w:hAnsi="宋体"/>
          <w:b/>
          <w:sz w:val="44"/>
          <w:szCs w:val="44"/>
        </w:rPr>
        <w:t xml:space="preserve">第一部分 </w:t>
      </w:r>
      <w:r>
        <w:rPr>
          <w:rFonts w:hint="eastAsia"/>
          <w:b/>
          <w:bCs/>
          <w:kern w:val="0"/>
          <w:sz w:val="44"/>
          <w:szCs w:val="44"/>
        </w:rPr>
        <w:t>2022</w:t>
      </w:r>
      <w:r>
        <w:rPr>
          <w:b/>
          <w:bCs/>
          <w:kern w:val="0"/>
          <w:sz w:val="44"/>
          <w:szCs w:val="44"/>
        </w:rPr>
        <w:t>年</w:t>
      </w:r>
      <w:r>
        <w:rPr>
          <w:rFonts w:hint="eastAsia"/>
          <w:b/>
          <w:bCs/>
          <w:kern w:val="0"/>
          <w:sz w:val="44"/>
          <w:szCs w:val="44"/>
        </w:rPr>
        <w:t>单位</w:t>
      </w:r>
      <w:r>
        <w:rPr>
          <w:b/>
          <w:bCs/>
          <w:kern w:val="0"/>
          <w:sz w:val="44"/>
          <w:szCs w:val="44"/>
        </w:rPr>
        <w:t>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w:t>
      </w:r>
      <w:r>
        <w:rPr>
          <w:rFonts w:hint="eastAsia" w:eastAsia="黑体"/>
          <w:bCs/>
          <w:kern w:val="0"/>
          <w:sz w:val="32"/>
          <w:szCs w:val="32"/>
        </w:rPr>
        <w:t>单位</w:t>
      </w:r>
      <w:r>
        <w:rPr>
          <w:rFonts w:eastAsia="黑体"/>
          <w:bCs/>
          <w:kern w:val="0"/>
          <w:sz w:val="32"/>
          <w:szCs w:val="32"/>
        </w:rPr>
        <w:t>基本概况</w:t>
      </w:r>
    </w:p>
    <w:p>
      <w:pPr>
        <w:ind w:firstLine="630" w:firstLineChars="196"/>
        <w:rPr>
          <w:rFonts w:ascii="仿宋_GB2312" w:hAnsi="宋体" w:eastAsia="仿宋_GB2312"/>
          <w:b/>
          <w:sz w:val="32"/>
          <w:szCs w:val="32"/>
        </w:rPr>
      </w:pPr>
      <w:r>
        <w:rPr>
          <w:rFonts w:hint="eastAsia" w:ascii="仿宋_GB2312" w:hAnsi="宋体" w:eastAsia="仿宋_GB2312"/>
          <w:b/>
          <w:sz w:val="32"/>
          <w:szCs w:val="32"/>
        </w:rPr>
        <w:t>（一）职能职责</w:t>
      </w:r>
    </w:p>
    <w:p>
      <w:pPr>
        <w:spacing w:line="560" w:lineRule="exact"/>
        <w:ind w:firstLine="640" w:firstLineChars="200"/>
        <w:rPr>
          <w:rFonts w:eastAsia="仿宋_GB2312"/>
          <w:color w:val="000000"/>
          <w:sz w:val="32"/>
          <w:szCs w:val="32"/>
        </w:rPr>
      </w:pPr>
      <w:r>
        <w:rPr>
          <w:rFonts w:hint="eastAsia" w:eastAsia="仿宋_GB2312"/>
          <w:color w:val="000000"/>
          <w:sz w:val="32"/>
          <w:szCs w:val="32"/>
        </w:rPr>
        <w:t>指导全州检察机关履行法律监督职能，保证国家法律的统一实施，对州人民代表大会及其常务委员会负责并报告工作，具体为： </w:t>
      </w:r>
    </w:p>
    <w:p>
      <w:pPr>
        <w:spacing w:line="560" w:lineRule="exact"/>
        <w:ind w:firstLine="640" w:firstLineChars="200"/>
        <w:rPr>
          <w:rFonts w:eastAsia="仿宋_GB2312"/>
          <w:color w:val="000000"/>
          <w:sz w:val="32"/>
          <w:szCs w:val="32"/>
        </w:rPr>
      </w:pPr>
      <w:r>
        <w:rPr>
          <w:rFonts w:hint="eastAsia" w:eastAsia="仿宋_GB2312"/>
          <w:color w:val="000000"/>
          <w:sz w:val="32"/>
          <w:szCs w:val="32"/>
        </w:rPr>
        <w:t>1、依法向州人民代表大会及其常务委员会提出议案；指导全州检察机关的工作，部署检察工作任务，指导各项检察业务的开展。</w:t>
      </w:r>
    </w:p>
    <w:p>
      <w:pPr>
        <w:spacing w:line="560" w:lineRule="exact"/>
        <w:ind w:firstLine="640" w:firstLineChars="200"/>
        <w:rPr>
          <w:rFonts w:eastAsia="仿宋_GB2312"/>
          <w:color w:val="000000"/>
          <w:sz w:val="32"/>
          <w:szCs w:val="32"/>
        </w:rPr>
      </w:pPr>
      <w:r>
        <w:rPr>
          <w:rFonts w:hint="eastAsia" w:eastAsia="仿宋_GB2312"/>
          <w:color w:val="000000"/>
          <w:sz w:val="32"/>
          <w:szCs w:val="32"/>
        </w:rPr>
        <w:t>2、对重大刑事案件审查批准逮捕、决定逮捕、提起公诉；依法对刑事诉讼、民事审判和行政诉讼实行行政监督。</w:t>
      </w:r>
    </w:p>
    <w:p>
      <w:pPr>
        <w:spacing w:line="560" w:lineRule="exact"/>
        <w:ind w:firstLine="640" w:firstLineChars="200"/>
        <w:rPr>
          <w:rFonts w:eastAsia="仿宋_GB2312"/>
          <w:color w:val="000000"/>
          <w:sz w:val="32"/>
          <w:szCs w:val="32"/>
        </w:rPr>
      </w:pPr>
      <w:r>
        <w:rPr>
          <w:rFonts w:hint="eastAsia" w:eastAsia="仿宋_GB2312"/>
          <w:color w:val="000000"/>
          <w:sz w:val="32"/>
          <w:szCs w:val="32"/>
        </w:rPr>
        <w:t>3、依法对执行机关执行刑罚的活动是否合法实行监督。</w:t>
      </w:r>
    </w:p>
    <w:p>
      <w:pPr>
        <w:spacing w:line="560" w:lineRule="exact"/>
        <w:ind w:firstLine="640" w:firstLineChars="200"/>
        <w:rPr>
          <w:rFonts w:eastAsia="仿宋_GB2312"/>
          <w:color w:val="000000"/>
          <w:sz w:val="32"/>
          <w:szCs w:val="32"/>
        </w:rPr>
      </w:pPr>
      <w:r>
        <w:rPr>
          <w:rFonts w:hint="eastAsia" w:eastAsia="仿宋_GB2312"/>
          <w:color w:val="000000"/>
          <w:sz w:val="32"/>
          <w:szCs w:val="32"/>
        </w:rPr>
        <w:t>4、依法对司法工作人员利用职权实施的非法拘禁，刑讯逼供，报复陷害，非法搜查等侵犯公民人身权利与侵犯公民民主权利的犯罪，司法工作人员利用职权实施的其他重大犯罪案件进行侦查。</w:t>
      </w:r>
    </w:p>
    <w:p>
      <w:pPr>
        <w:spacing w:line="560" w:lineRule="exact"/>
        <w:ind w:firstLine="640" w:firstLineChars="200"/>
        <w:rPr>
          <w:rFonts w:eastAsia="仿宋_GB2312"/>
          <w:color w:val="000000"/>
          <w:sz w:val="32"/>
          <w:szCs w:val="32"/>
        </w:rPr>
      </w:pPr>
      <w:r>
        <w:rPr>
          <w:rFonts w:hint="eastAsia" w:eastAsia="仿宋_GB2312"/>
          <w:color w:val="000000"/>
          <w:sz w:val="32"/>
          <w:szCs w:val="32"/>
        </w:rPr>
        <w:t>5、对州县市人民法院已经发生法律效力、确有错误的判决和裁定，依法提起抗诉或提请省人民检察院撤销。</w:t>
      </w:r>
    </w:p>
    <w:p>
      <w:pPr>
        <w:spacing w:line="560" w:lineRule="exact"/>
        <w:ind w:firstLine="640" w:firstLineChars="200"/>
        <w:rPr>
          <w:rFonts w:eastAsia="仿宋_GB2312"/>
          <w:color w:val="000000"/>
          <w:sz w:val="32"/>
          <w:szCs w:val="32"/>
        </w:rPr>
      </w:pPr>
      <w:r>
        <w:rPr>
          <w:rFonts w:hint="eastAsia" w:eastAsia="仿宋_GB2312"/>
          <w:color w:val="000000"/>
          <w:sz w:val="32"/>
          <w:szCs w:val="32"/>
        </w:rPr>
        <w:t>6、</w:t>
      </w:r>
      <w:r>
        <w:rPr>
          <w:rFonts w:eastAsia="仿宋_GB2312"/>
          <w:color w:val="000000"/>
          <w:sz w:val="32"/>
          <w:szCs w:val="32"/>
        </w:rPr>
        <w:t>负责应由</w:t>
      </w:r>
      <w:r>
        <w:rPr>
          <w:rFonts w:hint="eastAsia" w:eastAsia="仿宋_GB2312"/>
          <w:color w:val="000000"/>
          <w:sz w:val="32"/>
          <w:szCs w:val="32"/>
        </w:rPr>
        <w:t>州</w:t>
      </w:r>
      <w:r>
        <w:rPr>
          <w:rFonts w:eastAsia="仿宋_GB2312"/>
          <w:color w:val="000000"/>
          <w:sz w:val="32"/>
          <w:szCs w:val="32"/>
        </w:rPr>
        <w:t>人民检察院承办的提起公益诉讼工作，领导全</w:t>
      </w:r>
      <w:r>
        <w:rPr>
          <w:rFonts w:hint="eastAsia" w:eastAsia="仿宋_GB2312"/>
          <w:color w:val="000000"/>
          <w:sz w:val="32"/>
          <w:szCs w:val="32"/>
        </w:rPr>
        <w:t>州检察机关</w:t>
      </w:r>
      <w:r>
        <w:rPr>
          <w:rFonts w:eastAsia="仿宋_GB2312"/>
          <w:color w:val="000000"/>
          <w:sz w:val="32"/>
          <w:szCs w:val="32"/>
        </w:rPr>
        <w:t>开展提起公益诉讼工作。</w:t>
      </w:r>
    </w:p>
    <w:p>
      <w:pPr>
        <w:spacing w:line="560" w:lineRule="exact"/>
        <w:ind w:firstLine="640" w:firstLineChars="200"/>
        <w:rPr>
          <w:rFonts w:eastAsia="仿宋_GB2312"/>
          <w:color w:val="000000"/>
          <w:sz w:val="32"/>
          <w:szCs w:val="32"/>
        </w:rPr>
      </w:pPr>
      <w:r>
        <w:rPr>
          <w:rFonts w:hint="eastAsia" w:eastAsia="仿宋_GB2312"/>
          <w:color w:val="000000"/>
          <w:sz w:val="32"/>
          <w:szCs w:val="32"/>
        </w:rPr>
        <w:t>7、对全州检察机关在行使检察权中作出的决定进行审查，纠正错误决定。</w:t>
      </w:r>
    </w:p>
    <w:p>
      <w:pPr>
        <w:spacing w:line="560" w:lineRule="exact"/>
        <w:ind w:firstLine="640" w:firstLineChars="200"/>
        <w:rPr>
          <w:rFonts w:eastAsia="仿宋_GB2312"/>
          <w:color w:val="000000"/>
          <w:sz w:val="32"/>
          <w:szCs w:val="32"/>
        </w:rPr>
      </w:pPr>
      <w:r>
        <w:rPr>
          <w:rFonts w:hint="eastAsia" w:eastAsia="仿宋_GB2312"/>
          <w:color w:val="000000"/>
          <w:sz w:val="32"/>
          <w:szCs w:val="32"/>
        </w:rPr>
        <w:t>8、受理单位和个人的报案、控告、申诉、举报或犯罪嫌疑人的自首。</w:t>
      </w:r>
    </w:p>
    <w:p>
      <w:pPr>
        <w:spacing w:line="560" w:lineRule="exact"/>
        <w:ind w:firstLine="640" w:firstLineChars="200"/>
        <w:rPr>
          <w:rFonts w:eastAsia="仿宋_GB2312"/>
          <w:color w:val="000000"/>
          <w:sz w:val="32"/>
          <w:szCs w:val="32"/>
        </w:rPr>
      </w:pPr>
      <w:r>
        <w:rPr>
          <w:rFonts w:hint="eastAsia" w:eastAsia="仿宋_GB2312"/>
          <w:color w:val="000000"/>
          <w:sz w:val="32"/>
          <w:szCs w:val="32"/>
        </w:rPr>
        <w:t>9、对检察机关的业务工作具体应用法律的问题进行研究，向立法机关和上级检察机关提出立法及司法解释建议。</w:t>
      </w:r>
    </w:p>
    <w:p>
      <w:pPr>
        <w:spacing w:line="560" w:lineRule="exact"/>
        <w:ind w:firstLine="640" w:firstLineChars="200"/>
        <w:rPr>
          <w:rFonts w:eastAsia="仿宋_GB2312"/>
          <w:color w:val="000000"/>
          <w:sz w:val="32"/>
          <w:szCs w:val="32"/>
        </w:rPr>
      </w:pPr>
      <w:r>
        <w:rPr>
          <w:rFonts w:hint="eastAsia" w:eastAsia="仿宋_GB2312"/>
          <w:color w:val="000000"/>
          <w:sz w:val="32"/>
          <w:szCs w:val="32"/>
        </w:rPr>
        <w:t>10、开展法医、文检、视听、司法会计等检察技术工作。负责全州检察机关队伍建设和思想政治工作，依法管理检察官、司法警察及其他检察人员；</w:t>
      </w:r>
    </w:p>
    <w:p>
      <w:pPr>
        <w:spacing w:line="560" w:lineRule="exact"/>
        <w:ind w:firstLine="640" w:firstLineChars="200"/>
        <w:rPr>
          <w:rFonts w:ascii="仿宋_GB2312" w:eastAsia="仿宋_GB2312"/>
          <w:sz w:val="32"/>
          <w:szCs w:val="32"/>
        </w:rPr>
      </w:pPr>
      <w:r>
        <w:rPr>
          <w:rFonts w:hint="eastAsia" w:eastAsia="仿宋_GB2312"/>
          <w:color w:val="000000"/>
          <w:sz w:val="32"/>
          <w:szCs w:val="32"/>
        </w:rPr>
        <w:t>11、</w:t>
      </w:r>
      <w:r>
        <w:rPr>
          <w:rFonts w:hint="eastAsia" w:ascii="仿宋_GB2312" w:eastAsia="仿宋_GB2312"/>
          <w:sz w:val="32"/>
          <w:szCs w:val="32"/>
        </w:rPr>
        <w:t>负责全州检察机关队伍建设和思想政治工作。领导辖区内基层人民检察院依法管理检察官及其他检察人员的工作，组织指导全州检察机关教育培训工作。</w:t>
      </w:r>
    </w:p>
    <w:p>
      <w:pPr>
        <w:spacing w:line="560" w:lineRule="exact"/>
        <w:ind w:firstLine="643" w:firstLineChars="200"/>
        <w:rPr>
          <w:rFonts w:eastAsia="仿宋_GB2312"/>
          <w:color w:val="000000"/>
          <w:sz w:val="32"/>
          <w:szCs w:val="32"/>
        </w:rPr>
      </w:pPr>
      <w:r>
        <w:rPr>
          <w:rFonts w:hint="eastAsia" w:ascii="仿宋_GB2312" w:eastAsia="仿宋_GB2312"/>
          <w:b/>
          <w:sz w:val="32"/>
          <w:szCs w:val="32"/>
        </w:rPr>
        <w:t>12、</w:t>
      </w:r>
      <w:r>
        <w:rPr>
          <w:rFonts w:hint="eastAsia" w:ascii="仿宋_GB2312" w:eastAsia="仿宋_GB2312"/>
          <w:sz w:val="32"/>
          <w:szCs w:val="32"/>
        </w:rPr>
        <w:t>协同州委主管部门依照干部管理权限对相关人员进行管理和考核。</w:t>
      </w:r>
    </w:p>
    <w:p>
      <w:pPr>
        <w:spacing w:line="560" w:lineRule="exact"/>
        <w:ind w:firstLine="640" w:firstLineChars="200"/>
        <w:rPr>
          <w:rFonts w:eastAsia="仿宋_GB2312"/>
          <w:color w:val="000000"/>
          <w:sz w:val="32"/>
          <w:szCs w:val="32"/>
        </w:rPr>
      </w:pPr>
      <w:r>
        <w:rPr>
          <w:rFonts w:hint="eastAsia" w:eastAsia="仿宋_GB2312"/>
          <w:color w:val="000000"/>
          <w:sz w:val="32"/>
          <w:szCs w:val="32"/>
        </w:rPr>
        <w:t>13、规划和指导全州检察机关的计划、财务、装备工作。</w:t>
      </w:r>
    </w:p>
    <w:p>
      <w:pPr>
        <w:spacing w:line="560" w:lineRule="exact"/>
        <w:ind w:firstLine="640" w:firstLineChars="200"/>
        <w:rPr>
          <w:rFonts w:eastAsia="仿宋_GB2312"/>
          <w:color w:val="000000"/>
          <w:sz w:val="32"/>
          <w:szCs w:val="32"/>
        </w:rPr>
      </w:pPr>
      <w:r>
        <w:rPr>
          <w:rFonts w:hint="eastAsia" w:eastAsia="仿宋_GB2312"/>
          <w:color w:val="000000"/>
          <w:sz w:val="32"/>
          <w:szCs w:val="32"/>
        </w:rPr>
        <w:t>14、管理机关在职干部和离退休干部。</w:t>
      </w:r>
    </w:p>
    <w:p>
      <w:pPr>
        <w:spacing w:line="560" w:lineRule="exact"/>
        <w:ind w:firstLine="640" w:firstLineChars="200"/>
        <w:rPr>
          <w:rFonts w:eastAsia="仿宋_GB2312"/>
          <w:color w:val="000000"/>
          <w:sz w:val="32"/>
          <w:szCs w:val="32"/>
        </w:rPr>
      </w:pPr>
      <w:r>
        <w:rPr>
          <w:rFonts w:hint="eastAsia" w:eastAsia="仿宋_GB2312"/>
          <w:color w:val="000000"/>
          <w:sz w:val="32"/>
          <w:szCs w:val="32"/>
        </w:rPr>
        <w:t>15、负责其他应当由州人检察院承办的事项。</w:t>
      </w:r>
    </w:p>
    <w:p>
      <w:pPr>
        <w:widowControl/>
        <w:spacing w:line="600" w:lineRule="exact"/>
        <w:ind w:firstLine="630" w:firstLineChars="196"/>
        <w:jc w:val="left"/>
        <w:rPr>
          <w:rFonts w:ascii="仿宋_GB2312" w:eastAsia="仿宋_GB2312"/>
          <w:b/>
          <w:sz w:val="32"/>
          <w:szCs w:val="32"/>
        </w:rPr>
      </w:pPr>
      <w:r>
        <w:rPr>
          <w:rFonts w:hint="eastAsia" w:ascii="仿宋_GB2312" w:eastAsia="仿宋_GB2312"/>
          <w:b/>
          <w:sz w:val="32"/>
          <w:szCs w:val="32"/>
        </w:rPr>
        <w:t>（二）机构设置</w:t>
      </w:r>
    </w:p>
    <w:p>
      <w:pPr>
        <w:pStyle w:val="41"/>
        <w:widowControl/>
        <w:snapToGrid w:val="0"/>
        <w:spacing w:line="600" w:lineRule="exact"/>
        <w:ind w:firstLine="645"/>
        <w:jc w:val="both"/>
        <w:rPr>
          <w:rFonts w:hint="eastAsia" w:ascii="仿宋_GB2312" w:hAnsi="仿宋_GB2312" w:eastAsia="仿宋_GB2312" w:cs="仿宋_GB2312"/>
          <w:sz w:val="32"/>
          <w:lang w:val="en-US" w:eastAsia="zh-CN"/>
        </w:rPr>
      </w:pPr>
      <w:r>
        <w:rPr>
          <w:rFonts w:ascii="仿宋_GB2312" w:hAnsi="仿宋_GB2312" w:eastAsia="仿宋_GB2312" w:cs="仿宋_GB2312"/>
          <w:sz w:val="32"/>
          <w:szCs w:val="32"/>
        </w:rPr>
        <w:t>湘西州人民检察院机关本级现有16个内设机构，分别为：</w:t>
      </w:r>
      <w:r>
        <w:rPr>
          <w:rFonts w:ascii="仿宋_GB2312" w:hAnsi="仿宋_GB2312" w:eastAsia="仿宋_GB2312" w:cs="仿宋_GB2312"/>
          <w:sz w:val="32"/>
        </w:rPr>
        <w:t>办公室</w:t>
      </w:r>
      <w:r>
        <w:rPr>
          <w:rFonts w:ascii="仿宋_GB2312" w:hAnsi="仿宋_GB2312" w:eastAsia="仿宋_GB2312" w:cs="仿宋_GB2312"/>
          <w:color w:val="000000"/>
          <w:sz w:val="32"/>
          <w:szCs w:val="32"/>
        </w:rPr>
        <w:t>（新闻办公室）</w:t>
      </w:r>
      <w:r>
        <w:rPr>
          <w:rFonts w:ascii="仿宋_GB2312" w:hAnsi="仿宋_GB2312" w:eastAsia="仿宋_GB2312" w:cs="仿宋_GB2312"/>
          <w:sz w:val="32"/>
        </w:rPr>
        <w:t>、第一检察部、第二检察部、第三检察部、第四检察部、第五检察部、第六检察部、第七检察部、第八检察部、法律政策研究室、案件管理办公室、检务督察部（巡察工作领导小组办公室）、检察技术部、计划财务装备部、政治部（司法警察支队）、机关党委。</w:t>
      </w:r>
      <w:r>
        <w:rPr>
          <w:rFonts w:hint="eastAsia" w:ascii="仿宋_GB2312" w:hAnsi="仿宋_GB2312" w:eastAsia="仿宋_GB2312" w:cs="仿宋_GB2312"/>
          <w:sz w:val="32"/>
          <w:lang w:eastAsia="zh-CN"/>
        </w:rPr>
        <w:t>湘西州人民检察院只有本级，无其他预算单位，因此本预算仅含本级预算。</w:t>
      </w:r>
    </w:p>
    <w:p>
      <w:pPr>
        <w:widowControl/>
        <w:spacing w:line="600" w:lineRule="exact"/>
        <w:ind w:firstLine="627" w:firstLineChars="196"/>
        <w:rPr>
          <w:rFonts w:ascii="仿宋_GB2312" w:hAnsi="宋体" w:eastAsia="仿宋_GB2312"/>
          <w:sz w:val="32"/>
          <w:szCs w:val="32"/>
        </w:rPr>
      </w:pPr>
      <w:r>
        <w:rPr>
          <w:rFonts w:hint="eastAsia" w:eastAsia="黑体"/>
          <w:bCs/>
          <w:kern w:val="0"/>
          <w:sz w:val="32"/>
          <w:szCs w:val="32"/>
        </w:rPr>
        <w:t>二</w:t>
      </w:r>
      <w:r>
        <w:rPr>
          <w:rFonts w:eastAsia="黑体"/>
          <w:bCs/>
          <w:kern w:val="0"/>
          <w:sz w:val="32"/>
          <w:szCs w:val="32"/>
        </w:rPr>
        <w:t>、</w:t>
      </w:r>
      <w:r>
        <w:rPr>
          <w:rFonts w:hint="eastAsia" w:eastAsia="黑体"/>
          <w:bCs/>
          <w:kern w:val="0"/>
          <w:sz w:val="32"/>
          <w:szCs w:val="32"/>
        </w:rPr>
        <w:t>单位</w:t>
      </w:r>
      <w:r>
        <w:rPr>
          <w:rFonts w:eastAsia="黑体"/>
          <w:bCs/>
          <w:kern w:val="0"/>
          <w:sz w:val="32"/>
          <w:szCs w:val="32"/>
        </w:rPr>
        <w:t>收支总体情况</w:t>
      </w:r>
    </w:p>
    <w:p>
      <w:pPr>
        <w:ind w:firstLine="630" w:firstLineChars="196"/>
        <w:rPr>
          <w:rFonts w:ascii="宋体" w:hAnsi="宋体" w:eastAsia="仿宋_GB2312" w:cs="宋体"/>
          <w:b/>
          <w:bCs/>
          <w:sz w:val="20"/>
          <w:szCs w:val="20"/>
        </w:rPr>
      </w:pPr>
      <w:r>
        <w:rPr>
          <w:rFonts w:hint="eastAsia" w:ascii="仿宋_GB2312" w:eastAsia="仿宋_GB2312"/>
          <w:b/>
          <w:bCs/>
          <w:sz w:val="32"/>
          <w:szCs w:val="32"/>
        </w:rPr>
        <w:t>（一）收入预算：</w:t>
      </w:r>
      <w:r>
        <w:rPr>
          <w:rFonts w:hint="eastAsia" w:ascii="仿宋_GB2312" w:eastAsia="仿宋_GB2312"/>
          <w:sz w:val="32"/>
          <w:szCs w:val="32"/>
        </w:rPr>
        <w:t>包括</w:t>
      </w:r>
      <w:r>
        <w:rPr>
          <w:rFonts w:hint="eastAsia" w:ascii="仿宋_GB2312" w:eastAsia="仿宋_GB2312"/>
          <w:color w:val="000000"/>
          <w:sz w:val="32"/>
          <w:szCs w:val="32"/>
        </w:rPr>
        <w:t>一般公共预算拨款、中央财政补助和上年结余结转资金</w:t>
      </w:r>
      <w:r>
        <w:rPr>
          <w:rFonts w:hint="eastAsia" w:ascii="仿宋_GB2312" w:eastAsia="仿宋_GB2312"/>
          <w:sz w:val="32"/>
          <w:szCs w:val="32"/>
        </w:rPr>
        <w:t>。2022年本部门收入预算3726.61万元，其中，一般公共预算拨款2403.86万元，中央财政补助733.14万元，上年结余结转589.61万元，无政府性基金、国有资本经营预算拨款和纳入专户管理的非税收入。收入较去年增加564.44万元，主要是因为上年结转结余较去年增加475.81万元，一般公共预算拨款增加88.63万元，中央财政补助与上年数一致。</w:t>
      </w:r>
    </w:p>
    <w:p>
      <w:pPr>
        <w:ind w:firstLine="630" w:firstLineChars="196"/>
        <w:rPr>
          <w:rFonts w:ascii="宋体" w:hAnsi="宋体" w:eastAsia="仿宋_GB2312" w:cs="宋体"/>
          <w:b/>
          <w:bCs/>
          <w:sz w:val="20"/>
          <w:szCs w:val="20"/>
        </w:rPr>
      </w:pPr>
      <w:r>
        <w:rPr>
          <w:rFonts w:hint="eastAsia" w:ascii="仿宋_GB2312" w:eastAsia="仿宋_GB2312"/>
          <w:b/>
          <w:bCs/>
          <w:sz w:val="32"/>
          <w:szCs w:val="32"/>
        </w:rPr>
        <w:t>（二）支出预算：</w:t>
      </w:r>
      <w:r>
        <w:rPr>
          <w:rFonts w:hint="eastAsia" w:ascii="仿宋_GB2312" w:eastAsia="仿宋_GB2312"/>
          <w:sz w:val="32"/>
          <w:szCs w:val="32"/>
        </w:rPr>
        <w:t>2022年本单位支出预算3726.61万元，其中，一般公共服务支出126.94万元，公共安全支出3073.94万元，教育支出5万元，社会保障和就业支出236.95万元，卫生</w:t>
      </w:r>
      <w:r>
        <w:rPr>
          <w:rFonts w:hint="eastAsia" w:ascii="仿宋_GB2312" w:hAnsi="宋体" w:eastAsia="仿宋_GB2312"/>
          <w:sz w:val="32"/>
          <w:szCs w:val="32"/>
        </w:rPr>
        <w:t>健康支出113.51万元，住房保障支出170.27万元。</w:t>
      </w:r>
      <w:r>
        <w:rPr>
          <w:rFonts w:hint="eastAsia" w:ascii="仿宋_GB2312" w:eastAsia="仿宋_GB2312"/>
          <w:sz w:val="32"/>
          <w:szCs w:val="32"/>
        </w:rPr>
        <w:t>支出较去年增加564.44万元，主要是一般公共服务支出增加126.94万元，公共安全支出增加380.72万元，教育支出减少5万元，社会保障和就业支出增加109.82万元，卫生健康支出减少32.45万元，住房保障支出减少15.59万元。</w:t>
      </w:r>
    </w:p>
    <w:p>
      <w:pPr>
        <w:pStyle w:val="43"/>
        <w:widowControl/>
        <w:numPr>
          <w:ilvl w:val="0"/>
          <w:numId w:val="1"/>
        </w:numPr>
        <w:spacing w:line="600" w:lineRule="exact"/>
        <w:ind w:firstLineChars="0"/>
        <w:rPr>
          <w:rFonts w:eastAsia="黑体"/>
          <w:sz w:val="32"/>
          <w:szCs w:val="32"/>
        </w:rPr>
      </w:pPr>
      <w:r>
        <w:rPr>
          <w:rFonts w:eastAsia="黑体"/>
          <w:sz w:val="32"/>
          <w:szCs w:val="32"/>
        </w:rPr>
        <w:t>一般公共预算拨款支出</w:t>
      </w:r>
    </w:p>
    <w:p>
      <w:pPr>
        <w:widowControl/>
        <w:spacing w:line="600" w:lineRule="exact"/>
        <w:ind w:firstLine="640" w:firstLineChars="200"/>
        <w:rPr>
          <w:rFonts w:ascii="仿宋_GB2312" w:eastAsia="仿宋_GB2312"/>
          <w:sz w:val="32"/>
          <w:szCs w:val="32"/>
        </w:rPr>
      </w:pPr>
      <w:r>
        <w:rPr>
          <w:rFonts w:hint="eastAsia" w:ascii="仿宋_GB2312" w:eastAsia="仿宋_GB2312"/>
          <w:sz w:val="32"/>
          <w:szCs w:val="32"/>
        </w:rPr>
        <w:t>2022年一般公共预算拨款支出预算3726.61万元，其中，一般公共服务支出126.94万元，占3.41%；公共安全支出3073.94万元，占82.49%；教育支出5万元，占0.13%；社会保障和就业支出</w:t>
      </w:r>
      <w:r>
        <w:rPr>
          <w:rFonts w:hint="eastAsia" w:ascii="仿宋_GB2312" w:hAnsi="宋体" w:eastAsia="仿宋_GB2312"/>
          <w:sz w:val="32"/>
          <w:szCs w:val="32"/>
        </w:rPr>
        <w:t>236.95</w:t>
      </w:r>
      <w:r>
        <w:rPr>
          <w:rFonts w:hint="eastAsia" w:ascii="仿宋_GB2312" w:eastAsia="仿宋_GB2312"/>
          <w:sz w:val="32"/>
          <w:szCs w:val="32"/>
        </w:rPr>
        <w:t>万元，占6.35%；卫生健康支出</w:t>
      </w:r>
      <w:r>
        <w:rPr>
          <w:rFonts w:hint="eastAsia" w:ascii="仿宋_GB2312" w:hAnsi="宋体" w:eastAsia="仿宋_GB2312"/>
          <w:sz w:val="32"/>
          <w:szCs w:val="32"/>
        </w:rPr>
        <w:t>113.51</w:t>
      </w:r>
      <w:r>
        <w:rPr>
          <w:rFonts w:hint="eastAsia" w:ascii="仿宋_GB2312" w:eastAsia="仿宋_GB2312"/>
          <w:sz w:val="32"/>
          <w:szCs w:val="32"/>
        </w:rPr>
        <w:t>万元，占3.05%；住房保障支出</w:t>
      </w:r>
      <w:r>
        <w:rPr>
          <w:rFonts w:hint="eastAsia" w:ascii="仿宋_GB2312" w:hAnsi="宋体" w:eastAsia="仿宋_GB2312"/>
          <w:sz w:val="32"/>
          <w:szCs w:val="32"/>
        </w:rPr>
        <w:t>170.27</w:t>
      </w:r>
      <w:r>
        <w:rPr>
          <w:rFonts w:hint="eastAsia" w:ascii="仿宋_GB2312" w:eastAsia="仿宋_GB2312"/>
          <w:sz w:val="32"/>
          <w:szCs w:val="32"/>
        </w:rPr>
        <w:t>万元，占4.57%。具体安排情况如下：</w:t>
      </w:r>
    </w:p>
    <w:p>
      <w:pPr>
        <w:widowControl/>
        <w:spacing w:line="600" w:lineRule="exact"/>
        <w:ind w:firstLine="660"/>
        <w:rPr>
          <w:rFonts w:ascii="仿宋_GB2312" w:eastAsia="仿宋_GB2312"/>
          <w:sz w:val="32"/>
          <w:szCs w:val="32"/>
        </w:rPr>
      </w:pPr>
      <w:r>
        <w:rPr>
          <w:rFonts w:hint="eastAsia" w:ascii="仿宋_GB2312" w:eastAsia="仿宋_GB2312"/>
          <w:b/>
          <w:bCs/>
          <w:sz w:val="32"/>
          <w:szCs w:val="32"/>
        </w:rPr>
        <w:t>（一）基本支出：</w:t>
      </w:r>
      <w:r>
        <w:rPr>
          <w:rFonts w:hint="eastAsia" w:ascii="仿宋_GB2312" w:eastAsia="仿宋_GB2312"/>
          <w:sz w:val="32"/>
          <w:szCs w:val="32"/>
        </w:rPr>
        <w:t>2022年本单位基本支出预算数2894.58万元，主要是为保障单位正常运转、完成日常工作任务而发生的各项支出，包括用于基本工资、津贴补贴等人员经费以及办公费、印刷费、水电费、差旅费、邮电费、办公设备购置等公用经费。</w:t>
      </w:r>
    </w:p>
    <w:p>
      <w:pPr>
        <w:ind w:firstLine="640"/>
        <w:rPr>
          <w:rFonts w:ascii="仿宋_GB2312" w:eastAsia="仿宋_GB2312"/>
          <w:b/>
          <w:color w:val="FF0000"/>
          <w:sz w:val="32"/>
          <w:szCs w:val="32"/>
        </w:rPr>
      </w:pPr>
      <w:r>
        <w:rPr>
          <w:rFonts w:hint="eastAsia" w:ascii="仿宋_GB2312" w:eastAsia="仿宋_GB2312"/>
          <w:b/>
          <w:bCs/>
          <w:sz w:val="32"/>
          <w:szCs w:val="32"/>
        </w:rPr>
        <w:t>（二）项目支出：</w:t>
      </w:r>
      <w:r>
        <w:rPr>
          <w:rFonts w:hint="eastAsia" w:ascii="仿宋_GB2312" w:eastAsia="仿宋_GB2312"/>
          <w:sz w:val="32"/>
          <w:szCs w:val="32"/>
        </w:rPr>
        <w:t>2022年本单位项目支出预算832.03万元，主要是</w:t>
      </w:r>
      <w:r>
        <w:rPr>
          <w:rFonts w:hint="eastAsia" w:ascii="仿宋_GB2312" w:hAnsi="宋体" w:eastAsia="仿宋_GB2312"/>
          <w:sz w:val="32"/>
          <w:szCs w:val="32"/>
        </w:rPr>
        <w:t>单位为完成特定行政工作任务或事业发展目标而发生的支出，包括专项业务费、其他运转类（运行维护经费）</w:t>
      </w:r>
      <w:r>
        <w:rPr>
          <w:rFonts w:hint="eastAsia" w:ascii="仿宋_GB2312" w:hAnsi="宋体" w:eastAsia="仿宋_GB2312"/>
          <w:sz w:val="32"/>
          <w:szCs w:val="32"/>
          <w:lang w:eastAsia="zh-CN"/>
        </w:rPr>
        <w:t>、其他事业发展资金</w:t>
      </w:r>
      <w:r>
        <w:rPr>
          <w:rFonts w:hint="eastAsia" w:ascii="仿宋_GB2312" w:hAnsi="宋体" w:eastAsia="仿宋_GB2312"/>
          <w:sz w:val="32"/>
          <w:szCs w:val="32"/>
        </w:rPr>
        <w:t>等，其中：业务工作专项支出</w:t>
      </w:r>
      <w:r>
        <w:rPr>
          <w:rFonts w:hint="eastAsia" w:ascii="仿宋_GB2312" w:eastAsia="仿宋_GB2312"/>
          <w:bCs/>
          <w:sz w:val="32"/>
          <w:szCs w:val="32"/>
        </w:rPr>
        <w:t>590.86</w:t>
      </w:r>
      <w:r>
        <w:rPr>
          <w:rFonts w:hint="eastAsia" w:ascii="仿宋_GB2312" w:hAnsi="宋体" w:eastAsia="仿宋_GB2312"/>
          <w:sz w:val="32"/>
          <w:szCs w:val="32"/>
        </w:rPr>
        <w:t>万元，主要用于办案设备购置、检察听证室建设、档案数字化、检察干警基金、中心机房升级改造、扫黑除恶办案经费等方面；运行维护经费102.76万元，主要用于办公设备购置、地方中心工作经费、乡村振兴工作经费等</w:t>
      </w:r>
      <w:r>
        <w:rPr>
          <w:rFonts w:hint="eastAsia" w:ascii="仿宋_GB2312" w:hAnsi="宋体" w:eastAsia="仿宋_GB2312"/>
          <w:sz w:val="32"/>
          <w:szCs w:val="32"/>
          <w:lang w:eastAsia="zh-CN"/>
        </w:rPr>
        <w:t>；其他事业发展资金</w:t>
      </w:r>
      <w:r>
        <w:rPr>
          <w:rFonts w:hint="eastAsia" w:ascii="仿宋_GB2312" w:hAnsi="宋体" w:eastAsia="仿宋_GB2312"/>
          <w:sz w:val="32"/>
          <w:szCs w:val="32"/>
          <w:lang w:val="en-US" w:eastAsia="zh-CN"/>
        </w:rPr>
        <w:t>138.41万元，主要用于信息化建设等</w:t>
      </w:r>
      <w:r>
        <w:rPr>
          <w:rFonts w:hint="eastAsia" w:ascii="仿宋_GB2312" w:eastAsia="仿宋_GB2312"/>
          <w:sz w:val="32"/>
          <w:szCs w:val="32"/>
        </w:rPr>
        <w:t>。</w:t>
      </w:r>
    </w:p>
    <w:p>
      <w:pPr>
        <w:ind w:firstLine="640"/>
        <w:rPr>
          <w:rFonts w:ascii="黑体" w:hAnsi="黑体" w:eastAsia="黑体" w:cs="黑体"/>
          <w:sz w:val="32"/>
          <w:szCs w:val="32"/>
        </w:rPr>
      </w:pPr>
      <w:r>
        <w:rPr>
          <w:rFonts w:hint="eastAsia" w:ascii="黑体" w:hAnsi="黑体" w:eastAsia="黑体" w:cs="黑体"/>
          <w:sz w:val="32"/>
          <w:szCs w:val="32"/>
        </w:rPr>
        <w:t>四、政府性基金预算支出</w:t>
      </w:r>
    </w:p>
    <w:p>
      <w:pPr>
        <w:ind w:firstLine="640"/>
        <w:rPr>
          <w:rFonts w:ascii="仿宋_GB2312" w:eastAsia="仿宋_GB2312"/>
          <w:sz w:val="32"/>
          <w:szCs w:val="32"/>
        </w:rPr>
      </w:pPr>
      <w:r>
        <w:rPr>
          <w:rFonts w:hint="eastAsia" w:ascii="仿宋_GB2312" w:eastAsia="仿宋_GB2312"/>
          <w:sz w:val="32"/>
          <w:szCs w:val="32"/>
        </w:rPr>
        <w:t>2022年本单位无政府性基金安排的支出。</w:t>
      </w:r>
    </w:p>
    <w:p>
      <w:pPr>
        <w:widowControl/>
        <w:spacing w:line="600" w:lineRule="exact"/>
        <w:ind w:firstLine="660"/>
        <w:rPr>
          <w:rFonts w:eastAsia="黑体"/>
          <w:sz w:val="32"/>
          <w:szCs w:val="32"/>
        </w:rPr>
      </w:pPr>
      <w:r>
        <w:rPr>
          <w:rFonts w:hint="eastAsia" w:eastAsia="黑体"/>
          <w:sz w:val="32"/>
          <w:szCs w:val="32"/>
        </w:rPr>
        <w:t>五</w:t>
      </w:r>
      <w:r>
        <w:rPr>
          <w:rFonts w:eastAsia="黑体"/>
          <w:sz w:val="32"/>
          <w:szCs w:val="32"/>
        </w:rPr>
        <w:t>、其他重要事项的情况说明</w:t>
      </w:r>
    </w:p>
    <w:p>
      <w:pPr>
        <w:widowControl/>
        <w:spacing w:line="600" w:lineRule="exact"/>
        <w:ind w:firstLine="643" w:firstLineChars="200"/>
        <w:rPr>
          <w:rFonts w:ascii="仿宋_GB2312" w:eastAsia="仿宋_GB2312"/>
          <w:sz w:val="32"/>
          <w:szCs w:val="32"/>
        </w:rPr>
      </w:pPr>
      <w:r>
        <w:rPr>
          <w:rFonts w:hint="eastAsia" w:ascii="仿宋_GB2312" w:eastAsia="仿宋_GB2312"/>
          <w:b/>
          <w:bCs/>
          <w:sz w:val="32"/>
          <w:szCs w:val="32"/>
        </w:rPr>
        <w:t>（一）机关运行经费：</w:t>
      </w:r>
      <w:r>
        <w:rPr>
          <w:rFonts w:hint="eastAsia" w:ascii="仿宋_GB2312" w:hAnsi="宋体" w:eastAsia="仿宋_GB2312"/>
          <w:color w:val="000000" w:themeColor="text1"/>
          <w:sz w:val="32"/>
          <w:szCs w:val="32"/>
          <w14:textFill>
            <w14:solidFill>
              <w14:schemeClr w14:val="tx1"/>
            </w14:solidFill>
          </w14:textFill>
        </w:rPr>
        <w:t>如考虑中央财政补助，按全口径统计，</w:t>
      </w:r>
      <w:r>
        <w:rPr>
          <w:rFonts w:hint="eastAsia" w:ascii="仿宋_GB2312" w:hAnsi="宋体" w:eastAsia="仿宋_GB2312"/>
          <w:sz w:val="32"/>
          <w:szCs w:val="32"/>
        </w:rPr>
        <w:t>2022年本单位的机关运行经费1171.37万元，比2021年增加107.73万元</w:t>
      </w:r>
      <w:r>
        <w:rPr>
          <w:rFonts w:hint="eastAsia" w:ascii="仿宋_GB2312" w:eastAsia="仿宋_GB2312"/>
          <w:sz w:val="32"/>
          <w:szCs w:val="32"/>
        </w:rPr>
        <w:t>，上升10.13%，主要是办理专案增加机关运行经费预算。</w:t>
      </w:r>
    </w:p>
    <w:p>
      <w:pPr>
        <w:widowControl/>
        <w:spacing w:line="600" w:lineRule="exact"/>
        <w:ind w:firstLine="643" w:firstLineChars="200"/>
        <w:rPr>
          <w:rFonts w:ascii="仿宋_GB2312" w:eastAsia="仿宋_GB2312"/>
          <w:b/>
          <w:color w:val="FF0000"/>
          <w:sz w:val="32"/>
          <w:szCs w:val="32"/>
        </w:rPr>
      </w:pPr>
      <w:r>
        <w:rPr>
          <w:rFonts w:hint="eastAsia" w:ascii="仿宋_GB2312" w:eastAsia="仿宋_GB2312"/>
          <w:b/>
          <w:bCs/>
          <w:sz w:val="32"/>
          <w:szCs w:val="32"/>
        </w:rPr>
        <w:t>（二）“三公”经费预算：</w:t>
      </w:r>
      <w:r>
        <w:rPr>
          <w:rFonts w:hint="eastAsia" w:ascii="仿宋_GB2312" w:hAnsi="宋体" w:eastAsia="仿宋_GB2312"/>
          <w:color w:val="000000" w:themeColor="text1"/>
          <w:sz w:val="32"/>
          <w:szCs w:val="32"/>
          <w14:textFill>
            <w14:solidFill>
              <w14:schemeClr w14:val="tx1"/>
            </w14:solidFill>
          </w14:textFill>
        </w:rPr>
        <w:t>如考虑中央财政补助，按全口径统计，2</w:t>
      </w:r>
      <w:r>
        <w:rPr>
          <w:rFonts w:hint="eastAsia" w:ascii="仿宋_GB2312" w:hAnsi="宋体" w:eastAsia="仿宋_GB2312"/>
          <w:sz w:val="32"/>
          <w:szCs w:val="32"/>
        </w:rPr>
        <w:t>022年本单位</w:t>
      </w:r>
      <w:r>
        <w:rPr>
          <w:rFonts w:hint="eastAsia" w:ascii="仿宋_GB2312" w:eastAsia="仿宋_GB2312"/>
          <w:sz w:val="32"/>
          <w:szCs w:val="32"/>
        </w:rPr>
        <w:t>“三公”经费预算数为119.5万元，其中，公务接待费50万元，公务用车购置及运行费69.5万元（其中，公务用车购置费0万元，公务用车运行费69.5万元），因公出国（境）费0万元。2022年“三公”经费预算较上年持平，未超过上年度“三公”经费预算。</w:t>
      </w:r>
    </w:p>
    <w:p>
      <w:pPr>
        <w:ind w:firstLine="643" w:firstLineChars="200"/>
        <w:rPr>
          <w:rFonts w:ascii="仿宋_GB2312" w:eastAsia="仿宋_GB2312"/>
          <w:b/>
          <w:color w:val="FF0000"/>
          <w:sz w:val="32"/>
          <w:szCs w:val="32"/>
        </w:rPr>
      </w:pPr>
      <w:r>
        <w:rPr>
          <w:rFonts w:hint="eastAsia" w:ascii="仿宋_GB2312" w:eastAsia="仿宋_GB2312"/>
          <w:b/>
          <w:bCs/>
          <w:sz w:val="32"/>
          <w:szCs w:val="32"/>
        </w:rPr>
        <w:t>（三）一般性支出情况：</w:t>
      </w:r>
      <w:r>
        <w:rPr>
          <w:rFonts w:hint="eastAsia" w:ascii="仿宋_GB2312" w:eastAsia="仿宋_GB2312"/>
          <w:sz w:val="32"/>
          <w:szCs w:val="32"/>
        </w:rPr>
        <w:t>2022年本单位会议费预算5万元，拟召开全州检察长会议1次，人数38人，内容为全州年度检察工作总结及布置，预算1.6万元；其他会议4次，人数132人，预算3.4万元，内容为各部门组织的全州业务会议。培训费预算5万元，拟开展12次培训，人数152人，内容为各业务部门组织举办的业务及素能培训和参加上级单位组织的业务培训。其中：业务培训12次，人数126人，内容为刑事检察业务培训、职务犯罪检察业务培训、公益诉讼业务培训、司法警察业务培训、控告申诉业务培训、检察监督业务培训、案管业务培训、保密培训、新进人员入职培训、书记员培训、财物统管业务培训、政工业务培训等。</w:t>
      </w:r>
    </w:p>
    <w:p>
      <w:pPr>
        <w:widowControl/>
        <w:spacing w:line="600" w:lineRule="exact"/>
        <w:ind w:firstLine="660"/>
        <w:rPr>
          <w:rFonts w:ascii="仿宋_GB2312" w:eastAsia="仿宋_GB2312"/>
          <w:sz w:val="32"/>
          <w:szCs w:val="32"/>
        </w:rPr>
      </w:pPr>
      <w:r>
        <w:rPr>
          <w:rFonts w:hint="eastAsia" w:ascii="仿宋_GB2312" w:eastAsia="仿宋_GB2312"/>
          <w:b/>
          <w:bCs/>
          <w:sz w:val="32"/>
          <w:szCs w:val="32"/>
        </w:rPr>
        <w:t>（四）政府采购情况：</w:t>
      </w:r>
      <w:r>
        <w:rPr>
          <w:rFonts w:hint="eastAsia" w:ascii="仿宋_GB2312" w:eastAsia="仿宋_GB2312"/>
          <w:sz w:val="32"/>
          <w:szCs w:val="32"/>
        </w:rPr>
        <w:t>2022年</w:t>
      </w:r>
      <w:r>
        <w:rPr>
          <w:rFonts w:hint="eastAsia" w:ascii="仿宋_GB2312" w:hAnsi="宋体" w:eastAsia="仿宋_GB2312"/>
          <w:sz w:val="32"/>
          <w:szCs w:val="32"/>
        </w:rPr>
        <w:t>本部门</w:t>
      </w:r>
      <w:r>
        <w:rPr>
          <w:rFonts w:hint="eastAsia" w:ascii="仿宋_GB2312" w:eastAsia="仿宋_GB2312"/>
          <w:sz w:val="32"/>
          <w:szCs w:val="32"/>
        </w:rPr>
        <w:t>政府采购预算总额0万元，其中，</w:t>
      </w:r>
      <w:r>
        <w:rPr>
          <w:rFonts w:hint="eastAsia" w:ascii="仿宋_GB2312" w:hAnsi="宋体" w:eastAsia="仿宋_GB2312"/>
          <w:sz w:val="32"/>
          <w:szCs w:val="32"/>
        </w:rPr>
        <w:t>政府采购货物预算0</w:t>
      </w:r>
      <w:r>
        <w:rPr>
          <w:rFonts w:hint="eastAsia" w:ascii="仿宋_GB2312" w:eastAsia="仿宋_GB2312"/>
          <w:sz w:val="32"/>
          <w:szCs w:val="32"/>
        </w:rPr>
        <w:t>万元；</w:t>
      </w:r>
      <w:r>
        <w:rPr>
          <w:rFonts w:hint="eastAsia" w:ascii="仿宋_GB2312" w:hAnsi="宋体" w:eastAsia="仿宋_GB2312"/>
          <w:sz w:val="32"/>
          <w:szCs w:val="32"/>
        </w:rPr>
        <w:t>政府采购服务预算0</w:t>
      </w:r>
      <w:r>
        <w:rPr>
          <w:rFonts w:hint="eastAsia" w:ascii="仿宋_GB2312" w:eastAsia="仿宋_GB2312"/>
          <w:sz w:val="32"/>
          <w:szCs w:val="32"/>
        </w:rPr>
        <w:t>万元；工程采购预算0万元。</w:t>
      </w:r>
    </w:p>
    <w:p>
      <w:pPr>
        <w:widowControl/>
        <w:spacing w:line="600" w:lineRule="atLeast"/>
        <w:ind w:firstLine="662" w:firstLineChars="206"/>
        <w:jc w:val="left"/>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b/>
          <w:bCs/>
          <w:sz w:val="32"/>
          <w:szCs w:val="32"/>
        </w:rPr>
        <w:t>（五）国有资产占用使用及新增资产配置情况：</w:t>
      </w:r>
      <w:r>
        <w:rPr>
          <w:rFonts w:hint="eastAsia" w:ascii="仿宋_GB2312" w:hAnsi="仿宋_GB2312" w:eastAsia="仿宋_GB2312" w:cs="仿宋_GB2312"/>
          <w:kern w:val="0"/>
          <w:sz w:val="32"/>
          <w:szCs w:val="32"/>
          <w:shd w:val="clear" w:color="auto" w:fill="FFFFFF"/>
        </w:rPr>
        <w:t>截至2021年12月31日，本单位共有车辆10台，其中，一般公务用车1辆，一般执法执勤用车7辆，特种专业技术用车2辆。单位价值50万元以上通用设备0台，单位价值100万元以上专用设备0台。2022年拟新增配置公务用车0辆，其机要通信用车0辆，应急保障用车0辆，执法执勤用车0辆，特种专业技术用车0辆，其他按照规定配备的公务用车0辆。新增配备单位价值50万元以上通用设备 0台，单位价值100万元以上专用设备0台。</w:t>
      </w:r>
    </w:p>
    <w:p>
      <w:pPr>
        <w:widowControl/>
        <w:spacing w:line="600" w:lineRule="atLeast"/>
        <w:ind w:firstLine="662" w:firstLineChars="206"/>
        <w:jc w:val="left"/>
        <w:rPr>
          <w:rFonts w:hint="eastAsia" w:ascii="仿宋_GB2312" w:hAnsi="仿宋_GB2312" w:eastAsia="仿宋_GB2312" w:cs="仿宋_GB2312"/>
          <w:kern w:val="0"/>
          <w:sz w:val="32"/>
          <w:szCs w:val="32"/>
          <w:shd w:val="clear" w:color="auto" w:fill="FFFFFF"/>
          <w:lang w:eastAsia="zh-CN"/>
        </w:rPr>
      </w:pPr>
      <w:r>
        <w:rPr>
          <w:rFonts w:hint="eastAsia" w:ascii="仿宋_GB2312" w:hAnsi="仿宋_GB2312" w:eastAsia="仿宋_GB2312" w:cs="仿宋_GB2312"/>
          <w:b/>
          <w:bCs/>
          <w:sz w:val="32"/>
          <w:szCs w:val="32"/>
        </w:rPr>
        <w:t>（六）预算绩效目标说明：</w:t>
      </w:r>
      <w:r>
        <w:rPr>
          <w:rFonts w:hint="eastAsia" w:ascii="仿宋_GB2312" w:hAnsi="仿宋_GB2312" w:eastAsia="仿宋_GB2312" w:cs="仿宋_GB2312"/>
          <w:kern w:val="0"/>
          <w:sz w:val="32"/>
          <w:szCs w:val="32"/>
          <w:shd w:val="clear" w:color="auto" w:fill="FFFFFF"/>
        </w:rPr>
        <w:t>本单位所有支出实行绩效目标管理。纳入</w:t>
      </w:r>
      <w:r>
        <w:rPr>
          <w:rFonts w:hint="default" w:ascii="仿宋_GB2312" w:hAnsi="仿宋_GB2312" w:eastAsia="仿宋_GB2312" w:cs="仿宋_GB2312"/>
          <w:kern w:val="0"/>
          <w:sz w:val="32"/>
          <w:szCs w:val="32"/>
          <w:shd w:val="clear" w:color="auto" w:fill="FFFFFF"/>
        </w:rPr>
        <w:t>2022年单位整体支出绩效目标的金额为3726.61万元，其中，基本支出2894.58万元，项目支出832.03万元，具体绩效目标详见报表。</w:t>
      </w:r>
      <w:bookmarkStart w:id="0" w:name="_GoBack"/>
      <w:bookmarkEnd w:id="0"/>
    </w:p>
    <w:p>
      <w:pPr>
        <w:widowControl/>
        <w:spacing w:line="600" w:lineRule="atLeast"/>
        <w:ind w:firstLine="662" w:firstLineChars="206"/>
        <w:jc w:val="left"/>
        <w:rPr>
          <w:rFonts w:ascii="仿宋_GB2312" w:eastAsia="仿宋_GB2312"/>
          <w:sz w:val="32"/>
          <w:szCs w:val="32"/>
        </w:rPr>
      </w:pPr>
      <w:r>
        <w:rPr>
          <w:rFonts w:hint="eastAsia" w:ascii="仿宋_GB2312" w:eastAsia="仿宋_GB2312"/>
          <w:b/>
          <w:bCs/>
          <w:sz w:val="32"/>
          <w:szCs w:val="32"/>
        </w:rPr>
        <w:t>（七）其他问题说明：</w:t>
      </w:r>
      <w:r>
        <w:rPr>
          <w:rFonts w:hint="eastAsia" w:ascii="仿宋_GB2312" w:eastAsia="仿宋_GB2312"/>
          <w:sz w:val="32"/>
          <w:szCs w:val="32"/>
        </w:rPr>
        <w:t>2022年湘西州人民检察院无政府性基金预算支出、国有资本经营预算支出、财政专户管理资金预算支出和省级专项资金预算，所以表15、16、17、18、19、20、21无数据。</w:t>
      </w:r>
    </w:p>
    <w:p>
      <w:pPr>
        <w:widowControl/>
        <w:numPr>
          <w:ilvl w:val="0"/>
          <w:numId w:val="2"/>
        </w:numPr>
        <w:spacing w:line="600" w:lineRule="atLeast"/>
        <w:ind w:left="660"/>
        <w:jc w:val="left"/>
        <w:rPr>
          <w:rFonts w:eastAsia="黑体"/>
          <w:sz w:val="32"/>
          <w:szCs w:val="32"/>
        </w:rPr>
      </w:pPr>
      <w:r>
        <w:rPr>
          <w:rFonts w:eastAsia="黑体"/>
          <w:sz w:val="32"/>
          <w:szCs w:val="32"/>
        </w:rPr>
        <w:t>名词解释</w:t>
      </w:r>
    </w:p>
    <w:p>
      <w:pPr>
        <w:widowControl/>
        <w:spacing w:line="600" w:lineRule="atLeast"/>
        <w:ind w:firstLine="640" w:firstLineChars="200"/>
        <w:jc w:val="left"/>
        <w:rPr>
          <w:rFonts w:ascii="仿宋_GB2312" w:eastAsia="仿宋_GB2312"/>
          <w:sz w:val="32"/>
          <w:szCs w:val="32"/>
        </w:rPr>
      </w:pPr>
      <w:r>
        <w:rPr>
          <w:rFonts w:hint="eastAsia" w:ascii="仿宋_GB2312" w:eastAsia="仿宋_GB2312"/>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hint="eastAsia" w:ascii="仿宋_GB2312" w:eastAsia="仿宋_GB2312"/>
          <w:sz w:val="32"/>
          <w:szCs w:val="32"/>
        </w:rPr>
        <w:t>2、“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方正公文黑体"/>
    <w:panose1 w:val="00000000000000000000"/>
    <w:charset w:val="00"/>
    <w:family w:val="auto"/>
    <w:pitch w:val="default"/>
    <w:sig w:usb0="00000000" w:usb1="00000000" w:usb2="00000000"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公文黑体">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t>6</w:t>
    </w:r>
    <w:r>
      <w:rPr>
        <w:lang w:val="zh-CN"/>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17398A"/>
    <w:multiLevelType w:val="singleLevel"/>
    <w:tmpl w:val="EA17398A"/>
    <w:lvl w:ilvl="0" w:tentative="0">
      <w:start w:val="6"/>
      <w:numFmt w:val="chineseCounting"/>
      <w:suff w:val="nothing"/>
      <w:lvlText w:val="%1、"/>
      <w:lvlJc w:val="left"/>
      <w:rPr>
        <w:rFonts w:hint="eastAsia"/>
      </w:rPr>
    </w:lvl>
  </w:abstractNum>
  <w:abstractNum w:abstractNumId="1">
    <w:nsid w:val="48911FA3"/>
    <w:multiLevelType w:val="multilevel"/>
    <w:tmpl w:val="48911FA3"/>
    <w:lvl w:ilvl="0" w:tentative="0">
      <w:start w:val="3"/>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N2VjYjBjOGZiZjM0ZTRiNGIwNmFjZTI1MTQzZDIifQ=="/>
  </w:docVars>
  <w:rsids>
    <w:rsidRoot w:val="00172A27"/>
    <w:rsid w:val="0001091D"/>
    <w:rsid w:val="00017C18"/>
    <w:rsid w:val="00041510"/>
    <w:rsid w:val="00043330"/>
    <w:rsid w:val="00137403"/>
    <w:rsid w:val="001564AF"/>
    <w:rsid w:val="00171F07"/>
    <w:rsid w:val="00172A27"/>
    <w:rsid w:val="001B5B1C"/>
    <w:rsid w:val="001D6FC2"/>
    <w:rsid w:val="00254924"/>
    <w:rsid w:val="002958D4"/>
    <w:rsid w:val="002A4D61"/>
    <w:rsid w:val="002E3D68"/>
    <w:rsid w:val="00346FA9"/>
    <w:rsid w:val="003A38CC"/>
    <w:rsid w:val="003C3BAE"/>
    <w:rsid w:val="0042786C"/>
    <w:rsid w:val="00482534"/>
    <w:rsid w:val="004B20A7"/>
    <w:rsid w:val="004F1FF4"/>
    <w:rsid w:val="00551281"/>
    <w:rsid w:val="00651E76"/>
    <w:rsid w:val="006974AD"/>
    <w:rsid w:val="006A0FBC"/>
    <w:rsid w:val="006C018D"/>
    <w:rsid w:val="00702B86"/>
    <w:rsid w:val="007C63C0"/>
    <w:rsid w:val="0083687D"/>
    <w:rsid w:val="00894578"/>
    <w:rsid w:val="008B7300"/>
    <w:rsid w:val="009A2220"/>
    <w:rsid w:val="00A260FB"/>
    <w:rsid w:val="00A33A94"/>
    <w:rsid w:val="00A65F2D"/>
    <w:rsid w:val="00A730F5"/>
    <w:rsid w:val="00AB6562"/>
    <w:rsid w:val="00AD22EF"/>
    <w:rsid w:val="00AE5F8C"/>
    <w:rsid w:val="00B30B72"/>
    <w:rsid w:val="00B34AC3"/>
    <w:rsid w:val="00B9703A"/>
    <w:rsid w:val="00C1600A"/>
    <w:rsid w:val="00C16B91"/>
    <w:rsid w:val="00C30100"/>
    <w:rsid w:val="00C46464"/>
    <w:rsid w:val="00C6022B"/>
    <w:rsid w:val="00CE6F64"/>
    <w:rsid w:val="00D219C5"/>
    <w:rsid w:val="00D26AFA"/>
    <w:rsid w:val="00D6687E"/>
    <w:rsid w:val="00DA599F"/>
    <w:rsid w:val="00DE28DD"/>
    <w:rsid w:val="00DE4BA3"/>
    <w:rsid w:val="00DF700A"/>
    <w:rsid w:val="00E55D2E"/>
    <w:rsid w:val="00E94193"/>
    <w:rsid w:val="00EA2346"/>
    <w:rsid w:val="00EA5A13"/>
    <w:rsid w:val="00ED6783"/>
    <w:rsid w:val="00F22A9F"/>
    <w:rsid w:val="03195788"/>
    <w:rsid w:val="04004C1C"/>
    <w:rsid w:val="05510DB5"/>
    <w:rsid w:val="05A5559C"/>
    <w:rsid w:val="068B4503"/>
    <w:rsid w:val="084B35B4"/>
    <w:rsid w:val="09445574"/>
    <w:rsid w:val="0A47328F"/>
    <w:rsid w:val="0BBF3EFE"/>
    <w:rsid w:val="0C6B1FA9"/>
    <w:rsid w:val="0F715ECE"/>
    <w:rsid w:val="115B2180"/>
    <w:rsid w:val="14075EAB"/>
    <w:rsid w:val="147A65BA"/>
    <w:rsid w:val="14F90C5B"/>
    <w:rsid w:val="15D41360"/>
    <w:rsid w:val="18BF29CD"/>
    <w:rsid w:val="19B80874"/>
    <w:rsid w:val="1A935EAF"/>
    <w:rsid w:val="1B0845EE"/>
    <w:rsid w:val="1C083AA3"/>
    <w:rsid w:val="1C613C7E"/>
    <w:rsid w:val="1C743A19"/>
    <w:rsid w:val="1F061311"/>
    <w:rsid w:val="1F6B19C0"/>
    <w:rsid w:val="229D5692"/>
    <w:rsid w:val="23356AAB"/>
    <w:rsid w:val="23B068F0"/>
    <w:rsid w:val="248D4246"/>
    <w:rsid w:val="249D3695"/>
    <w:rsid w:val="25E628C8"/>
    <w:rsid w:val="265B53F0"/>
    <w:rsid w:val="26E77D47"/>
    <w:rsid w:val="289533C2"/>
    <w:rsid w:val="28F37C87"/>
    <w:rsid w:val="29FF3EEA"/>
    <w:rsid w:val="2CFA58F7"/>
    <w:rsid w:val="2EED57D2"/>
    <w:rsid w:val="314A57BE"/>
    <w:rsid w:val="32CF230F"/>
    <w:rsid w:val="32FA0641"/>
    <w:rsid w:val="36BE28F0"/>
    <w:rsid w:val="38FF2ADB"/>
    <w:rsid w:val="392E6064"/>
    <w:rsid w:val="3BC1506C"/>
    <w:rsid w:val="3D9F0761"/>
    <w:rsid w:val="3EE31532"/>
    <w:rsid w:val="42173DE8"/>
    <w:rsid w:val="43ED3B22"/>
    <w:rsid w:val="44D14273"/>
    <w:rsid w:val="45F004A7"/>
    <w:rsid w:val="48CF19E6"/>
    <w:rsid w:val="4934562B"/>
    <w:rsid w:val="4B22539B"/>
    <w:rsid w:val="4BAB38AE"/>
    <w:rsid w:val="4C7A278B"/>
    <w:rsid w:val="4C8224DA"/>
    <w:rsid w:val="4D2D16B8"/>
    <w:rsid w:val="509A7651"/>
    <w:rsid w:val="50ED097F"/>
    <w:rsid w:val="50FB768A"/>
    <w:rsid w:val="52746B57"/>
    <w:rsid w:val="54A015B3"/>
    <w:rsid w:val="54DB7619"/>
    <w:rsid w:val="56436FA5"/>
    <w:rsid w:val="5F990B96"/>
    <w:rsid w:val="61723F60"/>
    <w:rsid w:val="621B5236"/>
    <w:rsid w:val="64954CB0"/>
    <w:rsid w:val="649B58C1"/>
    <w:rsid w:val="6666058F"/>
    <w:rsid w:val="6721095D"/>
    <w:rsid w:val="69DF7D29"/>
    <w:rsid w:val="69F85069"/>
    <w:rsid w:val="6B7A0C3E"/>
    <w:rsid w:val="720F41BC"/>
    <w:rsid w:val="72453D3F"/>
    <w:rsid w:val="726E7AF1"/>
    <w:rsid w:val="74F13AA4"/>
    <w:rsid w:val="76354832"/>
    <w:rsid w:val="770C691F"/>
    <w:rsid w:val="77E75703"/>
    <w:rsid w:val="783E70C2"/>
    <w:rsid w:val="7C8D4D1E"/>
    <w:rsid w:val="7CC640A2"/>
    <w:rsid w:val="7D1A7378"/>
    <w:rsid w:val="7D6F0198"/>
    <w:rsid w:val="7DE20E60"/>
    <w:rsid w:val="7DF91CDD"/>
    <w:rsid w:val="BBDFEE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30"/>
    <w:qFormat/>
    <w:uiPriority w:val="0"/>
    <w:rPr>
      <w:sz w:val="18"/>
      <w:szCs w:val="18"/>
    </w:rPr>
  </w:style>
  <w:style w:type="paragraph" w:styleId="3">
    <w:name w:val="footer"/>
    <w:basedOn w:val="1"/>
    <w:link w:val="40"/>
    <w:qFormat/>
    <w:uiPriority w:val="0"/>
    <w:pPr>
      <w:tabs>
        <w:tab w:val="center" w:pos="4153"/>
        <w:tab w:val="right" w:pos="8306"/>
      </w:tabs>
      <w:snapToGrid w:val="0"/>
      <w:jc w:val="left"/>
    </w:pPr>
    <w:rPr>
      <w:sz w:val="18"/>
      <w:szCs w:val="18"/>
    </w:rPr>
  </w:style>
  <w:style w:type="paragraph" w:styleId="4">
    <w:name w:val="header"/>
    <w:basedOn w:val="1"/>
    <w:link w:val="36"/>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style>
  <w:style w:type="paragraph" w:styleId="6">
    <w:name w:val="toc 2"/>
    <w:basedOn w:val="1"/>
    <w:next w:val="1"/>
    <w:qFormat/>
    <w:uiPriority w:val="0"/>
    <w:pPr>
      <w:ind w:left="420" w:leftChars="200"/>
    </w:pPr>
  </w:style>
  <w:style w:type="paragraph" w:styleId="7">
    <w:name w:val="Normal (Web)"/>
    <w:basedOn w:val="1"/>
    <w:qFormat/>
    <w:uiPriority w:val="0"/>
    <w:pPr>
      <w:spacing w:before="100" w:beforeAutospacing="1" w:after="100" w:afterAutospacing="1"/>
      <w:jc w:val="left"/>
    </w:pPr>
    <w:rPr>
      <w:kern w:val="0"/>
      <w:sz w:val="24"/>
    </w:rPr>
  </w:style>
  <w:style w:type="character" w:styleId="10">
    <w:name w:val="Strong"/>
    <w:basedOn w:val="9"/>
    <w:qFormat/>
    <w:uiPriority w:val="0"/>
    <w:rPr>
      <w:b/>
    </w:rPr>
  </w:style>
  <w:style w:type="character" w:styleId="11">
    <w:name w:val="page number"/>
    <w:basedOn w:val="9"/>
    <w:qFormat/>
    <w:uiPriority w:val="0"/>
  </w:style>
  <w:style w:type="character" w:styleId="12">
    <w:name w:val="FollowedHyperlink"/>
    <w:basedOn w:val="9"/>
    <w:qFormat/>
    <w:uiPriority w:val="0"/>
    <w:rPr>
      <w:color w:val="555555"/>
      <w:u w:val="none"/>
    </w:rPr>
  </w:style>
  <w:style w:type="character" w:styleId="13">
    <w:name w:val="Emphasis"/>
    <w:basedOn w:val="9"/>
    <w:qFormat/>
    <w:uiPriority w:val="0"/>
  </w:style>
  <w:style w:type="character" w:styleId="14">
    <w:name w:val="HTML Definition"/>
    <w:basedOn w:val="9"/>
    <w:qFormat/>
    <w:uiPriority w:val="0"/>
  </w:style>
  <w:style w:type="character" w:styleId="15">
    <w:name w:val="HTML Typewriter"/>
    <w:basedOn w:val="9"/>
    <w:qFormat/>
    <w:uiPriority w:val="0"/>
    <w:rPr>
      <w:rFonts w:hint="default" w:ascii="monospace" w:hAnsi="monospace" w:eastAsia="monospace" w:cs="monospace"/>
      <w:sz w:val="20"/>
    </w:rPr>
  </w:style>
  <w:style w:type="character" w:styleId="16">
    <w:name w:val="HTML Acronym"/>
    <w:basedOn w:val="9"/>
    <w:qFormat/>
    <w:uiPriority w:val="0"/>
  </w:style>
  <w:style w:type="character" w:styleId="17">
    <w:name w:val="HTML Variable"/>
    <w:basedOn w:val="9"/>
    <w:qFormat/>
    <w:uiPriority w:val="0"/>
  </w:style>
  <w:style w:type="character" w:styleId="18">
    <w:name w:val="Hyperlink"/>
    <w:basedOn w:val="9"/>
    <w:qFormat/>
    <w:uiPriority w:val="0"/>
    <w:rPr>
      <w:color w:val="555555"/>
      <w:u w:val="none"/>
    </w:rPr>
  </w:style>
  <w:style w:type="character" w:styleId="19">
    <w:name w:val="HTML Code"/>
    <w:basedOn w:val="9"/>
    <w:qFormat/>
    <w:uiPriority w:val="0"/>
    <w:rPr>
      <w:rFonts w:hint="default" w:ascii="monospace" w:hAnsi="monospace" w:eastAsia="monospace" w:cs="monospace"/>
      <w:sz w:val="20"/>
    </w:rPr>
  </w:style>
  <w:style w:type="character" w:styleId="20">
    <w:name w:val="HTML Cite"/>
    <w:basedOn w:val="9"/>
    <w:qFormat/>
    <w:uiPriority w:val="0"/>
    <w:rPr>
      <w:color w:val="FF0000"/>
      <w:u w:val="single"/>
    </w:rPr>
  </w:style>
  <w:style w:type="character" w:styleId="21">
    <w:name w:val="HTML Keyboard"/>
    <w:basedOn w:val="9"/>
    <w:qFormat/>
    <w:uiPriority w:val="0"/>
    <w:rPr>
      <w:rFonts w:ascii="monospace" w:hAnsi="monospace" w:eastAsia="monospace" w:cs="monospace"/>
      <w:sz w:val="20"/>
    </w:rPr>
  </w:style>
  <w:style w:type="character" w:styleId="22">
    <w:name w:val="HTML Sample"/>
    <w:basedOn w:val="9"/>
    <w:qFormat/>
    <w:uiPriority w:val="0"/>
    <w:rPr>
      <w:rFonts w:hint="default" w:ascii="monospace" w:hAnsi="monospace" w:eastAsia="monospace" w:cs="monospace"/>
    </w:rPr>
  </w:style>
  <w:style w:type="character" w:customStyle="1" w:styleId="23">
    <w:name w:val="bds_more2"/>
    <w:basedOn w:val="9"/>
    <w:qFormat/>
    <w:uiPriority w:val="0"/>
  </w:style>
  <w:style w:type="character" w:customStyle="1" w:styleId="24">
    <w:name w:val="bds_more1"/>
    <w:basedOn w:val="9"/>
    <w:qFormat/>
    <w:uiPriority w:val="0"/>
    <w:rPr>
      <w:rFonts w:hint="eastAsia" w:ascii="宋体" w:hAnsi="宋体" w:eastAsia="宋体" w:cs="宋体"/>
    </w:rPr>
  </w:style>
  <w:style w:type="character" w:customStyle="1" w:styleId="25">
    <w:name w:val="right5"/>
    <w:basedOn w:val="9"/>
    <w:qFormat/>
    <w:uiPriority w:val="0"/>
  </w:style>
  <w:style w:type="character" w:customStyle="1" w:styleId="26">
    <w:name w:val="right6"/>
    <w:basedOn w:val="9"/>
    <w:qFormat/>
    <w:uiPriority w:val="0"/>
  </w:style>
  <w:style w:type="character" w:customStyle="1" w:styleId="27">
    <w:name w:val="bds_nopic2"/>
    <w:basedOn w:val="9"/>
    <w:qFormat/>
    <w:uiPriority w:val="0"/>
  </w:style>
  <w:style w:type="character" w:customStyle="1" w:styleId="28">
    <w:name w:val="bds_nopic1"/>
    <w:basedOn w:val="9"/>
    <w:qFormat/>
    <w:uiPriority w:val="0"/>
  </w:style>
  <w:style w:type="character" w:customStyle="1" w:styleId="29">
    <w:name w:val="retractmanager"/>
    <w:basedOn w:val="9"/>
    <w:qFormat/>
    <w:uiPriority w:val="0"/>
    <w:rPr>
      <w:color w:val="FF002A"/>
    </w:rPr>
  </w:style>
  <w:style w:type="character" w:customStyle="1" w:styleId="30">
    <w:name w:val="批注框文本 字符"/>
    <w:link w:val="2"/>
    <w:qFormat/>
    <w:uiPriority w:val="0"/>
    <w:rPr>
      <w:kern w:val="2"/>
      <w:sz w:val="18"/>
      <w:szCs w:val="18"/>
    </w:rPr>
  </w:style>
  <w:style w:type="character" w:customStyle="1" w:styleId="31">
    <w:name w:val="bds_more"/>
    <w:basedOn w:val="9"/>
    <w:qFormat/>
    <w:uiPriority w:val="0"/>
  </w:style>
  <w:style w:type="character" w:customStyle="1" w:styleId="32">
    <w:name w:val="displaycontent"/>
    <w:basedOn w:val="9"/>
    <w:qFormat/>
    <w:uiPriority w:val="0"/>
    <w:rPr>
      <w:color w:val="FF002A"/>
    </w:rPr>
  </w:style>
  <w:style w:type="character" w:customStyle="1" w:styleId="33">
    <w:name w:val="bds_nopic"/>
    <w:basedOn w:val="9"/>
    <w:qFormat/>
    <w:uiPriority w:val="0"/>
  </w:style>
  <w:style w:type="character" w:customStyle="1" w:styleId="34">
    <w:name w:val="mk5_wzstyle"/>
    <w:basedOn w:val="9"/>
    <w:qFormat/>
    <w:uiPriority w:val="0"/>
  </w:style>
  <w:style w:type="character" w:customStyle="1" w:styleId="35">
    <w:name w:val="hover17"/>
    <w:basedOn w:val="9"/>
    <w:qFormat/>
    <w:uiPriority w:val="0"/>
  </w:style>
  <w:style w:type="character" w:customStyle="1" w:styleId="36">
    <w:name w:val="页眉 字符"/>
    <w:link w:val="4"/>
    <w:qFormat/>
    <w:uiPriority w:val="0"/>
    <w:rPr>
      <w:kern w:val="2"/>
      <w:sz w:val="18"/>
      <w:szCs w:val="18"/>
    </w:rPr>
  </w:style>
  <w:style w:type="character" w:customStyle="1" w:styleId="37">
    <w:name w:val="size"/>
    <w:basedOn w:val="9"/>
    <w:qFormat/>
    <w:uiPriority w:val="0"/>
  </w:style>
  <w:style w:type="character" w:customStyle="1" w:styleId="38">
    <w:name w:val="p12_blue"/>
    <w:basedOn w:val="9"/>
    <w:qFormat/>
    <w:uiPriority w:val="0"/>
  </w:style>
  <w:style w:type="character" w:customStyle="1" w:styleId="39">
    <w:name w:val="bsharetext"/>
    <w:basedOn w:val="9"/>
    <w:qFormat/>
    <w:uiPriority w:val="0"/>
  </w:style>
  <w:style w:type="character" w:customStyle="1" w:styleId="40">
    <w:name w:val="页脚 字符"/>
    <w:link w:val="3"/>
    <w:qFormat/>
    <w:uiPriority w:val="0"/>
    <w:rPr>
      <w:kern w:val="2"/>
      <w:sz w:val="18"/>
      <w:szCs w:val="18"/>
    </w:rPr>
  </w:style>
  <w:style w:type="paragraph" w:customStyle="1" w:styleId="41">
    <w:name w:val="普通(网站)1"/>
    <w:basedOn w:val="1"/>
    <w:qFormat/>
    <w:uiPriority w:val="0"/>
    <w:pPr>
      <w:jc w:val="left"/>
    </w:pPr>
    <w:rPr>
      <w:rFonts w:hint="eastAsia"/>
      <w:sz w:val="24"/>
    </w:rPr>
  </w:style>
  <w:style w:type="paragraph" w:customStyle="1" w:styleId="42">
    <w:name w:val="Char"/>
    <w:basedOn w:val="1"/>
    <w:qFormat/>
    <w:uiPriority w:val="0"/>
    <w:pPr>
      <w:widowControl/>
      <w:spacing w:line="360" w:lineRule="auto"/>
      <w:jc w:val="left"/>
    </w:pPr>
  </w:style>
  <w:style w:type="paragraph" w:customStyle="1" w:styleId="43">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576</Words>
  <Characters>3287</Characters>
  <Lines>27</Lines>
  <Paragraphs>7</Paragraphs>
  <TotalTime>11</TotalTime>
  <ScaleCrop>false</ScaleCrop>
  <LinksUpToDate>false</LinksUpToDate>
  <CharactersWithSpaces>3856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2022-02-21T11:32:00Z</dcterms:created>
  <dc:creator>高立朝 10.104.97.45</dc:creator>
  <cp:lastModifiedBy>黄顺祥</cp:lastModifiedBy>
  <cp:lastPrinted>2021-03-09T18:37:00Z</cp:lastPrinted>
  <dcterms:modified xsi:type="dcterms:W3CDTF">2023-09-27T03:00:29Z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24CB4E37B5464DE88C7F785B75DD8E23</vt:lpwstr>
  </property>
</Properties>
</file>