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附件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：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常德市人民检察院</w:t>
      </w:r>
      <w:r>
        <w:rPr>
          <w:rFonts w:eastAsia="方正小标宋_GBK"/>
          <w:bCs/>
          <w:kern w:val="0"/>
          <w:sz w:val="44"/>
          <w:szCs w:val="44"/>
        </w:rPr>
        <w:t>部门预算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年部门预算说明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一、部门基本概况</w:t>
      </w:r>
    </w:p>
    <w:p>
      <w:pPr>
        <w:widowControl/>
        <w:spacing w:line="600" w:lineRule="exact"/>
        <w:ind w:firstLine="629" w:firstLineChars="196"/>
        <w:jc w:val="left"/>
        <w:rPr>
          <w:rFonts w:hint="eastAsia" w:eastAsia="楷体_GB2312"/>
          <w:b/>
          <w:sz w:val="32"/>
          <w:szCs w:val="32"/>
          <w:lang w:val="en" w:eastAsia="zh-CN"/>
        </w:rPr>
      </w:pPr>
      <w:r>
        <w:rPr>
          <w:rFonts w:eastAsia="楷体_GB2312"/>
          <w:b/>
          <w:sz w:val="32"/>
          <w:szCs w:val="32"/>
        </w:rPr>
        <w:t>（一）职能职责。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常德市人民检察院是本市的法律监督机关，领导本市各地人民检察院履行法律监督职能，接受湖南省人民检察院领导，对常德市人民代表大会及其常务委员会负责并报告工作。</w:t>
      </w:r>
    </w:p>
    <w:p>
      <w:pPr>
        <w:widowControl/>
        <w:spacing w:line="600" w:lineRule="exact"/>
        <w:ind w:firstLine="629" w:firstLineChars="196"/>
        <w:jc w:val="left"/>
        <w:rPr>
          <w:rFonts w:hint="default" w:eastAsia="楷体_GB2312"/>
          <w:b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（二）机构设置。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本部门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设内设机构17个，即办公室（新闻办公室）、第一检察部、第二检察部、第三检察部、第四检察部、第五检察部、第六检察部、第七检察部、第八检察部、法律政策研究室、案件管理办公室、检务督察部、检察技术部、计划财务装备部、政治部（含干部科、宣传教育科）、机关党委、驻所检察室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二、部门预算单位构成</w:t>
      </w:r>
    </w:p>
    <w:p>
      <w:pPr>
        <w:widowControl/>
        <w:spacing w:line="60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常德市人民检察院</w:t>
      </w:r>
      <w:r>
        <w:rPr>
          <w:rFonts w:eastAsia="仿宋_GB2312"/>
          <w:sz w:val="32"/>
          <w:szCs w:val="32"/>
        </w:rPr>
        <w:t>部门只有本级，没有其他预算单位，因此本部门预算仅含本级预算。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三、部门收支总体情况</w:t>
      </w:r>
    </w:p>
    <w:p>
      <w:pPr>
        <w:widowControl/>
        <w:spacing w:line="600" w:lineRule="exact"/>
        <w:ind w:firstLine="629" w:firstLineChars="196"/>
        <w:rPr>
          <w:rFonts w:eastAsia="仿宋_GB2312"/>
          <w:b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年本部门收入预算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3619.95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2661.84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一般公共预算补助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824.16</w:t>
      </w:r>
      <w:r>
        <w:rPr>
          <w:rFonts w:hint="eastAsia" w:eastAsia="仿宋_GB2312"/>
          <w:sz w:val="32"/>
          <w:szCs w:val="32"/>
          <w:lang w:val="en-US" w:eastAsia="zh-CN"/>
        </w:rPr>
        <w:t>万元，本部门无</w:t>
      </w:r>
      <w:r>
        <w:rPr>
          <w:rFonts w:eastAsia="仿宋_GB2312"/>
          <w:sz w:val="32"/>
          <w:szCs w:val="32"/>
        </w:rPr>
        <w:t>政府性基金</w:t>
      </w:r>
      <w:r>
        <w:rPr>
          <w:rFonts w:hint="eastAsia" w:eastAsia="仿宋_GB2312"/>
          <w:sz w:val="32"/>
          <w:szCs w:val="32"/>
          <w:lang w:eastAsia="zh-CN"/>
        </w:rPr>
        <w:t>安排的支出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无</w:t>
      </w:r>
      <w:r>
        <w:rPr>
          <w:rFonts w:eastAsia="仿宋_GB2312"/>
          <w:sz w:val="32"/>
          <w:szCs w:val="32"/>
        </w:rPr>
        <w:t>国有资本经营预算，</w:t>
      </w:r>
      <w:r>
        <w:rPr>
          <w:rFonts w:hint="eastAsia" w:eastAsia="仿宋_GB2312"/>
          <w:sz w:val="32"/>
          <w:szCs w:val="32"/>
          <w:lang w:eastAsia="zh-CN"/>
        </w:rPr>
        <w:t>无</w:t>
      </w:r>
      <w:r>
        <w:rPr>
          <w:rFonts w:eastAsia="仿宋_GB2312"/>
          <w:sz w:val="32"/>
          <w:szCs w:val="32"/>
        </w:rPr>
        <w:t>纳入专户管理的非税收入</w:t>
      </w:r>
      <w:r>
        <w:rPr>
          <w:rFonts w:hint="eastAsia" w:eastAsia="仿宋_GB2312"/>
          <w:sz w:val="32"/>
          <w:szCs w:val="32"/>
          <w:u w:val="none"/>
          <w:lang w:eastAsia="zh-CN"/>
        </w:rPr>
        <w:t>预算，上年度结余结转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133.95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收入较去年增加</w:t>
      </w:r>
      <w:r>
        <w:rPr>
          <w:rFonts w:hint="default" w:eastAsia="仿宋_GB2312"/>
          <w:b/>
          <w:sz w:val="32"/>
          <w:szCs w:val="32"/>
          <w:u w:val="single"/>
          <w:lang w:val="en" w:eastAsia="zh-CN"/>
        </w:rPr>
        <w:t>234.32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一般公共预算增加</w:t>
      </w:r>
      <w:r>
        <w:rPr>
          <w:rFonts w:hint="eastAsia" w:eastAsia="仿宋_GB2312"/>
          <w:b/>
          <w:sz w:val="32"/>
          <w:szCs w:val="32"/>
          <w:lang w:val="en-US" w:eastAsia="zh-CN"/>
        </w:rPr>
        <w:t>223.17万元，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中央财政补助减少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万元，上年结转结余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/>
        </w:rPr>
        <w:t>增加20.15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万元。</w:t>
      </w:r>
    </w:p>
    <w:p>
      <w:pPr>
        <w:widowControl/>
        <w:spacing w:line="600" w:lineRule="exact"/>
        <w:ind w:firstLine="629" w:firstLineChars="196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3619.95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133.36</w:t>
      </w:r>
      <w:r>
        <w:rPr>
          <w:rFonts w:eastAsia="仿宋_GB2312"/>
          <w:sz w:val="32"/>
          <w:szCs w:val="32"/>
        </w:rPr>
        <w:t>万元，公共安全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2937.07</w:t>
      </w:r>
      <w:r>
        <w:rPr>
          <w:rFonts w:eastAsia="仿宋_GB2312"/>
          <w:sz w:val="32"/>
          <w:szCs w:val="32"/>
        </w:rPr>
        <w:t>万元，教育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5.00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179.22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卫生健康支出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105.30</w:t>
      </w:r>
      <w:r>
        <w:rPr>
          <w:rFonts w:hint="eastAsia" w:eastAsia="仿宋_GB2312"/>
          <w:sz w:val="32"/>
          <w:szCs w:val="32"/>
          <w:lang w:val="en-US" w:eastAsia="zh-CN"/>
        </w:rPr>
        <w:t>万元，住房保障支出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260.00</w:t>
      </w:r>
      <w:r>
        <w:rPr>
          <w:rFonts w:hint="eastAsia" w:eastAsia="仿宋_GB2312"/>
          <w:sz w:val="32"/>
          <w:szCs w:val="32"/>
          <w:lang w:val="en-US" w:eastAsia="zh-CN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支出较去年增加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234.32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一般公共服务支出增加</w:t>
      </w:r>
      <w:r>
        <w:rPr>
          <w:rFonts w:hint="eastAsia" w:eastAsia="仿宋_GB2312"/>
          <w:b/>
          <w:sz w:val="32"/>
          <w:szCs w:val="32"/>
          <w:lang w:val="en-US" w:eastAsia="zh-CN"/>
        </w:rPr>
        <w:t>133.36万元，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公共安全支出增加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/>
        </w:rPr>
        <w:t>131.46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万元，社会保障和就业支出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减少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/>
        </w:rPr>
        <w:t>26.80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万元，卫生健康支出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减少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/>
        </w:rPr>
        <w:t>3.70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万元。</w:t>
      </w:r>
    </w:p>
    <w:p>
      <w:pPr>
        <w:widowControl/>
        <w:spacing w:line="600" w:lineRule="exact"/>
        <w:ind w:firstLine="629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2795.79</w:t>
      </w:r>
      <w:r>
        <w:rPr>
          <w:rFonts w:eastAsia="仿宋_GB2312"/>
          <w:sz w:val="32"/>
          <w:szCs w:val="32"/>
        </w:rPr>
        <w:t>万元，其中，一般公共服务支出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133.36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4.77</w:t>
      </w:r>
      <w:r>
        <w:rPr>
          <w:rFonts w:eastAsia="仿宋_GB2312"/>
          <w:sz w:val="32"/>
          <w:szCs w:val="32"/>
        </w:rPr>
        <w:t xml:space="preserve"> %；公共安全支出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2112.91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75.57</w:t>
      </w:r>
      <w:r>
        <w:rPr>
          <w:rFonts w:eastAsia="仿宋_GB2312"/>
          <w:sz w:val="32"/>
          <w:szCs w:val="32"/>
        </w:rPr>
        <w:t>%；教育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5.00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0.18</w:t>
      </w:r>
      <w:r>
        <w:rPr>
          <w:rFonts w:hint="eastAsia" w:eastAsia="仿宋_GB2312"/>
          <w:sz w:val="32"/>
          <w:szCs w:val="32"/>
          <w:lang w:val="en-US" w:eastAsia="zh-CN"/>
        </w:rPr>
        <w:t>%；</w:t>
      </w:r>
      <w:r>
        <w:rPr>
          <w:rFonts w:hint="eastAsia" w:eastAsia="仿宋_GB2312"/>
          <w:sz w:val="32"/>
          <w:szCs w:val="32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179.22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6.41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  <w:lang w:eastAsia="zh-CN"/>
        </w:rPr>
        <w:t>；卫生健康支出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105.30</w:t>
      </w:r>
      <w:r>
        <w:rPr>
          <w:rFonts w:hint="eastAsia" w:eastAsia="仿宋_GB2312"/>
          <w:sz w:val="32"/>
          <w:szCs w:val="32"/>
          <w:lang w:val="en-US" w:eastAsia="zh-CN"/>
        </w:rPr>
        <w:t>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3.77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  <w:lang w:val="en-US" w:eastAsia="zh-CN"/>
        </w:rPr>
        <w:t>；住房保障支出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260.00</w:t>
      </w:r>
      <w:r>
        <w:rPr>
          <w:rFonts w:hint="eastAsia" w:eastAsia="仿宋_GB2312"/>
          <w:sz w:val="32"/>
          <w:szCs w:val="32"/>
          <w:lang w:val="en-US" w:eastAsia="zh-CN"/>
        </w:rPr>
        <w:t>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9.30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年本部门基本支出预算数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3451.42</w:t>
      </w:r>
      <w:r>
        <w:rPr>
          <w:rFonts w:eastAsia="仿宋_GB2312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年本部门项目支出预算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168.53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  <w:u w:val="single"/>
          <w:lang w:eastAsia="zh-CN"/>
        </w:rPr>
        <w:t>检察干警基金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对困难干警的生活补助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  <w:u w:val="single"/>
          <w:lang w:eastAsia="zh-CN"/>
        </w:rPr>
        <w:t>委托业务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专家咨询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  <w:u w:val="single"/>
          <w:lang w:eastAsia="zh-CN"/>
        </w:rPr>
        <w:t>因公出国出境</w:t>
      </w:r>
      <w:r>
        <w:rPr>
          <w:rFonts w:hint="eastAsia" w:eastAsia="仿宋_GB2312"/>
          <w:sz w:val="32"/>
          <w:szCs w:val="32"/>
          <w:u w:val="none"/>
          <w:lang w:eastAsia="zh-CN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0.5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万元，主要用于干警境外办案等业务工作；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被装购置费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5.09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万元，主要用于在职干警的制服订制支出；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公务用车购置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22.58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万元，主要用于购置公车；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省直单位特殊信息化建设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133.36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万元，用于购置信息化更新设备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本部门无政府性基金安排的支出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年本部门机关本级机关运行经费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1166.18</w:t>
      </w:r>
      <w:r>
        <w:rPr>
          <w:rFonts w:eastAsia="仿宋_GB2312"/>
          <w:sz w:val="32"/>
          <w:szCs w:val="32"/>
        </w:rPr>
        <w:t>万元，比上年预算增加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200.23</w:t>
      </w:r>
      <w:r>
        <w:rPr>
          <w:rFonts w:eastAsia="仿宋_GB2312"/>
          <w:sz w:val="32"/>
          <w:szCs w:val="32"/>
        </w:rPr>
        <w:t>万元，上升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20.73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  <w:lang w:eastAsia="zh-CN"/>
        </w:rPr>
        <w:t>办公费增长</w:t>
      </w:r>
      <w:r>
        <w:rPr>
          <w:rFonts w:hint="eastAsia" w:eastAsia="仿宋_GB2312"/>
          <w:sz w:val="32"/>
          <w:szCs w:val="32"/>
          <w:lang w:val="en-US" w:eastAsia="zh-CN"/>
        </w:rPr>
        <w:t>20.00万元，电费增长28万元，邮电费增长10.00万元，取暖费增长3.00万元，劳务费增长48.00万元，其他商品服务支出增长80.79万元等，各日常公用科目在2022年度得以编足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年本部门机关本级“三公”经费预算数为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80.0</w:t>
      </w:r>
      <w:r>
        <w:rPr>
          <w:rFonts w:hint="default" w:eastAsia="仿宋_GB2312"/>
          <w:sz w:val="32"/>
          <w:szCs w:val="32"/>
          <w:u w:val="single"/>
          <w:lang w:val="en" w:eastAsia="zh-CN"/>
        </w:rPr>
        <w:t>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32.42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47.58</w:t>
      </w:r>
      <w:r>
        <w:rPr>
          <w:rFonts w:eastAsia="仿宋_GB2312"/>
          <w:sz w:val="32"/>
          <w:szCs w:val="32"/>
        </w:rPr>
        <w:t xml:space="preserve">万元（其中，公务用车购置费 </w:t>
      </w:r>
      <w:r>
        <w:rPr>
          <w:rFonts w:hint="eastAsia" w:eastAsia="仿宋_GB2312"/>
          <w:sz w:val="32"/>
          <w:szCs w:val="32"/>
          <w:lang w:val="en-US" w:eastAsia="zh-CN"/>
        </w:rPr>
        <w:t>22.58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25.00</w:t>
      </w:r>
      <w:r>
        <w:rPr>
          <w:rFonts w:eastAsia="仿宋_GB2312"/>
          <w:sz w:val="32"/>
          <w:szCs w:val="32"/>
        </w:rPr>
        <w:t>万元），</w:t>
      </w:r>
      <w:r>
        <w:rPr>
          <w:rFonts w:hint="eastAsia" w:eastAsia="仿宋_GB2312"/>
          <w:sz w:val="32"/>
          <w:szCs w:val="32"/>
          <w:lang w:eastAsia="zh-CN"/>
        </w:rPr>
        <w:t>无</w:t>
      </w:r>
      <w:r>
        <w:rPr>
          <w:rFonts w:eastAsia="仿宋_GB2312"/>
          <w:sz w:val="32"/>
          <w:szCs w:val="32"/>
        </w:rPr>
        <w:t>因公出国（境）费</w:t>
      </w:r>
      <w:r>
        <w:rPr>
          <w:rFonts w:hint="eastAsia" w:eastAsia="仿宋_GB2312"/>
          <w:sz w:val="32"/>
          <w:szCs w:val="32"/>
          <w:lang w:eastAsia="zh-CN"/>
        </w:rPr>
        <w:t>用</w:t>
      </w:r>
      <w:r>
        <w:rPr>
          <w:rFonts w:eastAsia="仿宋_GB2312"/>
          <w:sz w:val="32"/>
          <w:szCs w:val="32"/>
        </w:rPr>
        <w:t>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年“三公”经费预算较202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eastAsia="zh-CN"/>
        </w:rPr>
        <w:t>持平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年本部门会议费预算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3次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kern w:val="0"/>
          <w:sz w:val="32"/>
          <w:szCs w:val="32"/>
          <w:lang w:eastAsia="zh-CN"/>
        </w:rPr>
        <w:t>约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kern w:val="0"/>
          <w:sz w:val="32"/>
          <w:szCs w:val="32"/>
          <w:lang w:eastAsia="zh-CN"/>
        </w:rPr>
        <w:t>案件质量评估（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50人次</w:t>
      </w:r>
      <w:r>
        <w:rPr>
          <w:rFonts w:hint="eastAsia" w:eastAsia="仿宋_GB2312"/>
          <w:kern w:val="0"/>
          <w:sz w:val="32"/>
          <w:szCs w:val="32"/>
          <w:lang w:eastAsia="zh-CN"/>
        </w:rPr>
        <w:t>）、听证会（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50人次</w:t>
      </w:r>
      <w:r>
        <w:rPr>
          <w:rFonts w:hint="eastAsia" w:eastAsia="仿宋_GB2312"/>
          <w:kern w:val="0"/>
          <w:sz w:val="32"/>
          <w:szCs w:val="32"/>
          <w:lang w:eastAsia="zh-CN"/>
        </w:rPr>
        <w:t>）等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  <w:u w:val="single"/>
          <w:lang w:eastAsia="zh-CN"/>
        </w:rPr>
        <w:t>两次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100</w:t>
      </w:r>
      <w:r>
        <w:rPr>
          <w:rFonts w:eastAsia="仿宋_GB2312"/>
          <w:kern w:val="0"/>
          <w:sz w:val="32"/>
          <w:szCs w:val="32"/>
        </w:rPr>
        <w:t>人，内容</w:t>
      </w:r>
      <w:r>
        <w:rPr>
          <w:rFonts w:eastAsia="仿宋_GB2312"/>
          <w:kern w:val="0"/>
          <w:sz w:val="32"/>
          <w:szCs w:val="32"/>
          <w:u w:val="none"/>
        </w:rPr>
        <w:t>为</w:t>
      </w:r>
      <w:r>
        <w:rPr>
          <w:rFonts w:hint="eastAsia" w:eastAsia="仿宋_GB2312"/>
          <w:sz w:val="32"/>
          <w:szCs w:val="32"/>
          <w:u w:val="none"/>
          <w:lang w:eastAsia="zh-CN"/>
        </w:rPr>
        <w:t>业务综合培训（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50人次</w:t>
      </w:r>
      <w:r>
        <w:rPr>
          <w:rFonts w:hint="eastAsia" w:eastAsia="仿宋_GB2312"/>
          <w:sz w:val="32"/>
          <w:szCs w:val="32"/>
          <w:u w:val="none"/>
          <w:lang w:eastAsia="zh-CN"/>
        </w:rPr>
        <w:t>）、行政人员培训（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50人次</w:t>
      </w:r>
      <w:r>
        <w:rPr>
          <w:rFonts w:hint="eastAsia" w:eastAsia="仿宋_GB2312"/>
          <w:sz w:val="32"/>
          <w:szCs w:val="32"/>
          <w:u w:val="none"/>
          <w:lang w:eastAsia="zh-CN"/>
        </w:rPr>
        <w:t>）等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134.33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eastAsia="zh-CN"/>
        </w:rPr>
        <w:t>货物类采购预算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sz w:val="32"/>
          <w:szCs w:val="32"/>
          <w:lang w:val="en-US" w:eastAsia="zh-CN"/>
        </w:rPr>
        <w:t>元，</w:t>
      </w:r>
      <w:r>
        <w:rPr>
          <w:rFonts w:eastAsia="仿宋_GB2312"/>
          <w:sz w:val="32"/>
          <w:szCs w:val="32"/>
        </w:rPr>
        <w:t>服务类采购预算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134.33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，工程类采购预算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sz w:val="32"/>
          <w:szCs w:val="32"/>
          <w:lang w:val="en-US" w:eastAsia="zh-CN"/>
        </w:rPr>
        <w:t>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年12月底，本部门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12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9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default" w:eastAsia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/>
          <w:bCs w:val="0"/>
          <w:kern w:val="0"/>
          <w:sz w:val="32"/>
          <w:szCs w:val="32"/>
          <w:lang w:eastAsia="zh-CN"/>
        </w:rPr>
        <w:t>（六）预算绩效目标说明：</w:t>
      </w:r>
      <w:r>
        <w:rPr>
          <w:rFonts w:hint="eastAsia" w:eastAsia="仿宋_GB2312"/>
          <w:b w:val="0"/>
          <w:bCs/>
          <w:kern w:val="0"/>
          <w:sz w:val="32"/>
          <w:szCs w:val="32"/>
          <w:lang w:eastAsia="zh-CN"/>
        </w:rPr>
        <w:t>本部门所有支出实行绩效目标管理。纳入</w:t>
      </w:r>
      <w:r>
        <w:rPr>
          <w:rFonts w:hint="eastAsia" w:eastAsia="仿宋_GB2312"/>
          <w:b w:val="0"/>
          <w:bCs/>
          <w:kern w:val="0"/>
          <w:sz w:val="32"/>
          <w:szCs w:val="32"/>
          <w:lang w:val="en-US" w:eastAsia="zh-CN"/>
        </w:rPr>
        <w:t>2022年部门整体支出绩效目标的金额为</w:t>
      </w:r>
      <w:r>
        <w:rPr>
          <w:rFonts w:hint="eastAsia" w:eastAsia="仿宋_GB2312"/>
          <w:b w:val="0"/>
          <w:bCs/>
          <w:kern w:val="0"/>
          <w:sz w:val="32"/>
          <w:szCs w:val="32"/>
          <w:u w:val="single"/>
          <w:lang w:val="en-US" w:eastAsia="zh-CN"/>
        </w:rPr>
        <w:t>3619.95</w:t>
      </w:r>
      <w:r>
        <w:rPr>
          <w:rFonts w:hint="eastAsia" w:eastAsia="仿宋_GB2312"/>
          <w:b w:val="0"/>
          <w:bCs/>
          <w:kern w:val="0"/>
          <w:sz w:val="32"/>
          <w:szCs w:val="32"/>
          <w:lang w:val="en-US" w:eastAsia="zh-CN"/>
        </w:rPr>
        <w:t>万元，其中基本支出</w:t>
      </w:r>
      <w:r>
        <w:rPr>
          <w:rFonts w:hint="eastAsia" w:eastAsia="仿宋_GB2312"/>
          <w:b w:val="0"/>
          <w:bCs/>
          <w:kern w:val="0"/>
          <w:sz w:val="32"/>
          <w:szCs w:val="32"/>
          <w:u w:val="single"/>
          <w:lang w:val="en-US" w:eastAsia="zh-CN"/>
        </w:rPr>
        <w:t>3451.42</w:t>
      </w:r>
      <w:r>
        <w:rPr>
          <w:rFonts w:hint="eastAsia" w:eastAsia="仿宋_GB2312"/>
          <w:b w:val="0"/>
          <w:bCs/>
          <w:kern w:val="0"/>
          <w:sz w:val="32"/>
          <w:szCs w:val="32"/>
          <w:lang w:val="en-US" w:eastAsia="zh-CN"/>
        </w:rPr>
        <w:t>万元，项目支出</w:t>
      </w:r>
      <w:bookmarkStart w:id="0" w:name="_GoBack"/>
      <w:r>
        <w:rPr>
          <w:rFonts w:hint="eastAsia" w:eastAsia="仿宋_GB2312"/>
          <w:b w:val="0"/>
          <w:bCs/>
          <w:kern w:val="0"/>
          <w:sz w:val="32"/>
          <w:szCs w:val="32"/>
          <w:u w:val="single"/>
          <w:lang w:val="en-US" w:eastAsia="zh-CN"/>
        </w:rPr>
        <w:t>168.53</w:t>
      </w:r>
      <w:bookmarkEnd w:id="0"/>
      <w:r>
        <w:rPr>
          <w:rFonts w:hint="eastAsia" w:eastAsia="仿宋_GB2312"/>
          <w:b w:val="0"/>
          <w:bCs/>
          <w:kern w:val="0"/>
          <w:sz w:val="32"/>
          <w:szCs w:val="32"/>
          <w:lang w:val="en-US" w:eastAsia="zh-CN"/>
        </w:rPr>
        <w:t>万元，具体绩效目标详见报表。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</w:t>
      </w:r>
      <w:r>
        <w:rPr>
          <w:rFonts w:eastAsia="仿宋_GB2312"/>
          <w:sz w:val="32"/>
          <w:szCs w:val="32"/>
        </w:rPr>
        <w:t>……</w:t>
      </w:r>
      <w:r>
        <w:rPr>
          <w:rFonts w:hint="eastAsia" w:eastAsia="仿宋_GB2312"/>
          <w:sz w:val="32"/>
          <w:szCs w:val="32"/>
        </w:rPr>
        <w:t>（注：各部门对本部门预算中其他专有名词作出说明，便于公众理解）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年部门预算表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hint="eastAsia" w:eastAsia="黑体"/>
          <w:sz w:val="32"/>
          <w:szCs w:val="32"/>
        </w:rPr>
      </w:pPr>
    </w:p>
    <w:p>
      <w:pPr>
        <w:spacing w:line="600" w:lineRule="exac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onospace">
    <w:altName w:val="汉仪新人文宋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E55AC"/>
    <w:rsid w:val="002958D4"/>
    <w:rsid w:val="00482534"/>
    <w:rsid w:val="005A1A1C"/>
    <w:rsid w:val="006C018D"/>
    <w:rsid w:val="008B7300"/>
    <w:rsid w:val="00A308E1"/>
    <w:rsid w:val="00B34AC3"/>
    <w:rsid w:val="00C30100"/>
    <w:rsid w:val="00DE28DD"/>
    <w:rsid w:val="00E74FC0"/>
    <w:rsid w:val="03195788"/>
    <w:rsid w:val="03DE79E8"/>
    <w:rsid w:val="04004C1C"/>
    <w:rsid w:val="05A24484"/>
    <w:rsid w:val="05A5559C"/>
    <w:rsid w:val="068B4503"/>
    <w:rsid w:val="084B35B4"/>
    <w:rsid w:val="09445574"/>
    <w:rsid w:val="0BBF3EFE"/>
    <w:rsid w:val="0C6B1FA9"/>
    <w:rsid w:val="0F715ECE"/>
    <w:rsid w:val="115B2180"/>
    <w:rsid w:val="147A65BA"/>
    <w:rsid w:val="14F90C5B"/>
    <w:rsid w:val="15D41360"/>
    <w:rsid w:val="18BF29CD"/>
    <w:rsid w:val="19B80874"/>
    <w:rsid w:val="1A935EAF"/>
    <w:rsid w:val="1B0845EE"/>
    <w:rsid w:val="1C083AA3"/>
    <w:rsid w:val="1C613C7E"/>
    <w:rsid w:val="1C743A19"/>
    <w:rsid w:val="1F061311"/>
    <w:rsid w:val="1F6B19C0"/>
    <w:rsid w:val="23356AAB"/>
    <w:rsid w:val="248D4246"/>
    <w:rsid w:val="25E628C8"/>
    <w:rsid w:val="26E77D47"/>
    <w:rsid w:val="289533C2"/>
    <w:rsid w:val="28F37C87"/>
    <w:rsid w:val="29FF3EEA"/>
    <w:rsid w:val="2CFA58F7"/>
    <w:rsid w:val="2EED57D2"/>
    <w:rsid w:val="2EFF1984"/>
    <w:rsid w:val="314A57BE"/>
    <w:rsid w:val="32CF230F"/>
    <w:rsid w:val="32FA0641"/>
    <w:rsid w:val="38FF2ADB"/>
    <w:rsid w:val="392E6064"/>
    <w:rsid w:val="3D9DD1FC"/>
    <w:rsid w:val="3D9F0761"/>
    <w:rsid w:val="3EE31532"/>
    <w:rsid w:val="42173DE8"/>
    <w:rsid w:val="43ED3B22"/>
    <w:rsid w:val="44D14273"/>
    <w:rsid w:val="4934562B"/>
    <w:rsid w:val="4B22539B"/>
    <w:rsid w:val="4BAB38AE"/>
    <w:rsid w:val="4C7A278B"/>
    <w:rsid w:val="4C8224DA"/>
    <w:rsid w:val="4D2D16B8"/>
    <w:rsid w:val="509A7651"/>
    <w:rsid w:val="50ED097F"/>
    <w:rsid w:val="52746B57"/>
    <w:rsid w:val="52757378"/>
    <w:rsid w:val="53FFE296"/>
    <w:rsid w:val="54DB7619"/>
    <w:rsid w:val="5754314F"/>
    <w:rsid w:val="57BCF5A7"/>
    <w:rsid w:val="59F34D20"/>
    <w:rsid w:val="5BDFF74C"/>
    <w:rsid w:val="5D7B0B67"/>
    <w:rsid w:val="5F990B96"/>
    <w:rsid w:val="621B5236"/>
    <w:rsid w:val="64954CB0"/>
    <w:rsid w:val="6721095D"/>
    <w:rsid w:val="68953B66"/>
    <w:rsid w:val="695FEC8F"/>
    <w:rsid w:val="69F85069"/>
    <w:rsid w:val="6B7A0C3E"/>
    <w:rsid w:val="726E7AF1"/>
    <w:rsid w:val="74F13AA4"/>
    <w:rsid w:val="753B90B7"/>
    <w:rsid w:val="75FD6FB3"/>
    <w:rsid w:val="76354832"/>
    <w:rsid w:val="77BB5D7E"/>
    <w:rsid w:val="77E75703"/>
    <w:rsid w:val="783E70C2"/>
    <w:rsid w:val="7BFA3A72"/>
    <w:rsid w:val="7BFDB36D"/>
    <w:rsid w:val="7CFFA7E7"/>
    <w:rsid w:val="7D1A7378"/>
    <w:rsid w:val="7D6F0198"/>
    <w:rsid w:val="7D7FEE54"/>
    <w:rsid w:val="7DE20E60"/>
    <w:rsid w:val="7DF91CDD"/>
    <w:rsid w:val="7F5B8C5A"/>
    <w:rsid w:val="7F6EAC65"/>
    <w:rsid w:val="7FBF0270"/>
    <w:rsid w:val="7FEB5CC6"/>
    <w:rsid w:val="7FFFC6E0"/>
    <w:rsid w:val="99BC06DD"/>
    <w:rsid w:val="BDFFE79C"/>
    <w:rsid w:val="BFFF0845"/>
    <w:rsid w:val="CF3BC10B"/>
    <w:rsid w:val="DCF7862D"/>
    <w:rsid w:val="DFF59B1B"/>
    <w:rsid w:val="EDDEB04C"/>
    <w:rsid w:val="F2F97DB0"/>
    <w:rsid w:val="F76A460E"/>
    <w:rsid w:val="F7FFD244"/>
    <w:rsid w:val="FC7FB22D"/>
    <w:rsid w:val="FD55E38D"/>
    <w:rsid w:val="FDFF89E4"/>
    <w:rsid w:val="FFBEED68"/>
    <w:rsid w:val="FFF2A408"/>
    <w:rsid w:val="FFF544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5"/>
    <w:qFormat/>
    <w:uiPriority w:val="0"/>
    <w:rPr>
      <w:sz w:val="18"/>
      <w:szCs w:val="18"/>
    </w:rPr>
  </w:style>
  <w:style w:type="paragraph" w:styleId="3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555555"/>
      <w:u w:val="none"/>
    </w:rPr>
  </w:style>
  <w:style w:type="character" w:styleId="13">
    <w:name w:val="Emphasis"/>
    <w:basedOn w:val="9"/>
    <w:qFormat/>
    <w:uiPriority w:val="0"/>
  </w:style>
  <w:style w:type="character" w:styleId="14">
    <w:name w:val="HTML Definition"/>
    <w:basedOn w:val="9"/>
    <w:qFormat/>
    <w:uiPriority w:val="0"/>
  </w:style>
  <w:style w:type="character" w:styleId="15">
    <w:name w:val="HTML Typewriter"/>
    <w:basedOn w:val="9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Acronym"/>
    <w:basedOn w:val="9"/>
    <w:qFormat/>
    <w:uiPriority w:val="0"/>
  </w:style>
  <w:style w:type="character" w:styleId="17">
    <w:name w:val="HTML Variable"/>
    <w:basedOn w:val="9"/>
    <w:qFormat/>
    <w:uiPriority w:val="0"/>
  </w:style>
  <w:style w:type="character" w:styleId="18">
    <w:name w:val="Hyperlink"/>
    <w:basedOn w:val="9"/>
    <w:qFormat/>
    <w:uiPriority w:val="0"/>
    <w:rPr>
      <w:color w:val="555555"/>
      <w:u w:val="none"/>
    </w:rPr>
  </w:style>
  <w:style w:type="character" w:styleId="19">
    <w:name w:val="HTML Code"/>
    <w:basedOn w:val="9"/>
    <w:qFormat/>
    <w:uiPriority w:val="0"/>
    <w:rPr>
      <w:rFonts w:hint="default" w:ascii="monospace" w:hAnsi="monospace" w:eastAsia="monospace" w:cs="monospace"/>
      <w:sz w:val="20"/>
    </w:rPr>
  </w:style>
  <w:style w:type="character" w:styleId="20">
    <w:name w:val="HTML Cite"/>
    <w:basedOn w:val="9"/>
    <w:qFormat/>
    <w:uiPriority w:val="0"/>
    <w:rPr>
      <w:color w:val="FF0000"/>
      <w:u w:val="single"/>
    </w:rPr>
  </w:style>
  <w:style w:type="character" w:styleId="21">
    <w:name w:val="HTML Keyboard"/>
    <w:basedOn w:val="9"/>
    <w:qFormat/>
    <w:uiPriority w:val="0"/>
    <w:rPr>
      <w:rFonts w:ascii="monospace" w:hAnsi="monospace" w:eastAsia="monospace" w:cs="monospace"/>
      <w:sz w:val="20"/>
    </w:rPr>
  </w:style>
  <w:style w:type="character" w:styleId="22">
    <w:name w:val="HTML Sample"/>
    <w:basedOn w:val="9"/>
    <w:qFormat/>
    <w:uiPriority w:val="0"/>
    <w:rPr>
      <w:rFonts w:hint="default" w:ascii="monospace" w:hAnsi="monospace" w:eastAsia="monospace" w:cs="monospace"/>
    </w:rPr>
  </w:style>
  <w:style w:type="character" w:customStyle="1" w:styleId="23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24">
    <w:name w:val="p12_blue"/>
    <w:basedOn w:val="9"/>
    <w:qFormat/>
    <w:uiPriority w:val="0"/>
  </w:style>
  <w:style w:type="character" w:customStyle="1" w:styleId="25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26">
    <w:name w:val="retractmanager"/>
    <w:basedOn w:val="9"/>
    <w:qFormat/>
    <w:uiPriority w:val="0"/>
    <w:rPr>
      <w:color w:val="FF002A"/>
    </w:rPr>
  </w:style>
  <w:style w:type="character" w:customStyle="1" w:styleId="27">
    <w:name w:val="bsharetext"/>
    <w:basedOn w:val="9"/>
    <w:qFormat/>
    <w:uiPriority w:val="0"/>
  </w:style>
  <w:style w:type="character" w:customStyle="1" w:styleId="28">
    <w:name w:val="bds_more"/>
    <w:basedOn w:val="9"/>
    <w:qFormat/>
    <w:uiPriority w:val="0"/>
  </w:style>
  <w:style w:type="character" w:customStyle="1" w:styleId="2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30">
    <w:name w:val="bds_nopic2"/>
    <w:basedOn w:val="9"/>
    <w:qFormat/>
    <w:uiPriority w:val="0"/>
  </w:style>
  <w:style w:type="character" w:customStyle="1" w:styleId="31">
    <w:name w:val="right5"/>
    <w:basedOn w:val="9"/>
    <w:qFormat/>
    <w:uiPriority w:val="0"/>
  </w:style>
  <w:style w:type="character" w:customStyle="1" w:styleId="32">
    <w:name w:val="size"/>
    <w:basedOn w:val="9"/>
    <w:qFormat/>
    <w:uiPriority w:val="0"/>
  </w:style>
  <w:style w:type="character" w:customStyle="1" w:styleId="33">
    <w:name w:val="displaycontent"/>
    <w:basedOn w:val="9"/>
    <w:qFormat/>
    <w:uiPriority w:val="0"/>
    <w:rPr>
      <w:color w:val="FF002A"/>
    </w:rPr>
  </w:style>
  <w:style w:type="character" w:customStyle="1" w:styleId="34">
    <w:name w:val="bds_more1"/>
    <w:basedOn w:val="9"/>
    <w:qFormat/>
    <w:uiPriority w:val="0"/>
    <w:rPr>
      <w:rFonts w:hint="eastAsia" w:ascii="宋体" w:hAnsi="宋体" w:eastAsia="宋体" w:cs="宋体"/>
    </w:rPr>
  </w:style>
  <w:style w:type="character" w:customStyle="1" w:styleId="35">
    <w:name w:val="mk5_wzstyle"/>
    <w:basedOn w:val="9"/>
    <w:qFormat/>
    <w:uiPriority w:val="0"/>
  </w:style>
  <w:style w:type="character" w:customStyle="1" w:styleId="36">
    <w:name w:val="bds_more2"/>
    <w:basedOn w:val="9"/>
    <w:qFormat/>
    <w:uiPriority w:val="0"/>
  </w:style>
  <w:style w:type="character" w:customStyle="1" w:styleId="37">
    <w:name w:val="bds_nopic1"/>
    <w:basedOn w:val="9"/>
    <w:qFormat/>
    <w:uiPriority w:val="0"/>
  </w:style>
  <w:style w:type="character" w:customStyle="1" w:styleId="38">
    <w:name w:val="hover17"/>
    <w:basedOn w:val="9"/>
    <w:qFormat/>
    <w:uiPriority w:val="0"/>
  </w:style>
  <w:style w:type="character" w:customStyle="1" w:styleId="39">
    <w:name w:val="bds_nopic"/>
    <w:basedOn w:val="9"/>
    <w:qFormat/>
    <w:uiPriority w:val="0"/>
  </w:style>
  <w:style w:type="character" w:customStyle="1" w:styleId="40">
    <w:name w:val="right6"/>
    <w:basedOn w:val="9"/>
    <w:qFormat/>
    <w:uiPriority w:val="0"/>
  </w:style>
  <w:style w:type="paragraph" w:customStyle="1" w:styleId="41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3">
    <w:name w:val="Normal (Web)"/>
    <w:basedOn w:val="1"/>
    <w:qFormat/>
    <w:uiPriority w:val="0"/>
    <w:pPr>
      <w:jc w:val="left"/>
    </w:pPr>
    <w:rPr>
      <w:rFonts w:hint="eastAsia"/>
      <w:sz w:val="24"/>
    </w:rPr>
  </w:style>
  <w:style w:type="paragraph" w:customStyle="1" w:styleId="44">
    <w:name w:val="Char"/>
    <w:basedOn w:val="1"/>
    <w:qFormat/>
    <w:uiPriority w:val="0"/>
    <w:pPr>
      <w:widowControl/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424</Words>
  <Characters>2417</Characters>
  <Lines>20</Lines>
  <Paragraphs>5</Paragraphs>
  <TotalTime>0</TotalTime>
  <ScaleCrop>false</ScaleCrop>
  <LinksUpToDate>false</LinksUpToDate>
  <CharactersWithSpaces>2836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2018-02-27T17:34:00Z</dcterms:created>
  <dc:creator>高立朝 10.104.97.45</dc:creator>
  <cp:lastModifiedBy>greatwall</cp:lastModifiedBy>
  <cp:lastPrinted>2021-02-24T06:40:00Z</cp:lastPrinted>
  <dcterms:modified xsi:type="dcterms:W3CDTF">2023-09-26T11:42:43Z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