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97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387C6"/>
          <w:spacing w:val="0"/>
          <w:sz w:val="42"/>
          <w:szCs w:val="4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87C6"/>
          <w:spacing w:val="0"/>
          <w:sz w:val="42"/>
          <w:szCs w:val="42"/>
          <w:shd w:val="clear" w:fill="FFFFFF"/>
        </w:rPr>
        <w:t>2022年邵东市人民检察院单位预算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35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目  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3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第一部分 2022年单位预算说明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3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第二部分 2022年单位预算表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2、收入总表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3、支出总表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4、支出预算分类汇总表（按政府预算经济分类）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5、支出预算分类汇总表（按部门预算经济分类）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6、财政拨款收支总表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7、一般公共预算支出表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8、一般公共预算基本支出表-人员经费（工资福利支出）（按政府预算经济分类）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9、一般公共预算基本支出表-人员经费（工资福利支出）（按部门预算经济分类）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10、一般公共预算基本支出表-人员经费（对个人和家庭的补助）（按政府预算经济分类）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11、一般公共预算基本支出表-人员经费（对个人和家庭的补助）（按部门预算经济分类）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12、一般公共预算基本支出表-公用经费（商品和服务支出）（按政府预算经济分类）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13、一般公共预算基本支出表-公用经费（商品和服务支出）（按部门预算经济分类）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14、一般公共预算“三公”经费支出表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15、政府性基金预算支出表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16、政府性基金预算支出分类汇总表（按政府预算经济分类）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17、政府性基金预算支出分类汇总表（按部门预算经济分类）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18、国有资本经营预算支出表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19、财政专户管理资金预算支出表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20、省级专项资金预算汇总表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21、省级专项资金绩效目标表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22、其他项目支出绩效目标表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23、部门整体支出绩效目标表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注：以上单位预算报表中，空表表示本单位无相关收支情况。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第一部分 2022年单位预算说明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27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一、单位基本概况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3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（一）职能职责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邵东市人民检察院是国家的法律监督机关，接受上级人民检察院的领导，对市人民代表大会及其常务委员会负责并报告工作。其主要职责是：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深入贯彻习近平新时代中国特色社会主义思想，深入贯彻党的路线方针政策和决策部署，统一全市检察机关思想和行动，坚持党对检察工作的绝对领导，坚决维护习近平总书记的核心地位，坚决维护党中央权威和集中统一领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2、依照法律规定对由市人民检察院受理的刑事案件行使侦查权。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3、对辖区内刑事案件依法审查批准逮捕、决定逮捕、提起公诉。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4、负责承办的刑事、民事、行政诉讼活动及刑事、民事、行政判决和裁定等生效法律文书执行的法律监督工作。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5、负责承办的提起公益诉讼工作。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6、负责承办的对监狱、看守所等执法活动的法律监督工作。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7、接受向市人民检察院的控告申诉。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8、负责本院检察机关队伍建设和思想政治工作。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9、协同市委主管部门依照干部管理权限对相关人员进行管理和考核。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10、负责其他应由市人民检察院承办的事项。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11.负责其他应当由县人民检察院承办的事项。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hanging="36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机构设置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我院现有8个内设机构，分别为办公室、政治部、第一检察部、第二检察部、第三检察部、第四检察部、第五检察部、第六检察部。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27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二、部门预算单位构成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3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邵东市人民检察院只有本级，没有其他预算单位，因此本部门预算仅含本级预算。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3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三、单位收支总体情况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3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（一）收入预算：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包括一般公共预算、政府性基金、国有资本经营预算等财政拨款收入，以及经营收入、事业收入等单位资金。2022年本单位收入预算1952.17万元，其中，一般公共预算拨款1467.57万元，中央财政补助434.43万元，上年结余结转50.17万元，无政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性基金、国有资本经营预算拨款和纳入专户管理的非税收入。收入较去年增加40.63万元，主要是因为上年结转结余减少1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07.03万元，一般公共预算拨款增加158.66万元，中央财政补助减少11.00万元。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6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（二）支出预算：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2022年本单位支出预算1952.17万元，其中，公共安全支出1696.67万元，教育支出0万元，社会保障和就业支出114.5万元，卫生健康支出26万元，住房保障支出115万元。支出较去年增加40.63万元，主要是因为公共安全支出增加45.23万元，教育支出增加0万元，社会保障和就业支出增加5.4万元，卫生健康支出减少14万元，住房保障支出增加4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6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四、一般公共预算拨款支出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022年本单位一般公共预算拨款支出预算1952.17万元，其中，公共安全支出1696.67万元，占86.91%；教育支出0万元，占0%；社会保障和就业支出114.5万元，占5.87%；卫生健康支出26万元，占1.33%；住房保障支出115万元，占5.89%。具体安排情况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6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（一）基本支出：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2022年本单位基本支出预算数1817.5万元，主要是为保障单位正常运转、完成日常工作任务而发生的各项支出，包括用于基本工资、津贴补贴等人员经费以及办公费、印刷费、水电费、办公设备购置等公用经费。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（二）项目支出：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2022年本单位项目支出预算134.67万元，主要是单位为完成特定行政工作任务或事业发展目标而发生的支出，包括有关事业发展专项、专项业务费、基本建设支出等，其中：业务工作专项支出0万元；运行维护专项支出134.67万元，主要用于公务用车购置、办公设备购置、被装购置、乡村振兴工作等方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五、政府性基金预算支出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2022年本单位无政府性基金安排的支出。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6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六、其他重要事项的情况说明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3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（一）机关运行经费：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2022年本单位机关运行经费651万元，比上年预算增加69.9万元，增加12.03%，主要是案件数量增加，机关运行经费相应增加。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3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（二）“三公”经费预算：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2022年本单位“三公”经费预算数为41.5万元，其中，公务接待5万元，公务用车购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置及运行费36.5万元（其中，公务用车购置费18万元，公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务用车运行费18.5万元），因公出国（境）费0万元。 2022年“三公”经费预算较上年持平。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3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（三）一般性支出情况：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2022年本单位会议费预算0万元，拟召开0次会议，人数0人。培训费预算0万元，拟开展0次培训，人数0人。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3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（四）政府采购情况：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2022年本单位政府采购预算总额0万元，其中，政府采购货物预算0万元；政府采购服务预算0万元；工程采购预算0万元。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62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（五）国有资产占用使用及新增资产配置情况：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截至2021年12月底，本单位共有公务用车5辆，其中，机要通信用车0辆，应急保障用车0辆，执法执勤用车5辆，特种专业技术用车0辆，其他按照规定配备的公务用车0辆。单位价值50万元以上通用设备0台，单位价值100万元以上专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0台。2022年拟新增配置公务用车1辆，其中机要通信用车0辆，应急保障用车0辆，执法执勤用车1辆，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特种专业技术用车0辆，其他按照规定配备的公务用车0辆。新增配备单位价值50万元以上通用设备0台，单位价值100万元以上专用设备0台。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6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（六）预算绩效目标说明：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本部门所有支出实行绩效目标管理。纳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2022年部门整体支出绩效目标的金额为1952.17万元，其中，基本支出1817.5万元，项目支出134.67万元,具体绩效目标详见报表。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62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七、名词解释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6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6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00" w:right="300" w:firstLine="643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第二部分  2022年单位预算表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A1BA38"/>
    <w:multiLevelType w:val="multilevel"/>
    <w:tmpl w:val="9BA1BA3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8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MDYyNzFlM2RkZmIwMGZlYjkwYzE5M2IzZTNmZGMifQ=="/>
  </w:docVars>
  <w:rsids>
    <w:rsidRoot w:val="7B570143"/>
    <w:rsid w:val="54CEB9E7"/>
    <w:rsid w:val="7B57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2023-09-26T17:35:00Z</dcterms:created>
  <dc:creator>Administrator</dc:creator>
  <cp:lastModifiedBy>greatwall</cp:lastModifiedBy>
  <dcterms:modified xsi:type="dcterms:W3CDTF">2023-10-07T09:20:52Z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712709DDE55E490E8A40C32541A083C1_11</vt:lpwstr>
  </property>
</Properties>
</file>