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湖南省贺家山原种场</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both"/>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湖南省贺家山原种场概况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eastAsia" w:ascii="仿宋_GB2312" w:hAnsi="仿宋_GB2312" w:eastAsia="仿宋_GB2312" w:cs="仿宋_GB2312"/>
          <w:sz w:val="28"/>
          <w:szCs w:val="28"/>
          <w:lang w:val="en-US" w:eastAsia="zh-CN"/>
        </w:rPr>
        <w:t>2023年</w:t>
      </w:r>
      <w:r>
        <w:rPr>
          <w:rFonts w:hint="eastAsia" w:ascii="仿宋_GB2312" w:hAnsi="仿宋_GB2312" w:eastAsia="仿宋_GB2312" w:cs="仿宋_GB2312"/>
          <w:sz w:val="28"/>
          <w:szCs w:val="28"/>
        </w:rPr>
        <w:t>预算绩效情况的说明</w:t>
      </w:r>
    </w:p>
    <w:p>
      <w:pPr>
        <w:pStyle w:val="15"/>
        <w:spacing w:line="500" w:lineRule="exact"/>
        <w:rPr>
          <w:rFonts w:hint="eastAsia" w:ascii="黑体" w:hAnsi="黑体" w:eastAsia="黑体" w:cs="黑体"/>
          <w:b w:val="0"/>
          <w:bCs/>
          <w:sz w:val="28"/>
          <w:szCs w:val="28"/>
        </w:rPr>
      </w:pPr>
      <w:bookmarkStart w:id="0" w:name="OLE_LINK1"/>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bookmarkEnd w:id="0"/>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湖南省贺家山原种场</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单位</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both"/>
        <w:rPr>
          <w:sz w:val="72"/>
          <w:szCs w:val="72"/>
        </w:rPr>
      </w:pPr>
    </w:p>
    <w:p>
      <w:pPr>
        <w:keepNext w:val="0"/>
        <w:keepLines w:val="0"/>
        <w:pageBreakBefore w:val="0"/>
        <w:widowControl w:val="0"/>
        <w:kinsoku/>
        <w:wordWrap/>
        <w:overflowPunct/>
        <w:topLinePunct w:val="0"/>
        <w:autoSpaceDE/>
        <w:autoSpaceDN/>
        <w:bidi w:val="0"/>
        <w:adjustRightInd/>
        <w:snapToGrid/>
        <w:spacing w:line="660" w:lineRule="exact"/>
        <w:jc w:val="both"/>
        <w:textAlignment w:val="auto"/>
        <w:rPr>
          <w:sz w:val="72"/>
          <w:szCs w:val="72"/>
        </w:rPr>
      </w:pPr>
    </w:p>
    <w:p>
      <w:pPr>
        <w:pStyle w:val="16"/>
        <w:numPr>
          <w:ilvl w:val="0"/>
          <w:numId w:val="1"/>
        </w:numPr>
        <w:ind w:firstLineChars="0"/>
        <w:jc w:val="left"/>
        <w:rPr>
          <w:rFonts w:hint="eastAsia" w:ascii="黑体" w:hAnsi="黑体" w:eastAsia="黑体" w:cs="黑体"/>
          <w:b w:val="0"/>
          <w:bCs w:val="0"/>
          <w:sz w:val="32"/>
          <w:szCs w:val="32"/>
        </w:rPr>
      </w:pPr>
      <w:bookmarkStart w:id="1" w:name="OLE_LINK22"/>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湖南省贺家山原种场系湖南省农业农村厅直属县团级农业事业单位。主要承担南方稻区水稻区域试验及湖南省水稻区域试验（预备试验）、湖南省水稻品种（组合）生产安全性鉴定、湖南省两用不育系生态鉴定、湖南省及南方稻区水稻新品种引进、筛选、展示、推广与杂交水稻科普教育、湖南省及南方稻区杂交水稻亲本种子提纯、繁殖与杂交水稻和优质棉种子生产、现代农业及社会主义新农村建设示范、现代农业技术示范和培训等公益服务职能，担负着保障全省乃至南方稻区种子生产安全的核心作用，是湖南省水稻、优质棉原（良）种子生产的重要基地。此外，还承担着辖区内社会管理综合治理与安全生产、计划生育与妇幼保健、九年制义务教育与文化管理、疾病预防控制与治疗、动物疾病防治与动植物检验检疫、民兵武装与国防教育、民政与社会优抚、劳动与社会保障、自然资源保护与林业管理、农村安全饮水、交通运输与管理、防汛抗旱与大堤安保、公共设施建设维护与管理等社会职能。</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ind w:firstLine="640" w:firstLineChars="20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（一）内设机构设置。湖南省贺家山原种场</w:t>
      </w:r>
      <w:bookmarkStart w:id="2" w:name="OLE_LINK20"/>
      <w:r>
        <w:rPr>
          <w:rFonts w:hint="eastAsia" w:ascii="Times New Roman" w:hAnsi="Times New Roman" w:eastAsia="仿宋_GB2312" w:cs="仿宋_GB2312"/>
          <w:bCs/>
          <w:kern w:val="0"/>
          <w:sz w:val="32"/>
          <w:szCs w:val="32"/>
        </w:rPr>
        <w:t>内设机构包括：党政办公室、人事科、计划财务科、纪检监察室、发展规划科、农林水利科、种子质量管理科、平安建设办公室、老干部工作办公室、民政办公室、退役军人事务办公室、国土管理办公室、交通农机管理科、文化与教育科、卫生与健康管理科、信息中心16个内设科室、部门，设大洲分场、乐兴分场、新合分场、小凡洲分场、社保服务中心、后勤服务中心、种业科学研究所、农业技术服务中心、排灌站、常德市贺家山卫生院、子弟学校11个直属部门。</w:t>
      </w:r>
      <w:bookmarkEnd w:id="2"/>
    </w:p>
    <w:p>
      <w:pPr>
        <w:ind w:firstLine="640" w:firstLineChars="200"/>
        <w:jc w:val="left"/>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（二）决算单位构成。湖南省贺家山原种场</w:t>
      </w:r>
      <w:bookmarkStart w:id="3" w:name="OLE_LINK21"/>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年部门决算汇总公开单位构成包括：湖南省贺家山原种场本级。</w:t>
      </w:r>
    </w:p>
    <w:bookmarkEnd w:id="1"/>
    <w:bookmarkEnd w:id="3"/>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5"/>
        <w:jc w:val="both"/>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pStyle w:val="2"/>
        <w:rPr>
          <w:sz w:val="72"/>
          <w:szCs w:val="72"/>
        </w:rPr>
      </w:pPr>
    </w:p>
    <w:p>
      <w:pPr>
        <w:rPr>
          <w:sz w:val="72"/>
          <w:szCs w:val="72"/>
        </w:rPr>
      </w:pPr>
    </w:p>
    <w:p>
      <w:pPr>
        <w:sectPr>
          <w:pgSz w:w="11906" w:h="16838"/>
          <w:pgMar w:top="720" w:right="720" w:bottom="720" w:left="720" w:header="851" w:footer="992" w:gutter="0"/>
          <w:cols w:space="425" w:num="1"/>
          <w:docGrid w:type="lines" w:linePitch="312" w:charSpace="0"/>
        </w:sectPr>
      </w:pPr>
    </w:p>
    <w:tbl>
      <w:tblPr>
        <w:tblStyle w:val="10"/>
        <w:tblW w:w="14982" w:type="dxa"/>
        <w:jc w:val="center"/>
        <w:tblInd w:w="0" w:type="dxa"/>
        <w:shd w:val="clear" w:color="auto" w:fill="auto"/>
        <w:tblLayout w:type="fixed"/>
        <w:tblCellMar>
          <w:top w:w="0" w:type="dxa"/>
          <w:left w:w="0" w:type="dxa"/>
          <w:bottom w:w="0" w:type="dxa"/>
          <w:right w:w="0" w:type="dxa"/>
        </w:tblCellMar>
      </w:tblPr>
      <w:tblGrid>
        <w:gridCol w:w="2910"/>
        <w:gridCol w:w="36"/>
        <w:gridCol w:w="36"/>
        <w:gridCol w:w="599"/>
        <w:gridCol w:w="1081"/>
        <w:gridCol w:w="2050"/>
        <w:gridCol w:w="203"/>
        <w:gridCol w:w="1434"/>
        <w:gridCol w:w="1434"/>
        <w:gridCol w:w="56"/>
        <w:gridCol w:w="711"/>
        <w:gridCol w:w="954"/>
        <w:gridCol w:w="103"/>
        <w:gridCol w:w="790"/>
        <w:gridCol w:w="785"/>
        <w:gridCol w:w="1018"/>
        <w:gridCol w:w="782"/>
      </w:tblGrid>
      <w:tr>
        <w:tblPrEx>
          <w:tblLayout w:type="fixed"/>
          <w:tblCellMar>
            <w:top w:w="0" w:type="dxa"/>
            <w:left w:w="0" w:type="dxa"/>
            <w:bottom w:w="0" w:type="dxa"/>
            <w:right w:w="0" w:type="dxa"/>
          </w:tblCellMar>
        </w:tblPrEx>
        <w:trPr>
          <w:gridAfter w:val="1"/>
          <w:wAfter w:w="782" w:type="dxa"/>
          <w:trHeight w:val="227" w:hRule="atLeast"/>
          <w:jc w:val="center"/>
        </w:trPr>
        <w:tc>
          <w:tcPr>
            <w:tcW w:w="14200" w:type="dxa"/>
            <w:gridSpan w:val="16"/>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ascii="黑体" w:hAnsi="宋体" w:eastAsia="黑体" w:cs="黑体"/>
                <w:i w:val="0"/>
                <w:color w:val="000000"/>
                <w:sz w:val="30"/>
                <w:szCs w:val="30"/>
                <w:u w:val="none"/>
              </w:rPr>
            </w:pPr>
            <w:r>
              <w:rPr>
                <w:rFonts w:hint="eastAsia" w:ascii="黑体" w:hAnsi="宋体" w:eastAsia="黑体" w:cs="黑体"/>
                <w:i w:val="0"/>
                <w:color w:val="000000"/>
                <w:kern w:val="0"/>
                <w:sz w:val="30"/>
                <w:szCs w:val="30"/>
                <w:u w:val="none"/>
                <w:lang w:val="en-US" w:eastAsia="zh-CN" w:bidi="ar"/>
              </w:rPr>
              <w:t>收入支出决算总表</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color w:val="000000"/>
                <w:sz w:val="22"/>
                <w:szCs w:val="22"/>
                <w:u w:val="none"/>
              </w:rPr>
            </w:pPr>
          </w:p>
        </w:tc>
        <w:tc>
          <w:tcPr>
            <w:tcW w:w="1081"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205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3127"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1665"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color w:val="000000"/>
                <w:sz w:val="22"/>
                <w:szCs w:val="22"/>
                <w:u w:val="none"/>
              </w:rPr>
            </w:pPr>
          </w:p>
        </w:tc>
        <w:tc>
          <w:tcPr>
            <w:tcW w:w="2696" w:type="dxa"/>
            <w:gridSpan w:val="4"/>
            <w:tcBorders>
              <w:top w:val="nil"/>
              <w:left w:val="nil"/>
              <w:bottom w:val="nil"/>
              <w:right w:val="nil"/>
            </w:tcBorders>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部门：湖南省贺家山原种场</w:t>
            </w:r>
          </w:p>
        </w:tc>
        <w:tc>
          <w:tcPr>
            <w:tcW w:w="1081" w:type="dxa"/>
            <w:tcBorders>
              <w:top w:val="nil"/>
              <w:left w:val="nil"/>
              <w:bottom w:val="single" w:color="auto"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2050" w:type="dxa"/>
            <w:tcBorders>
              <w:top w:val="nil"/>
              <w:left w:val="nil"/>
              <w:bottom w:val="single" w:color="auto"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3127" w:type="dxa"/>
            <w:gridSpan w:val="4"/>
            <w:tcBorders>
              <w:top w:val="nil"/>
              <w:left w:val="nil"/>
              <w:bottom w:val="single" w:color="auto"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color w:val="000000"/>
                <w:sz w:val="22"/>
                <w:szCs w:val="22"/>
                <w:u w:val="none"/>
              </w:rPr>
            </w:pPr>
          </w:p>
        </w:tc>
        <w:tc>
          <w:tcPr>
            <w:tcW w:w="1665" w:type="dxa"/>
            <w:gridSpan w:val="2"/>
            <w:tcBorders>
              <w:top w:val="nil"/>
              <w:left w:val="nil"/>
              <w:bottom w:val="single" w:color="auto" w:sz="4" w:space="0"/>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color w:val="000000"/>
                <w:sz w:val="22"/>
                <w:szCs w:val="22"/>
                <w:u w:val="none"/>
              </w:rPr>
            </w:pPr>
          </w:p>
        </w:tc>
        <w:tc>
          <w:tcPr>
            <w:tcW w:w="2696" w:type="dxa"/>
            <w:gridSpan w:val="4"/>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6712" w:type="dxa"/>
            <w:gridSpan w:val="6"/>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488" w:type="dxa"/>
            <w:gridSpan w:val="10"/>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050"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color w:val="000000"/>
                <w:sz w:val="22"/>
                <w:szCs w:val="22"/>
                <w:u w:val="none"/>
              </w:rPr>
            </w:pPr>
          </w:p>
        </w:tc>
        <w:tc>
          <w:tcPr>
            <w:tcW w:w="2050"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color w:val="000000"/>
                <w:sz w:val="22"/>
                <w:szCs w:val="22"/>
                <w:u w:val="none"/>
              </w:rPr>
            </w:pPr>
          </w:p>
        </w:tc>
        <w:tc>
          <w:tcPr>
            <w:tcW w:w="2696"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5,607.79</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226.69</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825.22</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209.38</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5,502.75</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439"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i w:val="0"/>
                <w:color w:val="000000"/>
                <w:sz w:val="20"/>
                <w:szCs w:val="20"/>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439"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0"/>
                <w:szCs w:val="20"/>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0"/>
                <w:szCs w:val="20"/>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6,659.69</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6,249.09</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1,834.43</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2,245.00</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color w:val="000000"/>
                <w:sz w:val="22"/>
                <w:szCs w:val="22"/>
                <w:u w:val="none"/>
              </w:rPr>
            </w:pP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782" w:type="dxa"/>
          <w:trHeight w:val="227" w:hRule="atLeast"/>
          <w:jc w:val="center"/>
        </w:trPr>
        <w:tc>
          <w:tcPr>
            <w:tcW w:w="3581"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081"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0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8,494.12</w:t>
            </w:r>
          </w:p>
        </w:tc>
        <w:tc>
          <w:tcPr>
            <w:tcW w:w="3127"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665" w:type="dxa"/>
            <w:gridSpan w:val="2"/>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696"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8,494.12</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14200" w:type="dxa"/>
            <w:gridSpan w:val="16"/>
            <w:tcBorders>
              <w:top w:val="single" w:color="auto" w:sz="4" w:space="0"/>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shd w:val="clear" w:color="auto" w:fill="auto"/>
          <w:tblLayout w:type="fixed"/>
          <w:tblCellMar>
            <w:top w:w="0" w:type="dxa"/>
            <w:left w:w="0" w:type="dxa"/>
            <w:bottom w:w="0" w:type="dxa"/>
            <w:right w:w="0" w:type="dxa"/>
          </w:tblCellMar>
        </w:tblPrEx>
        <w:trPr>
          <w:gridAfter w:val="1"/>
          <w:wAfter w:w="782" w:type="dxa"/>
          <w:trHeight w:val="227" w:hRule="atLeast"/>
          <w:jc w:val="center"/>
        </w:trPr>
        <w:tc>
          <w:tcPr>
            <w:tcW w:w="14200" w:type="dxa"/>
            <w:gridSpan w:val="16"/>
            <w:tcBorders>
              <w:top w:val="nil"/>
              <w:left w:val="nil"/>
              <w:bottom w:val="nil"/>
              <w:right w:val="nil"/>
            </w:tcBorders>
            <w:shd w:val="clear" w:color="auto" w:fill="FFFFFF"/>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r>
        <w:tblPrEx>
          <w:shd w:val="clear" w:color="auto" w:fill="auto"/>
          <w:tblLayout w:type="fixed"/>
          <w:tblCellMar>
            <w:top w:w="0" w:type="dxa"/>
            <w:left w:w="0" w:type="dxa"/>
            <w:bottom w:w="0" w:type="dxa"/>
            <w:right w:w="0" w:type="dxa"/>
          </w:tblCellMar>
        </w:tblPrEx>
        <w:trPr>
          <w:trHeight w:val="390" w:hRule="atLeast"/>
          <w:jc w:val="center"/>
        </w:trPr>
        <w:tc>
          <w:tcPr>
            <w:tcW w:w="14982" w:type="dxa"/>
            <w:gridSpan w:val="1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30"/>
                <w:szCs w:val="30"/>
                <w:u w:val="none"/>
              </w:rPr>
            </w:pPr>
            <w:r>
              <w:rPr>
                <w:rFonts w:hint="eastAsia" w:ascii="黑体" w:hAnsi="宋体" w:eastAsia="黑体" w:cs="黑体"/>
                <w:i w:val="0"/>
                <w:color w:val="000000"/>
                <w:kern w:val="0"/>
                <w:sz w:val="30"/>
                <w:szCs w:val="30"/>
                <w:u w:val="none"/>
                <w:lang w:val="en-US" w:eastAsia="zh-CN" w:bidi="ar"/>
              </w:rPr>
              <w:t>收入决算表</w:t>
            </w:r>
          </w:p>
        </w:tc>
      </w:tr>
      <w:tr>
        <w:tblPrEx>
          <w:tblLayout w:type="fixed"/>
          <w:tblCellMar>
            <w:top w:w="0" w:type="dxa"/>
            <w:left w:w="0" w:type="dxa"/>
            <w:bottom w:w="0" w:type="dxa"/>
            <w:right w:w="0" w:type="dxa"/>
          </w:tblCellMar>
        </w:tblPrEx>
        <w:trPr>
          <w:trHeight w:val="270" w:hRule="atLeast"/>
          <w:jc w:val="center"/>
        </w:trPr>
        <w:tc>
          <w:tcPr>
            <w:tcW w:w="291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933" w:type="dxa"/>
            <w:gridSpan w:val="4"/>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67"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57"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8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gridSpan w:val="2"/>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shd w:val="clear" w:color="auto" w:fill="auto"/>
          <w:tblLayout w:type="fixed"/>
          <w:tblCellMar>
            <w:top w:w="0" w:type="dxa"/>
            <w:left w:w="0" w:type="dxa"/>
            <w:bottom w:w="0" w:type="dxa"/>
            <w:right w:w="0" w:type="dxa"/>
          </w:tblCellMar>
        </w:tblPrEx>
        <w:trPr>
          <w:trHeight w:val="285" w:hRule="atLeast"/>
          <w:jc w:val="center"/>
        </w:trPr>
        <w:tc>
          <w:tcPr>
            <w:tcW w:w="2910" w:type="dxa"/>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部门：湖南省贺家山原种场</w:t>
            </w: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933" w:type="dxa"/>
            <w:gridSpan w:val="4"/>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67" w:type="dxa"/>
            <w:gridSpan w:val="2"/>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57" w:type="dxa"/>
            <w:gridSpan w:val="2"/>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0"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85"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gridSpan w:val="2"/>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shd w:val="clear" w:color="auto" w:fill="auto"/>
          <w:tblLayout w:type="fixed"/>
          <w:tblCellMar>
            <w:top w:w="0" w:type="dxa"/>
            <w:left w:w="0" w:type="dxa"/>
            <w:bottom w:w="0" w:type="dxa"/>
            <w:right w:w="0" w:type="dxa"/>
          </w:tblCellMar>
        </w:tblPrEx>
        <w:trPr>
          <w:trHeight w:val="300" w:hRule="atLeast"/>
          <w:jc w:val="center"/>
        </w:trPr>
        <w:tc>
          <w:tcPr>
            <w:tcW w:w="6915" w:type="dxa"/>
            <w:gridSpan w:val="7"/>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434"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434"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767" w:type="dxa"/>
            <w:gridSpan w:val="2"/>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790"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785"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800" w:type="dxa"/>
            <w:gridSpan w:val="2"/>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933" w:type="dxa"/>
            <w:gridSpan w:val="4"/>
            <w:vMerge w:val="restart"/>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9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933" w:type="dxa"/>
            <w:gridSpan w:val="4"/>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9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160" w:hRule="atLeast"/>
          <w:jc w:val="center"/>
        </w:trPr>
        <w:tc>
          <w:tcPr>
            <w:tcW w:w="298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933" w:type="dxa"/>
            <w:gridSpan w:val="4"/>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57"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9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5"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gridSpan w:val="2"/>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jc w:val="center"/>
        </w:trPr>
        <w:tc>
          <w:tcPr>
            <w:tcW w:w="6915" w:type="dxa"/>
            <w:gridSpan w:val="7"/>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434"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34"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767" w:type="dxa"/>
            <w:gridSpan w:val="2"/>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790"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785"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shd w:val="clear" w:color="auto" w:fill="auto"/>
          <w:tblLayout w:type="fixed"/>
          <w:tblCellMar>
            <w:top w:w="0" w:type="dxa"/>
            <w:left w:w="0" w:type="dxa"/>
            <w:bottom w:w="0" w:type="dxa"/>
            <w:right w:w="0" w:type="dxa"/>
          </w:tblCellMar>
        </w:tblPrEx>
        <w:trPr>
          <w:trHeight w:val="300" w:hRule="atLeast"/>
          <w:jc w:val="center"/>
        </w:trPr>
        <w:tc>
          <w:tcPr>
            <w:tcW w:w="6915" w:type="dxa"/>
            <w:gridSpan w:val="7"/>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6,659.69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5,607.79</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226.69</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825.22</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普通教育</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学前教育</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小学教育</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2050203</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初中教育</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其他普通教育支出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9.35</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科学技术管理事务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2060199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其他科学技术管理事务支出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261.99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8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就业补助</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2080799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其他就业补助支出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287.05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287.05</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基层医疗卫生机构</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41.87</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41.87</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乡镇卫生院</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其他基层医疗卫生机构支出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34.87</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34.87</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162.00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2100408</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基本公共卫生服务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59.51</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59.51</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102.49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102.49</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计划生育事务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43.65</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2100717</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计划生育服务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43.65</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医疗救助</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39.53</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39.53</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2101301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城乡医疗救助</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39.53</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39.53</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5,775.05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5,121.80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226.69</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426.57</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5,606.05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5,121.80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226.69</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257.56</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4,594.06</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4,350.80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226.69</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16.57</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975.99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745.00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230.99</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2130205</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森林资源培育</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普惠金融发展支出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2130803</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农业保险保费补贴</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目标价格补贴</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148.01</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148.01</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棉花目标价格补贴</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110.92</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110.92</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其他目标价格补贴</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37.09</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37.09</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交通运输支出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46.45</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公路水路运输</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46.45</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46.45</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2140106</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公路养护</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45.63</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45.63</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2140199</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其他公路水路运输支出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自然资源海洋气象等支出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自然资源事务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2200102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一般行政管理事务</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933" w:type="dxa"/>
            <w:gridSpan w:val="4"/>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43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76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057"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9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7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gridSpan w:val="2"/>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14982" w:type="dxa"/>
            <w:gridSpan w:val="17"/>
            <w:tcBorders>
              <w:top w:val="single" w:color="auto" w:sz="4" w:space="0"/>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tbl>
      <w:tblPr>
        <w:tblStyle w:val="11"/>
        <w:tblpPr w:leftFromText="180" w:rightFromText="180" w:vertAnchor="text" w:tblpX="16226" w:tblpY="-9918"/>
        <w:tblOverlap w:val="never"/>
        <w:tblW w:w="10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1042" w:type="dxa"/>
          </w:tcPr>
          <w:p>
            <w:pPr>
              <w:pStyle w:val="2"/>
              <w:keepNext w:val="0"/>
              <w:keepLines w:val="0"/>
              <w:pageBreakBefore w:val="0"/>
              <w:kinsoku/>
              <w:wordWrap/>
              <w:overflowPunct/>
              <w:topLinePunct w:val="0"/>
              <w:autoSpaceDE/>
              <w:autoSpaceDN/>
              <w:bidi w:val="0"/>
              <w:adjustRightInd/>
              <w:snapToGrid/>
              <w:spacing w:line="200" w:lineRule="exact"/>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1042" w:type="dxa"/>
          </w:tcPr>
          <w:p>
            <w:pPr>
              <w:pStyle w:val="2"/>
              <w:keepNext w:val="0"/>
              <w:keepLines w:val="0"/>
              <w:pageBreakBefore w:val="0"/>
              <w:kinsoku/>
              <w:wordWrap/>
              <w:overflowPunct/>
              <w:topLinePunct w:val="0"/>
              <w:autoSpaceDE/>
              <w:autoSpaceDN/>
              <w:bidi w:val="0"/>
              <w:adjustRightInd/>
              <w:snapToGrid/>
              <w:spacing w:line="200" w:lineRule="exact"/>
              <w:rPr>
                <w:vertAlign w:val="baseline"/>
              </w:rPr>
            </w:pPr>
          </w:p>
        </w:tc>
      </w:tr>
    </w:tbl>
    <w:p>
      <w:pPr>
        <w:pStyle w:val="2"/>
        <w:keepNext w:val="0"/>
        <w:keepLines w:val="0"/>
        <w:pageBreakBefore w:val="0"/>
        <w:kinsoku/>
        <w:wordWrap/>
        <w:overflowPunct/>
        <w:topLinePunct w:val="0"/>
        <w:autoSpaceDE/>
        <w:autoSpaceDN/>
        <w:bidi w:val="0"/>
        <w:adjustRightInd/>
        <w:snapToGrid/>
        <w:spacing w:line="200" w:lineRule="exact"/>
      </w:pPr>
    </w:p>
    <w:p>
      <w:pPr>
        <w:pStyle w:val="2"/>
      </w:pPr>
    </w:p>
    <w:tbl>
      <w:tblPr>
        <w:tblStyle w:val="10"/>
        <w:tblW w:w="14929" w:type="dxa"/>
        <w:tblInd w:w="0" w:type="dxa"/>
        <w:shd w:val="clear" w:color="auto" w:fill="auto"/>
        <w:tblLayout w:type="fixed"/>
        <w:tblCellMar>
          <w:top w:w="0" w:type="dxa"/>
          <w:left w:w="0" w:type="dxa"/>
          <w:bottom w:w="0" w:type="dxa"/>
          <w:right w:w="0" w:type="dxa"/>
        </w:tblCellMar>
      </w:tblPr>
      <w:tblGrid>
        <w:gridCol w:w="2430"/>
        <w:gridCol w:w="36"/>
        <w:gridCol w:w="36"/>
        <w:gridCol w:w="3550"/>
        <w:gridCol w:w="1688"/>
        <w:gridCol w:w="1688"/>
        <w:gridCol w:w="1688"/>
        <w:gridCol w:w="894"/>
        <w:gridCol w:w="1119"/>
        <w:gridCol w:w="1800"/>
      </w:tblGrid>
      <w:tr>
        <w:tblPrEx>
          <w:tblLayout w:type="fixed"/>
          <w:tblCellMar>
            <w:top w:w="0" w:type="dxa"/>
            <w:left w:w="0" w:type="dxa"/>
            <w:bottom w:w="0" w:type="dxa"/>
            <w:right w:w="0" w:type="dxa"/>
          </w:tblCellMar>
        </w:tblPrEx>
        <w:trPr>
          <w:trHeight w:val="390" w:hRule="atLeast"/>
        </w:trPr>
        <w:tc>
          <w:tcPr>
            <w:tcW w:w="14929"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30"/>
                <w:szCs w:val="30"/>
                <w:u w:val="none"/>
              </w:rPr>
            </w:pPr>
            <w:r>
              <w:rPr>
                <w:rFonts w:hint="eastAsia" w:ascii="黑体" w:hAnsi="宋体" w:eastAsia="黑体" w:cs="黑体"/>
                <w:i w:val="0"/>
                <w:color w:val="000000"/>
                <w:kern w:val="0"/>
                <w:sz w:val="30"/>
                <w:szCs w:val="30"/>
                <w:u w:val="none"/>
                <w:lang w:val="en-US" w:eastAsia="zh-CN" w:bidi="ar"/>
              </w:rPr>
              <w:t>支出决算表</w:t>
            </w:r>
          </w:p>
        </w:tc>
      </w:tr>
      <w:tr>
        <w:tblPrEx>
          <w:shd w:val="clear" w:color="auto" w:fill="auto"/>
          <w:tblLayout w:type="fixed"/>
          <w:tblCellMar>
            <w:top w:w="0" w:type="dxa"/>
            <w:left w:w="0" w:type="dxa"/>
            <w:bottom w:w="0" w:type="dxa"/>
            <w:right w:w="0" w:type="dxa"/>
          </w:tblCellMar>
        </w:tblPrEx>
        <w:trPr>
          <w:trHeight w:val="270" w:hRule="atLeast"/>
        </w:trPr>
        <w:tc>
          <w:tcPr>
            <w:tcW w:w="243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5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9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1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shd w:val="clear" w:color="auto" w:fill="auto"/>
          <w:tblLayout w:type="fixed"/>
          <w:tblCellMar>
            <w:top w:w="0" w:type="dxa"/>
            <w:left w:w="0" w:type="dxa"/>
            <w:bottom w:w="0" w:type="dxa"/>
            <w:right w:w="0" w:type="dxa"/>
          </w:tblCellMar>
        </w:tblPrEx>
        <w:trPr>
          <w:trHeight w:val="270" w:hRule="atLeast"/>
        </w:trPr>
        <w:tc>
          <w:tcPr>
            <w:tcW w:w="2430" w:type="dxa"/>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部门：湖南省贺家山原种场</w:t>
            </w: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550"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88"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94"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19"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shd w:val="clear" w:color="auto" w:fill="auto"/>
          <w:tblLayout w:type="fixed"/>
          <w:tblCellMar>
            <w:top w:w="0" w:type="dxa"/>
            <w:left w:w="0" w:type="dxa"/>
            <w:bottom w:w="0" w:type="dxa"/>
            <w:right w:w="0" w:type="dxa"/>
          </w:tblCellMar>
        </w:tblPrEx>
        <w:trPr>
          <w:trHeight w:val="300" w:hRule="atLeast"/>
        </w:trPr>
        <w:tc>
          <w:tcPr>
            <w:tcW w:w="605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88"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88"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88"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894"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119"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800"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550" w:type="dxa"/>
            <w:vMerge w:val="restart"/>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9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19"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250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9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19"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180" w:hRule="atLeast"/>
        </w:trPr>
        <w:tc>
          <w:tcPr>
            <w:tcW w:w="250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8"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94"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19"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00"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trPr>
        <w:tc>
          <w:tcPr>
            <w:tcW w:w="605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88"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88"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88"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894"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19"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800" w:type="dxa"/>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shd w:val="clear" w:color="auto" w:fill="auto"/>
          <w:tblLayout w:type="fixed"/>
          <w:tblCellMar>
            <w:top w:w="0" w:type="dxa"/>
            <w:left w:w="0" w:type="dxa"/>
            <w:bottom w:w="0" w:type="dxa"/>
            <w:right w:w="0" w:type="dxa"/>
          </w:tblCellMar>
        </w:tblPrEx>
        <w:trPr>
          <w:trHeight w:val="300" w:hRule="atLeast"/>
        </w:trPr>
        <w:tc>
          <w:tcPr>
            <w:tcW w:w="605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6,249.09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5,095.17</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1,153.92</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普通教育</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44.15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学前教育</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13.30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小学教育</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14.50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2050203</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初中教育</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2050299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其他普通教育支出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0.65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209.38</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209.38</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基层医疗卫生机构</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乡镇卫生院</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2100399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其他基层医疗卫生机构支出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5.87</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5.87</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公共卫生</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152.88</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152.88</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基本公共卫生服务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59.51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59.51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2100409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重大公共卫生服务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90.58</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90.58</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2100499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其他公共卫生支出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2.79</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2.79</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计划生育事务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43.63</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2100717</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计划生育服务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43.63</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5,502.75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4,594.03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908.72</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5,387.62</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4,594.03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793.59</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4,594.03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4,594.03</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36.80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36.80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685.57</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685.57</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2130148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渔业发展</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54.65</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54.65</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9.08</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9.08</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森林资源培育</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普惠金融发展支出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2130803</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农业保险保费补贴</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目标价格补贴</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67.11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67.11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棉花目标价格补贴</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35.71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35.71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2130999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其他目标价格补贴</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31.41</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31.41</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其他农林水支出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2139999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其他农林水支出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交通运输支出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公路水路运输</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2140199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其他公路水路运输支出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0.82</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自然资源海洋气象等支出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自然资源事务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2200102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一般行政管理事务</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1688"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894"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9"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trPr>
        <w:tc>
          <w:tcPr>
            <w:tcW w:w="14929" w:type="dxa"/>
            <w:gridSpan w:val="10"/>
            <w:tcBorders>
              <w:top w:val="single" w:color="auto" w:sz="4" w:space="0"/>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2"/>
        <w:ind w:left="0" w:leftChars="0" w:firstLine="0" w:firstLineChars="0"/>
        <w:rPr>
          <w:sz w:val="72"/>
          <w:szCs w:val="72"/>
        </w:rPr>
      </w:pPr>
    </w:p>
    <w:tbl>
      <w:tblPr>
        <w:tblStyle w:val="10"/>
        <w:tblpPr w:leftFromText="180" w:rightFromText="180" w:vertAnchor="text" w:horzAnchor="page" w:tblpXSpec="center" w:tblpY="462"/>
        <w:tblOverlap w:val="never"/>
        <w:tblW w:w="15428" w:type="dxa"/>
        <w:jc w:val="center"/>
        <w:tblInd w:w="0" w:type="dxa"/>
        <w:shd w:val="clear" w:color="auto" w:fill="auto"/>
        <w:tblLayout w:type="fixed"/>
        <w:tblCellMar>
          <w:top w:w="0" w:type="dxa"/>
          <w:left w:w="0" w:type="dxa"/>
          <w:bottom w:w="0" w:type="dxa"/>
          <w:right w:w="0" w:type="dxa"/>
        </w:tblCellMar>
      </w:tblPr>
      <w:tblGrid>
        <w:gridCol w:w="4272"/>
        <w:gridCol w:w="317"/>
        <w:gridCol w:w="1316"/>
        <w:gridCol w:w="2717"/>
        <w:gridCol w:w="1033"/>
        <w:gridCol w:w="1250"/>
        <w:gridCol w:w="1484"/>
        <w:gridCol w:w="1333"/>
        <w:gridCol w:w="1706"/>
      </w:tblGrid>
      <w:tr>
        <w:tblPrEx>
          <w:shd w:val="clear" w:color="auto" w:fill="auto"/>
          <w:tblLayout w:type="fixed"/>
          <w:tblCellMar>
            <w:top w:w="0" w:type="dxa"/>
            <w:left w:w="0" w:type="dxa"/>
            <w:bottom w:w="0" w:type="dxa"/>
            <w:right w:w="0" w:type="dxa"/>
          </w:tblCellMar>
        </w:tblPrEx>
        <w:trPr>
          <w:trHeight w:val="270" w:hRule="atLeast"/>
          <w:jc w:val="center"/>
        </w:trPr>
        <w:tc>
          <w:tcPr>
            <w:tcW w:w="15428"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Layout w:type="fixed"/>
          <w:tblCellMar>
            <w:top w:w="0" w:type="dxa"/>
            <w:left w:w="0" w:type="dxa"/>
            <w:bottom w:w="0" w:type="dxa"/>
            <w:right w:w="0" w:type="dxa"/>
          </w:tblCellMar>
        </w:tblPrEx>
        <w:trPr>
          <w:trHeight w:val="579" w:hRule="atLeast"/>
          <w:jc w:val="center"/>
        </w:trPr>
        <w:tc>
          <w:tcPr>
            <w:tcW w:w="4272"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17"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17"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3"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i w:val="0"/>
                <w:color w:val="000000"/>
                <w:sz w:val="22"/>
                <w:szCs w:val="22"/>
                <w:u w:val="none"/>
              </w:rPr>
            </w:pPr>
          </w:p>
        </w:tc>
        <w:tc>
          <w:tcPr>
            <w:tcW w:w="1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8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33"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shd w:val="clear" w:color="auto" w:fill="auto"/>
          <w:tblLayout w:type="fixed"/>
          <w:tblCellMar>
            <w:top w:w="0" w:type="dxa"/>
            <w:left w:w="0" w:type="dxa"/>
            <w:bottom w:w="0" w:type="dxa"/>
            <w:right w:w="0" w:type="dxa"/>
          </w:tblCellMar>
        </w:tblPrEx>
        <w:trPr>
          <w:trHeight w:val="270" w:hRule="atLeast"/>
          <w:jc w:val="center"/>
        </w:trPr>
        <w:tc>
          <w:tcPr>
            <w:tcW w:w="4272"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部门：湖南省贺家山原种场</w:t>
            </w:r>
          </w:p>
        </w:tc>
        <w:tc>
          <w:tcPr>
            <w:tcW w:w="317"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17"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33"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8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33" w:type="dxa"/>
            <w:tcBorders>
              <w:top w:val="nil"/>
              <w:left w:val="nil"/>
              <w:bottom w:val="nil"/>
              <w:right w:val="nil"/>
            </w:tcBorders>
            <w:shd w:val="clear" w:color="auto" w:fill="auto"/>
            <w:noWrap/>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shd w:val="clear" w:color="auto" w:fill="auto"/>
          <w:tblLayout w:type="fixed"/>
          <w:tblCellMar>
            <w:top w:w="0" w:type="dxa"/>
            <w:left w:w="0" w:type="dxa"/>
            <w:bottom w:w="0" w:type="dxa"/>
            <w:right w:w="0" w:type="dxa"/>
          </w:tblCellMar>
        </w:tblPrEx>
        <w:trPr>
          <w:trHeight w:val="300" w:hRule="atLeast"/>
          <w:jc w:val="center"/>
        </w:trPr>
        <w:tc>
          <w:tcPr>
            <w:tcW w:w="5905" w:type="dxa"/>
            <w:gridSpan w:val="3"/>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523" w:type="dxa"/>
            <w:gridSpan w:val="6"/>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Layout w:type="fixed"/>
          <w:tblCellMar>
            <w:top w:w="0" w:type="dxa"/>
            <w:left w:w="0" w:type="dxa"/>
            <w:bottom w:w="0" w:type="dxa"/>
            <w:right w:w="0" w:type="dxa"/>
          </w:tblCellMar>
        </w:tblPrEx>
        <w:trPr>
          <w:trHeight w:val="285" w:hRule="atLeast"/>
          <w:jc w:val="center"/>
        </w:trPr>
        <w:tc>
          <w:tcPr>
            <w:tcW w:w="4272"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317"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2717"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84"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706" w:type="dxa"/>
            <w:vMerge w:val="restart"/>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shd w:val="clear" w:color="auto" w:fill="auto"/>
          <w:tblLayout w:type="fixed"/>
          <w:tblCellMar>
            <w:top w:w="0" w:type="dxa"/>
            <w:left w:w="0" w:type="dxa"/>
            <w:bottom w:w="0" w:type="dxa"/>
            <w:right w:w="0" w:type="dxa"/>
          </w:tblCellMar>
        </w:tblPrEx>
        <w:trPr>
          <w:trHeight w:val="600" w:hRule="atLeast"/>
          <w:jc w:val="center"/>
        </w:trPr>
        <w:tc>
          <w:tcPr>
            <w:tcW w:w="4272"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17"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17"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84"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06"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9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06"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5607.79</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251.99</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251.99</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4662.63</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4662.63</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234</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234</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5607.79</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5148.62</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5148.62</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178.17</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637.34</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637.34</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178.17</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国有资本经营预算财政拨款</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righ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jc w:val="center"/>
        </w:trPr>
        <w:tc>
          <w:tcPr>
            <w:tcW w:w="4272"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3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5785.96</w:t>
            </w:r>
          </w:p>
        </w:tc>
        <w:tc>
          <w:tcPr>
            <w:tcW w:w="2717"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033" w:type="dxa"/>
            <w:tcBorders>
              <w:top w:val="single" w:color="000000" w:sz="4" w:space="0"/>
              <w:left w:val="single" w:color="000000" w:sz="4" w:space="0"/>
              <w:bottom w:val="single" w:color="000000" w:sz="4" w:space="0"/>
              <w:right w:val="single" w:color="000000"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5785.96</w:t>
            </w:r>
          </w:p>
        </w:tc>
        <w:tc>
          <w:tcPr>
            <w:tcW w:w="148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5785.96</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0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jc w:val="center"/>
        </w:trPr>
        <w:tc>
          <w:tcPr>
            <w:tcW w:w="13722" w:type="dxa"/>
            <w:gridSpan w:val="8"/>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706" w:type="dxa"/>
            <w:tcBorders>
              <w:top w:val="nil"/>
              <w:left w:val="nil"/>
              <w:bottom w:val="nil"/>
              <w:right w:val="nil"/>
            </w:tcBorders>
            <w:shd w:val="clear" w:color="auto" w:fill="FFFFFF"/>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bl>
    <w:p>
      <w:pPr>
        <w:pStyle w:val="2"/>
        <w:rPr>
          <w:sz w:val="72"/>
          <w:szCs w:val="72"/>
        </w:rPr>
      </w:pPr>
    </w:p>
    <w:p>
      <w:pPr>
        <w:rPr>
          <w:sz w:val="72"/>
          <w:szCs w:val="72"/>
        </w:rPr>
      </w:pPr>
    </w:p>
    <w:p>
      <w:pPr>
        <w:pStyle w:val="2"/>
      </w:pPr>
    </w:p>
    <w:p/>
    <w:tbl>
      <w:tblPr>
        <w:tblStyle w:val="10"/>
        <w:tblW w:w="14625" w:type="dxa"/>
        <w:tblInd w:w="0" w:type="dxa"/>
        <w:shd w:val="clear" w:color="auto" w:fill="auto"/>
        <w:tblLayout w:type="fixed"/>
        <w:tblCellMar>
          <w:top w:w="0" w:type="dxa"/>
          <w:left w:w="0" w:type="dxa"/>
          <w:bottom w:w="0" w:type="dxa"/>
          <w:right w:w="0" w:type="dxa"/>
        </w:tblCellMar>
      </w:tblPr>
      <w:tblGrid>
        <w:gridCol w:w="2910"/>
        <w:gridCol w:w="36"/>
        <w:gridCol w:w="36"/>
        <w:gridCol w:w="3550"/>
        <w:gridCol w:w="2706"/>
        <w:gridCol w:w="2702"/>
        <w:gridCol w:w="2685"/>
      </w:tblGrid>
      <w:tr>
        <w:tblPrEx>
          <w:shd w:val="clear" w:color="auto" w:fill="auto"/>
          <w:tblLayout w:type="fixed"/>
          <w:tblCellMar>
            <w:top w:w="0" w:type="dxa"/>
            <w:left w:w="0" w:type="dxa"/>
            <w:bottom w:w="0" w:type="dxa"/>
            <w:right w:w="0" w:type="dxa"/>
          </w:tblCellMar>
        </w:tblPrEx>
        <w:trPr>
          <w:trHeight w:val="390" w:hRule="atLeast"/>
        </w:trPr>
        <w:tc>
          <w:tcPr>
            <w:tcW w:w="14625"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30"/>
                <w:szCs w:val="30"/>
                <w:u w:val="none"/>
              </w:rPr>
            </w:pPr>
            <w:r>
              <w:rPr>
                <w:rFonts w:hint="eastAsia" w:ascii="黑体" w:hAnsi="宋体" w:eastAsia="黑体" w:cs="黑体"/>
                <w:i w:val="0"/>
                <w:color w:val="000000"/>
                <w:kern w:val="0"/>
                <w:sz w:val="30"/>
                <w:szCs w:val="30"/>
                <w:u w:val="none"/>
                <w:lang w:val="en-US" w:eastAsia="zh-CN" w:bidi="ar"/>
              </w:rPr>
              <w:t>一般公共预算财政拨款支出决算表</w:t>
            </w:r>
          </w:p>
        </w:tc>
      </w:tr>
      <w:tr>
        <w:tblPrEx>
          <w:shd w:val="clear" w:color="auto" w:fill="auto"/>
          <w:tblLayout w:type="fixed"/>
          <w:tblCellMar>
            <w:top w:w="0" w:type="dxa"/>
            <w:left w:w="0" w:type="dxa"/>
            <w:bottom w:w="0" w:type="dxa"/>
            <w:right w:w="0" w:type="dxa"/>
          </w:tblCellMar>
        </w:tblPrEx>
        <w:trPr>
          <w:trHeight w:val="270" w:hRule="atLeast"/>
        </w:trPr>
        <w:tc>
          <w:tcPr>
            <w:tcW w:w="291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5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0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02"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685" w:type="dxa"/>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shd w:val="clear" w:color="auto" w:fill="auto"/>
          <w:tblLayout w:type="fixed"/>
          <w:tblCellMar>
            <w:top w:w="0" w:type="dxa"/>
            <w:left w:w="0" w:type="dxa"/>
            <w:bottom w:w="0" w:type="dxa"/>
            <w:right w:w="0" w:type="dxa"/>
          </w:tblCellMar>
        </w:tblPrEx>
        <w:trPr>
          <w:trHeight w:val="285" w:hRule="atLeast"/>
        </w:trPr>
        <w:tc>
          <w:tcPr>
            <w:tcW w:w="2910" w:type="dxa"/>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部门：湖南省贺家山原种场</w:t>
            </w: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3550"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06"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02" w:type="dxa"/>
            <w:tcBorders>
              <w:top w:val="nil"/>
              <w:left w:val="nil"/>
              <w:bottom w:val="single" w:color="auto"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685" w:type="dxa"/>
            <w:tcBorders>
              <w:top w:val="nil"/>
              <w:left w:val="nil"/>
              <w:bottom w:val="single" w:color="auto" w:sz="4" w:space="0"/>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shd w:val="clear" w:color="auto" w:fill="auto"/>
          <w:tblLayout w:type="fixed"/>
          <w:tblCellMar>
            <w:top w:w="0" w:type="dxa"/>
            <w:left w:w="0" w:type="dxa"/>
            <w:bottom w:w="0" w:type="dxa"/>
            <w:right w:w="0" w:type="dxa"/>
          </w:tblCellMar>
        </w:tblPrEx>
        <w:trPr>
          <w:trHeight w:val="300" w:hRule="atLeast"/>
        </w:trPr>
        <w:tc>
          <w:tcPr>
            <w:tcW w:w="653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8093" w:type="dxa"/>
            <w:gridSpan w:val="3"/>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550" w:type="dxa"/>
            <w:vMerge w:val="restart"/>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706"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685" w:type="dxa"/>
            <w:vMerge w:val="restart"/>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shd w:val="clear" w:color="auto" w:fill="auto"/>
          <w:tblLayout w:type="fixed"/>
          <w:tblCellMar>
            <w:top w:w="0" w:type="dxa"/>
            <w:left w:w="0" w:type="dxa"/>
            <w:bottom w:w="0" w:type="dxa"/>
            <w:right w:w="0" w:type="dxa"/>
          </w:tblCellMar>
        </w:tblPrEx>
        <w:trPr>
          <w:trHeight w:val="270" w:hRule="atLeast"/>
        </w:trPr>
        <w:tc>
          <w:tcPr>
            <w:tcW w:w="298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06"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85"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50" w:type="dxa"/>
            <w:vMerge w:val="continue"/>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06"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685" w:type="dxa"/>
            <w:vMerge w:val="continue"/>
            <w:tcBorders>
              <w:top w:val="single" w:color="auto" w:sz="4" w:space="0"/>
              <w:left w:val="single" w:color="auto" w:sz="4" w:space="0"/>
              <w:bottom w:val="single" w:color="auto" w:sz="4" w:space="0"/>
              <w:right w:val="single" w:color="auto" w:sz="4" w:space="0"/>
            </w:tcBorders>
            <w:shd w:val="clear" w:color="auto" w:fill="F1F1F1"/>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trPr>
        <w:tc>
          <w:tcPr>
            <w:tcW w:w="653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706"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02"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685" w:type="dxa"/>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Layout w:type="fixed"/>
          <w:tblCellMar>
            <w:top w:w="0" w:type="dxa"/>
            <w:left w:w="0" w:type="dxa"/>
            <w:bottom w:w="0" w:type="dxa"/>
            <w:right w:w="0" w:type="dxa"/>
          </w:tblCellMar>
        </w:tblPrEx>
        <w:trPr>
          <w:trHeight w:val="300" w:hRule="atLeast"/>
        </w:trPr>
        <w:tc>
          <w:tcPr>
            <w:tcW w:w="6532" w:type="dxa"/>
            <w:gridSpan w:val="4"/>
            <w:tcBorders>
              <w:top w:val="single" w:color="auto" w:sz="4" w:space="0"/>
              <w:left w:val="single" w:color="auto" w:sz="4" w:space="0"/>
              <w:bottom w:val="single" w:color="auto" w:sz="4" w:space="0"/>
              <w:right w:val="single" w:color="auto" w:sz="4" w:space="0"/>
            </w:tcBorders>
            <w:shd w:val="clear" w:color="auto" w:fill="F1F1F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5,148.62</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4,836.79</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311.83</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251.99</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4,662.63</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4,350.80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311.83</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4,632.63</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4,350.80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281.83</w:t>
            </w:r>
          </w:p>
        </w:tc>
      </w:tr>
      <w:tr>
        <w:tblPrEx>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4,350.80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4,350.80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2130108</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病虫害控制</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265.64</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265.64</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农业资源保护修复与利用</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0.32</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0.32</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4.08</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其他农林水支出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2139999</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其他农林水支出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2982" w:type="dxa"/>
            <w:gridSpan w:val="3"/>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550"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706"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702"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234.00</w:t>
            </w:r>
          </w:p>
        </w:tc>
        <w:tc>
          <w:tcPr>
            <w:tcW w:w="2685" w:type="dxa"/>
            <w:tcBorders>
              <w:top w:val="single" w:color="auto" w:sz="4" w:space="0"/>
              <w:left w:val="single" w:color="auto" w:sz="4" w:space="0"/>
              <w:bottom w:val="single" w:color="auto" w:sz="4" w:space="0"/>
              <w:right w:val="single" w:color="auto"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shd w:val="clear" w:color="auto" w:fill="auto"/>
          <w:tblLayout w:type="fixed"/>
          <w:tblCellMar>
            <w:top w:w="0" w:type="dxa"/>
            <w:left w:w="0" w:type="dxa"/>
            <w:bottom w:w="0" w:type="dxa"/>
            <w:right w:w="0" w:type="dxa"/>
          </w:tblCellMar>
        </w:tblPrEx>
        <w:trPr>
          <w:trHeight w:val="300" w:hRule="atLeast"/>
        </w:trPr>
        <w:tc>
          <w:tcPr>
            <w:tcW w:w="14625" w:type="dxa"/>
            <w:gridSpan w:val="7"/>
            <w:tcBorders>
              <w:top w:val="single" w:color="auto" w:sz="4" w:space="0"/>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2"/>
      </w:pPr>
    </w:p>
    <w:tbl>
      <w:tblPr>
        <w:tblStyle w:val="10"/>
        <w:tblW w:w="15518"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65"/>
        <w:gridCol w:w="2184"/>
        <w:gridCol w:w="1788"/>
        <w:gridCol w:w="1164"/>
        <w:gridCol w:w="1884"/>
        <w:gridCol w:w="1660"/>
        <w:gridCol w:w="1136"/>
        <w:gridCol w:w="1862"/>
        <w:gridCol w:w="658"/>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gridAfter w:val="2"/>
          <w:wAfter w:w="2675" w:type="dxa"/>
          <w:trHeight w:val="384" w:hRule="atLeast"/>
        </w:trPr>
        <w:tc>
          <w:tcPr>
            <w:tcW w:w="12843" w:type="dxa"/>
            <w:gridSpan w:val="8"/>
            <w:tcBorders>
              <w:top w:val="nil"/>
              <w:left w:val="nil"/>
              <w:bottom w:val="nil"/>
              <w:right w:val="nil"/>
            </w:tcBorders>
            <w:shd w:val="clear" w:color="auto" w:fill="auto"/>
            <w:noWrap/>
            <w:vAlign w:val="center"/>
          </w:tcPr>
          <w:p>
            <w:pPr>
              <w:jc w:val="center"/>
              <w:rPr>
                <w:rFonts w:hint="default" w:ascii="宋体" w:hAnsi="宋体" w:eastAsia="宋体" w:cs="宋体"/>
                <w:i w:val="0"/>
                <w:iCs w:val="0"/>
                <w:color w:val="000000"/>
                <w:sz w:val="32"/>
                <w:szCs w:val="32"/>
                <w:u w:val="none"/>
                <w:lang w:val="en-US"/>
              </w:rPr>
            </w:pPr>
            <w:r>
              <w:rPr>
                <w:rFonts w:hint="eastAsia" w:ascii="宋体" w:hAnsi="宋体" w:eastAsia="宋体" w:cs="宋体"/>
                <w:i w:val="0"/>
                <w:iCs w:val="0"/>
                <w:color w:val="000000"/>
                <w:sz w:val="32"/>
                <w:szCs w:val="32"/>
                <w:u w:val="none"/>
                <w:lang w:val="en-US" w:eastAsia="zh-CN"/>
              </w:rPr>
              <w:t>一般公共预算财政拨款基本支出决算明细表</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8185" w:type="dxa"/>
            <w:gridSpan w:val="5"/>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部门：湖南省贺家山原种场</w:t>
            </w:r>
          </w:p>
        </w:tc>
        <w:tc>
          <w:tcPr>
            <w:tcW w:w="16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52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17"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公开06表</w:t>
            </w:r>
          </w:p>
          <w:p>
            <w:pPr>
              <w:pStyle w:val="2"/>
              <w:ind w:left="0" w:leftChars="0" w:firstLine="0" w:firstLineChars="0"/>
              <w:rPr>
                <w:rFonts w:hint="eastAsia"/>
              </w:rPr>
            </w:pPr>
            <w:r>
              <w:rPr>
                <w:rFonts w:hint="eastAsia" w:ascii="宋体" w:hAnsi="宋体" w:eastAsia="宋体" w:cs="宋体"/>
                <w:i w:val="0"/>
                <w:color w:val="000000"/>
                <w:kern w:val="0"/>
                <w:sz w:val="20"/>
                <w:szCs w:val="20"/>
                <w:u w:val="none"/>
                <w:lang w:val="en-US" w:eastAsia="zh-CN" w:bidi="ar"/>
              </w:rPr>
              <w:t>金额单位：万元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184"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788"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164"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884"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60"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136"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520" w:type="dxa"/>
            <w:gridSpan w:val="2"/>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017" w:type="dxa"/>
            <w:vMerge w:val="restart"/>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2184"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1788"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1164"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1884"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1660"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1136"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2520" w:type="dxa"/>
            <w:gridSpan w:val="2"/>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c>
          <w:tcPr>
            <w:tcW w:w="2017" w:type="dxa"/>
            <w:vMerge w:val="continue"/>
            <w:shd w:val="clear" w:color="auto" w:fill="F1F1F1"/>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4,189.74</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127.91</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1,099.96</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13.21</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1,347.76</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531.02</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496.00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519.13</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15.24</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273.38</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13.52</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2520" w:type="dxa"/>
            <w:gridSpan w:val="2"/>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2017"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21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788"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36" w:type="dxa"/>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2520" w:type="dxa"/>
            <w:gridSpan w:val="2"/>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2017" w:type="dxa"/>
            <w:shd w:val="clear" w:color="auto" w:fill="FFFFFF"/>
            <w:noWrap/>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165" w:type="dxa"/>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2184" w:type="dxa"/>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1788" w:type="dxa"/>
            <w:shd w:val="clear" w:color="auto" w:fill="FFFFFF"/>
            <w:noWrap/>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2"/>
                <w:szCs w:val="22"/>
                <w:u w:val="none"/>
              </w:rPr>
            </w:pPr>
          </w:p>
        </w:tc>
        <w:tc>
          <w:tcPr>
            <w:tcW w:w="116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1884" w:type="dxa"/>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166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0.20</w:t>
            </w:r>
          </w:p>
        </w:tc>
        <w:tc>
          <w:tcPr>
            <w:tcW w:w="1136" w:type="dxa"/>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2520" w:type="dxa"/>
            <w:gridSpan w:val="2"/>
            <w:shd w:val="clear" w:color="auto" w:fill="F1F1F1"/>
            <w:noWrap/>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22"/>
                <w:szCs w:val="22"/>
                <w:u w:val="none"/>
              </w:rPr>
            </w:pPr>
          </w:p>
        </w:tc>
        <w:tc>
          <w:tcPr>
            <w:tcW w:w="2017" w:type="dxa"/>
            <w:shd w:val="clear" w:color="auto" w:fill="FFFFFF"/>
            <w:noWrap/>
            <w:vAlign w:val="center"/>
          </w:tcPr>
          <w:p>
            <w:pPr>
              <w:keepNext w:val="0"/>
              <w:keepLines w:val="0"/>
              <w:pageBreakBefore w:val="0"/>
              <w:kinsoku/>
              <w:wordWrap/>
              <w:overflowPunct/>
              <w:topLinePunct w:val="0"/>
              <w:autoSpaceDE/>
              <w:autoSpaceDN/>
              <w:bidi w:val="0"/>
              <w:adjustRightInd/>
              <w:snapToGrid/>
              <w:spacing w:line="200" w:lineRule="exact"/>
              <w:jc w:val="right"/>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3349" w:type="dxa"/>
            <w:gridSpan w:val="2"/>
            <w:tcBorders>
              <w:bottom w:val="single" w:color="auto"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788" w:type="dxa"/>
            <w:tcBorders>
              <w:bottom w:val="single" w:color="auto"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4,708.88</w:t>
            </w:r>
          </w:p>
        </w:tc>
        <w:tc>
          <w:tcPr>
            <w:tcW w:w="8364" w:type="dxa"/>
            <w:gridSpan w:val="6"/>
            <w:tcBorders>
              <w:bottom w:val="single" w:color="auto"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2017" w:type="dxa"/>
            <w:tcBorders>
              <w:bottom w:val="single" w:color="auto"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00" w:hRule="atLeast"/>
        </w:trPr>
        <w:tc>
          <w:tcPr>
            <w:tcW w:w="15518" w:type="dxa"/>
            <w:gridSpan w:val="10"/>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keepNext w:val="0"/>
        <w:keepLines w:val="0"/>
        <w:widowControl/>
        <w:suppressLineNumbers w:val="0"/>
        <w:ind w:firstLine="6306" w:firstLineChars="3000"/>
        <w:jc w:val="both"/>
        <w:textAlignment w:val="center"/>
        <w:rPr>
          <w:rFonts w:hint="default" w:ascii="华文中宋" w:hAnsi="华文中宋" w:eastAsia="华文中宋" w:cs="华文中宋"/>
          <w:b/>
          <w:i w:val="0"/>
          <w:color w:val="000000"/>
          <w:kern w:val="0"/>
          <w:sz w:val="21"/>
          <w:szCs w:val="21"/>
          <w:u w:val="none"/>
          <w:lang w:val="en-US" w:eastAsia="zh-CN" w:bidi="ar"/>
        </w:rPr>
      </w:pPr>
    </w:p>
    <w:p>
      <w:pPr>
        <w:pStyle w:val="2"/>
        <w:rPr>
          <w:rFonts w:hint="default" w:ascii="华文中宋" w:hAnsi="华文中宋" w:eastAsia="华文中宋" w:cs="华文中宋"/>
          <w:b/>
          <w:i w:val="0"/>
          <w:color w:val="000000"/>
          <w:kern w:val="0"/>
          <w:sz w:val="21"/>
          <w:szCs w:val="21"/>
          <w:u w:val="none"/>
          <w:lang w:val="en-US" w:eastAsia="zh-CN" w:bidi="ar"/>
        </w:rPr>
      </w:pPr>
    </w:p>
    <w:p>
      <w:pPr>
        <w:rPr>
          <w:rFonts w:hint="default" w:ascii="华文中宋" w:hAnsi="华文中宋" w:eastAsia="华文中宋" w:cs="华文中宋"/>
          <w:b/>
          <w:i w:val="0"/>
          <w:color w:val="000000"/>
          <w:kern w:val="0"/>
          <w:sz w:val="21"/>
          <w:szCs w:val="21"/>
          <w:u w:val="none"/>
          <w:lang w:val="en-US" w:eastAsia="zh-CN" w:bidi="ar"/>
        </w:rPr>
      </w:pPr>
    </w:p>
    <w:p>
      <w:pPr>
        <w:pStyle w:val="2"/>
        <w:rPr>
          <w:rFonts w:hint="default" w:ascii="华文中宋" w:hAnsi="华文中宋" w:eastAsia="华文中宋" w:cs="华文中宋"/>
          <w:b/>
          <w:i w:val="0"/>
          <w:color w:val="000000"/>
          <w:kern w:val="0"/>
          <w:sz w:val="21"/>
          <w:szCs w:val="21"/>
          <w:u w:val="none"/>
          <w:lang w:val="en-US" w:eastAsia="zh-CN" w:bidi="ar"/>
        </w:rPr>
      </w:pPr>
    </w:p>
    <w:p>
      <w:pPr>
        <w:rPr>
          <w:rFonts w:hint="default" w:ascii="华文中宋" w:hAnsi="华文中宋" w:eastAsia="华文中宋" w:cs="华文中宋"/>
          <w:b/>
          <w:i w:val="0"/>
          <w:color w:val="000000"/>
          <w:kern w:val="0"/>
          <w:sz w:val="21"/>
          <w:szCs w:val="21"/>
          <w:u w:val="none"/>
          <w:lang w:val="en-US" w:eastAsia="zh-CN" w:bidi="ar"/>
        </w:rPr>
      </w:pPr>
    </w:p>
    <w:p>
      <w:pPr>
        <w:pStyle w:val="2"/>
        <w:rPr>
          <w:rFonts w:hint="default" w:ascii="华文中宋" w:hAnsi="华文中宋" w:eastAsia="华文中宋" w:cs="华文中宋"/>
          <w:b/>
          <w:i w:val="0"/>
          <w:color w:val="000000"/>
          <w:kern w:val="0"/>
          <w:sz w:val="21"/>
          <w:szCs w:val="21"/>
          <w:u w:val="none"/>
          <w:lang w:val="en-US" w:eastAsia="zh-CN" w:bidi="ar"/>
        </w:rPr>
      </w:pPr>
    </w:p>
    <w:p>
      <w:pPr>
        <w:rPr>
          <w:rFonts w:hint="default" w:ascii="华文中宋" w:hAnsi="华文中宋" w:eastAsia="华文中宋" w:cs="华文中宋"/>
          <w:b/>
          <w:i w:val="0"/>
          <w:color w:val="000000"/>
          <w:kern w:val="0"/>
          <w:sz w:val="21"/>
          <w:szCs w:val="21"/>
          <w:u w:val="none"/>
          <w:lang w:val="en-US" w:eastAsia="zh-CN" w:bidi="ar"/>
        </w:rPr>
      </w:pPr>
    </w:p>
    <w:p>
      <w:pPr>
        <w:pStyle w:val="2"/>
        <w:rPr>
          <w:rFonts w:hint="default" w:ascii="华文中宋" w:hAnsi="华文中宋" w:eastAsia="华文中宋" w:cs="华文中宋"/>
          <w:b/>
          <w:i w:val="0"/>
          <w:color w:val="000000"/>
          <w:kern w:val="0"/>
          <w:sz w:val="21"/>
          <w:szCs w:val="21"/>
          <w:u w:val="none"/>
          <w:lang w:val="en-US" w:eastAsia="zh-CN" w:bidi="ar"/>
        </w:rPr>
      </w:pPr>
    </w:p>
    <w:p>
      <w:pPr>
        <w:rPr>
          <w:rFonts w:hint="default" w:ascii="华文中宋" w:hAnsi="华文中宋" w:eastAsia="华文中宋" w:cs="华文中宋"/>
          <w:b/>
          <w:i w:val="0"/>
          <w:color w:val="000000"/>
          <w:kern w:val="0"/>
          <w:sz w:val="21"/>
          <w:szCs w:val="21"/>
          <w:u w:val="none"/>
          <w:lang w:val="en-US" w:eastAsia="zh-CN" w:bidi="ar"/>
        </w:rPr>
      </w:pPr>
    </w:p>
    <w:p>
      <w:pPr>
        <w:pStyle w:val="2"/>
        <w:rPr>
          <w:rFonts w:hint="default" w:ascii="华文中宋" w:hAnsi="华文中宋" w:eastAsia="华文中宋" w:cs="华文中宋"/>
          <w:b/>
          <w:i w:val="0"/>
          <w:color w:val="000000"/>
          <w:kern w:val="0"/>
          <w:sz w:val="21"/>
          <w:szCs w:val="21"/>
          <w:u w:val="none"/>
          <w:lang w:val="en-US" w:eastAsia="zh-CN" w:bidi="ar"/>
        </w:rPr>
      </w:pPr>
    </w:p>
    <w:tbl>
      <w:tblPr>
        <w:tblStyle w:val="10"/>
        <w:tblW w:w="15165" w:type="dxa"/>
        <w:tblInd w:w="0" w:type="dxa"/>
        <w:shd w:val="clear" w:color="auto" w:fill="auto"/>
        <w:tblLayout w:type="fixed"/>
        <w:tblCellMar>
          <w:top w:w="0" w:type="dxa"/>
          <w:left w:w="0" w:type="dxa"/>
          <w:bottom w:w="0" w:type="dxa"/>
          <w:right w:w="0" w:type="dxa"/>
        </w:tblCellMar>
      </w:tblPr>
      <w:tblGrid>
        <w:gridCol w:w="8610"/>
        <w:gridCol w:w="276"/>
        <w:gridCol w:w="716"/>
        <w:gridCol w:w="909"/>
        <w:gridCol w:w="919"/>
        <w:gridCol w:w="840"/>
        <w:gridCol w:w="736"/>
        <w:gridCol w:w="795"/>
        <w:gridCol w:w="1364"/>
      </w:tblGrid>
      <w:tr>
        <w:tblPrEx>
          <w:tblLayout w:type="fixed"/>
          <w:tblCellMar>
            <w:top w:w="0" w:type="dxa"/>
            <w:left w:w="0" w:type="dxa"/>
            <w:bottom w:w="0" w:type="dxa"/>
            <w:right w:w="0" w:type="dxa"/>
          </w:tblCellMar>
        </w:tblPrEx>
        <w:trPr>
          <w:trHeight w:val="405" w:hRule="atLeast"/>
        </w:trPr>
        <w:tc>
          <w:tcPr>
            <w:tcW w:w="15165" w:type="dxa"/>
            <w:gridSpan w:val="9"/>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default" w:ascii="华文中宋" w:hAnsi="华文中宋" w:eastAsia="华文中宋" w:cs="华文中宋"/>
                <w:i w:val="0"/>
                <w:color w:val="000000"/>
                <w:kern w:val="0"/>
                <w:sz w:val="32"/>
                <w:szCs w:val="32"/>
                <w:u w:val="none"/>
                <w:lang w:val="en-US" w:eastAsia="zh-CN" w:bidi="ar"/>
              </w:rPr>
            </w:pPr>
          </w:p>
          <w:p>
            <w:pPr>
              <w:pStyle w:val="2"/>
              <w:rPr>
                <w:rFonts w:hint="default" w:ascii="华文中宋" w:hAnsi="华文中宋" w:eastAsia="华文中宋" w:cs="华文中宋"/>
                <w:i w:val="0"/>
                <w:color w:val="000000"/>
                <w:kern w:val="0"/>
                <w:sz w:val="32"/>
                <w:szCs w:val="32"/>
                <w:u w:val="none"/>
                <w:lang w:val="en-US" w:eastAsia="zh-CN" w:bidi="ar"/>
              </w:rPr>
            </w:pPr>
          </w:p>
          <w:p>
            <w:pPr>
              <w:rPr>
                <w:rFonts w:hint="default" w:ascii="华文中宋" w:hAnsi="华文中宋" w:eastAsia="华文中宋" w:cs="华文中宋"/>
                <w:i w:val="0"/>
                <w:color w:val="000000"/>
                <w:kern w:val="0"/>
                <w:sz w:val="32"/>
                <w:szCs w:val="32"/>
                <w:u w:val="none"/>
                <w:lang w:val="en-US" w:eastAsia="zh-CN" w:bidi="ar"/>
              </w:rPr>
            </w:pPr>
          </w:p>
          <w:p>
            <w:pPr>
              <w:pStyle w:val="2"/>
              <w:rPr>
                <w:rFonts w:hint="default"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both"/>
              <w:textAlignment w:val="center"/>
              <w:rPr>
                <w:rFonts w:hint="default"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default"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default"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Layout w:type="fixed"/>
          <w:tblCellMar>
            <w:top w:w="0" w:type="dxa"/>
            <w:left w:w="0" w:type="dxa"/>
            <w:bottom w:w="0" w:type="dxa"/>
            <w:right w:w="0" w:type="dxa"/>
          </w:tblCellMar>
        </w:tblPrEx>
        <w:trPr>
          <w:trHeight w:val="300" w:hRule="atLeast"/>
        </w:trPr>
        <w:tc>
          <w:tcPr>
            <w:tcW w:w="8610"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9"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919"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736"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795"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364"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shd w:val="clear" w:color="auto" w:fill="auto"/>
          <w:tblLayout w:type="fixed"/>
          <w:tblCellMar>
            <w:top w:w="0" w:type="dxa"/>
            <w:left w:w="0" w:type="dxa"/>
            <w:bottom w:w="0" w:type="dxa"/>
            <w:right w:w="0" w:type="dxa"/>
          </w:tblCellMar>
        </w:tblPrEx>
        <w:trPr>
          <w:trHeight w:val="300" w:hRule="atLeast"/>
        </w:trPr>
        <w:tc>
          <w:tcPr>
            <w:tcW w:w="8610"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部门：湖南省贺家山原种场</w:t>
            </w:r>
          </w:p>
        </w:tc>
        <w:tc>
          <w:tcPr>
            <w:tcW w:w="27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6" w:type="dxa"/>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9"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919"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736"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795" w:type="dxa"/>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364" w:type="dxa"/>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shd w:val="clear" w:color="auto" w:fill="auto"/>
          <w:tblLayout w:type="fixed"/>
          <w:tblCellMar>
            <w:top w:w="0" w:type="dxa"/>
            <w:left w:w="0" w:type="dxa"/>
            <w:bottom w:w="0" w:type="dxa"/>
            <w:right w:w="0" w:type="dxa"/>
          </w:tblCellMar>
        </w:tblPrEx>
        <w:trPr>
          <w:trHeight w:val="585" w:hRule="atLeast"/>
        </w:trPr>
        <w:tc>
          <w:tcPr>
            <w:tcW w:w="9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237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shd w:val="clear" w:color="auto" w:fill="auto"/>
          <w:tblLayout w:type="fixed"/>
          <w:tblCellMar>
            <w:top w:w="0" w:type="dxa"/>
            <w:left w:w="0" w:type="dxa"/>
            <w:bottom w:w="0" w:type="dxa"/>
            <w:right w:w="0" w:type="dxa"/>
          </w:tblCellMar>
        </w:tblPrEx>
        <w:trPr>
          <w:trHeight w:val="115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315" w:hRule="atLeast"/>
        </w:trPr>
        <w:tc>
          <w:tcPr>
            <w:tcW w:w="9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Layout w:type="fixed"/>
          <w:tblCellMar>
            <w:top w:w="0" w:type="dxa"/>
            <w:left w:w="0" w:type="dxa"/>
            <w:bottom w:w="0" w:type="dxa"/>
            <w:right w:w="0" w:type="dxa"/>
          </w:tblCellMar>
        </w:tblPrEx>
        <w:trPr>
          <w:trHeight w:val="315" w:hRule="atLeast"/>
        </w:trPr>
        <w:tc>
          <w:tcPr>
            <w:tcW w:w="9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trHeight w:val="315" w:hRule="atLeast"/>
        </w:trPr>
        <w:tc>
          <w:tcPr>
            <w:tcW w:w="8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trPr>
        <w:tc>
          <w:tcPr>
            <w:tcW w:w="861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4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trPr>
        <w:tc>
          <w:tcPr>
            <w:tcW w:w="8610"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注：本表反映部门本年度政府性基金预算财政拨款收入、支出及结转和结余情况。</w:t>
            </w:r>
          </w:p>
        </w:tc>
        <w:tc>
          <w:tcPr>
            <w:tcW w:w="27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4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trPr>
        <w:tc>
          <w:tcPr>
            <w:tcW w:w="861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4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trPr>
        <w:tc>
          <w:tcPr>
            <w:tcW w:w="8610"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说明：我单位没有政府性基金收入，也没有使用政府性基金安排的支出，故本表无数据。</w:t>
            </w:r>
          </w:p>
        </w:tc>
        <w:tc>
          <w:tcPr>
            <w:tcW w:w="27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0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19"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4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3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rPr>
          <w:rFonts w:hint="default"/>
          <w:lang w:val="en-US" w:eastAsia="zh-CN"/>
        </w:rPr>
        <w:sectPr>
          <w:pgSz w:w="16838" w:h="11906" w:orient="landscape"/>
          <w:pgMar w:top="720" w:right="720" w:bottom="720" w:left="720" w:header="851" w:footer="992" w:gutter="0"/>
          <w:cols w:space="425" w:num="1"/>
          <w:docGrid w:type="lines" w:linePitch="312" w:charSpace="0"/>
        </w:sectPr>
      </w:pPr>
    </w:p>
    <w:tbl>
      <w:tblPr>
        <w:tblStyle w:val="10"/>
        <w:tblW w:w="15140" w:type="dxa"/>
        <w:jc w:val="center"/>
        <w:tblInd w:w="0" w:type="dxa"/>
        <w:shd w:val="clear" w:color="auto" w:fill="auto"/>
        <w:tblLayout w:type="fixed"/>
        <w:tblCellMar>
          <w:top w:w="0" w:type="dxa"/>
          <w:left w:w="0" w:type="dxa"/>
          <w:bottom w:w="0" w:type="dxa"/>
          <w:right w:w="0" w:type="dxa"/>
        </w:tblCellMar>
      </w:tblPr>
      <w:tblGrid>
        <w:gridCol w:w="1260"/>
        <w:gridCol w:w="1261"/>
        <w:gridCol w:w="1261"/>
        <w:gridCol w:w="1261"/>
        <w:gridCol w:w="1261"/>
        <w:gridCol w:w="546"/>
        <w:gridCol w:w="715"/>
        <w:gridCol w:w="104"/>
        <w:gridCol w:w="1157"/>
        <w:gridCol w:w="148"/>
        <w:gridCol w:w="1113"/>
        <w:gridCol w:w="622"/>
        <w:gridCol w:w="639"/>
        <w:gridCol w:w="1016"/>
        <w:gridCol w:w="245"/>
        <w:gridCol w:w="1261"/>
        <w:gridCol w:w="605"/>
        <w:gridCol w:w="665"/>
      </w:tblGrid>
      <w:tr>
        <w:tblPrEx>
          <w:tblLayout w:type="fixed"/>
          <w:tblCellMar>
            <w:top w:w="0" w:type="dxa"/>
            <w:left w:w="0" w:type="dxa"/>
            <w:bottom w:w="0" w:type="dxa"/>
            <w:right w:w="0" w:type="dxa"/>
          </w:tblCellMar>
        </w:tblPrEx>
        <w:trPr>
          <w:gridAfter w:val="1"/>
          <w:wAfter w:w="665" w:type="dxa"/>
          <w:trHeight w:val="405" w:hRule="atLeast"/>
          <w:jc w:val="center"/>
        </w:trPr>
        <w:tc>
          <w:tcPr>
            <w:tcW w:w="14475" w:type="dxa"/>
            <w:gridSpan w:val="17"/>
            <w:tcBorders>
              <w:top w:val="nil"/>
              <w:left w:val="nil"/>
              <w:bottom w:val="nil"/>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default"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Layout w:type="fixed"/>
          <w:tblCellMar>
            <w:top w:w="0" w:type="dxa"/>
            <w:left w:w="0" w:type="dxa"/>
            <w:bottom w:w="0" w:type="dxa"/>
            <w:right w:w="0" w:type="dxa"/>
          </w:tblCellMar>
        </w:tblPrEx>
        <w:trPr>
          <w:gridAfter w:val="1"/>
          <w:wAfter w:w="665" w:type="dxa"/>
          <w:trHeight w:val="270" w:hRule="atLeast"/>
          <w:jc w:val="center"/>
        </w:trPr>
        <w:tc>
          <w:tcPr>
            <w:tcW w:w="6850" w:type="dxa"/>
            <w:gridSpan w:val="6"/>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9" w:type="dxa"/>
            <w:gridSpan w:val="2"/>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5" w:type="dxa"/>
            <w:gridSpan w:val="2"/>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35" w:type="dxa"/>
            <w:gridSpan w:val="2"/>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655" w:type="dxa"/>
            <w:gridSpan w:val="2"/>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2111" w:type="dxa"/>
            <w:gridSpan w:val="3"/>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shd w:val="clear" w:color="auto" w:fill="auto"/>
          <w:tblLayout w:type="fixed"/>
          <w:tblCellMar>
            <w:top w:w="0" w:type="dxa"/>
            <w:left w:w="0" w:type="dxa"/>
            <w:bottom w:w="0" w:type="dxa"/>
            <w:right w:w="0" w:type="dxa"/>
          </w:tblCellMar>
        </w:tblPrEx>
        <w:trPr>
          <w:gridAfter w:val="1"/>
          <w:wAfter w:w="665" w:type="dxa"/>
          <w:trHeight w:val="270" w:hRule="atLeast"/>
          <w:jc w:val="center"/>
        </w:trPr>
        <w:tc>
          <w:tcPr>
            <w:tcW w:w="6850" w:type="dxa"/>
            <w:gridSpan w:val="6"/>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bookmarkStart w:id="4" w:name="OLE_LINK5"/>
            <w:r>
              <w:rPr>
                <w:rFonts w:hint="eastAsia" w:ascii="宋体" w:hAnsi="宋体" w:eastAsia="宋体" w:cs="宋体"/>
                <w:i w:val="0"/>
                <w:color w:val="000000"/>
                <w:kern w:val="0"/>
                <w:sz w:val="20"/>
                <w:szCs w:val="20"/>
                <w:u w:val="none"/>
                <w:lang w:val="en-US" w:eastAsia="zh-CN" w:bidi="ar"/>
              </w:rPr>
              <w:t>：湖南省贺家山原种场</w:t>
            </w:r>
            <w:bookmarkEnd w:id="4"/>
          </w:p>
        </w:tc>
        <w:tc>
          <w:tcPr>
            <w:tcW w:w="819" w:type="dxa"/>
            <w:gridSpan w:val="2"/>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05" w:type="dxa"/>
            <w:gridSpan w:val="2"/>
            <w:tcBorders>
              <w:top w:val="nil"/>
              <w:left w:val="nil"/>
              <w:bottom w:val="nil"/>
              <w:right w:val="nil"/>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35" w:type="dxa"/>
            <w:gridSpan w:val="2"/>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655" w:type="dxa"/>
            <w:gridSpan w:val="2"/>
            <w:tcBorders>
              <w:top w:val="nil"/>
              <w:left w:val="nil"/>
              <w:bottom w:val="nil"/>
              <w:right w:val="nil"/>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2111" w:type="dxa"/>
            <w:gridSpan w:val="3"/>
            <w:tcBorders>
              <w:top w:val="nil"/>
              <w:left w:val="nil"/>
              <w:bottom w:val="nil"/>
              <w:right w:val="nil"/>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shd w:val="clear" w:color="auto" w:fill="auto"/>
          <w:tblLayout w:type="fixed"/>
          <w:tblCellMar>
            <w:top w:w="0" w:type="dxa"/>
            <w:left w:w="0" w:type="dxa"/>
            <w:bottom w:w="0" w:type="dxa"/>
            <w:right w:w="0" w:type="dxa"/>
          </w:tblCellMar>
        </w:tblPrEx>
        <w:trPr>
          <w:gridAfter w:val="1"/>
          <w:wAfter w:w="665" w:type="dxa"/>
          <w:trHeight w:val="540" w:hRule="atLeast"/>
          <w:jc w:val="center"/>
        </w:trPr>
        <w:tc>
          <w:tcPr>
            <w:tcW w:w="897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目</w:t>
            </w:r>
          </w:p>
        </w:tc>
        <w:tc>
          <w:tcPr>
            <w:tcW w:w="550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Layout w:type="fixed"/>
          <w:tblCellMar>
            <w:top w:w="0" w:type="dxa"/>
            <w:left w:w="0" w:type="dxa"/>
            <w:bottom w:w="0" w:type="dxa"/>
            <w:right w:w="0" w:type="dxa"/>
          </w:tblCellMar>
        </w:tblPrEx>
        <w:trPr>
          <w:gridAfter w:val="1"/>
          <w:wAfter w:w="665" w:type="dxa"/>
          <w:trHeight w:val="1240"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897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897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0"/>
                <w:szCs w:val="20"/>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r>
      <w:tr>
        <w:tblPrEx>
          <w:shd w:val="clear" w:color="auto" w:fill="auto"/>
          <w:tblLayout w:type="fixed"/>
          <w:tblCellMar>
            <w:top w:w="0" w:type="dxa"/>
            <w:left w:w="0" w:type="dxa"/>
            <w:bottom w:w="0" w:type="dxa"/>
            <w:right w:w="0" w:type="dxa"/>
          </w:tblCellMar>
        </w:tblPrEx>
        <w:trPr>
          <w:gridAfter w:val="1"/>
          <w:wAfter w:w="665" w:type="dxa"/>
          <w:trHeight w:val="315" w:hRule="atLeast"/>
          <w:jc w:val="center"/>
        </w:trPr>
        <w:tc>
          <w:tcPr>
            <w:tcW w:w="76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7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000000"/>
                <w:sz w:val="24"/>
                <w:szCs w:val="24"/>
                <w:u w:val="none"/>
              </w:rPr>
            </w:pPr>
          </w:p>
        </w:tc>
        <w:tc>
          <w:tcPr>
            <w:tcW w:w="21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665" w:type="dxa"/>
          <w:trHeight w:val="270" w:hRule="atLeast"/>
          <w:jc w:val="center"/>
        </w:trPr>
        <w:tc>
          <w:tcPr>
            <w:tcW w:w="6850" w:type="dxa"/>
            <w:gridSpan w:val="6"/>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19"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0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3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111" w:type="dxa"/>
            <w:gridSpan w:val="3"/>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665" w:type="dxa"/>
          <w:trHeight w:val="270" w:hRule="atLeast"/>
          <w:jc w:val="center"/>
        </w:trPr>
        <w:tc>
          <w:tcPr>
            <w:tcW w:w="685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注：本表反映部门本年度国有资本经营预算财政拨款支出情况。</w:t>
            </w:r>
          </w:p>
        </w:tc>
        <w:tc>
          <w:tcPr>
            <w:tcW w:w="819"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0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3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111" w:type="dxa"/>
            <w:gridSpan w:val="3"/>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gridAfter w:val="1"/>
          <w:wAfter w:w="665" w:type="dxa"/>
          <w:trHeight w:val="270" w:hRule="atLeast"/>
          <w:jc w:val="center"/>
        </w:trPr>
        <w:tc>
          <w:tcPr>
            <w:tcW w:w="685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说明：我单位没有使用国有资本经营预算安排的支出，故本表无数据。</w:t>
            </w:r>
          </w:p>
        </w:tc>
        <w:tc>
          <w:tcPr>
            <w:tcW w:w="819"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30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3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655"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111" w:type="dxa"/>
            <w:gridSpan w:val="3"/>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jc w:val="center"/>
        </w:trPr>
        <w:tc>
          <w:tcPr>
            <w:tcW w:w="15140" w:type="dxa"/>
            <w:gridSpan w:val="18"/>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jc w:val="center"/>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2521" w:type="dxa"/>
            <w:gridSpan w:val="2"/>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部门：湖南省贺家山原种场</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jc w:val="center"/>
        </w:trPr>
        <w:tc>
          <w:tcPr>
            <w:tcW w:w="75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jc w:val="center"/>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jc w:val="center"/>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jc w:val="center"/>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jc w:val="center"/>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jc w:val="center"/>
        </w:trPr>
        <w:tc>
          <w:tcPr>
            <w:tcW w:w="15140" w:type="dxa"/>
            <w:gridSpan w:val="1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jc w:val="center"/>
        <w:rPr>
          <w:sz w:val="72"/>
          <w:szCs w:val="72"/>
        </w:rPr>
        <w:sectPr>
          <w:pgSz w:w="16838" w:h="11906" w:orient="landscape"/>
          <w:pgMar w:top="720" w:right="720" w:bottom="720" w:left="720" w:header="851" w:footer="992" w:gutter="0"/>
          <w:cols w:space="425" w:num="1"/>
          <w:docGrid w:type="lines" w:linePitch="312" w:charSpace="0"/>
        </w:sectPr>
      </w:pPr>
    </w:p>
    <w:p>
      <w:pPr>
        <w:autoSpaceDE w:val="0"/>
        <w:autoSpaceDN w:val="0"/>
        <w:adjustRightInd w:val="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pStyle w:val="15"/>
        <w:rPr>
          <w:sz w:val="72"/>
          <w:szCs w:val="72"/>
        </w:rPr>
      </w:pPr>
    </w:p>
    <w:p>
      <w:pPr>
        <w:pStyle w:val="15"/>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8494.12</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410.97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w:t>
      </w:r>
      <w:bookmarkStart w:id="5" w:name="OLE_LINK2"/>
      <w:r>
        <w:rPr>
          <w:rFonts w:hint="eastAsia" w:ascii="Times New Roman" w:hAnsi="Times New Roman" w:eastAsia="仿宋_GB2312"/>
          <w:sz w:val="32"/>
          <w:szCs w:val="32"/>
          <w:highlight w:val="none"/>
        </w:rPr>
        <w:t>主要是因为</w:t>
      </w:r>
      <w:bookmarkEnd w:id="5"/>
      <w:bookmarkStart w:id="6" w:name="OLE_LINK12"/>
      <w:r>
        <w:rPr>
          <w:rFonts w:hint="eastAsia" w:ascii="Times New Roman" w:hAnsi="Times New Roman" w:eastAsia="仿宋_GB2312"/>
          <w:color w:val="auto"/>
          <w:sz w:val="32"/>
          <w:szCs w:val="32"/>
          <w:highlight w:val="none"/>
        </w:rPr>
        <w:t>年中追加</w:t>
      </w:r>
      <w:r>
        <w:rPr>
          <w:rFonts w:hint="eastAsia" w:ascii="Times New Roman" w:hAnsi="Times New Roman" w:eastAsia="仿宋_GB2312"/>
          <w:color w:val="auto"/>
          <w:sz w:val="32"/>
          <w:szCs w:val="32"/>
          <w:highlight w:val="none"/>
          <w:lang w:eastAsia="zh-CN"/>
        </w:rPr>
        <w:t>农业生产保障与服务（省级）项目资金</w:t>
      </w:r>
      <w:r>
        <w:rPr>
          <w:rFonts w:hint="eastAsia" w:ascii="Times New Roman" w:hAnsi="Times New Roman" w:eastAsia="仿宋_GB2312"/>
          <w:color w:val="auto"/>
          <w:sz w:val="32"/>
          <w:szCs w:val="32"/>
          <w:highlight w:val="none"/>
        </w:rPr>
        <w:t>。</w:t>
      </w:r>
      <w:bookmarkEnd w:id="6"/>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6659.69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5607.79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84.2</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226.69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3.4</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825.22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12.4</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6249.09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5095.17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81.53</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1153.92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18.47</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color w:val="0000FF"/>
          <w:sz w:val="32"/>
          <w:szCs w:val="32"/>
          <w:highlight w:val="none"/>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5785.96</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730.97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14.46</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主要是因为</w:t>
      </w:r>
      <w:r>
        <w:rPr>
          <w:rFonts w:hint="eastAsia" w:ascii="Times New Roman" w:hAnsi="Times New Roman" w:eastAsia="仿宋_GB2312"/>
          <w:color w:val="auto"/>
          <w:sz w:val="32"/>
          <w:szCs w:val="32"/>
          <w:highlight w:val="none"/>
          <w:lang w:eastAsia="zh-CN"/>
        </w:rPr>
        <w:t>绩效工资改革，年底追加绩效工资</w:t>
      </w:r>
      <w:r>
        <w:rPr>
          <w:rFonts w:hint="eastAsia" w:ascii="Times New Roman" w:hAnsi="Times New Roman" w:eastAsia="仿宋_GB2312"/>
          <w:color w:val="auto"/>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highlight w:val="red"/>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bookmarkStart w:id="7" w:name="OLE_LINK7"/>
      <w:r>
        <w:rPr>
          <w:rFonts w:hint="eastAsia" w:ascii="Times New Roman" w:hAnsi="Times New Roman" w:eastAsia="仿宋_GB2312"/>
          <w:sz w:val="32"/>
          <w:szCs w:val="32"/>
          <w:lang w:val="en-US" w:eastAsia="zh-CN"/>
        </w:rPr>
        <w:t>5148.62</w:t>
      </w:r>
      <w:bookmarkEnd w:id="7"/>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82.39</w:t>
      </w:r>
      <w:r>
        <w:rPr>
          <w:rFonts w:hint="eastAsia" w:ascii="Times New Roman" w:hAnsi="Times New Roman" w:eastAsia="仿宋_GB2312"/>
          <w:sz w:val="32"/>
          <w:szCs w:val="32"/>
        </w:rPr>
        <w:t>%，与上</w:t>
      </w:r>
      <w:r>
        <w:rPr>
          <w:rFonts w:hint="eastAsia" w:ascii="Times New Roman" w:hAnsi="Times New Roman" w:eastAsia="仿宋_GB2312"/>
          <w:sz w:val="32"/>
          <w:szCs w:val="32"/>
          <w:highlight w:val="none"/>
        </w:rPr>
        <w:t>年相比，财政拨款支出增加</w:t>
      </w:r>
      <w:r>
        <w:rPr>
          <w:rFonts w:hint="eastAsia" w:ascii="Times New Roman" w:hAnsi="Times New Roman" w:eastAsia="仿宋_GB2312"/>
          <w:sz w:val="32"/>
          <w:szCs w:val="32"/>
          <w:highlight w:val="none"/>
          <w:lang w:val="en-US" w:eastAsia="zh-CN"/>
        </w:rPr>
        <w:t>271.79</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5.57</w:t>
      </w:r>
      <w:r>
        <w:rPr>
          <w:rFonts w:hint="eastAsia" w:ascii="Times New Roman" w:hAnsi="Times New Roman" w:eastAsia="仿宋_GB2312"/>
          <w:sz w:val="32"/>
          <w:szCs w:val="32"/>
          <w:highlight w:val="none"/>
        </w:rPr>
        <w:t>%，</w:t>
      </w:r>
      <w:r>
        <w:rPr>
          <w:rFonts w:hint="eastAsia" w:ascii="Times New Roman" w:hAnsi="Times New Roman" w:eastAsia="仿宋_GB2312"/>
          <w:color w:val="auto"/>
          <w:sz w:val="32"/>
          <w:szCs w:val="32"/>
          <w:highlight w:val="none"/>
        </w:rPr>
        <w:t>主要是因为</w:t>
      </w:r>
      <w:r>
        <w:rPr>
          <w:rFonts w:hint="eastAsia" w:ascii="Times New Roman" w:hAnsi="Times New Roman" w:eastAsia="仿宋_GB2312"/>
          <w:color w:val="auto"/>
          <w:sz w:val="32"/>
          <w:szCs w:val="32"/>
          <w:highlight w:val="none"/>
          <w:lang w:eastAsia="zh-CN"/>
        </w:rPr>
        <w:t>绩效工资改革</w:t>
      </w:r>
      <w:r>
        <w:rPr>
          <w:rFonts w:hint="eastAsia" w:ascii="Times New Roman" w:hAnsi="Times New Roman" w:eastAsia="仿宋_GB2312"/>
          <w:color w:val="auto"/>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（二）财政拨款支出决算结构情况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5148.62</w:t>
      </w:r>
      <w:r>
        <w:rPr>
          <w:rFonts w:hint="eastAsia" w:ascii="Times New Roman" w:hAnsi="Times New Roman" w:eastAsia="仿宋_GB2312"/>
          <w:sz w:val="32"/>
          <w:szCs w:val="32"/>
          <w:highlight w:val="none"/>
        </w:rPr>
        <w:t>万元，主要用于以下方面：社会保障和就业</w:t>
      </w:r>
      <w:r>
        <w:rPr>
          <w:rFonts w:hint="eastAsia" w:ascii="Times New Roman" w:hAnsi="Times New Roman" w:eastAsia="仿宋_GB2312"/>
          <w:sz w:val="32"/>
          <w:szCs w:val="32"/>
          <w:highlight w:val="none"/>
          <w:lang w:eastAsia="zh-CN"/>
        </w:rPr>
        <w:t>（类）</w:t>
      </w:r>
      <w:r>
        <w:rPr>
          <w:rFonts w:hint="eastAsia" w:ascii="Times New Roman" w:hAnsi="Times New Roman" w:eastAsia="仿宋_GB2312"/>
          <w:sz w:val="32"/>
          <w:szCs w:val="32"/>
          <w:highlight w:val="none"/>
        </w:rPr>
        <w:t>支出2</w:t>
      </w:r>
      <w:r>
        <w:rPr>
          <w:rFonts w:hint="eastAsia" w:ascii="Times New Roman" w:hAnsi="Times New Roman" w:eastAsia="仿宋_GB2312"/>
          <w:sz w:val="32"/>
          <w:szCs w:val="32"/>
          <w:highlight w:val="none"/>
          <w:lang w:val="en-US" w:eastAsia="zh-CN"/>
        </w:rPr>
        <w:t>51.99</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4.9</w:t>
      </w:r>
      <w:r>
        <w:rPr>
          <w:rFonts w:hint="eastAsia" w:ascii="Times New Roman" w:hAnsi="Times New Roman" w:eastAsia="仿宋_GB2312"/>
          <w:sz w:val="32"/>
          <w:szCs w:val="32"/>
          <w:highlight w:val="none"/>
        </w:rPr>
        <w:t>%；农林水</w:t>
      </w:r>
      <w:r>
        <w:rPr>
          <w:rFonts w:hint="eastAsia" w:ascii="Times New Roman" w:hAnsi="Times New Roman" w:eastAsia="仿宋_GB2312"/>
          <w:sz w:val="32"/>
          <w:szCs w:val="32"/>
          <w:highlight w:val="none"/>
          <w:lang w:eastAsia="zh-CN"/>
        </w:rPr>
        <w:t>（类）</w:t>
      </w:r>
      <w:r>
        <w:rPr>
          <w:rFonts w:hint="eastAsia" w:ascii="Times New Roman" w:hAnsi="Times New Roman" w:eastAsia="仿宋_GB2312"/>
          <w:sz w:val="32"/>
          <w:szCs w:val="32"/>
          <w:highlight w:val="none"/>
        </w:rPr>
        <w:t>支出</w:t>
      </w:r>
      <w:r>
        <w:rPr>
          <w:rFonts w:hint="eastAsia" w:ascii="Times New Roman" w:hAnsi="Times New Roman" w:eastAsia="仿宋_GB2312"/>
          <w:sz w:val="32"/>
          <w:szCs w:val="32"/>
          <w:highlight w:val="none"/>
          <w:lang w:val="en-US" w:eastAsia="zh-CN"/>
        </w:rPr>
        <w:t>4662.63</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90.56</w:t>
      </w:r>
      <w:r>
        <w:rPr>
          <w:rFonts w:hint="eastAsia" w:ascii="Times New Roman" w:hAnsi="Times New Roman" w:eastAsia="仿宋_GB2312"/>
          <w:sz w:val="32"/>
          <w:szCs w:val="32"/>
          <w:highlight w:val="none"/>
        </w:rPr>
        <w:t>%；住房保障</w:t>
      </w:r>
      <w:r>
        <w:rPr>
          <w:rFonts w:hint="eastAsia" w:ascii="Times New Roman" w:hAnsi="Times New Roman" w:eastAsia="仿宋_GB2312"/>
          <w:sz w:val="32"/>
          <w:szCs w:val="32"/>
          <w:highlight w:val="none"/>
          <w:lang w:eastAsia="zh-CN"/>
        </w:rPr>
        <w:t>（类）</w:t>
      </w:r>
      <w:r>
        <w:rPr>
          <w:rFonts w:hint="eastAsia" w:ascii="Times New Roman" w:hAnsi="Times New Roman" w:eastAsia="仿宋_GB2312"/>
          <w:sz w:val="32"/>
          <w:szCs w:val="32"/>
          <w:highlight w:val="none"/>
        </w:rPr>
        <w:t>支出</w:t>
      </w:r>
      <w:r>
        <w:rPr>
          <w:rFonts w:hint="eastAsia" w:ascii="Times New Roman" w:hAnsi="Times New Roman" w:eastAsia="仿宋_GB2312"/>
          <w:sz w:val="32"/>
          <w:szCs w:val="32"/>
          <w:highlight w:val="none"/>
          <w:lang w:val="en-US" w:eastAsia="zh-CN"/>
        </w:rPr>
        <w:t>234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4.54</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（三）财政拨款支出决算具体情况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年度财政拨款支出年初预算数为</w:t>
      </w:r>
      <w:r>
        <w:rPr>
          <w:rFonts w:hint="eastAsia" w:ascii="Times New Roman" w:hAnsi="Times New Roman" w:eastAsia="仿宋_GB2312"/>
          <w:sz w:val="32"/>
          <w:szCs w:val="32"/>
          <w:highlight w:val="none"/>
          <w:lang w:val="en-US" w:eastAsia="zh-CN"/>
        </w:rPr>
        <w:t>4340.2</w:t>
      </w:r>
      <w:r>
        <w:rPr>
          <w:rFonts w:hint="eastAsia" w:ascii="Times New Roman" w:hAnsi="Times New Roman" w:eastAsia="仿宋_GB2312"/>
          <w:sz w:val="32"/>
          <w:szCs w:val="32"/>
          <w:highlight w:val="none"/>
        </w:rPr>
        <w:t>万元，支出决算数为</w:t>
      </w:r>
      <w:r>
        <w:rPr>
          <w:rFonts w:hint="eastAsia" w:ascii="Times New Roman" w:hAnsi="Times New Roman" w:eastAsia="仿宋_GB2312"/>
          <w:sz w:val="32"/>
          <w:szCs w:val="32"/>
          <w:highlight w:val="none"/>
          <w:lang w:val="en-US" w:eastAsia="zh-CN"/>
        </w:rPr>
        <w:t>5148.62</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118.63</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bookmarkStart w:id="8" w:name="OLE_LINK8"/>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、社会保障和就业（类）行政事业单位养老支出（款）机关事业单位基本养老保险缴费支出（项）。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年初预算为2</w:t>
      </w:r>
      <w:r>
        <w:rPr>
          <w:rFonts w:hint="eastAsia" w:ascii="Times New Roman" w:hAnsi="Times New Roman" w:eastAsia="仿宋_GB2312"/>
          <w:color w:val="auto"/>
          <w:sz w:val="32"/>
          <w:szCs w:val="32"/>
          <w:highlight w:val="none"/>
          <w:lang w:val="en-US" w:eastAsia="zh-CN"/>
        </w:rPr>
        <w:t>50</w:t>
      </w:r>
      <w:r>
        <w:rPr>
          <w:rFonts w:hint="eastAsia" w:ascii="Times New Roman" w:hAnsi="Times New Roman" w:eastAsia="仿宋_GB2312"/>
          <w:color w:val="auto"/>
          <w:sz w:val="32"/>
          <w:szCs w:val="32"/>
          <w:highlight w:val="none"/>
        </w:rPr>
        <w:t>万元，支出决算为2</w:t>
      </w: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0万元，</w:t>
      </w:r>
      <w:bookmarkStart w:id="9" w:name="OLE_LINK10"/>
      <w:r>
        <w:rPr>
          <w:rFonts w:hint="eastAsia" w:ascii="Times New Roman" w:hAnsi="Times New Roman" w:eastAsia="仿宋_GB2312"/>
          <w:color w:val="auto"/>
          <w:sz w:val="32"/>
          <w:szCs w:val="32"/>
          <w:highlight w:val="none"/>
        </w:rPr>
        <w:t>完成年初预算的100%。</w:t>
      </w:r>
      <w:bookmarkEnd w:id="8"/>
      <w:bookmarkEnd w:id="9"/>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color w:val="auto"/>
          <w:sz w:val="32"/>
          <w:szCs w:val="32"/>
          <w:highlight w:val="none"/>
          <w:lang w:val="en-US" w:eastAsia="zh-CN"/>
        </w:rPr>
        <w:t>2</w:t>
      </w:r>
      <w:r>
        <w:rPr>
          <w:rFonts w:hint="eastAsia" w:ascii="Times New Roman" w:hAnsi="Times New Roman" w:eastAsia="仿宋_GB2312"/>
          <w:color w:val="auto"/>
          <w:sz w:val="32"/>
          <w:szCs w:val="32"/>
          <w:highlight w:val="none"/>
        </w:rPr>
        <w:t>、社会保障和就业（类）行政事业单位养老支出（款）</w:t>
      </w:r>
      <w:r>
        <w:rPr>
          <w:rFonts w:hint="eastAsia" w:ascii="Times New Roman" w:hAnsi="Times New Roman" w:eastAsia="仿宋_GB2312"/>
          <w:color w:val="auto"/>
          <w:sz w:val="32"/>
          <w:szCs w:val="32"/>
          <w:highlight w:val="none"/>
          <w:lang w:eastAsia="zh-CN"/>
        </w:rPr>
        <w:t>死亡抚恤</w:t>
      </w:r>
      <w:r>
        <w:rPr>
          <w:rFonts w:hint="eastAsia" w:ascii="Times New Roman" w:hAnsi="Times New Roman" w:eastAsia="仿宋_GB2312"/>
          <w:color w:val="auto"/>
          <w:sz w:val="32"/>
          <w:szCs w:val="32"/>
          <w:highlight w:val="none"/>
        </w:rPr>
        <w:t>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1.99</w:t>
      </w:r>
      <w:r>
        <w:rPr>
          <w:rFonts w:hint="eastAsia" w:ascii="Times New Roman" w:hAnsi="Times New Roman" w:eastAsia="仿宋_GB2312"/>
          <w:sz w:val="32"/>
          <w:szCs w:val="32"/>
          <w:highlight w:val="none"/>
        </w:rPr>
        <w:t>万元，决算数大于年初预算数的主要原因是：预算调整与追加。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bookmarkStart w:id="10" w:name="OLE_LINK9"/>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、农林水支出（类）农业农村（款）</w:t>
      </w:r>
      <w:r>
        <w:rPr>
          <w:rFonts w:hint="eastAsia" w:ascii="Times New Roman" w:hAnsi="Times New Roman" w:eastAsia="仿宋_GB2312"/>
          <w:color w:val="auto"/>
          <w:sz w:val="32"/>
          <w:szCs w:val="32"/>
          <w:highlight w:val="none"/>
          <w:lang w:eastAsia="zh-CN"/>
        </w:rPr>
        <w:t>病虫害控制</w:t>
      </w:r>
      <w:r>
        <w:rPr>
          <w:rFonts w:hint="eastAsia" w:ascii="Times New Roman" w:hAnsi="Times New Roman" w:eastAsia="仿宋_GB2312"/>
          <w:color w:val="auto"/>
          <w:sz w:val="32"/>
          <w:szCs w:val="32"/>
          <w:highlight w:val="none"/>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万元，决算数大于年初预算数的主要原因是：预算调整与追加。</w:t>
      </w:r>
    </w:p>
    <w:bookmarkEnd w:id="10"/>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、农林水支出（类）农业农村（款）</w:t>
      </w:r>
      <w:r>
        <w:rPr>
          <w:rFonts w:hint="eastAsia" w:ascii="Times New Roman" w:hAnsi="Times New Roman" w:eastAsia="仿宋_GB2312"/>
          <w:color w:val="auto"/>
          <w:sz w:val="32"/>
          <w:szCs w:val="32"/>
          <w:highlight w:val="none"/>
          <w:lang w:eastAsia="zh-CN"/>
        </w:rPr>
        <w:t>农业资源保护修复与利用</w:t>
      </w:r>
      <w:r>
        <w:rPr>
          <w:rFonts w:hint="eastAsia" w:ascii="Times New Roman" w:hAnsi="Times New Roman" w:eastAsia="仿宋_GB2312"/>
          <w:color w:val="auto"/>
          <w:sz w:val="32"/>
          <w:szCs w:val="32"/>
          <w:highlight w:val="none"/>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0.32</w:t>
      </w:r>
      <w:r>
        <w:rPr>
          <w:rFonts w:hint="eastAsia" w:ascii="Times New Roman" w:hAnsi="Times New Roman" w:eastAsia="仿宋_GB2312"/>
          <w:sz w:val="32"/>
          <w:szCs w:val="32"/>
          <w:highlight w:val="none"/>
        </w:rPr>
        <w:t>万元，决算数大于年初预算数的主要原因是：预算调整与追加。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5</w:t>
      </w:r>
      <w:r>
        <w:rPr>
          <w:rFonts w:hint="eastAsia" w:ascii="Times New Roman" w:hAnsi="Times New Roman" w:eastAsia="仿宋_GB2312"/>
          <w:color w:val="auto"/>
          <w:sz w:val="32"/>
          <w:szCs w:val="32"/>
          <w:highlight w:val="none"/>
        </w:rPr>
        <w:t>、农林水支出（类）农业农村（款）事业运行（项）。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3433.03</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4350.8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完成</w:t>
      </w:r>
      <w:r>
        <w:rPr>
          <w:rFonts w:hint="eastAsia" w:ascii="Times New Roman" w:hAnsi="Times New Roman" w:eastAsia="仿宋_GB2312"/>
          <w:color w:val="auto"/>
          <w:sz w:val="32"/>
          <w:szCs w:val="32"/>
          <w:highlight w:val="none"/>
        </w:rPr>
        <w:t>年初预算的</w:t>
      </w:r>
      <w:r>
        <w:rPr>
          <w:rFonts w:hint="eastAsia" w:ascii="Times New Roman" w:hAnsi="Times New Roman" w:eastAsia="仿宋_GB2312"/>
          <w:color w:val="auto"/>
          <w:sz w:val="32"/>
          <w:szCs w:val="32"/>
          <w:highlight w:val="none"/>
          <w:lang w:val="en-US" w:eastAsia="zh-CN"/>
        </w:rPr>
        <w:t>126.73</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eastAsia="zh-CN"/>
        </w:rPr>
        <w:t>大</w:t>
      </w:r>
      <w:r>
        <w:rPr>
          <w:rFonts w:hint="eastAsia" w:ascii="Times New Roman" w:hAnsi="Times New Roman" w:eastAsia="仿宋_GB2312"/>
          <w:color w:val="auto"/>
          <w:sz w:val="32"/>
          <w:szCs w:val="32"/>
          <w:highlight w:val="none"/>
        </w:rPr>
        <w:t>于年初预算数的主要原因是：预算调整与追加。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、农林水支出（类）农业农村（款）</w:t>
      </w:r>
      <w:r>
        <w:rPr>
          <w:rFonts w:hint="eastAsia" w:ascii="Times New Roman" w:hAnsi="Times New Roman" w:eastAsia="仿宋_GB2312"/>
          <w:color w:val="auto"/>
          <w:sz w:val="32"/>
          <w:szCs w:val="32"/>
          <w:highlight w:val="none"/>
          <w:lang w:eastAsia="zh-CN"/>
        </w:rPr>
        <w:t>科技转化与推广服务</w:t>
      </w:r>
      <w:r>
        <w:rPr>
          <w:rFonts w:hint="eastAsia" w:ascii="Times New Roman" w:hAnsi="Times New Roman" w:eastAsia="仿宋_GB2312"/>
          <w:color w:val="auto"/>
          <w:sz w:val="32"/>
          <w:szCs w:val="32"/>
          <w:highlight w:val="none"/>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8.8</w:t>
      </w:r>
      <w:r>
        <w:rPr>
          <w:rFonts w:hint="eastAsia" w:ascii="Times New Roman" w:hAnsi="Times New Roman" w:eastAsia="仿宋_GB2312"/>
          <w:color w:val="auto"/>
          <w:sz w:val="32"/>
          <w:szCs w:val="32"/>
          <w:highlight w:val="none"/>
        </w:rPr>
        <w:t>万元，决算数大于年初预算数的主要原因是：预算调整与追加。</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7</w:t>
      </w:r>
      <w:r>
        <w:rPr>
          <w:rFonts w:hint="eastAsia" w:ascii="Times New Roman" w:hAnsi="Times New Roman" w:eastAsia="仿宋_GB2312"/>
          <w:color w:val="auto"/>
          <w:sz w:val="32"/>
          <w:szCs w:val="32"/>
          <w:highlight w:val="none"/>
        </w:rPr>
        <w:t>、农林水支出（类）农业农村（款）农业生产发展（项）。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389.09</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265.64</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68.27</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eastAsia="zh-CN"/>
        </w:rPr>
        <w:t>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eastAsia="zh-CN"/>
        </w:rPr>
        <w:t>年末项目支出结转</w:t>
      </w:r>
      <w:r>
        <w:rPr>
          <w:rFonts w:hint="eastAsia" w:ascii="Times New Roman" w:hAnsi="Times New Roman" w:eastAsia="仿宋_GB2312"/>
          <w:color w:val="auto"/>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bookmarkStart w:id="11" w:name="OLE_LINK11"/>
      <w:r>
        <w:rPr>
          <w:rFonts w:hint="eastAsia" w:ascii="Times New Roman" w:hAnsi="Times New Roman" w:eastAsia="仿宋_GB2312"/>
          <w:color w:val="auto"/>
          <w:sz w:val="32"/>
          <w:szCs w:val="32"/>
          <w:highlight w:val="none"/>
          <w:lang w:val="en-US" w:eastAsia="zh-CN"/>
        </w:rPr>
        <w:t>8</w:t>
      </w:r>
      <w:r>
        <w:rPr>
          <w:rFonts w:hint="eastAsia" w:ascii="Times New Roman" w:hAnsi="Times New Roman" w:eastAsia="仿宋_GB2312"/>
          <w:color w:val="auto"/>
          <w:sz w:val="32"/>
          <w:szCs w:val="32"/>
          <w:highlight w:val="none"/>
        </w:rPr>
        <w:t>、农林水支出（类）农业农村（款）</w:t>
      </w:r>
      <w:r>
        <w:rPr>
          <w:rFonts w:hint="eastAsia" w:ascii="Times New Roman" w:hAnsi="Times New Roman" w:eastAsia="仿宋_GB2312"/>
          <w:color w:val="auto"/>
          <w:sz w:val="32"/>
          <w:szCs w:val="32"/>
          <w:highlight w:val="none"/>
          <w:lang w:eastAsia="zh-CN"/>
        </w:rPr>
        <w:t>其他农业农村支出</w:t>
      </w:r>
      <w:r>
        <w:rPr>
          <w:rFonts w:hint="eastAsia" w:ascii="Times New Roman" w:hAnsi="Times New Roman" w:eastAsia="仿宋_GB2312"/>
          <w:color w:val="auto"/>
          <w:sz w:val="32"/>
          <w:szCs w:val="32"/>
          <w:highlight w:val="none"/>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4.08</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4.08</w:t>
      </w:r>
      <w:r>
        <w:rPr>
          <w:rFonts w:hint="eastAsia" w:ascii="Times New Roman" w:hAnsi="Times New Roman" w:eastAsia="仿宋_GB2312"/>
          <w:sz w:val="32"/>
          <w:szCs w:val="32"/>
          <w:highlight w:val="none"/>
        </w:rPr>
        <w:t>万元，完成年初预算的100%。</w:t>
      </w:r>
      <w:bookmarkEnd w:id="11"/>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9</w:t>
      </w:r>
      <w:r>
        <w:rPr>
          <w:rFonts w:hint="eastAsia" w:ascii="Times New Roman" w:hAnsi="Times New Roman" w:eastAsia="仿宋_GB2312"/>
          <w:color w:val="auto"/>
          <w:sz w:val="32"/>
          <w:szCs w:val="32"/>
          <w:highlight w:val="none"/>
        </w:rPr>
        <w:t>、农林水支出（类）农业农村（款）</w:t>
      </w:r>
      <w:r>
        <w:rPr>
          <w:rFonts w:hint="eastAsia" w:ascii="Times New Roman" w:hAnsi="Times New Roman" w:eastAsia="仿宋_GB2312"/>
          <w:color w:val="auto"/>
          <w:sz w:val="32"/>
          <w:szCs w:val="32"/>
          <w:highlight w:val="none"/>
          <w:lang w:eastAsia="zh-CN"/>
        </w:rPr>
        <w:t>其他农林水支出</w:t>
      </w:r>
      <w:r>
        <w:rPr>
          <w:rFonts w:hint="eastAsia" w:ascii="Times New Roman" w:hAnsi="Times New Roman" w:eastAsia="仿宋_GB2312"/>
          <w:color w:val="auto"/>
          <w:sz w:val="32"/>
          <w:szCs w:val="32"/>
          <w:highlight w:val="none"/>
        </w:rPr>
        <w:t>（项）。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30</w:t>
      </w:r>
      <w:r>
        <w:rPr>
          <w:rFonts w:hint="eastAsia" w:ascii="Times New Roman" w:hAnsi="Times New Roman" w:eastAsia="仿宋_GB2312"/>
          <w:color w:val="auto"/>
          <w:sz w:val="32"/>
          <w:szCs w:val="32"/>
          <w:highlight w:val="none"/>
        </w:rPr>
        <w:t>万元，支出决算为</w:t>
      </w:r>
      <w:r>
        <w:rPr>
          <w:rFonts w:hint="eastAsia" w:ascii="Times New Roman" w:hAnsi="Times New Roman" w:eastAsia="仿宋_GB2312"/>
          <w:color w:val="auto"/>
          <w:sz w:val="32"/>
          <w:szCs w:val="32"/>
          <w:highlight w:val="none"/>
          <w:lang w:val="en-US" w:eastAsia="zh-CN"/>
        </w:rPr>
        <w:t>30</w:t>
      </w:r>
      <w:r>
        <w:rPr>
          <w:rFonts w:hint="eastAsia" w:ascii="Times New Roman" w:hAnsi="Times New Roman" w:eastAsia="仿宋_GB2312"/>
          <w:color w:val="auto"/>
          <w:sz w:val="32"/>
          <w:szCs w:val="32"/>
          <w:highlight w:val="none"/>
        </w:rPr>
        <w:t>万元，完成年初预算的100%。</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10</w:t>
      </w:r>
      <w:r>
        <w:rPr>
          <w:rFonts w:hint="eastAsia" w:ascii="Times New Roman" w:hAnsi="Times New Roman" w:eastAsia="仿宋_GB2312"/>
          <w:color w:val="auto"/>
          <w:sz w:val="32"/>
          <w:szCs w:val="32"/>
          <w:highlight w:val="none"/>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color w:val="auto"/>
          <w:sz w:val="32"/>
          <w:szCs w:val="32"/>
          <w:highlight w:val="none"/>
        </w:rPr>
        <w:t>年初预算为</w:t>
      </w:r>
      <w:r>
        <w:rPr>
          <w:rFonts w:hint="eastAsia" w:ascii="Times New Roman" w:hAnsi="Times New Roman" w:eastAsia="仿宋_GB2312"/>
          <w:color w:val="auto"/>
          <w:sz w:val="32"/>
          <w:szCs w:val="32"/>
          <w:highlight w:val="none"/>
          <w:lang w:val="en-US" w:eastAsia="zh-CN"/>
        </w:rPr>
        <w:t>234</w:t>
      </w:r>
      <w:r>
        <w:rPr>
          <w:rFonts w:hint="eastAsia" w:ascii="Times New Roman" w:hAnsi="Times New Roman" w:eastAsia="仿宋_GB2312"/>
          <w:color w:val="auto"/>
          <w:sz w:val="32"/>
          <w:szCs w:val="32"/>
          <w:highlight w:val="none"/>
        </w:rPr>
        <w:t>万元，支出决算为2</w:t>
      </w:r>
      <w:r>
        <w:rPr>
          <w:rFonts w:hint="eastAsia" w:ascii="Times New Roman" w:hAnsi="Times New Roman" w:eastAsia="仿宋_GB2312"/>
          <w:color w:val="auto"/>
          <w:sz w:val="32"/>
          <w:szCs w:val="32"/>
          <w:highlight w:val="none"/>
          <w:lang w:val="en-US" w:eastAsia="zh-CN"/>
        </w:rPr>
        <w:t>34</w:t>
      </w:r>
      <w:r>
        <w:rPr>
          <w:rFonts w:hint="eastAsia" w:ascii="Times New Roman" w:hAnsi="Times New Roman" w:eastAsia="仿宋_GB2312"/>
          <w:color w:val="auto"/>
          <w:sz w:val="32"/>
          <w:szCs w:val="32"/>
          <w:highlight w:val="none"/>
        </w:rPr>
        <w:t>万元，完成年初预算的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年度财政拨款基本支出</w:t>
      </w:r>
      <w:r>
        <w:rPr>
          <w:rFonts w:hint="eastAsia" w:ascii="Times New Roman" w:hAnsi="Times New Roman" w:eastAsia="仿宋_GB2312"/>
          <w:sz w:val="32"/>
          <w:szCs w:val="32"/>
          <w:highlight w:val="none"/>
          <w:lang w:val="en-US" w:eastAsia="zh-CN"/>
        </w:rPr>
        <w:t>4836.79</w:t>
      </w:r>
      <w:r>
        <w:rPr>
          <w:rFonts w:hint="eastAsia" w:ascii="Times New Roman" w:hAnsi="Times New Roman" w:eastAsia="仿宋_GB2312"/>
          <w:sz w:val="32"/>
          <w:szCs w:val="32"/>
          <w:highlight w:val="none"/>
        </w:rPr>
        <w:t>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lang w:val="en-US" w:eastAsia="zh-CN"/>
        </w:rPr>
        <w:t>4708.88</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97</w:t>
      </w:r>
      <w:r>
        <w:rPr>
          <w:rFonts w:hint="eastAsia" w:ascii="Times New Roman" w:hAnsi="Times New Roman" w:eastAsia="仿宋_GB2312"/>
          <w:sz w:val="32"/>
          <w:szCs w:val="32"/>
          <w:highlight w:val="none"/>
        </w:rPr>
        <w:t>%,主要包括基本工资、津贴补贴、奖金、</w:t>
      </w:r>
      <w:r>
        <w:rPr>
          <w:rFonts w:hint="eastAsia" w:ascii="Times New Roman" w:hAnsi="Times New Roman" w:eastAsia="仿宋_GB2312"/>
          <w:sz w:val="32"/>
          <w:szCs w:val="32"/>
          <w:highlight w:val="none"/>
          <w:lang w:eastAsia="zh-CN"/>
        </w:rPr>
        <w:t>绩效工资、社会保障缴费、住房公积金等。</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highlight w:val="none"/>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lang w:val="en-US" w:eastAsia="zh-CN"/>
        </w:rPr>
        <w:t>127.91</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%，主要包括办公费、</w:t>
      </w:r>
      <w:r>
        <w:rPr>
          <w:rFonts w:hint="eastAsia" w:ascii="Times New Roman" w:hAnsi="Times New Roman" w:eastAsia="仿宋_GB2312"/>
          <w:sz w:val="32"/>
          <w:szCs w:val="32"/>
          <w:highlight w:val="none"/>
          <w:lang w:eastAsia="zh-CN"/>
        </w:rPr>
        <w:t>电费、邮电费、工会经费、</w:t>
      </w:r>
      <w:r>
        <w:rPr>
          <w:rFonts w:hint="eastAsia" w:ascii="Times New Roman" w:hAnsi="Times New Roman" w:eastAsia="仿宋_GB2312"/>
          <w:sz w:val="32"/>
          <w:szCs w:val="32"/>
          <w:highlight w:val="none"/>
          <w:lang w:val="en-US" w:eastAsia="zh-CN"/>
        </w:rPr>
        <w:t>公务用车运行维护费</w:t>
      </w:r>
      <w:r>
        <w:rPr>
          <w:rFonts w:hint="eastAsia" w:ascii="Times New Roman" w:hAnsi="Times New Roman" w:eastAsia="仿宋_GB2312"/>
          <w:sz w:val="32"/>
          <w:szCs w:val="32"/>
          <w:highlight w:val="none"/>
          <w:lang w:eastAsia="zh-CN"/>
        </w:rPr>
        <w:t>等</w:t>
      </w:r>
      <w:r>
        <w:rPr>
          <w:rFonts w:hint="eastAsia" w:ascii="Times New Roman" w:hAnsi="Times New Roman" w:eastAsia="仿宋_GB2312"/>
          <w:sz w:val="32"/>
          <w:szCs w:val="32"/>
          <w:highlight w:val="none"/>
        </w:rPr>
        <w:t>。</w:t>
      </w:r>
      <w:bookmarkStart w:id="22" w:name="_GoBack"/>
      <w:bookmarkEnd w:id="22"/>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highlight w:val="none"/>
        </w:rPr>
      </w:pPr>
      <w:r>
        <w:rPr>
          <w:rFonts w:hint="eastAsia" w:ascii="黑体" w:hAnsi="黑体" w:eastAsia="黑体" w:cs="黑体"/>
          <w:b w:val="0"/>
          <w:bCs/>
          <w:sz w:val="32"/>
          <w:szCs w:val="32"/>
          <w:highlight w:val="none"/>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“三公”经费财政拨款支出预算为</w:t>
      </w:r>
      <w:r>
        <w:rPr>
          <w:rFonts w:hint="eastAsia" w:ascii="Times New Roman" w:hAnsi="Times New Roman" w:eastAsia="仿宋_GB2312"/>
          <w:sz w:val="32"/>
          <w:szCs w:val="32"/>
          <w:highlight w:val="none"/>
          <w:lang w:val="en-US" w:eastAsia="zh-CN"/>
        </w:rPr>
        <w:t>16</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16</w:t>
      </w:r>
      <w:r>
        <w:rPr>
          <w:rFonts w:hint="eastAsia" w:ascii="Times New Roman" w:hAnsi="Times New Roman" w:eastAsia="仿宋_GB2312"/>
          <w:sz w:val="32"/>
          <w:szCs w:val="32"/>
          <w:highlight w:val="none"/>
        </w:rPr>
        <w:t>万元，完成预算的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决算数等于预算数的主要原因是</w:t>
      </w:r>
      <w:bookmarkStart w:id="12" w:name="OLE_LINK16"/>
      <w:r>
        <w:rPr>
          <w:rFonts w:hint="eastAsia" w:ascii="Times New Roman" w:hAnsi="Times New Roman" w:eastAsia="仿宋_GB2312"/>
          <w:sz w:val="32"/>
          <w:szCs w:val="32"/>
          <w:highlight w:val="none"/>
          <w:lang w:eastAsia="zh-CN"/>
        </w:rPr>
        <w:t>我场认真贯彻中央八项规定和厉行节约的要求</w:t>
      </w:r>
      <w:r>
        <w:rPr>
          <w:rFonts w:hint="eastAsia" w:ascii="Times New Roman" w:hAnsi="Times New Roman" w:eastAsia="仿宋_GB2312"/>
          <w:sz w:val="32"/>
          <w:szCs w:val="32"/>
          <w:highlight w:val="none"/>
        </w:rPr>
        <w:t>，从严控制"三公“经费开支。</w:t>
      </w:r>
      <w:bookmarkEnd w:id="12"/>
      <w:r>
        <w:rPr>
          <w:rFonts w:hint="eastAsia" w:ascii="Times New Roman" w:hAnsi="Times New Roman" w:eastAsia="仿宋_GB2312"/>
          <w:sz w:val="32"/>
          <w:szCs w:val="32"/>
          <w:highlight w:val="none"/>
        </w:rPr>
        <w:t>与上年相比减少</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5.8</w:t>
      </w:r>
      <w:r>
        <w:rPr>
          <w:rFonts w:hint="eastAsia" w:ascii="Times New Roman" w:hAnsi="Times New Roman" w:eastAsia="仿宋_GB2312"/>
          <w:sz w:val="32"/>
          <w:szCs w:val="32"/>
          <w:highlight w:val="none"/>
        </w:rPr>
        <w:t>%,减少的主要原因是</w:t>
      </w:r>
      <w:bookmarkStart w:id="13" w:name="OLE_LINK25"/>
      <w:r>
        <w:rPr>
          <w:rFonts w:hint="eastAsia" w:ascii="Times New Roman" w:hAnsi="Times New Roman" w:eastAsia="仿宋_GB2312"/>
          <w:sz w:val="32"/>
          <w:szCs w:val="32"/>
          <w:highlight w:val="none"/>
          <w:lang w:eastAsia="zh-CN"/>
        </w:rPr>
        <w:t>我场认真贯彻中央八项规定和厉行节约的要求</w:t>
      </w:r>
      <w:r>
        <w:rPr>
          <w:rFonts w:hint="eastAsia" w:ascii="Times New Roman" w:hAnsi="Times New Roman" w:eastAsia="仿宋_GB2312"/>
          <w:sz w:val="32"/>
          <w:szCs w:val="32"/>
          <w:highlight w:val="none"/>
        </w:rPr>
        <w:t>，</w:t>
      </w:r>
      <w:bookmarkStart w:id="14" w:name="OLE_LINK15"/>
      <w:r>
        <w:rPr>
          <w:rFonts w:hint="eastAsia" w:ascii="Times New Roman" w:hAnsi="Times New Roman" w:eastAsia="仿宋_GB2312"/>
          <w:sz w:val="32"/>
          <w:szCs w:val="32"/>
          <w:highlight w:val="none"/>
        </w:rPr>
        <w:t>从严控制"三公“经费开支</w:t>
      </w:r>
      <w:bookmarkEnd w:id="13"/>
      <w:bookmarkEnd w:id="14"/>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highlight w:val="none"/>
        </w:rPr>
        <w:t>因公出国（境）费支出预算为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bookmarkStart w:id="15" w:name="OLE_LINK6"/>
      <w:r>
        <w:rPr>
          <w:rFonts w:hint="eastAsia" w:ascii="Times New Roman" w:hAnsi="Times New Roman" w:eastAsia="仿宋_GB2312"/>
          <w:sz w:val="32"/>
          <w:szCs w:val="32"/>
          <w:highlight w:val="none"/>
          <w:lang w:eastAsia="zh-CN"/>
        </w:rPr>
        <w:t>与上年持平</w:t>
      </w:r>
      <w:bookmarkEnd w:id="15"/>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lang w:eastAsia="zh-CN"/>
        </w:rPr>
        <w:t>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lang w:eastAsia="zh-CN"/>
        </w:rPr>
        <w:t>与上年持平</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16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等于</w:t>
      </w:r>
      <w:r>
        <w:rPr>
          <w:rFonts w:hint="eastAsia" w:ascii="Times New Roman" w:hAnsi="Times New Roman" w:eastAsia="仿宋_GB2312"/>
          <w:sz w:val="32"/>
          <w:szCs w:val="32"/>
        </w:rPr>
        <w:t>预算数的主要原因是</w:t>
      </w:r>
      <w:r>
        <w:rPr>
          <w:rFonts w:hint="eastAsia" w:ascii="Times New Roman" w:hAnsi="Times New Roman" w:eastAsia="仿宋_GB2312"/>
          <w:sz w:val="32"/>
          <w:szCs w:val="32"/>
          <w:highlight w:val="none"/>
          <w:lang w:eastAsia="zh-CN"/>
        </w:rPr>
        <w:t>我场认真贯彻中央八项规定和厉行节约的要求</w:t>
      </w:r>
      <w:r>
        <w:rPr>
          <w:rFonts w:hint="eastAsia" w:ascii="Times New Roman" w:hAnsi="Times New Roman" w:eastAsia="仿宋_GB2312"/>
          <w:sz w:val="32"/>
          <w:szCs w:val="32"/>
          <w:highlight w:val="none"/>
        </w:rPr>
        <w:t>，从严控制"三公“经费开支</w:t>
      </w:r>
      <w:r>
        <w:rPr>
          <w:rFonts w:hint="eastAsia" w:ascii="Times New Roman" w:hAnsi="Times New Roman" w:eastAsia="仿宋_GB2312"/>
          <w:sz w:val="32"/>
          <w:szCs w:val="32"/>
        </w:rPr>
        <w:t>，与上年相比</w:t>
      </w:r>
      <w:r>
        <w:rPr>
          <w:rFonts w:hint="eastAsia" w:ascii="Times New Roman" w:hAnsi="Times New Roman" w:eastAsia="仿宋_GB2312"/>
          <w:sz w:val="32"/>
          <w:szCs w:val="32"/>
          <w:highlight w:val="none"/>
        </w:rPr>
        <w:t>减少</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5.8</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highlight w:val="none"/>
          <w:lang w:eastAsia="zh-CN"/>
        </w:rPr>
        <w:t>我场认真贯彻中央八项规定和厉行节约的要求</w:t>
      </w:r>
      <w:r>
        <w:rPr>
          <w:rFonts w:hint="eastAsia" w:ascii="Times New Roman" w:hAnsi="Times New Roman" w:eastAsia="仿宋_GB2312"/>
          <w:sz w:val="32"/>
          <w:szCs w:val="32"/>
          <w:highlight w:val="none"/>
        </w:rPr>
        <w:t>，从严控制"三公“经费开支</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年度“三公”经费财政拨款支出决算中，公务接待费支出决算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%,因公出国（境）费支出决算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%,公务用车购置费及运行维护费支出决算</w:t>
      </w:r>
      <w:r>
        <w:rPr>
          <w:rFonts w:hint="eastAsia" w:ascii="Times New Roman" w:hAnsi="Times New Roman" w:eastAsia="仿宋_GB2312"/>
          <w:sz w:val="32"/>
          <w:szCs w:val="32"/>
          <w:highlight w:val="none"/>
          <w:lang w:val="en-US" w:eastAsia="zh-CN"/>
        </w:rPr>
        <w:t>16</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0000FF"/>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2、公务接待费支出决算为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万元，全年共接待来访团组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个、来宾</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highlight w:val="none"/>
          <w:lang w:val="en-US" w:eastAsia="zh-CN"/>
        </w:rPr>
      </w:pPr>
      <w:r>
        <w:rPr>
          <w:rFonts w:hint="eastAsia" w:ascii="Times New Roman" w:hAnsi="Times New Roman" w:eastAsia="仿宋_GB2312"/>
          <w:sz w:val="32"/>
          <w:szCs w:val="32"/>
          <w:highlight w:val="none"/>
        </w:rPr>
        <w:t>3、公务用车购置费及运行维护费支出决算为</w:t>
      </w:r>
      <w:r>
        <w:rPr>
          <w:rFonts w:hint="eastAsia" w:ascii="Times New Roman" w:hAnsi="Times New Roman" w:eastAsia="仿宋_GB2312"/>
          <w:sz w:val="32"/>
          <w:szCs w:val="32"/>
          <w:highlight w:val="none"/>
          <w:lang w:val="en-US" w:eastAsia="zh-CN"/>
        </w:rPr>
        <w:t>16</w:t>
      </w:r>
      <w:r>
        <w:rPr>
          <w:rFonts w:hint="eastAsia" w:ascii="Times New Roman" w:hAnsi="Times New Roman" w:eastAsia="仿宋_GB2312"/>
          <w:sz w:val="32"/>
          <w:szCs w:val="32"/>
          <w:highlight w:val="none"/>
        </w:rPr>
        <w:t>万元，其中：公务用车购置费</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，湖南省贺家山原种场更新公务车</w:t>
      </w:r>
      <w:r>
        <w:rPr>
          <w:rFonts w:hint="eastAsia" w:ascii="Times New Roman" w:hAnsi="Times New Roman" w:eastAsia="仿宋_GB2312"/>
          <w:sz w:val="32"/>
          <w:szCs w:val="32"/>
          <w:highlight w:val="none"/>
          <w:lang w:val="en-US" w:eastAsia="zh-CN"/>
        </w:rPr>
        <w:t>0辆</w:t>
      </w:r>
      <w:r>
        <w:rPr>
          <w:rFonts w:hint="eastAsia" w:ascii="Times New Roman" w:hAnsi="Times New Roman" w:eastAsia="仿宋_GB2312"/>
          <w:color w:val="000000" w:themeColor="text1"/>
          <w:sz w:val="32"/>
          <w:szCs w:val="32"/>
          <w:highlight w:val="none"/>
          <w14:textFill>
            <w14:solidFill>
              <w14:schemeClr w14:val="tx1"/>
            </w14:solidFill>
          </w14:textFill>
        </w:rPr>
        <w:t>。</w:t>
      </w:r>
      <w:r>
        <w:rPr>
          <w:rFonts w:hint="eastAsia" w:ascii="Times New Roman" w:hAnsi="Times New Roman" w:eastAsia="仿宋_GB2312"/>
          <w:sz w:val="32"/>
          <w:szCs w:val="32"/>
          <w:highlight w:val="none"/>
        </w:rPr>
        <w:t>公务用车运行维护费</w:t>
      </w:r>
      <w:r>
        <w:rPr>
          <w:rFonts w:hint="eastAsia" w:ascii="Times New Roman" w:hAnsi="Times New Roman" w:eastAsia="仿宋_GB2312"/>
          <w:sz w:val="32"/>
          <w:szCs w:val="32"/>
          <w:highlight w:val="none"/>
          <w:lang w:val="en-US" w:eastAsia="zh-CN"/>
        </w:rPr>
        <w:t>16</w:t>
      </w:r>
      <w:r>
        <w:rPr>
          <w:rFonts w:hint="eastAsia" w:ascii="Times New Roman" w:hAnsi="Times New Roman" w:eastAsia="仿宋_GB2312"/>
          <w:sz w:val="32"/>
          <w:szCs w:val="32"/>
          <w:highlight w:val="none"/>
        </w:rPr>
        <w:t>万元，主要是</w:t>
      </w:r>
      <w:r>
        <w:rPr>
          <w:rFonts w:hint="eastAsia" w:ascii="Times New Roman" w:hAnsi="Times New Roman" w:eastAsia="仿宋_GB2312"/>
          <w:sz w:val="32"/>
          <w:szCs w:val="32"/>
          <w:highlight w:val="none"/>
          <w:lang w:eastAsia="zh-CN"/>
        </w:rPr>
        <w:t>公务车保险、维修、加油等支出</w:t>
      </w:r>
      <w:r>
        <w:rPr>
          <w:rFonts w:hint="eastAsia" w:ascii="Times New Roman" w:hAnsi="Times New Roman" w:eastAsia="仿宋_GB2312"/>
          <w:sz w:val="32"/>
          <w:szCs w:val="32"/>
          <w:highlight w:val="none"/>
        </w:rPr>
        <w:t>，截止202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年12月31日，我单位开支财政拨款的公务用车保有量为4辆。</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960" w:firstLineChars="3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960" w:firstLineChars="3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年度本单位无机关运行经费支出。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bookmarkStart w:id="16" w:name="OLE_LINK14"/>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bookmarkEnd w:id="16"/>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年度政府采购支出总额234</w:t>
      </w:r>
      <w:r>
        <w:rPr>
          <w:rFonts w:hint="eastAsia" w:ascii="Times New Roman" w:hAnsi="Times New Roman" w:eastAsia="仿宋_GB2312"/>
          <w:sz w:val="32"/>
          <w:szCs w:val="32"/>
          <w:lang w:val="en-US" w:eastAsia="zh-CN"/>
        </w:rPr>
        <w:t>.55</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63.06</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48</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123.49</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208.57</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88.9</w:t>
      </w:r>
      <w:r>
        <w:rPr>
          <w:rFonts w:hint="eastAsia" w:ascii="Times New Roman" w:hAnsi="Times New Roman" w:eastAsia="仿宋_GB2312"/>
          <w:sz w:val="32"/>
          <w:szCs w:val="32"/>
        </w:rPr>
        <w:t>%，其中：授予</w:t>
      </w:r>
      <w:r>
        <w:rPr>
          <w:rFonts w:hint="eastAsia" w:ascii="Times New Roman" w:hAnsi="Times New Roman" w:eastAsia="仿宋_GB2312"/>
          <w:color w:val="auto"/>
          <w:sz w:val="32"/>
          <w:szCs w:val="32"/>
        </w:rPr>
        <w:t>小微企业合同金额</w:t>
      </w:r>
      <w:r>
        <w:rPr>
          <w:rFonts w:hint="eastAsia" w:ascii="Times New Roman" w:hAnsi="Times New Roman" w:eastAsia="仿宋_GB2312"/>
          <w:color w:val="auto"/>
          <w:sz w:val="32"/>
          <w:szCs w:val="32"/>
          <w:lang w:val="en-US" w:eastAsia="zh-CN"/>
        </w:rPr>
        <w:t>49.51</w:t>
      </w:r>
      <w:r>
        <w:rPr>
          <w:rFonts w:hint="eastAsia" w:ascii="Times New Roman" w:hAnsi="Times New Roman" w:eastAsia="仿宋_GB2312"/>
          <w:color w:val="auto"/>
          <w:sz w:val="32"/>
          <w:szCs w:val="32"/>
        </w:rPr>
        <w:t>万元，占政府采购支出总额的</w:t>
      </w:r>
      <w:r>
        <w:rPr>
          <w:rFonts w:hint="eastAsia" w:ascii="Times New Roman" w:hAnsi="Times New Roman" w:eastAsia="仿宋_GB2312"/>
          <w:color w:val="auto"/>
          <w:sz w:val="32"/>
          <w:szCs w:val="32"/>
          <w:lang w:val="en-US" w:eastAsia="zh-CN"/>
        </w:rPr>
        <w:t>21.1</w:t>
      </w:r>
      <w:r>
        <w:rPr>
          <w:rFonts w:hint="eastAsia" w:ascii="Times New Roman" w:hAnsi="Times New Roman" w:eastAsia="仿宋_GB2312"/>
          <w:color w:val="auto"/>
          <w:sz w:val="32"/>
          <w:szCs w:val="32"/>
        </w:rPr>
        <w:t>%。</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83.6</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29.3</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辆、离退休干部用车1辆、其他用车1辆，其他用车主要是洒水车；单位价值100万元以上设备</w:t>
      </w:r>
      <w:r>
        <w:rPr>
          <w:rFonts w:hint="eastAsia" w:ascii="Times New Roman" w:hAnsi="Times New Roman" w:eastAsia="仿宋_GB2312"/>
          <w:sz w:val="32"/>
          <w:szCs w:val="32"/>
          <w:lang w:eastAsia="zh-CN"/>
        </w:rPr>
        <w:t>（不含车辆）</w:t>
      </w:r>
      <w:r>
        <w:rPr>
          <w:rFonts w:hint="eastAsia" w:ascii="Times New Roman" w:hAnsi="Times New Roman" w:eastAsia="仿宋_GB2312"/>
          <w:sz w:val="32"/>
          <w:szCs w:val="32"/>
        </w:rPr>
        <w:t>1台（套）。</w:t>
      </w:r>
    </w:p>
    <w:p>
      <w:pPr>
        <w:pStyle w:val="15"/>
        <w:spacing w:line="600" w:lineRule="exact"/>
        <w:ind w:firstLine="640" w:firstLineChars="200"/>
        <w:rPr>
          <w:rFonts w:hint="eastAsia" w:ascii="楷体" w:hAnsi="楷体" w:eastAsia="楷体" w:cs="楷体"/>
          <w:b/>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hAnsi="黑体"/>
          <w:bCs/>
          <w:color w:val="auto"/>
          <w:sz w:val="32"/>
          <w:szCs w:val="32"/>
        </w:rPr>
        <w:t>年度预算绩效情况的说明</w:t>
      </w:r>
    </w:p>
    <w:p>
      <w:pPr>
        <w:pStyle w:val="15"/>
        <w:spacing w:line="600" w:lineRule="exact"/>
        <w:ind w:firstLine="640" w:firstLineChars="200"/>
        <w:rPr>
          <w:rFonts w:hint="eastAsia" w:ascii="楷体" w:hAnsi="楷体" w:eastAsia="楷体" w:cs="楷体"/>
          <w:b/>
          <w:bCs/>
          <w:color w:val="auto"/>
          <w:sz w:val="32"/>
          <w:szCs w:val="32"/>
        </w:rPr>
      </w:pPr>
      <w:r>
        <w:rPr>
          <w:rFonts w:hint="eastAsia" w:ascii="楷体" w:hAnsi="楷体" w:eastAsia="楷体" w:cs="楷体"/>
          <w:b/>
          <w:bCs/>
          <w:color w:val="auto"/>
          <w:sz w:val="32"/>
          <w:szCs w:val="32"/>
        </w:rPr>
        <w:t>（一）</w:t>
      </w:r>
      <w:r>
        <w:rPr>
          <w:rFonts w:hint="eastAsia" w:ascii="楷体" w:hAnsi="楷体" w:eastAsia="楷体" w:cs="楷体"/>
          <w:b/>
          <w:bCs/>
          <w:color w:val="auto"/>
          <w:sz w:val="32"/>
          <w:szCs w:val="32"/>
          <w:lang w:eastAsia="zh-CN"/>
        </w:rPr>
        <w:t>绩效管理工作开展</w:t>
      </w:r>
      <w:r>
        <w:rPr>
          <w:rFonts w:hint="eastAsia" w:ascii="楷体" w:hAnsi="楷体" w:eastAsia="楷体" w:cs="楷体"/>
          <w:b/>
          <w:bCs/>
          <w:color w:val="auto"/>
          <w:sz w:val="32"/>
          <w:szCs w:val="32"/>
        </w:rPr>
        <w:t>情况</w:t>
      </w:r>
    </w:p>
    <w:p>
      <w:pPr>
        <w:keepNext w:val="0"/>
        <w:keepLines w:val="0"/>
        <w:widowControl/>
        <w:suppressLineNumbers w:val="0"/>
        <w:ind w:firstLine="640" w:firstLineChars="200"/>
        <w:jc w:val="left"/>
        <w:rPr>
          <w:rFonts w:hint="eastAsia" w:ascii="楷体" w:hAnsi="楷体" w:eastAsia="楷体" w:cs="楷体"/>
          <w:b/>
          <w:bCs/>
          <w:color w:val="auto"/>
          <w:sz w:val="32"/>
          <w:szCs w:val="32"/>
        </w:rPr>
      </w:pPr>
      <w:bookmarkStart w:id="17" w:name="OLE_LINK19"/>
      <w:r>
        <w:rPr>
          <w:rFonts w:hint="eastAsia" w:ascii="Times New Roman" w:hAnsi="Times New Roman" w:eastAsia="仿宋_GB2312" w:cs="黑体"/>
          <w:color w:val="auto"/>
          <w:kern w:val="0"/>
          <w:sz w:val="32"/>
          <w:szCs w:val="32"/>
          <w:lang w:val="en-US" w:eastAsia="zh-CN" w:bidi="ar-SA"/>
        </w:rPr>
        <w:t>2023年，本单位深入贯彻落实中央和省委省政府关于全面实施预算绩效管理的决策部署，深入推进“绩效管理提升年”行动，推动将绩效要求贯穿政策制定、资金使用、预算管理、财会监督等各个方面。一是持续完善绩效闭环管理。坚持“花钱必问效，无效必问责”，将绩效评价全面拓展至部门预算、转移支付以及重大政策、重点支出等各领域。持续完善全过程闭环管理机制，健全重点事前绩效评估，加强事中监控堵漏纠偏，强化事后评价跟踪问效，推动财政资金聚力增效。二是切实强化评价结果运用。进一步强化财审联动，加强绩效评价与财会监督、审计监督协同联动，将绩效评价结果与完善政策、调整预算安排有机衔接。对省级专项资金开展整体绩效评价，对资金绩效偏低的专项自查自纠。三是及时全面报告工作情况。每年编制预算时，将《省级专项资金绩效目标表》等连同预算报告一并提交主管部门审核；编制决算时，将单位整体绩效支出绩效情况连同决算报告一并提交至主管部门审查。配合常德市财政局、常德市农业农村局等相关部门开展农业补贴等项目专项审查，推动全面实施预算绩效管理落地见效。</w:t>
      </w:r>
    </w:p>
    <w:bookmarkEnd w:id="17"/>
    <w:p>
      <w:pPr>
        <w:pStyle w:val="15"/>
        <w:numPr>
          <w:ilvl w:val="0"/>
          <w:numId w:val="2"/>
        </w:numPr>
        <w:spacing w:line="600" w:lineRule="exact"/>
        <w:ind w:firstLine="640" w:firstLineChars="200"/>
        <w:rPr>
          <w:rFonts w:hint="eastAsia" w:ascii="Times New Roman" w:hAnsi="Times New Roman" w:eastAsia="黑体"/>
          <w:sz w:val="32"/>
          <w:szCs w:val="32"/>
        </w:rPr>
      </w:pPr>
      <w:r>
        <w:rPr>
          <w:rFonts w:hint="eastAsia" w:ascii="楷体" w:hAnsi="楷体" w:eastAsia="楷体" w:cs="楷体"/>
          <w:b/>
          <w:bCs/>
          <w:color w:val="auto"/>
          <w:sz w:val="32"/>
          <w:szCs w:val="32"/>
          <w:lang w:eastAsia="zh-CN"/>
        </w:rPr>
        <w:t>单位</w:t>
      </w:r>
      <w:r>
        <w:rPr>
          <w:rFonts w:hint="eastAsia" w:ascii="楷体" w:hAnsi="楷体" w:eastAsia="楷体" w:cs="楷体"/>
          <w:b/>
          <w:bCs/>
          <w:color w:val="auto"/>
          <w:sz w:val="32"/>
          <w:szCs w:val="32"/>
        </w:rPr>
        <w:t>整体支出绩效情况</w:t>
      </w:r>
    </w:p>
    <w:p>
      <w:pPr>
        <w:pStyle w:val="15"/>
        <w:spacing w:line="600" w:lineRule="exact"/>
        <w:ind w:firstLine="640" w:firstLineChars="200"/>
        <w:rPr>
          <w:rFonts w:ascii="Times New Roman" w:hAnsi="Times New Roman" w:eastAsia="仿宋_GB2312"/>
          <w:color w:val="auto"/>
          <w:sz w:val="32"/>
          <w:szCs w:val="32"/>
        </w:rPr>
      </w:pPr>
      <w:bookmarkStart w:id="18" w:name="OLE_LINK18"/>
      <w:r>
        <w:rPr>
          <w:rFonts w:hint="eastAsia" w:ascii="Times New Roman" w:hAnsi="Times New Roman" w:eastAsia="仿宋_GB2312"/>
          <w:color w:val="auto"/>
          <w:sz w:val="32"/>
          <w:szCs w:val="32"/>
        </w:rPr>
        <w:t>1、运行成本</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全年预算数</w:t>
      </w:r>
      <w:r>
        <w:rPr>
          <w:rFonts w:hint="eastAsia" w:ascii="Times New Roman" w:hAnsi="Times New Roman" w:eastAsia="仿宋_GB2312"/>
          <w:color w:val="auto"/>
          <w:sz w:val="32"/>
          <w:szCs w:val="32"/>
          <w:lang w:val="en-US" w:eastAsia="zh-CN"/>
        </w:rPr>
        <w:t>8494.12</w:t>
      </w:r>
      <w:r>
        <w:rPr>
          <w:rFonts w:hint="eastAsia" w:ascii="Times New Roman" w:hAnsi="Times New Roman" w:eastAsia="仿宋_GB2312"/>
          <w:color w:val="auto"/>
          <w:sz w:val="32"/>
          <w:szCs w:val="32"/>
        </w:rPr>
        <w:t>万元，决算数624</w:t>
      </w:r>
      <w:r>
        <w:rPr>
          <w:rFonts w:hint="eastAsia" w:ascii="Times New Roman" w:hAnsi="Times New Roman" w:eastAsia="仿宋_GB2312"/>
          <w:color w:val="auto"/>
          <w:sz w:val="32"/>
          <w:szCs w:val="32"/>
          <w:lang w:val="en-US" w:eastAsia="zh-CN"/>
        </w:rPr>
        <w:t>9.09</w:t>
      </w:r>
      <w:r>
        <w:rPr>
          <w:rFonts w:hint="eastAsia" w:ascii="Times New Roman" w:hAnsi="Times New Roman" w:eastAsia="仿宋_GB2312"/>
          <w:color w:val="auto"/>
          <w:sz w:val="32"/>
          <w:szCs w:val="32"/>
        </w:rPr>
        <w:t>万元，执行率7</w:t>
      </w:r>
      <w:r>
        <w:rPr>
          <w:rFonts w:hint="eastAsia" w:ascii="Times New Roman" w:hAnsi="Times New Roman" w:eastAsia="仿宋_GB2312"/>
          <w:color w:val="auto"/>
          <w:sz w:val="32"/>
          <w:szCs w:val="32"/>
          <w:lang w:val="en-US" w:eastAsia="zh-CN"/>
        </w:rPr>
        <w:t>3.57</w:t>
      </w:r>
      <w:r>
        <w:rPr>
          <w:rFonts w:hint="eastAsia" w:ascii="Times New Roman" w:hAnsi="Times New Roman" w:eastAsia="仿宋_GB2312"/>
          <w:color w:val="auto"/>
          <w:sz w:val="32"/>
          <w:szCs w:val="32"/>
        </w:rPr>
        <w:t>%，我单位全年整体预算执行率良好。</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人员经费预算数4</w:t>
      </w:r>
      <w:r>
        <w:rPr>
          <w:rFonts w:hint="eastAsia" w:ascii="Times New Roman" w:hAnsi="Times New Roman" w:eastAsia="仿宋_GB2312"/>
          <w:color w:val="auto"/>
          <w:sz w:val="32"/>
          <w:szCs w:val="32"/>
          <w:lang w:val="en-US" w:eastAsia="zh-CN"/>
        </w:rPr>
        <w:t>788.16</w:t>
      </w:r>
      <w:r>
        <w:rPr>
          <w:rFonts w:hint="eastAsia" w:ascii="Times New Roman" w:hAnsi="Times New Roman" w:eastAsia="仿宋_GB2312"/>
          <w:color w:val="auto"/>
          <w:sz w:val="32"/>
          <w:szCs w:val="32"/>
        </w:rPr>
        <w:t>万元，决算数4</w:t>
      </w:r>
      <w:r>
        <w:rPr>
          <w:rFonts w:hint="eastAsia" w:ascii="Times New Roman" w:hAnsi="Times New Roman" w:eastAsia="仿宋_GB2312"/>
          <w:color w:val="auto"/>
          <w:sz w:val="32"/>
          <w:szCs w:val="32"/>
          <w:lang w:val="en-US" w:eastAsia="zh-CN"/>
        </w:rPr>
        <w:t>788.16</w:t>
      </w:r>
      <w:r>
        <w:rPr>
          <w:rFonts w:hint="eastAsia" w:ascii="Times New Roman" w:hAnsi="Times New Roman" w:eastAsia="仿宋_GB2312"/>
          <w:color w:val="auto"/>
          <w:sz w:val="32"/>
          <w:szCs w:val="32"/>
        </w:rPr>
        <w:t>万元，公用经费数3</w:t>
      </w:r>
      <w:r>
        <w:rPr>
          <w:rFonts w:hint="eastAsia" w:ascii="Times New Roman" w:hAnsi="Times New Roman" w:eastAsia="仿宋_GB2312"/>
          <w:color w:val="auto"/>
          <w:sz w:val="32"/>
          <w:szCs w:val="32"/>
          <w:lang w:val="en-US" w:eastAsia="zh-CN"/>
        </w:rPr>
        <w:t>07.02</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307.02</w:t>
      </w:r>
      <w:r>
        <w:rPr>
          <w:rFonts w:hint="eastAsia" w:ascii="Times New Roman" w:hAnsi="Times New Roman" w:eastAsia="仿宋_GB2312"/>
          <w:color w:val="auto"/>
          <w:sz w:val="32"/>
          <w:szCs w:val="32"/>
        </w:rPr>
        <w:t>万元，均控制在预算范围内。</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.00万元，支出决算为1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控</w:t>
      </w:r>
      <w:r>
        <w:rPr>
          <w:rFonts w:hint="eastAsia" w:ascii="Times New Roman" w:hAnsi="Times New Roman" w:eastAsia="仿宋_GB2312"/>
          <w:color w:val="auto"/>
          <w:sz w:val="32"/>
          <w:szCs w:val="32"/>
        </w:rPr>
        <w:t>制在预算范围内。</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管理效率</w:t>
      </w:r>
    </w:p>
    <w:p>
      <w:pPr>
        <w:pStyle w:val="23"/>
        <w:keepNext w:val="0"/>
        <w:keepLines w:val="0"/>
        <w:pageBreakBefore w:val="0"/>
        <w:widowControl w:val="0"/>
        <w:kinsoku/>
        <w:wordWrap w:val="0"/>
        <w:overflowPunct w:val="0"/>
        <w:topLinePunct w:val="0"/>
        <w:autoSpaceDE/>
        <w:autoSpaceDN w:val="0"/>
        <w:bidi w:val="0"/>
        <w:adjustRightInd w:val="0"/>
        <w:snapToGrid w:val="0"/>
        <w:spacing w:line="550" w:lineRule="exact"/>
        <w:ind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一是</w:t>
      </w:r>
      <w:r>
        <w:rPr>
          <w:rFonts w:hint="eastAsia" w:ascii="仿宋" w:hAnsi="仿宋" w:eastAsia="仿宋" w:cs="仿宋"/>
          <w:b/>
          <w:bCs/>
          <w:color w:val="auto"/>
          <w:spacing w:val="0"/>
          <w:sz w:val="32"/>
          <w:szCs w:val="32"/>
          <w:lang w:val="en-US" w:eastAsia="zh-CN"/>
        </w:rPr>
        <w:t>扎实开展学习贯彻习近平新时代中国特色社会主义思想主题教育。</w:t>
      </w:r>
      <w:r>
        <w:rPr>
          <w:rFonts w:hint="eastAsia" w:ascii="仿宋" w:hAnsi="仿宋" w:eastAsia="仿宋" w:cs="仿宋"/>
          <w:b w:val="0"/>
          <w:bCs w:val="0"/>
          <w:color w:val="auto"/>
          <w:spacing w:val="0"/>
          <w:sz w:val="32"/>
          <w:szCs w:val="32"/>
          <w:lang w:val="en-US" w:eastAsia="zh-CN"/>
        </w:rPr>
        <w:t>开展理论学习13次，研讨交流4次，党委中心组学习9次，党员集中学习教育2次，讲党课18人次；开展调查研究12次，形成调研报告3个，解决问题5个。切实做到学思想、强党性、重实践、建新功。</w:t>
      </w:r>
      <w:r>
        <w:rPr>
          <w:rFonts w:hint="eastAsia" w:ascii="仿宋" w:hAnsi="仿宋" w:eastAsia="仿宋" w:cs="仿宋"/>
          <w:b/>
          <w:bCs/>
          <w:color w:val="auto"/>
          <w:sz w:val="32"/>
          <w:szCs w:val="32"/>
          <w:lang w:val="en-US" w:eastAsia="zh-CN"/>
        </w:rPr>
        <w:t>二是</w:t>
      </w:r>
      <w:r>
        <w:rPr>
          <w:rFonts w:hint="eastAsia" w:ascii="仿宋" w:hAnsi="仿宋" w:eastAsia="仿宋" w:cs="仿宋"/>
          <w:b/>
          <w:bCs/>
          <w:color w:val="auto"/>
          <w:spacing w:val="0"/>
          <w:sz w:val="32"/>
          <w:szCs w:val="32"/>
          <w:lang w:val="en-US" w:eastAsia="zh-CN"/>
        </w:rPr>
        <w:t>狠抓党建品牌培育。</w:t>
      </w:r>
      <w:r>
        <w:rPr>
          <w:rFonts w:hint="eastAsia" w:ascii="仿宋" w:hAnsi="仿宋" w:eastAsia="仿宋" w:cs="仿宋"/>
          <w:b w:val="0"/>
          <w:bCs w:val="0"/>
          <w:color w:val="auto"/>
          <w:spacing w:val="0"/>
          <w:sz w:val="32"/>
          <w:szCs w:val="32"/>
          <w:lang w:val="en-US" w:eastAsia="zh-CN"/>
        </w:rPr>
        <w:t>今年来，各党总支（支）部以产业发展、和美湘村建设、为民服务等为重点内容，党员积分管理为抓手，常态化活动为载体，积极做好农村基层党建品牌建设，成效显著。乐兴分场党总支部被常德市直工委评为“先进基层党组织”。</w:t>
      </w:r>
      <w:r>
        <w:rPr>
          <w:rFonts w:hint="eastAsia" w:ascii="仿宋" w:hAnsi="仿宋" w:eastAsia="仿宋" w:cs="仿宋"/>
          <w:b/>
          <w:bCs/>
          <w:color w:val="auto"/>
          <w:sz w:val="32"/>
          <w:szCs w:val="32"/>
          <w:lang w:val="en-US" w:eastAsia="zh-CN"/>
        </w:rPr>
        <w:t>三是</w:t>
      </w:r>
      <w:r>
        <w:rPr>
          <w:rFonts w:hint="eastAsia" w:ascii="仿宋" w:hAnsi="仿宋" w:eastAsia="仿宋" w:cs="仿宋"/>
          <w:b/>
          <w:bCs/>
          <w:color w:val="auto"/>
          <w:spacing w:val="0"/>
          <w:sz w:val="32"/>
          <w:szCs w:val="32"/>
          <w:lang w:val="en-US" w:eastAsia="zh-CN"/>
        </w:rPr>
        <w:t>抓好清廉建设。</w:t>
      </w:r>
      <w:r>
        <w:rPr>
          <w:rFonts w:hint="eastAsia" w:ascii="仿宋" w:hAnsi="仿宋" w:eastAsia="仿宋" w:cs="仿宋"/>
          <w:b w:val="0"/>
          <w:bCs w:val="0"/>
          <w:color w:val="auto"/>
          <w:spacing w:val="0"/>
          <w:sz w:val="32"/>
          <w:szCs w:val="32"/>
          <w:lang w:val="en-US" w:eastAsia="zh-CN"/>
        </w:rPr>
        <w:t>严格落实“一岗双责”，深入展开“三湘”护农、“三资”清查、集中育秧差旅费自查自纠、“两带头五整治”纠风防腐专项行动，认真落实“以案促改”，扎实贯彻落实中央八项规定精神及实施细则，确保全场风清气正。</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履职效能</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一是智慧农业显作为。开展了数字水稻农药减量增效和节肥技术试验、优质水稻新品种筛选试验、农机装备智能化示范；建成了浸种、播种、催芽、育苗全程自动化，光照、温度、湿度控制智能化的智能育秧工厂；探索开展开展了“早专晚优”、“头季+再生”、“高档优质一季稻”水稻种植模式及“稻+油”“稻+紫云英”生产模式的科研示范，收集对比分析种植数据、成本投入、生产效益、生态效益。</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二是种业科研有突破。两用不育系家65S通过审定；两个品种进入预备试验，两个品种进入区域试验，有望通过审定；进行了高低温适应性鉴定、示范品比等水稻区试专项试验21个，鉴定参试品种共1124个。</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 xml:space="preserve">三是产业发展有起色。全场农业科技人员对经营主体、生产大户等开展“一对一”全程农技帮扶，促进再生稻、哈密香瓜、“稻鳖”“稻虾”等一批特色种植种养农业产业呈现良好发展势头，带动职工群众增产增收。 </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 xml:space="preserve"> 四是和美乡村有亮点。马龙片区突出以党建为引领，广泛宣传、因地制宜，先行先试探索积分管理制，晒出文明账单，一月一评比，“共建、共管、共享”的机制初步形成。</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社会效应</w:t>
      </w:r>
    </w:p>
    <w:p>
      <w:pPr>
        <w:pStyle w:val="4"/>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50" w:lineRule="exact"/>
        <w:ind w:right="0" w:rightChars="0" w:firstLine="640" w:firstLineChars="200"/>
        <w:jc w:val="both"/>
        <w:textAlignment w:val="auto"/>
        <w:outlineLvl w:val="0"/>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bCs/>
          <w:color w:val="auto"/>
          <w:sz w:val="32"/>
          <w:szCs w:val="32"/>
          <w:lang w:val="en-US" w:eastAsia="zh-CN"/>
        </w:rPr>
        <w:t>一是持续做优做强特色主导产业。</w:t>
      </w:r>
      <w:r>
        <w:rPr>
          <w:rFonts w:hint="eastAsia" w:ascii="仿宋" w:hAnsi="仿宋" w:eastAsia="仿宋" w:cs="仿宋"/>
          <w:b w:val="0"/>
          <w:bCs/>
          <w:color w:val="auto"/>
          <w:sz w:val="32"/>
          <w:szCs w:val="32"/>
          <w:lang w:val="en-US" w:eastAsia="zh-CN"/>
        </w:rPr>
        <w:t>走实走深农业技术服务，着力解决稻鳖、稻虾、瓜果等主导产业的生产技术难题，成效明显。全年开展高素质农民培训2期、农业技术培训3次，现场“一对一”技术服务指导20余次，培训指导200余人次。建设农产品电商公共平台，解决农产品“卖”难问题，提升</w:t>
      </w:r>
      <w:r>
        <w:rPr>
          <w:rFonts w:hint="eastAsia" w:ascii="仿宋" w:hAnsi="仿宋" w:eastAsia="仿宋" w:cs="仿宋"/>
          <w:b w:val="0"/>
          <w:bCs/>
          <w:color w:val="auto"/>
          <w:sz w:val="32"/>
          <w:szCs w:val="32"/>
        </w:rPr>
        <w:t>农业产业效</w:t>
      </w:r>
      <w:r>
        <w:rPr>
          <w:rFonts w:hint="eastAsia" w:ascii="仿宋" w:hAnsi="仿宋" w:eastAsia="仿宋" w:cs="仿宋"/>
          <w:b w:val="0"/>
          <w:bCs/>
          <w:color w:val="auto"/>
          <w:sz w:val="32"/>
          <w:szCs w:val="32"/>
          <w:lang w:val="en-US" w:eastAsia="zh-CN"/>
        </w:rPr>
        <w:t>益，得到职工群众普遍欢迎</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color w:val="auto"/>
          <w:sz w:val="32"/>
          <w:szCs w:val="32"/>
          <w:lang w:val="en-US" w:eastAsia="zh-CN"/>
        </w:rPr>
        <w:t>我场今年中华鳖种苗产业近亿元，健康水产养殖、再生稻、柑橘、优质瓜果等四个产业超千万元。</w:t>
      </w:r>
      <w:r>
        <w:rPr>
          <w:rFonts w:hint="eastAsia" w:ascii="仿宋" w:hAnsi="仿宋" w:eastAsia="仿宋" w:cs="仿宋"/>
          <w:b/>
          <w:bCs/>
          <w:color w:val="auto"/>
          <w:sz w:val="32"/>
          <w:szCs w:val="32"/>
          <w:lang w:val="en-US" w:eastAsia="zh-CN"/>
        </w:rPr>
        <w:t>二是</w:t>
      </w:r>
      <w:r>
        <w:rPr>
          <w:rFonts w:hint="eastAsia" w:ascii="楷体" w:hAnsi="楷体" w:eastAsia="楷体" w:cs="楷体"/>
          <w:b/>
          <w:bCs/>
          <w:color w:val="auto"/>
          <w:spacing w:val="0"/>
          <w:sz w:val="32"/>
          <w:szCs w:val="32"/>
          <w:lang w:val="en-US" w:eastAsia="zh-CN"/>
        </w:rPr>
        <w:t>认真开展人居环境整治。</w:t>
      </w:r>
      <w:r>
        <w:rPr>
          <w:rFonts w:hint="eastAsia" w:ascii="仿宋" w:hAnsi="仿宋" w:eastAsia="仿宋" w:cs="仿宋"/>
          <w:b w:val="0"/>
          <w:bCs w:val="0"/>
          <w:color w:val="auto"/>
          <w:spacing w:val="0"/>
          <w:sz w:val="32"/>
          <w:szCs w:val="32"/>
          <w:lang w:val="en-US" w:eastAsia="zh-CN"/>
        </w:rPr>
        <w:t>开展“三好三差”队（社区）评选，</w:t>
      </w:r>
      <w:r>
        <w:rPr>
          <w:rFonts w:hint="eastAsia" w:ascii="仿宋" w:hAnsi="仿宋" w:eastAsia="仿宋" w:cs="仿宋"/>
          <w:b w:val="0"/>
          <w:bCs/>
          <w:color w:val="auto"/>
          <w:kern w:val="24"/>
          <w:sz w:val="32"/>
          <w:szCs w:val="32"/>
          <w:lang w:val="en-US" w:eastAsia="zh-CN"/>
        </w:rPr>
        <w:t>突出典型引领，</w:t>
      </w:r>
      <w:r>
        <w:rPr>
          <w:rFonts w:hint="eastAsia" w:ascii="仿宋" w:hAnsi="仿宋" w:eastAsia="仿宋" w:cs="仿宋"/>
          <w:b w:val="0"/>
          <w:bCs/>
          <w:color w:val="auto"/>
          <w:sz w:val="32"/>
          <w:szCs w:val="32"/>
          <w:lang w:val="en-US" w:eastAsia="zh-CN" w:bidi="ar"/>
        </w:rPr>
        <w:t>广泛</w:t>
      </w:r>
      <w:r>
        <w:rPr>
          <w:rFonts w:hint="eastAsia" w:ascii="仿宋" w:hAnsi="仿宋" w:eastAsia="仿宋" w:cs="仿宋"/>
          <w:b w:val="0"/>
          <w:bCs/>
          <w:color w:val="auto"/>
          <w:sz w:val="32"/>
          <w:szCs w:val="32"/>
          <w:lang w:val="en-US" w:eastAsia="zh-CN"/>
        </w:rPr>
        <w:t>展开沿堤沿路沿沟环境卫生整治和</w:t>
      </w:r>
      <w:r>
        <w:rPr>
          <w:rFonts w:hint="eastAsia" w:ascii="仿宋" w:hAnsi="仿宋" w:eastAsia="仿宋" w:cs="仿宋"/>
          <w:b w:val="0"/>
          <w:bCs/>
          <w:color w:val="auto"/>
          <w:sz w:val="32"/>
          <w:szCs w:val="32"/>
        </w:rPr>
        <w:t>绿化行动，</w:t>
      </w:r>
      <w:r>
        <w:rPr>
          <w:rFonts w:hint="eastAsia" w:ascii="仿宋" w:hAnsi="仿宋" w:eastAsia="仿宋" w:cs="仿宋"/>
          <w:b w:val="0"/>
          <w:bCs/>
          <w:color w:val="auto"/>
          <w:kern w:val="24"/>
          <w:sz w:val="32"/>
          <w:szCs w:val="32"/>
          <w:lang w:val="en-US" w:eastAsia="zh-CN"/>
        </w:rPr>
        <w:t>治理农业面源污染，</w:t>
      </w:r>
      <w:r>
        <w:rPr>
          <w:rFonts w:hint="eastAsia" w:ascii="仿宋" w:hAnsi="仿宋" w:eastAsia="仿宋" w:cs="仿宋"/>
          <w:b w:val="0"/>
          <w:bCs/>
          <w:color w:val="auto"/>
          <w:kern w:val="2"/>
          <w:sz w:val="32"/>
          <w:szCs w:val="32"/>
        </w:rPr>
        <w:t>构建</w:t>
      </w:r>
      <w:r>
        <w:rPr>
          <w:rFonts w:hint="eastAsia" w:ascii="仿宋" w:hAnsi="仿宋" w:eastAsia="仿宋" w:cs="仿宋"/>
          <w:b w:val="0"/>
          <w:bCs/>
          <w:color w:val="auto"/>
          <w:kern w:val="2"/>
          <w:sz w:val="32"/>
          <w:szCs w:val="32"/>
          <w:lang w:val="en-US" w:eastAsia="zh-CN"/>
        </w:rPr>
        <w:t>良好的</w:t>
      </w:r>
      <w:r>
        <w:rPr>
          <w:rFonts w:hint="eastAsia" w:ascii="仿宋" w:hAnsi="仿宋" w:eastAsia="仿宋" w:cs="仿宋"/>
          <w:b w:val="0"/>
          <w:bCs/>
          <w:color w:val="auto"/>
          <w:kern w:val="2"/>
          <w:sz w:val="32"/>
          <w:szCs w:val="32"/>
        </w:rPr>
        <w:t>生态景观、农事景观和田园风光，</w:t>
      </w:r>
      <w:r>
        <w:rPr>
          <w:rFonts w:hint="eastAsia" w:ascii="仿宋" w:hAnsi="仿宋" w:eastAsia="仿宋" w:cs="仿宋"/>
          <w:b w:val="0"/>
          <w:bCs/>
          <w:color w:val="auto"/>
          <w:sz w:val="32"/>
          <w:szCs w:val="32"/>
          <w:lang w:val="en-US" w:eastAsia="zh-CN" w:bidi="ar"/>
        </w:rPr>
        <w:t>打造具有洞庭水乡独特韵味的“和美湘村”。</w:t>
      </w:r>
      <w:r>
        <w:rPr>
          <w:rFonts w:hint="eastAsia" w:ascii="仿宋" w:hAnsi="仿宋" w:eastAsia="仿宋" w:cs="仿宋"/>
          <w:b/>
          <w:bCs/>
          <w:color w:val="auto"/>
          <w:kern w:val="24"/>
          <w:sz w:val="32"/>
          <w:szCs w:val="32"/>
          <w:lang w:val="en-US" w:eastAsia="zh-CN"/>
        </w:rPr>
        <w:t>三是</w:t>
      </w:r>
      <w:r>
        <w:rPr>
          <w:rFonts w:hint="eastAsia" w:ascii="仿宋" w:hAnsi="仿宋" w:eastAsia="仿宋" w:cs="仿宋"/>
          <w:b/>
          <w:bCs/>
          <w:color w:val="auto"/>
          <w:sz w:val="32"/>
          <w:szCs w:val="32"/>
          <w:lang w:val="en-US" w:eastAsia="zh-CN"/>
        </w:rPr>
        <w:t>积极创新农村治理体系。</w:t>
      </w:r>
      <w:r>
        <w:rPr>
          <w:rFonts w:hint="eastAsia" w:ascii="仿宋" w:hAnsi="仿宋" w:eastAsia="仿宋" w:cs="仿宋"/>
          <w:b w:val="0"/>
          <w:bCs/>
          <w:color w:val="auto"/>
          <w:sz w:val="32"/>
          <w:szCs w:val="32"/>
          <w:lang w:val="en-US" w:eastAsia="zh-CN"/>
        </w:rPr>
        <w:t>大力弘扬和践行社会主义核心价值观，</w:t>
      </w:r>
      <w:r>
        <w:rPr>
          <w:rFonts w:hint="eastAsia" w:ascii="仿宋" w:hAnsi="仿宋" w:eastAsia="仿宋" w:cs="仿宋"/>
          <w:b w:val="0"/>
          <w:bCs/>
          <w:color w:val="auto"/>
          <w:sz w:val="32"/>
          <w:szCs w:val="32"/>
        </w:rPr>
        <w:t>深入开展爱国主义教育，</w:t>
      </w:r>
      <w:r>
        <w:rPr>
          <w:rFonts w:hint="eastAsia" w:ascii="仿宋" w:hAnsi="仿宋" w:eastAsia="仿宋" w:cs="仿宋"/>
          <w:b w:val="0"/>
          <w:bCs/>
          <w:color w:val="auto"/>
          <w:sz w:val="32"/>
          <w:szCs w:val="32"/>
          <w:lang w:val="en-US" w:eastAsia="zh-CN"/>
        </w:rPr>
        <w:t>培育</w:t>
      </w:r>
      <w:r>
        <w:rPr>
          <w:rFonts w:hint="eastAsia" w:ascii="仿宋" w:hAnsi="仿宋" w:eastAsia="仿宋" w:cs="仿宋"/>
          <w:b w:val="0"/>
          <w:bCs/>
          <w:color w:val="auto"/>
          <w:sz w:val="32"/>
          <w:szCs w:val="32"/>
        </w:rPr>
        <w:t>新时代文明</w:t>
      </w:r>
      <w:r>
        <w:rPr>
          <w:rFonts w:hint="eastAsia" w:ascii="仿宋" w:hAnsi="仿宋" w:eastAsia="仿宋" w:cs="仿宋"/>
          <w:b w:val="0"/>
          <w:bCs/>
          <w:color w:val="auto"/>
          <w:sz w:val="32"/>
          <w:szCs w:val="32"/>
          <w:lang w:val="en-US" w:eastAsia="zh-CN"/>
        </w:rPr>
        <w:t>新</w:t>
      </w:r>
      <w:r>
        <w:rPr>
          <w:rFonts w:hint="eastAsia" w:ascii="仿宋" w:hAnsi="仿宋" w:eastAsia="仿宋" w:cs="仿宋"/>
          <w:b w:val="0"/>
          <w:bCs/>
          <w:color w:val="auto"/>
          <w:sz w:val="32"/>
          <w:szCs w:val="32"/>
        </w:rPr>
        <w:t>风尚</w:t>
      </w:r>
      <w:r>
        <w:rPr>
          <w:rFonts w:hint="eastAsia" w:ascii="仿宋" w:hAnsi="仿宋" w:eastAsia="仿宋" w:cs="仿宋"/>
          <w:b w:val="0"/>
          <w:bCs/>
          <w:color w:val="auto"/>
          <w:sz w:val="32"/>
          <w:szCs w:val="32"/>
          <w:lang w:val="en-US" w:eastAsia="zh-CN"/>
        </w:rPr>
        <w:t>。着力</w:t>
      </w:r>
      <w:r>
        <w:rPr>
          <w:rFonts w:hint="eastAsia" w:ascii="仿宋" w:hAnsi="仿宋" w:eastAsia="仿宋" w:cs="仿宋"/>
          <w:b w:val="0"/>
          <w:bCs/>
          <w:color w:val="auto"/>
          <w:spacing w:val="0"/>
          <w:sz w:val="32"/>
          <w:szCs w:val="32"/>
          <w:lang w:val="en-US" w:eastAsia="zh-CN"/>
        </w:rPr>
        <w:t>构建以积分管理为平台，环境卫生、文明乡风、社会稳定等评比为抓手、职工群众广泛参与为重点的自治、法治、德治相结合的治理体系。</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可持续发展能力</w:t>
      </w:r>
    </w:p>
    <w:p>
      <w:pPr>
        <w:pStyle w:val="5"/>
        <w:keepNext w:val="0"/>
        <w:keepLines w:val="0"/>
        <w:pageBreakBefore w:val="0"/>
        <w:widowControl w:val="0"/>
        <w:kinsoku/>
        <w:wordWrap/>
        <w:overflowPunct/>
        <w:topLinePunct w:val="0"/>
        <w:autoSpaceDE/>
        <w:bidi w:val="0"/>
        <w:snapToGrid/>
        <w:spacing w:line="550" w:lineRule="exact"/>
        <w:ind w:firstLine="640" w:firstLineChars="200"/>
        <w:textAlignment w:val="auto"/>
        <w:rPr>
          <w:rFonts w:hint="eastAsia" w:ascii="仿宋" w:hAnsi="仿宋" w:eastAsia="仿宋" w:cs="仿宋"/>
          <w:b w:val="0"/>
          <w:bCs w:val="0"/>
          <w:i w:val="0"/>
          <w:iCs w:val="0"/>
          <w:color w:val="auto"/>
          <w:sz w:val="32"/>
          <w:szCs w:val="32"/>
          <w:shd w:val="clear" w:color="auto" w:fill="auto"/>
        </w:rPr>
      </w:pPr>
      <w:r>
        <w:rPr>
          <w:rFonts w:hint="eastAsia" w:ascii="仿宋" w:hAnsi="仿宋" w:eastAsia="仿宋" w:cs="仿宋"/>
          <w:b/>
          <w:bCs/>
          <w:i w:val="0"/>
          <w:iCs w:val="0"/>
          <w:color w:val="auto"/>
          <w:sz w:val="32"/>
          <w:szCs w:val="32"/>
          <w:shd w:val="clear" w:color="auto" w:fill="auto"/>
        </w:rPr>
        <w:t>一是</w:t>
      </w:r>
      <w:r>
        <w:rPr>
          <w:rFonts w:hint="eastAsia" w:cs="仿宋"/>
          <w:b w:val="0"/>
          <w:bCs w:val="0"/>
          <w:i w:val="0"/>
          <w:iCs w:val="0"/>
          <w:color w:val="auto"/>
          <w:sz w:val="32"/>
          <w:szCs w:val="32"/>
          <w:shd w:val="clear" w:color="auto" w:fill="auto"/>
          <w:lang w:val="en-US" w:eastAsia="zh-CN"/>
        </w:rPr>
        <w:t>认真落实</w:t>
      </w:r>
      <w:r>
        <w:rPr>
          <w:rFonts w:hint="eastAsia" w:ascii="仿宋" w:hAnsi="仿宋" w:eastAsia="仿宋" w:cs="仿宋"/>
          <w:b w:val="0"/>
          <w:bCs w:val="0"/>
          <w:i w:val="0"/>
          <w:iCs w:val="0"/>
          <w:color w:val="auto"/>
          <w:sz w:val="32"/>
          <w:szCs w:val="32"/>
          <w:shd w:val="clear" w:color="auto" w:fill="auto"/>
        </w:rPr>
        <w:t>国家南方稻区和湖南省水稻新品种区域试验、高低温适应性鉴定</w:t>
      </w:r>
      <w:r>
        <w:rPr>
          <w:rFonts w:hint="eastAsia" w:cs="仿宋"/>
          <w:b w:val="0"/>
          <w:bCs w:val="0"/>
          <w:i w:val="0"/>
          <w:iCs w:val="0"/>
          <w:color w:val="auto"/>
          <w:sz w:val="32"/>
          <w:szCs w:val="32"/>
          <w:shd w:val="clear" w:color="auto" w:fill="auto"/>
          <w:lang w:val="en-US" w:eastAsia="zh-CN"/>
        </w:rPr>
        <w:t>等试验任务</w:t>
      </w:r>
      <w:r>
        <w:rPr>
          <w:rFonts w:hint="eastAsia" w:ascii="仿宋" w:hAnsi="仿宋" w:eastAsia="仿宋" w:cs="仿宋"/>
          <w:b w:val="0"/>
          <w:bCs w:val="0"/>
          <w:i w:val="0"/>
          <w:iCs w:val="0"/>
          <w:color w:val="auto"/>
          <w:sz w:val="32"/>
          <w:szCs w:val="32"/>
          <w:shd w:val="clear" w:color="auto" w:fill="auto"/>
        </w:rPr>
        <w:t>，鉴定测试品种1200多个，为筛选推广优质水稻品种发挥了重要作用</w:t>
      </w:r>
      <w:r>
        <w:rPr>
          <w:rFonts w:hint="eastAsia" w:cs="仿宋"/>
          <w:b w:val="0"/>
          <w:bCs w:val="0"/>
          <w:i w:val="0"/>
          <w:iCs w:val="0"/>
          <w:color w:val="auto"/>
          <w:sz w:val="32"/>
          <w:szCs w:val="32"/>
          <w:shd w:val="clear" w:color="auto" w:fill="auto"/>
          <w:lang w:eastAsia="zh-CN"/>
        </w:rPr>
        <w:t>。</w:t>
      </w:r>
      <w:r>
        <w:rPr>
          <w:rFonts w:hint="eastAsia" w:cs="仿宋"/>
          <w:b/>
          <w:bCs/>
          <w:i w:val="0"/>
          <w:iCs w:val="0"/>
          <w:color w:val="auto"/>
          <w:sz w:val="32"/>
          <w:szCs w:val="32"/>
          <w:shd w:val="clear" w:color="auto" w:fill="auto"/>
          <w:lang w:val="en-US" w:eastAsia="zh-CN"/>
        </w:rPr>
        <w:t>二是</w:t>
      </w:r>
      <w:r>
        <w:rPr>
          <w:rFonts w:hint="eastAsia" w:cs="仿宋"/>
          <w:b w:val="0"/>
          <w:bCs w:val="0"/>
          <w:i w:val="0"/>
          <w:iCs w:val="0"/>
          <w:color w:val="auto"/>
          <w:sz w:val="32"/>
          <w:szCs w:val="32"/>
          <w:shd w:val="clear" w:color="auto" w:fill="auto"/>
          <w:lang w:val="en-US" w:eastAsia="zh-CN"/>
        </w:rPr>
        <w:t>开展</w:t>
      </w:r>
      <w:r>
        <w:rPr>
          <w:rFonts w:hint="eastAsia" w:ascii="仿宋" w:hAnsi="仿宋" w:eastAsia="仿宋" w:cs="仿宋"/>
          <w:b w:val="0"/>
          <w:bCs w:val="0"/>
          <w:i w:val="0"/>
          <w:iCs w:val="0"/>
          <w:color w:val="auto"/>
          <w:sz w:val="32"/>
          <w:szCs w:val="32"/>
          <w:shd w:val="clear" w:color="auto" w:fill="auto"/>
        </w:rPr>
        <w:t>水稻种植技术国际培训，培训亚非拉农业技术</w:t>
      </w:r>
      <w:r>
        <w:rPr>
          <w:rFonts w:hint="eastAsia" w:cs="仿宋"/>
          <w:b w:val="0"/>
          <w:bCs w:val="0"/>
          <w:i w:val="0"/>
          <w:iCs w:val="0"/>
          <w:color w:val="auto"/>
          <w:sz w:val="32"/>
          <w:szCs w:val="32"/>
          <w:shd w:val="clear" w:color="auto" w:fill="auto"/>
          <w:lang w:val="en-US" w:eastAsia="zh-CN"/>
        </w:rPr>
        <w:t>专家</w:t>
      </w:r>
      <w:r>
        <w:rPr>
          <w:rFonts w:hint="eastAsia" w:ascii="仿宋" w:hAnsi="仿宋" w:eastAsia="仿宋" w:cs="仿宋"/>
          <w:b w:val="0"/>
          <w:bCs w:val="0"/>
          <w:i w:val="0"/>
          <w:iCs w:val="0"/>
          <w:color w:val="auto"/>
          <w:sz w:val="32"/>
          <w:szCs w:val="32"/>
          <w:shd w:val="clear" w:color="auto" w:fill="auto"/>
        </w:rPr>
        <w:t>35人次</w:t>
      </w:r>
      <w:r>
        <w:rPr>
          <w:rFonts w:hint="eastAsia" w:cs="仿宋"/>
          <w:b w:val="0"/>
          <w:bCs w:val="0"/>
          <w:i w:val="0"/>
          <w:iCs w:val="0"/>
          <w:color w:val="auto"/>
          <w:sz w:val="32"/>
          <w:szCs w:val="32"/>
          <w:shd w:val="clear" w:color="auto" w:fill="auto"/>
          <w:lang w:eastAsia="zh-CN"/>
        </w:rPr>
        <w:t>，</w:t>
      </w:r>
      <w:r>
        <w:rPr>
          <w:rFonts w:hint="eastAsia" w:ascii="仿宋" w:hAnsi="仿宋" w:eastAsia="仿宋" w:cs="仿宋"/>
          <w:b w:val="0"/>
          <w:bCs w:val="0"/>
          <w:i w:val="0"/>
          <w:iCs w:val="0"/>
          <w:color w:val="auto"/>
          <w:sz w:val="32"/>
          <w:szCs w:val="32"/>
          <w:shd w:val="clear" w:color="auto" w:fill="auto"/>
        </w:rPr>
        <w:t>助力“一带一路”发展。</w:t>
      </w:r>
      <w:r>
        <w:rPr>
          <w:rFonts w:hint="eastAsia" w:cs="仿宋"/>
          <w:b/>
          <w:bCs/>
          <w:i w:val="0"/>
          <w:iCs w:val="0"/>
          <w:color w:val="auto"/>
          <w:sz w:val="32"/>
          <w:szCs w:val="32"/>
          <w:shd w:val="clear" w:color="auto" w:fill="auto"/>
          <w:lang w:val="en-US" w:eastAsia="zh-CN"/>
        </w:rPr>
        <w:t>三</w:t>
      </w:r>
      <w:r>
        <w:rPr>
          <w:rFonts w:hint="eastAsia" w:ascii="仿宋" w:hAnsi="仿宋" w:eastAsia="仿宋" w:cs="仿宋"/>
          <w:b/>
          <w:bCs/>
          <w:i w:val="0"/>
          <w:iCs w:val="0"/>
          <w:color w:val="auto"/>
          <w:sz w:val="32"/>
          <w:szCs w:val="32"/>
          <w:shd w:val="clear" w:color="auto" w:fill="auto"/>
        </w:rPr>
        <w:t>是</w:t>
      </w:r>
      <w:r>
        <w:rPr>
          <w:rFonts w:hint="eastAsia" w:ascii="仿宋" w:hAnsi="仿宋" w:eastAsia="仿宋" w:cs="仿宋"/>
          <w:b w:val="0"/>
          <w:bCs w:val="0"/>
          <w:i w:val="0"/>
          <w:iCs w:val="0"/>
          <w:color w:val="auto"/>
          <w:sz w:val="32"/>
          <w:szCs w:val="32"/>
          <w:shd w:val="clear" w:color="auto" w:fill="auto"/>
        </w:rPr>
        <w:t>《籼型三系不育系家60A繁殖技术规程》等5个省级地方标准通过评审</w:t>
      </w:r>
      <w:r>
        <w:rPr>
          <w:rFonts w:hint="eastAsia" w:cs="仿宋"/>
          <w:b w:val="0"/>
          <w:bCs w:val="0"/>
          <w:i w:val="0"/>
          <w:iCs w:val="0"/>
          <w:color w:val="auto"/>
          <w:sz w:val="32"/>
          <w:szCs w:val="32"/>
          <w:shd w:val="clear" w:color="auto" w:fill="auto"/>
          <w:lang w:eastAsia="zh-CN"/>
        </w:rPr>
        <w:t>，</w:t>
      </w:r>
      <w:r>
        <w:rPr>
          <w:rFonts w:hint="eastAsia" w:ascii="仿宋" w:hAnsi="仿宋" w:eastAsia="仿宋" w:cs="仿宋"/>
          <w:b w:val="0"/>
          <w:bCs w:val="0"/>
          <w:i w:val="0"/>
          <w:iCs w:val="0"/>
          <w:color w:val="auto"/>
          <w:sz w:val="32"/>
          <w:szCs w:val="32"/>
          <w:shd w:val="clear" w:color="auto" w:fill="auto"/>
        </w:rPr>
        <w:t>为逐步占领行业制高点奠定基础。</w:t>
      </w:r>
    </w:p>
    <w:p>
      <w:pPr>
        <w:pStyle w:val="15"/>
        <w:numPr>
          <w:ilvl w:val="0"/>
          <w:numId w:val="3"/>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服务对象满意度</w:t>
      </w:r>
    </w:p>
    <w:p>
      <w:pPr>
        <w:widowControl/>
        <w:spacing w:line="600" w:lineRule="exact"/>
        <w:ind w:firstLine="640" w:firstLineChars="200"/>
        <w:jc w:val="left"/>
        <w:rPr>
          <w:rFonts w:hint="eastAsia" w:ascii="仿宋" w:hAnsi="仿宋" w:eastAsia="仿宋" w:cs="仿宋"/>
          <w:b w:val="0"/>
          <w:bCs w:val="0"/>
          <w:color w:val="auto"/>
          <w:spacing w:val="0"/>
          <w:sz w:val="32"/>
          <w:szCs w:val="32"/>
          <w:lang w:val="en-US" w:eastAsia="zh-CN"/>
        </w:rPr>
      </w:pPr>
      <w:r>
        <w:rPr>
          <w:rFonts w:hint="eastAsia" w:ascii="仿宋_GB2312" w:hAnsi="仿宋" w:eastAsia="仿宋_GB2312"/>
          <w:color w:val="auto"/>
          <w:sz w:val="32"/>
          <w:szCs w:val="32"/>
        </w:rPr>
        <w:t>我场紧紧围社会职责职能积极开展工作，统筹推进智慧农业数字大米科研示范建设、优质高效农业产业发展、宜居宜业和美乡村建设“三篇文章”，促进全场高质量发展，取得良好成效。</w:t>
      </w:r>
    </w:p>
    <w:p>
      <w:pPr>
        <w:pStyle w:val="15"/>
        <w:spacing w:line="60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eastAsia="zh-CN"/>
        </w:rPr>
        <w:t>三</w:t>
      </w:r>
      <w:r>
        <w:rPr>
          <w:rFonts w:hint="eastAsia" w:ascii="楷体" w:hAnsi="楷体" w:eastAsia="楷体" w:cs="楷体"/>
          <w:b/>
          <w:bCs/>
          <w:color w:val="auto"/>
          <w:sz w:val="32"/>
          <w:szCs w:val="32"/>
        </w:rPr>
        <w:t>）存在的问题及原因分析</w:t>
      </w:r>
    </w:p>
    <w:p>
      <w:pPr>
        <w:pStyle w:val="15"/>
        <w:numPr>
          <w:ilvl w:val="0"/>
          <w:numId w:val="0"/>
        </w:numPr>
        <w:spacing w:line="600" w:lineRule="exact"/>
        <w:ind w:firstLine="640" w:firstLineChars="200"/>
        <w:rPr>
          <w:rFonts w:hint="default" w:ascii="仿宋_GB2312" w:hAnsi="仿宋" w:eastAsia="仿宋_GB2312" w:cs="Times New Roman"/>
          <w:color w:val="auto"/>
          <w:kern w:val="2"/>
          <w:sz w:val="32"/>
          <w:szCs w:val="32"/>
          <w:highlight w:val="none"/>
          <w:lang w:val="en-US" w:eastAsia="zh-CN" w:bidi="ar-SA"/>
        </w:rPr>
      </w:pPr>
      <w:bookmarkStart w:id="19" w:name="OLE_LINK23"/>
      <w:r>
        <w:rPr>
          <w:rFonts w:hint="eastAsia" w:ascii="仿宋_GB2312" w:hAnsi="仿宋" w:eastAsia="仿宋_GB2312" w:cs="Times New Roman"/>
          <w:color w:val="auto"/>
          <w:kern w:val="2"/>
          <w:sz w:val="32"/>
          <w:szCs w:val="32"/>
          <w:highlight w:val="none"/>
          <w:lang w:val="en-US" w:eastAsia="zh-CN" w:bidi="ar-SA"/>
        </w:rPr>
        <w:t>存在的问题：全年预算执行率较低，项目执行率仅为34%。</w:t>
      </w:r>
    </w:p>
    <w:p>
      <w:pPr>
        <w:pStyle w:val="21"/>
        <w:widowControl/>
        <w:spacing w:line="600" w:lineRule="exact"/>
        <w:ind w:firstLine="640"/>
        <w:rPr>
          <w:rFonts w:hint="eastAsia"/>
          <w:color w:val="auto"/>
          <w:highlight w:val="none"/>
          <w:lang w:eastAsia="zh-CN"/>
        </w:rPr>
      </w:pPr>
      <w:r>
        <w:rPr>
          <w:rFonts w:hint="eastAsia" w:ascii="仿宋_GB2312" w:hAnsi="仿宋" w:eastAsia="仿宋_GB2312"/>
          <w:color w:val="auto"/>
          <w:sz w:val="32"/>
          <w:szCs w:val="32"/>
          <w:highlight w:val="none"/>
          <w:lang w:val="en-US" w:eastAsia="zh-CN"/>
        </w:rPr>
        <w:t>原因分析：2023年项目支出全年预算数为3398.9万元，执行数为1153.9万元，执行率为34%，主要是因为2023年有4个跨年项目，分别是：2022年中央成品油价格调整对渔业补助资金“池塘改造和尾水治理资金”200万元、数字乡村和数字农业试点资金400万元、2022年设施智慧农业建设320万元、农业产业融合发展项目1000万元。</w:t>
      </w:r>
    </w:p>
    <w:p>
      <w:pPr>
        <w:pStyle w:val="2"/>
        <w:ind w:left="0" w:leftChars="0" w:firstLine="640" w:firstLineChars="200"/>
        <w:rPr>
          <w:rFonts w:hint="eastAsia" w:eastAsia="仿宋_GB2312"/>
          <w:color w:val="auto"/>
          <w:highlight w:val="none"/>
          <w:lang w:eastAsia="zh-CN"/>
        </w:rPr>
        <w:sectPr>
          <w:pgSz w:w="11906" w:h="16838"/>
          <w:pgMar w:top="720" w:right="720" w:bottom="720" w:left="720" w:header="851" w:footer="992" w:gutter="0"/>
          <w:cols w:space="720" w:num="1"/>
          <w:docGrid w:type="linesAndChars" w:linePitch="312" w:charSpace="0"/>
        </w:sectPr>
      </w:pPr>
      <w:r>
        <w:rPr>
          <w:rFonts w:hint="eastAsia" w:ascii="仿宋_GB2312" w:hAnsi="仿宋" w:eastAsia="仿宋_GB2312"/>
          <w:color w:val="auto"/>
          <w:sz w:val="32"/>
          <w:szCs w:val="32"/>
          <w:highlight w:val="none"/>
          <w:lang w:eastAsia="zh-CN"/>
        </w:rPr>
        <w:t>下一步改进措施：加快</w:t>
      </w:r>
      <w:r>
        <w:rPr>
          <w:rFonts w:hint="eastAsia" w:ascii="仿宋_GB2312" w:hAnsi="仿宋" w:eastAsia="仿宋_GB2312"/>
          <w:color w:val="auto"/>
          <w:sz w:val="32"/>
          <w:szCs w:val="32"/>
          <w:highlight w:val="none"/>
          <w:lang w:val="en-US" w:eastAsia="zh-CN"/>
        </w:rPr>
        <w:t>2022年中央成品油价格调整对渔业补助资金“池塘改造和尾水治理资金”、数字乡村和数字农业试点资金、2022年设施智慧农业建设、农业产业融合发展项目等四个跨年项目的项目建设</w:t>
      </w:r>
      <w:r>
        <w:rPr>
          <w:rFonts w:hint="eastAsia" w:ascii="仿宋_GB2312" w:hAnsi="仿宋" w:eastAsia="仿宋_GB2312"/>
          <w:color w:val="auto"/>
          <w:sz w:val="32"/>
          <w:szCs w:val="32"/>
          <w:highlight w:val="none"/>
          <w:lang w:eastAsia="zh-CN"/>
        </w:rPr>
        <w:t>，根据项目资金使用计划，及时跟进支付，提高项目支出预算执行率。</w:t>
      </w:r>
      <w:bookmarkEnd w:id="18"/>
    </w:p>
    <w:bookmarkEnd w:id="19"/>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5"/>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5"/>
        <w:ind w:firstLine="640" w:firstLineChars="200"/>
        <w:jc w:val="left"/>
        <w:rPr>
          <w:rFonts w:hint="eastAsia" w:ascii="仿宋" w:hAnsi="仿宋" w:eastAsia="仿宋" w:cs="仿宋"/>
          <w:b w:val="0"/>
          <w:bCs w:val="0"/>
          <w:color w:val="000000"/>
          <w:kern w:val="0"/>
          <w:sz w:val="32"/>
          <w:szCs w:val="32"/>
          <w:lang w:eastAsia="zh-CN"/>
        </w:rPr>
      </w:pPr>
      <w:r>
        <w:rPr>
          <w:rFonts w:hint="eastAsia" w:ascii="仿宋" w:hAnsi="仿宋" w:eastAsia="仿宋" w:cs="仿宋"/>
          <w:b w:val="0"/>
          <w:bCs w:val="0"/>
          <w:color w:val="000000"/>
          <w:kern w:val="0"/>
          <w:sz w:val="32"/>
          <w:szCs w:val="32"/>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r>
        <w:rPr>
          <w:rFonts w:hint="eastAsia" w:ascii="仿宋" w:hAnsi="仿宋" w:eastAsia="仿宋" w:cs="仿宋"/>
          <w:b w:val="0"/>
          <w:bCs w:val="0"/>
          <w:color w:val="000000"/>
          <w:kern w:val="0"/>
          <w:sz w:val="32"/>
          <w:szCs w:val="32"/>
          <w:lang w:eastAsia="zh-CN"/>
        </w:rPr>
        <w:t>三公经费支出口径往年为一般公共预算财政拨款口径，今年为财政拨款口径。</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jc w:val="left"/>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rPr>
          <w:rFonts w:cs="黑体" w:asciiTheme="minorEastAsia" w:hAnsiTheme="minorEastAsia"/>
          <w:color w:val="000000"/>
          <w:kern w:val="0"/>
          <w:sz w:val="32"/>
          <w:szCs w:val="32"/>
        </w:rPr>
      </w:pPr>
    </w:p>
    <w:p>
      <w:pPr>
        <w:pStyle w:val="2"/>
        <w:rPr>
          <w:rFonts w:cs="黑体" w:asciiTheme="minorEastAsia" w:hAnsiTheme="minorEastAsia"/>
          <w:color w:val="000000"/>
          <w:kern w:val="0"/>
          <w:sz w:val="32"/>
          <w:szCs w:val="32"/>
        </w:rPr>
      </w:pPr>
    </w:p>
    <w:p>
      <w:pPr>
        <w:rPr>
          <w:rFonts w:cs="黑体" w:asciiTheme="minorEastAsia" w:hAnsiTheme="minorEastAsia"/>
          <w:color w:val="000000"/>
          <w:kern w:val="0"/>
          <w:sz w:val="32"/>
          <w:szCs w:val="32"/>
        </w:rPr>
      </w:pPr>
    </w:p>
    <w:p>
      <w:pPr>
        <w:rPr>
          <w:rFonts w:hint="eastAsia" w:cs="黑体" w:asciiTheme="minorEastAsia" w:hAnsiTheme="minorEastAsia"/>
          <w:color w:val="000000"/>
          <w:kern w:val="0"/>
          <w:sz w:val="32"/>
          <w:szCs w:val="32"/>
          <w:highlight w:val="none"/>
          <w:lang w:val="en-US" w:eastAsia="zh-CN"/>
        </w:rPr>
      </w:pPr>
      <w:r>
        <w:rPr>
          <w:rFonts w:hint="eastAsia" w:cs="黑体" w:asciiTheme="minorEastAsia" w:hAnsiTheme="minorEastAsia"/>
          <w:color w:val="000000"/>
          <w:kern w:val="0"/>
          <w:sz w:val="32"/>
          <w:szCs w:val="32"/>
          <w:highlight w:val="none"/>
          <w:lang w:eastAsia="zh-CN"/>
        </w:rPr>
        <w:t>一、</w:t>
      </w:r>
      <w:r>
        <w:rPr>
          <w:rFonts w:hint="eastAsia" w:cs="黑体" w:asciiTheme="minorEastAsia" w:hAnsiTheme="minorEastAsia"/>
          <w:color w:val="000000"/>
          <w:kern w:val="0"/>
          <w:sz w:val="32"/>
          <w:szCs w:val="32"/>
          <w:highlight w:val="none"/>
          <w:lang w:val="en-US" w:eastAsia="zh-CN"/>
        </w:rPr>
        <w:t>2023年度单位整体支出绩效自评报告</w:t>
      </w:r>
    </w:p>
    <w:p>
      <w:pPr>
        <w:pStyle w:val="2"/>
        <w:rPr>
          <w:rFonts w:hint="default"/>
          <w:lang w:val="en-US" w:eastAsia="zh-CN"/>
        </w:rPr>
      </w:pPr>
    </w:p>
    <w:p>
      <w:pPr>
        <w:spacing w:line="600" w:lineRule="exact"/>
        <w:jc w:val="center"/>
        <w:rPr>
          <w:rFonts w:hint="eastAsia" w:eastAsia="方正小标宋_GBK"/>
          <w:sz w:val="44"/>
          <w:szCs w:val="44"/>
        </w:rPr>
      </w:pPr>
      <w:r>
        <w:rPr>
          <w:rFonts w:hint="eastAsia" w:eastAsia="方正小标宋_GBK"/>
          <w:sz w:val="44"/>
          <w:szCs w:val="44"/>
          <w:lang w:eastAsia="zh-CN"/>
        </w:rPr>
        <w:t>202</w:t>
      </w:r>
      <w:r>
        <w:rPr>
          <w:rFonts w:hint="eastAsia" w:eastAsia="方正小标宋_GBK"/>
          <w:sz w:val="44"/>
          <w:szCs w:val="44"/>
          <w:lang w:val="en-US" w:eastAsia="zh-CN"/>
        </w:rPr>
        <w:t>3</w:t>
      </w:r>
      <w:r>
        <w:rPr>
          <w:rFonts w:hint="eastAsia" w:eastAsia="方正小标宋_GBK"/>
          <w:sz w:val="44"/>
          <w:szCs w:val="44"/>
          <w:lang w:eastAsia="zh-CN"/>
        </w:rPr>
        <w:t>年</w:t>
      </w:r>
      <w:r>
        <w:rPr>
          <w:rFonts w:eastAsia="方正小标宋_GBK"/>
          <w:sz w:val="44"/>
          <w:szCs w:val="44"/>
        </w:rPr>
        <w:t>度湖南省</w:t>
      </w:r>
      <w:r>
        <w:rPr>
          <w:rFonts w:hint="eastAsia" w:eastAsia="方正小标宋_GBK"/>
          <w:sz w:val="44"/>
          <w:szCs w:val="44"/>
        </w:rPr>
        <w:t>贺家山原种场</w:t>
      </w:r>
    </w:p>
    <w:p>
      <w:pPr>
        <w:spacing w:line="600" w:lineRule="exact"/>
        <w:jc w:val="center"/>
        <w:rPr>
          <w:rFonts w:eastAsia="方正小标宋_GBK"/>
          <w:sz w:val="44"/>
          <w:szCs w:val="44"/>
        </w:rPr>
      </w:pPr>
      <w:r>
        <w:rPr>
          <w:rFonts w:eastAsia="方正小标宋_GBK"/>
          <w:sz w:val="44"/>
          <w:szCs w:val="44"/>
        </w:rPr>
        <w:t>整体支出绩效</w:t>
      </w:r>
      <w:r>
        <w:rPr>
          <w:rFonts w:hint="eastAsia" w:eastAsia="方正小标宋_GBK"/>
          <w:sz w:val="44"/>
          <w:szCs w:val="44"/>
          <w:lang w:eastAsia="zh-CN"/>
        </w:rPr>
        <w:t>自评</w:t>
      </w:r>
      <w:r>
        <w:rPr>
          <w:rFonts w:eastAsia="方正小标宋_GBK"/>
          <w:sz w:val="44"/>
          <w:szCs w:val="44"/>
        </w:rPr>
        <w:t>报告</w:t>
      </w:r>
    </w:p>
    <w:p>
      <w:pPr>
        <w:widowControl/>
        <w:spacing w:line="600" w:lineRule="exact"/>
        <w:ind w:firstLine="627" w:firstLineChars="196"/>
        <w:jc w:val="left"/>
        <w:rPr>
          <w:rFonts w:eastAsia="黑体"/>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w:t>
      </w:r>
      <w:r>
        <w:rPr>
          <w:rFonts w:hint="eastAsia" w:eastAsia="黑体"/>
          <w:bCs/>
          <w:kern w:val="0"/>
          <w:sz w:val="32"/>
          <w:szCs w:val="32"/>
        </w:rPr>
        <w:t>单位</w:t>
      </w:r>
      <w:r>
        <w:rPr>
          <w:rFonts w:eastAsia="黑体"/>
          <w:bCs/>
          <w:kern w:val="0"/>
          <w:sz w:val="32"/>
          <w:szCs w:val="32"/>
        </w:rPr>
        <w:t>基本</w:t>
      </w:r>
      <w:r>
        <w:rPr>
          <w:rFonts w:hint="eastAsia" w:eastAsia="黑体"/>
          <w:bCs/>
          <w:kern w:val="0"/>
          <w:sz w:val="32"/>
          <w:szCs w:val="32"/>
          <w:lang w:eastAsia="zh-CN"/>
        </w:rPr>
        <w:t>情</w:t>
      </w:r>
      <w:r>
        <w:rPr>
          <w:rFonts w:eastAsia="黑体"/>
          <w:bCs/>
          <w:kern w:val="0"/>
          <w:sz w:val="32"/>
          <w:szCs w:val="32"/>
        </w:rPr>
        <w:t>况</w:t>
      </w:r>
    </w:p>
    <w:p>
      <w:pPr>
        <w:widowControl/>
        <w:shd w:val="clear" w:color="auto" w:fill="FFFFFF"/>
        <w:spacing w:line="560" w:lineRule="exact"/>
        <w:ind w:firstLine="640"/>
        <w:jc w:val="left"/>
        <w:rPr>
          <w:rFonts w:hint="eastAsia" w:eastAsia="仿宋_GB2312"/>
          <w:color w:val="000000"/>
          <w:kern w:val="0"/>
          <w:sz w:val="32"/>
          <w:szCs w:val="32"/>
          <w:shd w:val="clear" w:color="auto" w:fill="FFFFFF"/>
          <w:lang w:bidi="ar"/>
        </w:rPr>
      </w:pPr>
      <w:r>
        <w:rPr>
          <w:rFonts w:eastAsia="仿宋_GB2312"/>
          <w:color w:val="000000"/>
          <w:sz w:val="32"/>
          <w:szCs w:val="32"/>
          <w:shd w:val="clear" w:color="auto" w:fill="FFFFFF"/>
        </w:rPr>
        <w:t>湖南省贺家山原种场系湖南省农业农村厅直属县团级农业事业单位。主要承担</w:t>
      </w:r>
      <w:r>
        <w:rPr>
          <w:rFonts w:eastAsia="仿宋_GB2312"/>
          <w:color w:val="000000"/>
          <w:kern w:val="0"/>
          <w:sz w:val="32"/>
          <w:szCs w:val="32"/>
          <w:shd w:val="clear" w:color="auto" w:fill="FFFFFF"/>
          <w:lang w:bidi="ar"/>
        </w:rPr>
        <w:t>南方稻区水稻区域试验及湖南省水稻区域试验（预备试验）、湖南省水稻品种（组合）生产安全性鉴定、湖南省两用不育系生态鉴定、湖南省及南方稻区水稻新品种引进、筛选、展示、推广与杂交水稻科普教育、湖南省及南方稻区杂交水稻亲本种子提纯、繁殖与杂交水稻和优质棉种子生产、现代农业及社会主义新农村建设示范、现代农业技术示范和培训等</w:t>
      </w:r>
      <w:r>
        <w:rPr>
          <w:rFonts w:eastAsia="仿宋_GB2312"/>
          <w:color w:val="000000"/>
          <w:sz w:val="32"/>
          <w:szCs w:val="32"/>
          <w:shd w:val="clear" w:color="auto" w:fill="FFFFFF"/>
        </w:rPr>
        <w:t>公益服务职能，担负着保障全省乃至南方稻区种子生产安全的核心作用，是湖南省水稻、优质棉原（良）种子生产的重要基地。此外，还承担着辖区内</w:t>
      </w:r>
      <w:r>
        <w:rPr>
          <w:rFonts w:eastAsia="仿宋_GB2312"/>
          <w:color w:val="000000"/>
          <w:kern w:val="0"/>
          <w:sz w:val="32"/>
          <w:szCs w:val="32"/>
          <w:shd w:val="clear" w:color="auto" w:fill="FFFFFF"/>
          <w:lang w:bidi="ar"/>
        </w:rPr>
        <w:t>社会管理综合治理与安全生产、计划生育与妇幼保健、九年制义务教育与文化管理、疾病预防控制与治疗、动物疾病防治与动植物检验检疫、民兵武装与国防教育、民政与社会优抚、劳动与社会保障、</w:t>
      </w:r>
      <w:r>
        <w:rPr>
          <w:rFonts w:hint="eastAsia" w:eastAsia="仿宋_GB2312"/>
          <w:color w:val="000000"/>
          <w:kern w:val="0"/>
          <w:sz w:val="32"/>
          <w:szCs w:val="32"/>
          <w:shd w:val="clear" w:color="auto" w:fill="FFFFFF"/>
          <w:lang w:bidi="ar"/>
        </w:rPr>
        <w:t>自然</w:t>
      </w:r>
      <w:r>
        <w:rPr>
          <w:rFonts w:eastAsia="仿宋_GB2312"/>
          <w:color w:val="000000"/>
          <w:kern w:val="0"/>
          <w:sz w:val="32"/>
          <w:szCs w:val="32"/>
          <w:shd w:val="clear" w:color="auto" w:fill="FFFFFF"/>
          <w:lang w:bidi="ar"/>
        </w:rPr>
        <w:t>资源保护与林业管理、农村安全饮水、交通运输与管理、防汛抗旱与大堤安保、公共设施建设维护与管理等社会职能。</w:t>
      </w:r>
    </w:p>
    <w:p>
      <w:pPr>
        <w:widowControl/>
        <w:shd w:val="clear" w:color="auto" w:fill="FFFFFF"/>
        <w:spacing w:line="560" w:lineRule="exact"/>
        <w:ind w:firstLine="640" w:firstLineChars="200"/>
        <w:jc w:val="left"/>
        <w:rPr>
          <w:rFonts w:hint="eastAsia" w:eastAsia="仿宋_GB2312"/>
          <w:sz w:val="32"/>
          <w:szCs w:val="32"/>
        </w:rPr>
      </w:pPr>
      <w:r>
        <w:rPr>
          <w:rFonts w:hint="eastAsia" w:eastAsia="仿宋_GB2312"/>
          <w:sz w:val="32"/>
          <w:szCs w:val="32"/>
        </w:rPr>
        <w:t>湖南省贺家山原种场设党政办公室、人事科、计划财务科、纪检监察室、发展规划科、农林水利科、种子质量管理科、平安建设办公室、老干部工作办公室、民政办公室、退役军人事务办公室、国土管理办公室、交通农机管理科、文化与教育科、卫生与健康管理科、信息中心16个内设科室、部门，设大洲分场、乐兴分场、新合分场、小凡洲分场、社保服务中心、后勤服务中心、种业科学研究所、农业技术服务中心、排灌站、常德市贺家山卫生院、子弟学校11个直属部门。</w:t>
      </w:r>
      <w:r>
        <w:rPr>
          <w:rFonts w:hint="eastAsia" w:eastAsia="仿宋_GB2312"/>
          <w:sz w:val="32"/>
          <w:szCs w:val="32"/>
          <w:lang w:eastAsia="zh-CN"/>
        </w:rPr>
        <w:t>202</w:t>
      </w:r>
      <w:r>
        <w:rPr>
          <w:rFonts w:hint="eastAsia" w:eastAsia="仿宋_GB2312"/>
          <w:sz w:val="32"/>
          <w:szCs w:val="32"/>
          <w:lang w:val="en-US" w:eastAsia="zh-CN"/>
        </w:rPr>
        <w:t>3</w:t>
      </w:r>
      <w:r>
        <w:rPr>
          <w:rFonts w:hint="eastAsia" w:eastAsia="仿宋_GB2312"/>
          <w:sz w:val="32"/>
          <w:szCs w:val="32"/>
          <w:lang w:eastAsia="zh-CN"/>
        </w:rPr>
        <w:t>年</w:t>
      </w:r>
      <w:r>
        <w:rPr>
          <w:rFonts w:eastAsia="仿宋_GB2312"/>
          <w:sz w:val="32"/>
          <w:szCs w:val="32"/>
        </w:rPr>
        <w:t>末，我单位共有编制</w:t>
      </w:r>
      <w:r>
        <w:rPr>
          <w:rFonts w:hint="eastAsia" w:eastAsia="仿宋_GB2312"/>
          <w:sz w:val="32"/>
          <w:szCs w:val="32"/>
        </w:rPr>
        <w:t>0</w:t>
      </w:r>
      <w:r>
        <w:rPr>
          <w:rFonts w:eastAsia="仿宋_GB2312"/>
          <w:sz w:val="32"/>
          <w:szCs w:val="32"/>
        </w:rPr>
        <w:t>人。年末实有在职人员</w:t>
      </w:r>
      <w:r>
        <w:rPr>
          <w:rFonts w:hint="eastAsia" w:eastAsia="仿宋_GB2312"/>
          <w:sz w:val="32"/>
          <w:szCs w:val="32"/>
        </w:rPr>
        <w:t>60</w:t>
      </w:r>
      <w:r>
        <w:rPr>
          <w:rFonts w:hint="eastAsia" w:eastAsia="仿宋_GB2312"/>
          <w:sz w:val="32"/>
          <w:szCs w:val="32"/>
          <w:lang w:val="en-US" w:eastAsia="zh-CN"/>
        </w:rPr>
        <w:t>8</w:t>
      </w:r>
      <w:r>
        <w:rPr>
          <w:rFonts w:eastAsia="仿宋_GB2312"/>
          <w:sz w:val="32"/>
          <w:szCs w:val="32"/>
        </w:rPr>
        <w:t>人，离休人员</w:t>
      </w:r>
      <w:r>
        <w:rPr>
          <w:rFonts w:hint="eastAsia" w:eastAsia="仿宋_GB2312"/>
          <w:sz w:val="32"/>
          <w:szCs w:val="32"/>
        </w:rPr>
        <w:t>1</w:t>
      </w:r>
      <w:r>
        <w:rPr>
          <w:rFonts w:eastAsia="仿宋_GB2312"/>
          <w:sz w:val="32"/>
          <w:szCs w:val="32"/>
        </w:rPr>
        <w:t>人。</w:t>
      </w:r>
    </w:p>
    <w:p>
      <w:pPr>
        <w:widowControl/>
        <w:numPr>
          <w:ilvl w:val="0"/>
          <w:numId w:val="4"/>
        </w:numPr>
        <w:spacing w:line="60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一般公共预算支出情况</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湖南省贺家山原种场一般公共预算收入</w:t>
      </w:r>
      <w:r>
        <w:rPr>
          <w:rFonts w:hint="eastAsia" w:ascii="仿宋_GB2312" w:hAnsi="仿宋" w:eastAsia="仿宋_GB2312"/>
          <w:sz w:val="32"/>
          <w:szCs w:val="32"/>
          <w:lang w:val="en-US" w:eastAsia="zh-CN"/>
        </w:rPr>
        <w:t>5785.96</w:t>
      </w:r>
      <w:r>
        <w:rPr>
          <w:rFonts w:hint="eastAsia" w:ascii="仿宋_GB2312" w:hAnsi="仿宋" w:eastAsia="仿宋_GB2312"/>
          <w:sz w:val="32"/>
          <w:szCs w:val="32"/>
        </w:rPr>
        <w:t>万元,其中部门预算收入为</w:t>
      </w:r>
      <w:r>
        <w:rPr>
          <w:rFonts w:hint="eastAsia" w:ascii="仿宋_GB2312" w:hAnsi="仿宋" w:eastAsia="仿宋_GB2312"/>
          <w:color w:val="auto"/>
          <w:sz w:val="32"/>
          <w:szCs w:val="32"/>
          <w:lang w:val="en-US" w:eastAsia="zh-CN"/>
        </w:rPr>
        <w:t>3917.03</w:t>
      </w:r>
      <w:r>
        <w:rPr>
          <w:rFonts w:hint="eastAsia" w:ascii="仿宋_GB2312" w:hAnsi="仿宋" w:eastAsia="仿宋_GB2312"/>
          <w:color w:val="auto"/>
          <w:sz w:val="32"/>
          <w:szCs w:val="32"/>
        </w:rPr>
        <w:t>万元,</w:t>
      </w:r>
      <w:r>
        <w:rPr>
          <w:rFonts w:hint="eastAsia"/>
          <w:color w:val="auto"/>
        </w:rPr>
        <w:t xml:space="preserve"> </w:t>
      </w:r>
      <w:r>
        <w:rPr>
          <w:rFonts w:hint="eastAsia" w:ascii="仿宋_GB2312" w:hAnsi="仿宋" w:eastAsia="仿宋_GB2312"/>
          <w:color w:val="auto"/>
          <w:sz w:val="32"/>
          <w:szCs w:val="32"/>
        </w:rPr>
        <w:t>省级专项</w:t>
      </w:r>
      <w:r>
        <w:rPr>
          <w:rFonts w:hint="eastAsia" w:ascii="仿宋_GB2312" w:hAnsi="仿宋" w:eastAsia="仿宋_GB2312"/>
          <w:color w:val="auto"/>
          <w:sz w:val="32"/>
          <w:szCs w:val="32"/>
          <w:lang w:val="en-US" w:eastAsia="zh-CN"/>
        </w:rPr>
        <w:t>245</w:t>
      </w:r>
      <w:r>
        <w:rPr>
          <w:rFonts w:hint="eastAsia" w:ascii="仿宋_GB2312" w:hAnsi="仿宋" w:eastAsia="仿宋_GB2312"/>
          <w:sz w:val="32"/>
          <w:szCs w:val="32"/>
        </w:rPr>
        <w:t>万元,上年结转结余</w:t>
      </w:r>
      <w:r>
        <w:rPr>
          <w:rFonts w:hint="eastAsia" w:ascii="仿宋_GB2312" w:hAnsi="仿宋" w:eastAsia="仿宋_GB2312"/>
          <w:sz w:val="32"/>
          <w:szCs w:val="32"/>
          <w:lang w:val="en-US" w:eastAsia="zh-CN"/>
        </w:rPr>
        <w:t>178.17</w:t>
      </w:r>
      <w:r>
        <w:rPr>
          <w:rFonts w:hint="eastAsia" w:ascii="仿宋_GB2312" w:hAnsi="仿宋" w:eastAsia="仿宋_GB2312"/>
          <w:sz w:val="32"/>
          <w:szCs w:val="32"/>
        </w:rPr>
        <w:t>万元,年中追加</w:t>
      </w:r>
      <w:r>
        <w:rPr>
          <w:rFonts w:hint="eastAsia" w:ascii="仿宋_GB2312" w:hAnsi="仿宋" w:eastAsia="仿宋_GB2312"/>
          <w:sz w:val="32"/>
          <w:szCs w:val="32"/>
          <w:lang w:val="en-US" w:eastAsia="zh-CN"/>
        </w:rPr>
        <w:t>1445.76</w:t>
      </w:r>
      <w:r>
        <w:rPr>
          <w:rFonts w:hint="eastAsia" w:ascii="仿宋_GB2312" w:hAnsi="仿宋" w:eastAsia="仿宋_GB2312"/>
          <w:sz w:val="32"/>
          <w:szCs w:val="32"/>
        </w:rPr>
        <w:t>万元,全年一般公共预算支出共计</w:t>
      </w:r>
      <w:r>
        <w:rPr>
          <w:rFonts w:hint="eastAsia" w:ascii="仿宋_GB2312" w:hAnsi="仿宋" w:eastAsia="仿宋_GB2312"/>
          <w:sz w:val="32"/>
          <w:szCs w:val="32"/>
          <w:lang w:val="en-US" w:eastAsia="zh-CN"/>
        </w:rPr>
        <w:t>5148.62</w:t>
      </w:r>
      <w:r>
        <w:rPr>
          <w:rFonts w:hint="eastAsia" w:ascii="仿宋_GB2312" w:hAnsi="仿宋" w:eastAsia="仿宋_GB2312"/>
          <w:sz w:val="32"/>
          <w:szCs w:val="32"/>
        </w:rPr>
        <w:t>元,年未结转结余</w:t>
      </w:r>
      <w:r>
        <w:rPr>
          <w:rFonts w:hint="eastAsia" w:ascii="仿宋_GB2312" w:hAnsi="仿宋" w:eastAsia="仿宋_GB2312"/>
          <w:sz w:val="32"/>
          <w:szCs w:val="32"/>
          <w:lang w:val="en-US" w:eastAsia="zh-CN"/>
        </w:rPr>
        <w:t>637.34</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Times New Roman" w:hAnsi="Times New Roman" w:eastAsia="黑体"/>
          <w:sz w:val="32"/>
          <w:szCs w:val="32"/>
          <w:lang w:eastAsia="zh-CN"/>
        </w:rPr>
        <w:t>（一）</w:t>
      </w:r>
      <w:r>
        <w:rPr>
          <w:rFonts w:hint="eastAsia" w:ascii="Times New Roman" w:hAnsi="Times New Roman" w:eastAsia="黑体"/>
          <w:sz w:val="32"/>
          <w:szCs w:val="32"/>
        </w:rPr>
        <w:t>基本支出情况。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湖南省贺家山原种场一般公共预算支出中基本支出预算为</w:t>
      </w:r>
      <w:r>
        <w:rPr>
          <w:rFonts w:hint="eastAsia" w:ascii="仿宋_GB2312" w:hAnsi="仿宋" w:eastAsia="仿宋_GB2312"/>
          <w:sz w:val="32"/>
          <w:szCs w:val="32"/>
          <w:lang w:val="en-US" w:eastAsia="zh-CN"/>
        </w:rPr>
        <w:t>4836.79</w:t>
      </w:r>
      <w:r>
        <w:rPr>
          <w:rFonts w:hint="eastAsia" w:ascii="仿宋_GB2312" w:hAnsi="仿宋" w:eastAsia="仿宋_GB2312"/>
          <w:sz w:val="32"/>
          <w:szCs w:val="32"/>
        </w:rPr>
        <w:t>万元,其中工资福利支出</w:t>
      </w:r>
      <w:r>
        <w:rPr>
          <w:rFonts w:hint="eastAsia" w:ascii="仿宋_GB2312" w:hAnsi="仿宋" w:eastAsia="仿宋_GB2312"/>
          <w:sz w:val="32"/>
          <w:szCs w:val="32"/>
          <w:lang w:val="en-US" w:eastAsia="zh-CN"/>
        </w:rPr>
        <w:t>4189.74</w:t>
      </w:r>
      <w:r>
        <w:rPr>
          <w:rFonts w:hint="eastAsia" w:ascii="仿宋_GB2312" w:hAnsi="仿宋" w:eastAsia="仿宋_GB2312"/>
          <w:sz w:val="32"/>
          <w:szCs w:val="32"/>
        </w:rPr>
        <w:t>万元,商品和服务支出</w:t>
      </w:r>
      <w:r>
        <w:rPr>
          <w:rFonts w:hint="eastAsia" w:ascii="仿宋_GB2312" w:hAnsi="仿宋" w:eastAsia="仿宋_GB2312"/>
          <w:sz w:val="32"/>
          <w:szCs w:val="32"/>
          <w:lang w:val="en-US" w:eastAsia="zh-CN"/>
        </w:rPr>
        <w:t>127.91</w:t>
      </w:r>
      <w:r>
        <w:rPr>
          <w:rFonts w:hint="eastAsia" w:ascii="仿宋_GB2312" w:hAnsi="仿宋" w:eastAsia="仿宋_GB2312"/>
          <w:sz w:val="32"/>
          <w:szCs w:val="32"/>
        </w:rPr>
        <w:t>万元,对个人和家庭的补助</w:t>
      </w:r>
      <w:r>
        <w:rPr>
          <w:rFonts w:hint="eastAsia" w:ascii="仿宋_GB2312" w:hAnsi="仿宋" w:eastAsia="仿宋_GB2312"/>
          <w:sz w:val="32"/>
          <w:szCs w:val="32"/>
          <w:lang w:val="en-US" w:eastAsia="zh-CN"/>
        </w:rPr>
        <w:t>519.13</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黑体" w:hAnsi="黑体" w:eastAsia="黑体"/>
          <w:sz w:val="32"/>
          <w:szCs w:val="32"/>
          <w:lang w:eastAsia="zh-CN"/>
        </w:rPr>
        <w:t>（二）</w:t>
      </w:r>
      <w:r>
        <w:rPr>
          <w:rFonts w:hint="eastAsia" w:ascii="黑体" w:hAnsi="黑体" w:eastAsia="黑体"/>
          <w:sz w:val="32"/>
          <w:szCs w:val="32"/>
        </w:rPr>
        <w:t>项目支出情况。</w:t>
      </w:r>
      <w:r>
        <w:rPr>
          <w:rFonts w:hint="eastAsia" w:ascii="仿宋_GB2312" w:hAnsi="仿宋" w:eastAsia="仿宋_GB2312"/>
          <w:sz w:val="32"/>
          <w:szCs w:val="32"/>
        </w:rPr>
        <w:t xml:space="preserve"> </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年</w:t>
      </w:r>
      <w:r>
        <w:rPr>
          <w:rFonts w:hint="eastAsia" w:ascii="仿宋_GB2312" w:hAnsi="仿宋" w:eastAsia="仿宋_GB2312"/>
          <w:sz w:val="32"/>
          <w:szCs w:val="32"/>
        </w:rPr>
        <w:t>湖南省贺家山原种场一般公共预算支出中项目支出预算为</w:t>
      </w:r>
      <w:r>
        <w:rPr>
          <w:rFonts w:hint="eastAsia" w:ascii="仿宋_GB2312" w:hAnsi="仿宋" w:eastAsia="仿宋_GB2312"/>
          <w:sz w:val="32"/>
          <w:szCs w:val="32"/>
          <w:lang w:val="en-US" w:eastAsia="zh-CN"/>
        </w:rPr>
        <w:t>311.83</w:t>
      </w:r>
      <w:r>
        <w:rPr>
          <w:rFonts w:hint="eastAsia" w:ascii="仿宋_GB2312" w:hAnsi="仿宋" w:eastAsia="仿宋_GB2312"/>
          <w:sz w:val="32"/>
          <w:szCs w:val="32"/>
        </w:rPr>
        <w:t>万元,其中商品和服务支出</w:t>
      </w:r>
      <w:r>
        <w:rPr>
          <w:rFonts w:hint="eastAsia" w:ascii="仿宋_GB2312" w:hAnsi="仿宋" w:eastAsia="仿宋_GB2312"/>
          <w:sz w:val="32"/>
          <w:szCs w:val="32"/>
          <w:lang w:val="en-US" w:eastAsia="zh-CN"/>
        </w:rPr>
        <w:t>311.83</w:t>
      </w:r>
      <w:r>
        <w:rPr>
          <w:rFonts w:hint="eastAsia" w:ascii="仿宋_GB2312" w:hAnsi="仿宋" w:eastAsia="仿宋_GB2312"/>
          <w:sz w:val="32"/>
          <w:szCs w:val="32"/>
        </w:rPr>
        <w:t>万元,</w:t>
      </w:r>
      <w:r>
        <w:rPr>
          <w:rFonts w:hint="eastAsia" w:ascii="仿宋_GB2312" w:hAnsi="仿宋" w:eastAsia="仿宋_GB2312"/>
          <w:sz w:val="32"/>
          <w:szCs w:val="32"/>
          <w:lang w:eastAsia="zh-CN"/>
        </w:rPr>
        <w:t>对个人和家庭支出</w:t>
      </w:r>
      <w:r>
        <w:rPr>
          <w:rFonts w:hint="eastAsia" w:ascii="仿宋_GB2312" w:hAnsi="仿宋" w:eastAsia="仿宋_GB2312"/>
          <w:sz w:val="32"/>
          <w:szCs w:val="32"/>
          <w:lang w:val="en-US" w:eastAsia="zh-CN"/>
        </w:rPr>
        <w:t>0万元，</w:t>
      </w:r>
      <w:r>
        <w:rPr>
          <w:rFonts w:hint="eastAsia" w:ascii="仿宋_GB2312" w:hAnsi="仿宋" w:eastAsia="仿宋_GB2312"/>
          <w:sz w:val="32"/>
          <w:szCs w:val="32"/>
        </w:rPr>
        <w:t>资本性支出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sz w:val="32"/>
          <w:szCs w:val="32"/>
        </w:rPr>
        <w:t>1、</w:t>
      </w:r>
      <w:r>
        <w:rPr>
          <w:rFonts w:hint="eastAsia" w:ascii="仿宋_GB2312" w:hAnsi="仿宋" w:eastAsia="仿宋_GB2312"/>
          <w:color w:val="auto"/>
          <w:sz w:val="32"/>
          <w:szCs w:val="32"/>
        </w:rPr>
        <w:t>现代农业发展专项。现代农业发展专项资金年初预算</w:t>
      </w:r>
      <w:r>
        <w:rPr>
          <w:rFonts w:hint="eastAsia" w:ascii="仿宋_GB2312" w:hAnsi="仿宋" w:eastAsia="仿宋_GB2312"/>
          <w:color w:val="auto"/>
          <w:sz w:val="32"/>
          <w:szCs w:val="32"/>
          <w:lang w:val="en-US" w:eastAsia="zh-CN"/>
        </w:rPr>
        <w:t>245</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val="en-US" w:eastAsia="zh-CN"/>
        </w:rPr>
        <w:t>，</w:t>
      </w:r>
      <w:r>
        <w:rPr>
          <w:rFonts w:hint="eastAsia" w:ascii="仿宋_GB2312" w:hAnsi="仿宋" w:eastAsia="仿宋_GB2312"/>
          <w:color w:val="auto"/>
          <w:sz w:val="32"/>
          <w:szCs w:val="32"/>
        </w:rPr>
        <w:t>年中追加预算</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万元,最终预算为</w:t>
      </w:r>
      <w:r>
        <w:rPr>
          <w:rFonts w:hint="eastAsia" w:ascii="仿宋_GB2312" w:hAnsi="仿宋" w:eastAsia="仿宋_GB2312"/>
          <w:color w:val="auto"/>
          <w:sz w:val="32"/>
          <w:szCs w:val="32"/>
          <w:lang w:val="en-US" w:eastAsia="zh-CN"/>
        </w:rPr>
        <w:t>245</w:t>
      </w:r>
      <w:r>
        <w:rPr>
          <w:rFonts w:hint="eastAsia" w:ascii="仿宋_GB2312" w:hAnsi="仿宋" w:eastAsia="仿宋_GB2312"/>
          <w:color w:val="auto"/>
          <w:sz w:val="32"/>
          <w:szCs w:val="32"/>
        </w:rPr>
        <w:t>万元。全年项目支出</w:t>
      </w:r>
      <w:r>
        <w:rPr>
          <w:rFonts w:hint="eastAsia" w:ascii="仿宋_GB2312" w:hAnsi="仿宋" w:eastAsia="仿宋_GB2312"/>
          <w:color w:val="auto"/>
          <w:sz w:val="32"/>
          <w:szCs w:val="32"/>
          <w:lang w:val="en-US" w:eastAsia="zh-CN"/>
        </w:rPr>
        <w:t>121.55</w:t>
      </w:r>
      <w:r>
        <w:rPr>
          <w:rFonts w:hint="eastAsia" w:ascii="仿宋_GB2312" w:hAnsi="仿宋" w:eastAsia="仿宋_GB2312"/>
          <w:color w:val="auto"/>
          <w:sz w:val="32"/>
          <w:szCs w:val="32"/>
        </w:rPr>
        <w:t>万元,年末结转结余</w:t>
      </w:r>
      <w:r>
        <w:rPr>
          <w:rFonts w:hint="eastAsia" w:ascii="仿宋_GB2312" w:hAnsi="仿宋" w:eastAsia="仿宋_GB2312"/>
          <w:color w:val="auto"/>
          <w:sz w:val="32"/>
          <w:szCs w:val="32"/>
          <w:lang w:val="en-US" w:eastAsia="zh-CN"/>
        </w:rPr>
        <w:t>123.45</w:t>
      </w:r>
      <w:r>
        <w:rPr>
          <w:rFonts w:hint="eastAsia" w:ascii="仿宋_GB2312" w:hAnsi="仿宋" w:eastAsia="仿宋_GB2312"/>
          <w:color w:val="auto"/>
          <w:sz w:val="32"/>
          <w:szCs w:val="32"/>
        </w:rPr>
        <w:t>万元。</w:t>
      </w:r>
    </w:p>
    <w:p>
      <w:pPr>
        <w:widowControl/>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、现代农业发展专项</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2022年结转</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上年结转</w:t>
      </w:r>
      <w:r>
        <w:rPr>
          <w:rFonts w:hint="eastAsia" w:ascii="仿宋_GB2312" w:hAnsi="仿宋" w:eastAsia="仿宋_GB2312"/>
          <w:color w:val="auto"/>
          <w:sz w:val="32"/>
          <w:szCs w:val="32"/>
          <w:lang w:val="en-US" w:eastAsia="zh-CN"/>
        </w:rPr>
        <w:t>144.09万元，</w:t>
      </w:r>
      <w:r>
        <w:rPr>
          <w:rFonts w:hint="eastAsia" w:ascii="仿宋_GB2312" w:hAnsi="仿宋" w:eastAsia="仿宋_GB2312"/>
          <w:color w:val="auto"/>
          <w:sz w:val="32"/>
          <w:szCs w:val="32"/>
        </w:rPr>
        <w:t>年中追加预算</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万元,最终预算为</w:t>
      </w:r>
      <w:r>
        <w:rPr>
          <w:rFonts w:hint="eastAsia" w:ascii="仿宋_GB2312" w:hAnsi="仿宋" w:eastAsia="仿宋_GB2312"/>
          <w:color w:val="auto"/>
          <w:sz w:val="32"/>
          <w:szCs w:val="32"/>
          <w:lang w:val="en-US" w:eastAsia="zh-CN"/>
        </w:rPr>
        <w:t>144.09</w:t>
      </w:r>
      <w:r>
        <w:rPr>
          <w:rFonts w:hint="eastAsia" w:ascii="仿宋_GB2312" w:hAnsi="仿宋" w:eastAsia="仿宋_GB2312"/>
          <w:color w:val="auto"/>
          <w:sz w:val="32"/>
          <w:szCs w:val="32"/>
        </w:rPr>
        <w:t>万元。全年项目支出</w:t>
      </w:r>
      <w:r>
        <w:rPr>
          <w:rFonts w:hint="eastAsia" w:ascii="仿宋_GB2312" w:hAnsi="仿宋" w:eastAsia="仿宋_GB2312"/>
          <w:color w:val="auto"/>
          <w:sz w:val="32"/>
          <w:szCs w:val="32"/>
          <w:lang w:val="en-US" w:eastAsia="zh-CN"/>
        </w:rPr>
        <w:t>144.09</w:t>
      </w:r>
      <w:r>
        <w:rPr>
          <w:rFonts w:hint="eastAsia" w:ascii="仿宋_GB2312" w:hAnsi="仿宋" w:eastAsia="仿宋_GB2312"/>
          <w:color w:val="auto"/>
          <w:sz w:val="32"/>
          <w:szCs w:val="32"/>
        </w:rPr>
        <w:t>万元,年末结转结余</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w:t>
      </w:r>
    </w:p>
    <w:p>
      <w:pPr>
        <w:widowControl/>
        <w:spacing w:line="600" w:lineRule="exact"/>
        <w:ind w:firstLine="640" w:firstLineChars="200"/>
        <w:rPr>
          <w:rFonts w:hint="eastAsia" w:ascii="仿宋_GB2312" w:hAnsi="仿宋" w:eastAsia="仿宋_GB2312"/>
          <w:color w:val="auto"/>
          <w:sz w:val="32"/>
          <w:szCs w:val="32"/>
        </w:rPr>
      </w:pPr>
    </w:p>
    <w:p>
      <w:pPr>
        <w:widowControl/>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农业资源修复与利用（受污染耕地安全利用）</w:t>
      </w:r>
      <w:r>
        <w:rPr>
          <w:rFonts w:hint="eastAsia" w:ascii="仿宋_GB2312" w:hAnsi="仿宋" w:eastAsia="仿宋_GB2312"/>
          <w:color w:val="auto"/>
          <w:sz w:val="32"/>
          <w:szCs w:val="32"/>
        </w:rPr>
        <w:t>。年初预算</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万元,年中追加预算</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万元,最终预算为</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万元。全年项目支出</w:t>
      </w:r>
      <w:r>
        <w:rPr>
          <w:rFonts w:hint="eastAsia" w:ascii="仿宋_GB2312" w:hAnsi="仿宋" w:eastAsia="仿宋_GB2312"/>
          <w:color w:val="auto"/>
          <w:sz w:val="32"/>
          <w:szCs w:val="32"/>
          <w:lang w:val="en-US" w:eastAsia="zh-CN"/>
        </w:rPr>
        <w:t>0.32</w:t>
      </w:r>
      <w:r>
        <w:rPr>
          <w:rFonts w:hint="eastAsia" w:ascii="仿宋_GB2312" w:hAnsi="仿宋" w:eastAsia="仿宋_GB2312"/>
          <w:color w:val="auto"/>
          <w:sz w:val="32"/>
          <w:szCs w:val="32"/>
        </w:rPr>
        <w:t>万元,年末结转结余</w:t>
      </w:r>
      <w:r>
        <w:rPr>
          <w:rFonts w:hint="eastAsia" w:ascii="仿宋_GB2312" w:hAnsi="仿宋" w:eastAsia="仿宋_GB2312"/>
          <w:color w:val="auto"/>
          <w:sz w:val="32"/>
          <w:szCs w:val="32"/>
          <w:lang w:val="en-US" w:eastAsia="zh-CN"/>
        </w:rPr>
        <w:t>2.68</w:t>
      </w:r>
      <w:r>
        <w:rPr>
          <w:rFonts w:hint="eastAsia" w:ascii="仿宋_GB2312" w:hAnsi="仿宋" w:eastAsia="仿宋_GB2312"/>
          <w:color w:val="auto"/>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、农业生产保障服务体系能力建设提升（2022结转）。</w:t>
      </w:r>
      <w:r>
        <w:rPr>
          <w:rFonts w:hint="eastAsia" w:ascii="仿宋_GB2312" w:hAnsi="仿宋" w:eastAsia="仿宋_GB2312"/>
          <w:sz w:val="32"/>
          <w:szCs w:val="32"/>
          <w:lang w:eastAsia="zh-CN"/>
        </w:rPr>
        <w:t>上年结转</w:t>
      </w:r>
      <w:r>
        <w:rPr>
          <w:rFonts w:hint="eastAsia" w:ascii="仿宋_GB2312" w:hAnsi="仿宋" w:eastAsia="仿宋_GB2312"/>
          <w:sz w:val="32"/>
          <w:szCs w:val="32"/>
          <w:lang w:val="en-US" w:eastAsia="zh-CN"/>
        </w:rPr>
        <w:t>30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30</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30</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sz w:val="32"/>
          <w:szCs w:val="32"/>
          <w:lang w:val="en-US" w:eastAsia="zh-CN"/>
        </w:rPr>
        <w:t>5</w:t>
      </w:r>
      <w:r>
        <w:rPr>
          <w:rFonts w:hint="eastAsia" w:ascii="仿宋_GB2312" w:hAnsi="仿宋" w:eastAsia="仿宋_GB2312"/>
          <w:sz w:val="32"/>
          <w:szCs w:val="32"/>
        </w:rPr>
        <w:t>、</w:t>
      </w:r>
      <w:r>
        <w:rPr>
          <w:rFonts w:hint="eastAsia" w:ascii="仿宋_GB2312" w:hAnsi="仿宋" w:eastAsia="仿宋_GB2312"/>
          <w:color w:val="auto"/>
          <w:sz w:val="32"/>
          <w:szCs w:val="32"/>
        </w:rPr>
        <w:t>2023年省级动物防疫补助资金。年初预算</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万元,年中追加预算</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万元,最终预算为</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万元。全年项目支出</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rPr>
        <w:t>万元,年末结转结余</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w:t>
      </w:r>
    </w:p>
    <w:p>
      <w:pPr>
        <w:widowControl/>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、科技转化与推广服务专项</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中央基层农技推广体系改革与建设</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。科技转化与推广服务年初预算</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万元,年中追加预算</w:t>
      </w:r>
      <w:r>
        <w:rPr>
          <w:rFonts w:hint="eastAsia" w:ascii="仿宋_GB2312" w:hAnsi="仿宋" w:eastAsia="仿宋_GB2312"/>
          <w:color w:val="auto"/>
          <w:sz w:val="32"/>
          <w:szCs w:val="32"/>
          <w:lang w:val="en-US" w:eastAsia="zh-CN"/>
        </w:rPr>
        <w:t>20</w:t>
      </w:r>
      <w:r>
        <w:rPr>
          <w:rFonts w:hint="eastAsia" w:ascii="仿宋_GB2312" w:hAnsi="仿宋" w:eastAsia="仿宋_GB2312"/>
          <w:color w:val="auto"/>
          <w:sz w:val="32"/>
          <w:szCs w:val="32"/>
        </w:rPr>
        <w:t>万元,最终预算为</w:t>
      </w:r>
      <w:r>
        <w:rPr>
          <w:rFonts w:hint="eastAsia" w:ascii="仿宋_GB2312" w:hAnsi="仿宋" w:eastAsia="仿宋_GB2312"/>
          <w:color w:val="auto"/>
          <w:sz w:val="32"/>
          <w:szCs w:val="32"/>
          <w:lang w:val="en-US" w:eastAsia="zh-CN"/>
        </w:rPr>
        <w:t>20</w:t>
      </w:r>
      <w:r>
        <w:rPr>
          <w:rFonts w:hint="eastAsia" w:ascii="仿宋_GB2312" w:hAnsi="仿宋" w:eastAsia="仿宋_GB2312"/>
          <w:color w:val="auto"/>
          <w:sz w:val="32"/>
          <w:szCs w:val="32"/>
        </w:rPr>
        <w:t>万元。全年项目支出</w:t>
      </w:r>
      <w:r>
        <w:rPr>
          <w:rFonts w:hint="eastAsia" w:ascii="仿宋_GB2312" w:hAnsi="仿宋" w:eastAsia="仿宋_GB2312"/>
          <w:color w:val="auto"/>
          <w:sz w:val="32"/>
          <w:szCs w:val="32"/>
          <w:lang w:val="en-US" w:eastAsia="zh-CN"/>
        </w:rPr>
        <w:t>8.8</w:t>
      </w:r>
      <w:r>
        <w:rPr>
          <w:rFonts w:hint="eastAsia" w:ascii="仿宋_GB2312" w:hAnsi="仿宋" w:eastAsia="仿宋_GB2312"/>
          <w:color w:val="auto"/>
          <w:sz w:val="32"/>
          <w:szCs w:val="32"/>
        </w:rPr>
        <w:t>万元,年末结转结余</w:t>
      </w:r>
      <w:r>
        <w:rPr>
          <w:rFonts w:hint="eastAsia" w:ascii="仿宋_GB2312" w:hAnsi="仿宋" w:eastAsia="仿宋_GB2312"/>
          <w:color w:val="auto"/>
          <w:sz w:val="32"/>
          <w:szCs w:val="32"/>
          <w:lang w:val="en-US" w:eastAsia="zh-CN"/>
        </w:rPr>
        <w:t>11.2</w:t>
      </w:r>
      <w:r>
        <w:rPr>
          <w:rFonts w:hint="eastAsia" w:ascii="仿宋_GB2312" w:hAnsi="仿宋" w:eastAsia="仿宋_GB2312"/>
          <w:color w:val="auto"/>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、农业生产保障服务（省级）专项</w:t>
      </w:r>
      <w:r>
        <w:rPr>
          <w:rFonts w:hint="eastAsia" w:ascii="仿宋_GB2312" w:hAnsi="仿宋" w:eastAsia="仿宋_GB2312"/>
          <w:sz w:val="32"/>
          <w:szCs w:val="32"/>
        </w:rPr>
        <w:t>。农业生产保障服务（省级）上年结转</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500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500</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500</w:t>
      </w:r>
      <w:r>
        <w:rPr>
          <w:rFonts w:hint="eastAsia" w:ascii="仿宋_GB2312" w:hAnsi="仿宋" w:eastAsia="仿宋_GB2312"/>
          <w:sz w:val="32"/>
          <w:szCs w:val="32"/>
        </w:rPr>
        <w:t>万元。</w:t>
      </w:r>
    </w:p>
    <w:p>
      <w:pPr>
        <w:widowControl/>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8</w:t>
      </w:r>
      <w:r>
        <w:rPr>
          <w:rFonts w:hint="eastAsia" w:ascii="仿宋_GB2312" w:hAnsi="仿宋" w:eastAsia="仿宋_GB2312"/>
          <w:sz w:val="32"/>
          <w:szCs w:val="32"/>
        </w:rPr>
        <w:t>、</w:t>
      </w:r>
      <w:r>
        <w:rPr>
          <w:rFonts w:hint="eastAsia" w:ascii="仿宋_GB2312" w:hAnsi="仿宋" w:eastAsia="仿宋_GB2312"/>
          <w:color w:val="auto"/>
          <w:sz w:val="32"/>
          <w:szCs w:val="32"/>
        </w:rPr>
        <w:t>基层农技推广体系改革与建设项目（2022结转）</w:t>
      </w:r>
      <w:r>
        <w:rPr>
          <w:rFonts w:hint="eastAsia" w:ascii="仿宋_GB2312" w:hAnsi="仿宋" w:eastAsia="仿宋_GB2312"/>
          <w:sz w:val="32"/>
          <w:szCs w:val="32"/>
        </w:rPr>
        <w:t>。上年结转</w:t>
      </w:r>
      <w:r>
        <w:rPr>
          <w:rFonts w:hint="eastAsia" w:ascii="仿宋_GB2312" w:hAnsi="仿宋" w:eastAsia="仿宋_GB2312"/>
          <w:sz w:val="32"/>
          <w:szCs w:val="32"/>
          <w:lang w:val="en-US" w:eastAsia="zh-CN"/>
        </w:rPr>
        <w:t>4.077</w:t>
      </w:r>
      <w:r>
        <w:rPr>
          <w:rFonts w:hint="eastAsia" w:ascii="仿宋_GB2312" w:hAnsi="仿宋" w:eastAsia="仿宋_GB2312"/>
          <w:sz w:val="32"/>
          <w:szCs w:val="32"/>
        </w:rPr>
        <w:t>万元,年中追加预算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万元,最终预算为</w:t>
      </w:r>
      <w:r>
        <w:rPr>
          <w:rFonts w:hint="eastAsia" w:ascii="仿宋_GB2312" w:hAnsi="仿宋" w:eastAsia="仿宋_GB2312"/>
          <w:sz w:val="32"/>
          <w:szCs w:val="32"/>
          <w:lang w:val="en-US" w:eastAsia="zh-CN"/>
        </w:rPr>
        <w:t>4.077</w:t>
      </w:r>
      <w:r>
        <w:rPr>
          <w:rFonts w:hint="eastAsia" w:ascii="仿宋_GB2312" w:hAnsi="仿宋" w:eastAsia="仿宋_GB2312"/>
          <w:sz w:val="32"/>
          <w:szCs w:val="32"/>
        </w:rPr>
        <w:t>万元。全年项目支出</w:t>
      </w:r>
      <w:r>
        <w:rPr>
          <w:rFonts w:hint="eastAsia" w:ascii="仿宋_GB2312" w:hAnsi="仿宋" w:eastAsia="仿宋_GB2312"/>
          <w:sz w:val="32"/>
          <w:szCs w:val="32"/>
          <w:lang w:val="en-US" w:eastAsia="zh-CN"/>
        </w:rPr>
        <w:t>4.077</w:t>
      </w:r>
      <w:r>
        <w:rPr>
          <w:rFonts w:hint="eastAsia" w:ascii="仿宋_GB2312" w:hAnsi="仿宋" w:eastAsia="仿宋_GB2312"/>
          <w:sz w:val="32"/>
          <w:szCs w:val="32"/>
        </w:rPr>
        <w:t>万元,年末结转结余</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widowControl/>
        <w:spacing w:line="600" w:lineRule="exact"/>
        <w:ind w:firstLine="640" w:firstLineChars="200"/>
        <w:jc w:val="left"/>
        <w:rPr>
          <w:rFonts w:hint="eastAsia" w:ascii="Times New Roman" w:hAnsi="Times New Roman" w:eastAsia="黑体"/>
          <w:sz w:val="32"/>
          <w:szCs w:val="32"/>
        </w:rPr>
      </w:pPr>
      <w:r>
        <w:rPr>
          <w:rFonts w:hint="eastAsia" w:ascii="Times New Roman" w:hAnsi="Times New Roman" w:eastAsia="黑体"/>
          <w:sz w:val="32"/>
          <w:szCs w:val="32"/>
          <w:lang w:eastAsia="zh-CN"/>
        </w:rPr>
        <w:t>三</w:t>
      </w:r>
      <w:r>
        <w:rPr>
          <w:rFonts w:hint="eastAsia" w:ascii="Times New Roman" w:hAnsi="Times New Roman" w:eastAsia="黑体"/>
          <w:sz w:val="32"/>
          <w:szCs w:val="32"/>
        </w:rPr>
        <w:t>、部门整体支出绩效情况</w:t>
      </w:r>
    </w:p>
    <w:p>
      <w:pPr>
        <w:pStyle w:val="15"/>
        <w:spacing w:line="600" w:lineRule="exact"/>
        <w:ind w:firstLine="640" w:firstLineChars="200"/>
        <w:rPr>
          <w:rFonts w:ascii="Times New Roman" w:hAnsi="Times New Roman" w:eastAsia="仿宋_GB2312"/>
          <w:color w:val="auto"/>
          <w:sz w:val="32"/>
          <w:szCs w:val="32"/>
        </w:rPr>
      </w:pPr>
      <w:bookmarkStart w:id="20" w:name="OLE_LINK13"/>
      <w:r>
        <w:rPr>
          <w:rFonts w:hint="eastAsia" w:ascii="Times New Roman" w:hAnsi="Times New Roman" w:eastAsia="仿宋_GB2312"/>
          <w:color w:val="auto"/>
          <w:sz w:val="32"/>
          <w:szCs w:val="32"/>
        </w:rPr>
        <w:t>1、运行成本</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全年预算数</w:t>
      </w:r>
      <w:r>
        <w:rPr>
          <w:rFonts w:hint="eastAsia" w:ascii="Times New Roman" w:hAnsi="Times New Roman" w:eastAsia="仿宋_GB2312"/>
          <w:color w:val="auto"/>
          <w:sz w:val="32"/>
          <w:szCs w:val="32"/>
          <w:lang w:val="en-US" w:eastAsia="zh-CN"/>
        </w:rPr>
        <w:t>8494.12</w:t>
      </w:r>
      <w:r>
        <w:rPr>
          <w:rFonts w:hint="eastAsia" w:ascii="Times New Roman" w:hAnsi="Times New Roman" w:eastAsia="仿宋_GB2312"/>
          <w:color w:val="auto"/>
          <w:sz w:val="32"/>
          <w:szCs w:val="32"/>
        </w:rPr>
        <w:t>万元，决算数624</w:t>
      </w:r>
      <w:r>
        <w:rPr>
          <w:rFonts w:hint="eastAsia" w:ascii="Times New Roman" w:hAnsi="Times New Roman" w:eastAsia="仿宋_GB2312"/>
          <w:color w:val="auto"/>
          <w:sz w:val="32"/>
          <w:szCs w:val="32"/>
          <w:lang w:val="en-US" w:eastAsia="zh-CN"/>
        </w:rPr>
        <w:t>9.09</w:t>
      </w:r>
      <w:r>
        <w:rPr>
          <w:rFonts w:hint="eastAsia" w:ascii="Times New Roman" w:hAnsi="Times New Roman" w:eastAsia="仿宋_GB2312"/>
          <w:color w:val="auto"/>
          <w:sz w:val="32"/>
          <w:szCs w:val="32"/>
        </w:rPr>
        <w:t>万元，执行率7</w:t>
      </w:r>
      <w:r>
        <w:rPr>
          <w:rFonts w:hint="eastAsia" w:ascii="Times New Roman" w:hAnsi="Times New Roman" w:eastAsia="仿宋_GB2312"/>
          <w:color w:val="auto"/>
          <w:sz w:val="32"/>
          <w:szCs w:val="32"/>
          <w:lang w:val="en-US" w:eastAsia="zh-CN"/>
        </w:rPr>
        <w:t>3.57</w:t>
      </w:r>
      <w:r>
        <w:rPr>
          <w:rFonts w:hint="eastAsia" w:ascii="Times New Roman" w:hAnsi="Times New Roman" w:eastAsia="仿宋_GB2312"/>
          <w:color w:val="auto"/>
          <w:sz w:val="32"/>
          <w:szCs w:val="32"/>
        </w:rPr>
        <w:t>%，我单位全年整体预算执行率良好。</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人员经费预算数4</w:t>
      </w:r>
      <w:r>
        <w:rPr>
          <w:rFonts w:hint="eastAsia" w:ascii="Times New Roman" w:hAnsi="Times New Roman" w:eastAsia="仿宋_GB2312"/>
          <w:color w:val="auto"/>
          <w:sz w:val="32"/>
          <w:szCs w:val="32"/>
          <w:lang w:val="en-US" w:eastAsia="zh-CN"/>
        </w:rPr>
        <w:t>788.16</w:t>
      </w:r>
      <w:r>
        <w:rPr>
          <w:rFonts w:hint="eastAsia" w:ascii="Times New Roman" w:hAnsi="Times New Roman" w:eastAsia="仿宋_GB2312"/>
          <w:color w:val="auto"/>
          <w:sz w:val="32"/>
          <w:szCs w:val="32"/>
        </w:rPr>
        <w:t>万元，决算数4</w:t>
      </w:r>
      <w:r>
        <w:rPr>
          <w:rFonts w:hint="eastAsia" w:ascii="Times New Roman" w:hAnsi="Times New Roman" w:eastAsia="仿宋_GB2312"/>
          <w:color w:val="auto"/>
          <w:sz w:val="32"/>
          <w:szCs w:val="32"/>
          <w:lang w:val="en-US" w:eastAsia="zh-CN"/>
        </w:rPr>
        <w:t>788.16</w:t>
      </w:r>
      <w:r>
        <w:rPr>
          <w:rFonts w:hint="eastAsia" w:ascii="Times New Roman" w:hAnsi="Times New Roman" w:eastAsia="仿宋_GB2312"/>
          <w:color w:val="auto"/>
          <w:sz w:val="32"/>
          <w:szCs w:val="32"/>
        </w:rPr>
        <w:t>万元，公用经费数3</w:t>
      </w:r>
      <w:r>
        <w:rPr>
          <w:rFonts w:hint="eastAsia" w:ascii="Times New Roman" w:hAnsi="Times New Roman" w:eastAsia="仿宋_GB2312"/>
          <w:color w:val="auto"/>
          <w:sz w:val="32"/>
          <w:szCs w:val="32"/>
          <w:lang w:val="en-US" w:eastAsia="zh-CN"/>
        </w:rPr>
        <w:t>07.02</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307.02</w:t>
      </w:r>
      <w:r>
        <w:rPr>
          <w:rFonts w:hint="eastAsia" w:ascii="Times New Roman" w:hAnsi="Times New Roman" w:eastAsia="仿宋_GB2312"/>
          <w:color w:val="auto"/>
          <w:sz w:val="32"/>
          <w:szCs w:val="32"/>
        </w:rPr>
        <w:t>万元，均控制在预算范围内。</w:t>
      </w:r>
    </w:p>
    <w:p>
      <w:pPr>
        <w:pStyle w:val="15"/>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.00万元，支出决算为1</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控</w:t>
      </w:r>
      <w:r>
        <w:rPr>
          <w:rFonts w:hint="eastAsia" w:ascii="Times New Roman" w:hAnsi="Times New Roman" w:eastAsia="仿宋_GB2312"/>
          <w:color w:val="auto"/>
          <w:sz w:val="32"/>
          <w:szCs w:val="32"/>
        </w:rPr>
        <w:t>制在预算范围内。</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管理效率</w:t>
      </w:r>
    </w:p>
    <w:p>
      <w:pPr>
        <w:pStyle w:val="23"/>
        <w:keepNext w:val="0"/>
        <w:keepLines w:val="0"/>
        <w:pageBreakBefore w:val="0"/>
        <w:widowControl w:val="0"/>
        <w:kinsoku/>
        <w:wordWrap w:val="0"/>
        <w:overflowPunct w:val="0"/>
        <w:topLinePunct w:val="0"/>
        <w:autoSpaceDE/>
        <w:autoSpaceDN w:val="0"/>
        <w:bidi w:val="0"/>
        <w:adjustRightInd w:val="0"/>
        <w:snapToGrid w:val="0"/>
        <w:spacing w:line="550" w:lineRule="exact"/>
        <w:ind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一是</w:t>
      </w:r>
      <w:r>
        <w:rPr>
          <w:rFonts w:hint="eastAsia" w:ascii="仿宋" w:hAnsi="仿宋" w:eastAsia="仿宋" w:cs="仿宋"/>
          <w:b/>
          <w:bCs/>
          <w:color w:val="auto"/>
          <w:spacing w:val="0"/>
          <w:sz w:val="32"/>
          <w:szCs w:val="32"/>
          <w:lang w:val="en-US" w:eastAsia="zh-CN"/>
        </w:rPr>
        <w:t>扎实开展学习贯彻习近平新时代中国特色社会主义思想主题教育。</w:t>
      </w:r>
      <w:r>
        <w:rPr>
          <w:rFonts w:hint="eastAsia" w:ascii="仿宋" w:hAnsi="仿宋" w:eastAsia="仿宋" w:cs="仿宋"/>
          <w:b w:val="0"/>
          <w:bCs w:val="0"/>
          <w:color w:val="auto"/>
          <w:spacing w:val="0"/>
          <w:sz w:val="32"/>
          <w:szCs w:val="32"/>
          <w:lang w:val="en-US" w:eastAsia="zh-CN"/>
        </w:rPr>
        <w:t>开展理论学习13次，研讨交流4次，党委中心组学习9次，党员集中学习教育2次，讲党课18人次；开展调查研究12次，形成调研报告3个，解决问题5个。切实做到学思想、强党性、重实践、建新功。</w:t>
      </w:r>
      <w:r>
        <w:rPr>
          <w:rFonts w:hint="eastAsia" w:ascii="仿宋" w:hAnsi="仿宋" w:eastAsia="仿宋" w:cs="仿宋"/>
          <w:b/>
          <w:bCs/>
          <w:color w:val="auto"/>
          <w:sz w:val="32"/>
          <w:szCs w:val="32"/>
          <w:lang w:val="en-US" w:eastAsia="zh-CN"/>
        </w:rPr>
        <w:t>二是</w:t>
      </w:r>
      <w:r>
        <w:rPr>
          <w:rFonts w:hint="eastAsia" w:ascii="仿宋" w:hAnsi="仿宋" w:eastAsia="仿宋" w:cs="仿宋"/>
          <w:b/>
          <w:bCs/>
          <w:color w:val="auto"/>
          <w:spacing w:val="0"/>
          <w:sz w:val="32"/>
          <w:szCs w:val="32"/>
          <w:lang w:val="en-US" w:eastAsia="zh-CN"/>
        </w:rPr>
        <w:t>狠抓党建品牌培育。</w:t>
      </w:r>
      <w:r>
        <w:rPr>
          <w:rFonts w:hint="eastAsia" w:ascii="仿宋" w:hAnsi="仿宋" w:eastAsia="仿宋" w:cs="仿宋"/>
          <w:b w:val="0"/>
          <w:bCs w:val="0"/>
          <w:color w:val="auto"/>
          <w:spacing w:val="0"/>
          <w:sz w:val="32"/>
          <w:szCs w:val="32"/>
          <w:lang w:val="en-US" w:eastAsia="zh-CN"/>
        </w:rPr>
        <w:t>今年来，各党总支（支）部以产业发展、和美湘村建设、为民服务等为重点内容，党员积分管理为抓手，常态化活动为载体，积极做好农村基层党建品牌建设，成效显著。乐兴分场党总支部被常德市直工委评为“先进基层党组织”。</w:t>
      </w:r>
      <w:r>
        <w:rPr>
          <w:rFonts w:hint="eastAsia" w:ascii="仿宋" w:hAnsi="仿宋" w:eastAsia="仿宋" w:cs="仿宋"/>
          <w:b/>
          <w:bCs/>
          <w:color w:val="auto"/>
          <w:sz w:val="32"/>
          <w:szCs w:val="32"/>
          <w:lang w:val="en-US" w:eastAsia="zh-CN"/>
        </w:rPr>
        <w:t>三是</w:t>
      </w:r>
      <w:r>
        <w:rPr>
          <w:rFonts w:hint="eastAsia" w:ascii="仿宋" w:hAnsi="仿宋" w:eastAsia="仿宋" w:cs="仿宋"/>
          <w:b/>
          <w:bCs/>
          <w:color w:val="auto"/>
          <w:spacing w:val="0"/>
          <w:sz w:val="32"/>
          <w:szCs w:val="32"/>
          <w:lang w:val="en-US" w:eastAsia="zh-CN"/>
        </w:rPr>
        <w:t>抓好清廉建设。</w:t>
      </w:r>
      <w:r>
        <w:rPr>
          <w:rFonts w:hint="eastAsia" w:ascii="仿宋" w:hAnsi="仿宋" w:eastAsia="仿宋" w:cs="仿宋"/>
          <w:b w:val="0"/>
          <w:bCs w:val="0"/>
          <w:color w:val="auto"/>
          <w:spacing w:val="0"/>
          <w:sz w:val="32"/>
          <w:szCs w:val="32"/>
          <w:lang w:val="en-US" w:eastAsia="zh-CN"/>
        </w:rPr>
        <w:t>严格落实“一岗双责”，深入展开“三湘”护农、“三资”清查、集中育秧差旅费自查自纠、“两带头五整治”纠风防腐专项行动，认真落实“以案促改”，扎实贯彻落实中央八项规定精神及实施细则，确保全场风清气正。</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履职效能</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一是智慧农业显作为。开展了数字水稻农药减量增效和节肥技术试验、优质水稻新品种筛选试验、农机装备智能化示范；建成了浸种、播种、催芽、育苗全程自动化，光照、温度、湿度控制智能化的智能育秧工厂；探索开展开展了“早专晚优”、“头季+再生”、“高档优质一季稻”水稻种植模式及“稻+油”“稻+紫云英”生产模式的科研示范，收集对比分析种植数据、成本投入、生产效益、生态效益。</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二是种业科研有突破。两用不育系家65S通过审定；两个品种进入预备试验，两个品种进入区域试验，有望通过审定；进行了高低温适应性鉴定、示范品比等水稻区试专项试验21个，鉴定参试品种共1124个。</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 xml:space="preserve">三是产业发展有起色。全场农业科技人员对经营主体、生产大户等开展“一对一”全程农技帮扶，促进再生稻、哈密香瓜、“稻鳖”“稻虾”等一批特色种植种养农业产业呈现良好发展势头，带动职工群众增产增收。 </w:t>
      </w:r>
    </w:p>
    <w:p>
      <w:pPr>
        <w:widowControl/>
        <w:spacing w:line="600" w:lineRule="exact"/>
        <w:ind w:firstLine="640" w:firstLineChars="200"/>
        <w:jc w:val="left"/>
        <w:rPr>
          <w:rFonts w:ascii="仿宋_GB2312" w:hAnsi="仿宋" w:eastAsia="仿宋_GB2312"/>
          <w:color w:val="auto"/>
          <w:sz w:val="32"/>
          <w:szCs w:val="32"/>
        </w:rPr>
      </w:pPr>
      <w:r>
        <w:rPr>
          <w:rFonts w:hint="eastAsia" w:ascii="仿宋_GB2312" w:hAnsi="仿宋" w:eastAsia="仿宋_GB2312"/>
          <w:color w:val="auto"/>
          <w:sz w:val="32"/>
          <w:szCs w:val="32"/>
        </w:rPr>
        <w:t xml:space="preserve"> 四是和美乡村有亮点。马龙片区突出以党建为引领，广泛宣传、因地制宜，先行先试探索积分管理制，晒出文明账单，一月一评比，“共建、共管、共享”的机制初步形成。</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社会效应</w:t>
      </w:r>
    </w:p>
    <w:p>
      <w:pPr>
        <w:pStyle w:val="4"/>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50" w:lineRule="exact"/>
        <w:ind w:right="0" w:rightChars="0" w:firstLine="640" w:firstLineChars="200"/>
        <w:jc w:val="both"/>
        <w:textAlignment w:val="auto"/>
        <w:outlineLvl w:val="0"/>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bCs/>
          <w:color w:val="auto"/>
          <w:sz w:val="32"/>
          <w:szCs w:val="32"/>
          <w:lang w:val="en-US" w:eastAsia="zh-CN"/>
        </w:rPr>
        <w:t>一是持续做优做强特色主导产业。</w:t>
      </w:r>
      <w:r>
        <w:rPr>
          <w:rFonts w:hint="eastAsia" w:ascii="仿宋" w:hAnsi="仿宋" w:eastAsia="仿宋" w:cs="仿宋"/>
          <w:b w:val="0"/>
          <w:bCs w:val="0"/>
          <w:color w:val="auto"/>
          <w:sz w:val="32"/>
          <w:szCs w:val="32"/>
          <w:lang w:val="en-US" w:eastAsia="zh-CN"/>
        </w:rPr>
        <w:t>走实走深农业技术服务，着力解决稻鳖、稻虾、瓜果等主导产业的生产技术难题，成效明显。全年开展高素质农民培训2期、农业技术培训3次，现场“一对一”技术服务指导20余次，培训指导200余人次。建设农产品电商公共平台，解决农产品“卖”难问题，提升</w:t>
      </w:r>
      <w:r>
        <w:rPr>
          <w:rFonts w:hint="eastAsia" w:ascii="仿宋" w:hAnsi="仿宋" w:eastAsia="仿宋" w:cs="仿宋"/>
          <w:b w:val="0"/>
          <w:bCs/>
          <w:color w:val="auto"/>
          <w:sz w:val="32"/>
          <w:szCs w:val="32"/>
        </w:rPr>
        <w:t>农业产业效</w:t>
      </w:r>
      <w:r>
        <w:rPr>
          <w:rFonts w:hint="eastAsia" w:ascii="仿宋" w:hAnsi="仿宋" w:eastAsia="仿宋" w:cs="仿宋"/>
          <w:b w:val="0"/>
          <w:bCs/>
          <w:color w:val="auto"/>
          <w:sz w:val="32"/>
          <w:szCs w:val="32"/>
          <w:lang w:val="en-US" w:eastAsia="zh-CN"/>
        </w:rPr>
        <w:t>益，得到职工群众普遍欢迎</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color w:val="auto"/>
          <w:sz w:val="32"/>
          <w:szCs w:val="32"/>
          <w:lang w:val="en-US" w:eastAsia="zh-CN"/>
        </w:rPr>
        <w:t>我场今年中华鳖种苗产业近亿元，健康水产养殖、再生稻、柑橘、优质瓜果等四个产业超千万元。</w:t>
      </w:r>
      <w:r>
        <w:rPr>
          <w:rFonts w:hint="eastAsia" w:ascii="仿宋" w:hAnsi="仿宋" w:eastAsia="仿宋" w:cs="仿宋"/>
          <w:b/>
          <w:bCs/>
          <w:color w:val="auto"/>
          <w:sz w:val="32"/>
          <w:szCs w:val="32"/>
          <w:lang w:val="en-US" w:eastAsia="zh-CN"/>
        </w:rPr>
        <w:t>二是</w:t>
      </w:r>
      <w:r>
        <w:rPr>
          <w:rFonts w:hint="eastAsia" w:ascii="楷体" w:hAnsi="楷体" w:eastAsia="楷体" w:cs="楷体"/>
          <w:b/>
          <w:bCs/>
          <w:color w:val="auto"/>
          <w:spacing w:val="0"/>
          <w:sz w:val="32"/>
          <w:szCs w:val="32"/>
          <w:lang w:val="en-US" w:eastAsia="zh-CN"/>
        </w:rPr>
        <w:t>认真开展人居环境整治。</w:t>
      </w:r>
      <w:r>
        <w:rPr>
          <w:rFonts w:hint="eastAsia" w:ascii="仿宋" w:hAnsi="仿宋" w:eastAsia="仿宋" w:cs="仿宋"/>
          <w:b w:val="0"/>
          <w:bCs w:val="0"/>
          <w:color w:val="auto"/>
          <w:spacing w:val="0"/>
          <w:sz w:val="32"/>
          <w:szCs w:val="32"/>
          <w:lang w:val="en-US" w:eastAsia="zh-CN"/>
        </w:rPr>
        <w:t>开展“三好三差”队（社区）评选，</w:t>
      </w:r>
      <w:r>
        <w:rPr>
          <w:rFonts w:hint="eastAsia" w:ascii="仿宋" w:hAnsi="仿宋" w:eastAsia="仿宋" w:cs="仿宋"/>
          <w:b w:val="0"/>
          <w:bCs/>
          <w:color w:val="auto"/>
          <w:kern w:val="24"/>
          <w:sz w:val="32"/>
          <w:szCs w:val="32"/>
          <w:lang w:val="en-US" w:eastAsia="zh-CN"/>
        </w:rPr>
        <w:t>突出典型引领，</w:t>
      </w:r>
      <w:r>
        <w:rPr>
          <w:rFonts w:hint="eastAsia" w:ascii="仿宋" w:hAnsi="仿宋" w:eastAsia="仿宋" w:cs="仿宋"/>
          <w:b w:val="0"/>
          <w:bCs/>
          <w:color w:val="auto"/>
          <w:sz w:val="32"/>
          <w:szCs w:val="32"/>
          <w:lang w:val="en-US" w:eastAsia="zh-CN" w:bidi="ar"/>
        </w:rPr>
        <w:t>广泛</w:t>
      </w:r>
      <w:r>
        <w:rPr>
          <w:rFonts w:hint="eastAsia" w:ascii="仿宋" w:hAnsi="仿宋" w:eastAsia="仿宋" w:cs="仿宋"/>
          <w:b w:val="0"/>
          <w:bCs/>
          <w:color w:val="auto"/>
          <w:sz w:val="32"/>
          <w:szCs w:val="32"/>
          <w:lang w:val="en-US" w:eastAsia="zh-CN"/>
        </w:rPr>
        <w:t>展开沿堤沿路沿沟环境卫生整治和</w:t>
      </w:r>
      <w:r>
        <w:rPr>
          <w:rFonts w:hint="eastAsia" w:ascii="仿宋" w:hAnsi="仿宋" w:eastAsia="仿宋" w:cs="仿宋"/>
          <w:b w:val="0"/>
          <w:bCs/>
          <w:color w:val="auto"/>
          <w:sz w:val="32"/>
          <w:szCs w:val="32"/>
        </w:rPr>
        <w:t>绿化行动，</w:t>
      </w:r>
      <w:r>
        <w:rPr>
          <w:rFonts w:hint="eastAsia" w:ascii="仿宋" w:hAnsi="仿宋" w:eastAsia="仿宋" w:cs="仿宋"/>
          <w:b w:val="0"/>
          <w:bCs/>
          <w:color w:val="auto"/>
          <w:kern w:val="24"/>
          <w:sz w:val="32"/>
          <w:szCs w:val="32"/>
          <w:lang w:val="en-US" w:eastAsia="zh-CN"/>
        </w:rPr>
        <w:t>治理农业面源污染，</w:t>
      </w:r>
      <w:r>
        <w:rPr>
          <w:rFonts w:hint="eastAsia" w:ascii="仿宋" w:hAnsi="仿宋" w:eastAsia="仿宋" w:cs="仿宋"/>
          <w:b w:val="0"/>
          <w:bCs/>
          <w:color w:val="auto"/>
          <w:kern w:val="2"/>
          <w:sz w:val="32"/>
          <w:szCs w:val="32"/>
        </w:rPr>
        <w:t>构建</w:t>
      </w:r>
      <w:r>
        <w:rPr>
          <w:rFonts w:hint="eastAsia" w:ascii="仿宋" w:hAnsi="仿宋" w:eastAsia="仿宋" w:cs="仿宋"/>
          <w:b w:val="0"/>
          <w:bCs/>
          <w:color w:val="auto"/>
          <w:kern w:val="2"/>
          <w:sz w:val="32"/>
          <w:szCs w:val="32"/>
          <w:lang w:val="en-US" w:eastAsia="zh-CN"/>
        </w:rPr>
        <w:t>良好的</w:t>
      </w:r>
      <w:r>
        <w:rPr>
          <w:rFonts w:hint="eastAsia" w:ascii="仿宋" w:hAnsi="仿宋" w:eastAsia="仿宋" w:cs="仿宋"/>
          <w:b w:val="0"/>
          <w:bCs/>
          <w:color w:val="auto"/>
          <w:kern w:val="2"/>
          <w:sz w:val="32"/>
          <w:szCs w:val="32"/>
        </w:rPr>
        <w:t>生态景观、农事景观和田园风光，</w:t>
      </w:r>
      <w:r>
        <w:rPr>
          <w:rFonts w:hint="eastAsia" w:ascii="仿宋" w:hAnsi="仿宋" w:eastAsia="仿宋" w:cs="仿宋"/>
          <w:b w:val="0"/>
          <w:bCs/>
          <w:color w:val="auto"/>
          <w:sz w:val="32"/>
          <w:szCs w:val="32"/>
          <w:lang w:val="en-US" w:eastAsia="zh-CN" w:bidi="ar"/>
        </w:rPr>
        <w:t>打造具有洞庭水乡独特韵味的“和美湘村”。</w:t>
      </w:r>
      <w:r>
        <w:rPr>
          <w:rFonts w:hint="eastAsia" w:ascii="仿宋" w:hAnsi="仿宋" w:eastAsia="仿宋" w:cs="仿宋"/>
          <w:b/>
          <w:bCs/>
          <w:color w:val="auto"/>
          <w:kern w:val="24"/>
          <w:sz w:val="32"/>
          <w:szCs w:val="32"/>
          <w:lang w:val="en-US" w:eastAsia="zh-CN"/>
        </w:rPr>
        <w:t>三是</w:t>
      </w:r>
      <w:r>
        <w:rPr>
          <w:rFonts w:hint="eastAsia" w:ascii="仿宋" w:hAnsi="仿宋" w:eastAsia="仿宋" w:cs="仿宋"/>
          <w:b/>
          <w:bCs/>
          <w:color w:val="auto"/>
          <w:sz w:val="32"/>
          <w:szCs w:val="32"/>
          <w:lang w:val="en-US" w:eastAsia="zh-CN"/>
        </w:rPr>
        <w:t>积极创新农村治理体系。</w:t>
      </w:r>
      <w:r>
        <w:rPr>
          <w:rFonts w:hint="eastAsia" w:ascii="仿宋" w:hAnsi="仿宋" w:eastAsia="仿宋" w:cs="仿宋"/>
          <w:b w:val="0"/>
          <w:bCs/>
          <w:color w:val="auto"/>
          <w:sz w:val="32"/>
          <w:szCs w:val="32"/>
          <w:lang w:val="en-US" w:eastAsia="zh-CN"/>
        </w:rPr>
        <w:t>大力弘扬和践行社会主义核心价值观，</w:t>
      </w:r>
      <w:r>
        <w:rPr>
          <w:rFonts w:hint="eastAsia" w:ascii="仿宋" w:hAnsi="仿宋" w:eastAsia="仿宋" w:cs="仿宋"/>
          <w:b w:val="0"/>
          <w:bCs/>
          <w:color w:val="auto"/>
          <w:sz w:val="32"/>
          <w:szCs w:val="32"/>
        </w:rPr>
        <w:t>深入开展爱国主义教育，</w:t>
      </w:r>
      <w:r>
        <w:rPr>
          <w:rFonts w:hint="eastAsia" w:ascii="仿宋" w:hAnsi="仿宋" w:eastAsia="仿宋" w:cs="仿宋"/>
          <w:b w:val="0"/>
          <w:bCs/>
          <w:color w:val="auto"/>
          <w:sz w:val="32"/>
          <w:szCs w:val="32"/>
          <w:lang w:val="en-US" w:eastAsia="zh-CN"/>
        </w:rPr>
        <w:t>培育</w:t>
      </w:r>
      <w:r>
        <w:rPr>
          <w:rFonts w:hint="eastAsia" w:ascii="仿宋" w:hAnsi="仿宋" w:eastAsia="仿宋" w:cs="仿宋"/>
          <w:b w:val="0"/>
          <w:bCs/>
          <w:color w:val="auto"/>
          <w:sz w:val="32"/>
          <w:szCs w:val="32"/>
        </w:rPr>
        <w:t>新时代文明</w:t>
      </w:r>
      <w:r>
        <w:rPr>
          <w:rFonts w:hint="eastAsia" w:ascii="仿宋" w:hAnsi="仿宋" w:eastAsia="仿宋" w:cs="仿宋"/>
          <w:b w:val="0"/>
          <w:bCs/>
          <w:color w:val="auto"/>
          <w:sz w:val="32"/>
          <w:szCs w:val="32"/>
          <w:lang w:val="en-US" w:eastAsia="zh-CN"/>
        </w:rPr>
        <w:t>新</w:t>
      </w:r>
      <w:r>
        <w:rPr>
          <w:rFonts w:hint="eastAsia" w:ascii="仿宋" w:hAnsi="仿宋" w:eastAsia="仿宋" w:cs="仿宋"/>
          <w:b w:val="0"/>
          <w:bCs/>
          <w:color w:val="auto"/>
          <w:sz w:val="32"/>
          <w:szCs w:val="32"/>
        </w:rPr>
        <w:t>风尚</w:t>
      </w:r>
      <w:r>
        <w:rPr>
          <w:rFonts w:hint="eastAsia" w:ascii="仿宋" w:hAnsi="仿宋" w:eastAsia="仿宋" w:cs="仿宋"/>
          <w:b w:val="0"/>
          <w:bCs/>
          <w:color w:val="auto"/>
          <w:sz w:val="32"/>
          <w:szCs w:val="32"/>
          <w:lang w:val="en-US" w:eastAsia="zh-CN"/>
        </w:rPr>
        <w:t>。着力</w:t>
      </w:r>
      <w:r>
        <w:rPr>
          <w:rFonts w:hint="eastAsia" w:ascii="仿宋" w:hAnsi="仿宋" w:eastAsia="仿宋" w:cs="仿宋"/>
          <w:b w:val="0"/>
          <w:bCs/>
          <w:color w:val="auto"/>
          <w:spacing w:val="0"/>
          <w:sz w:val="32"/>
          <w:szCs w:val="32"/>
          <w:lang w:val="en-US" w:eastAsia="zh-CN"/>
        </w:rPr>
        <w:t>构建以积分管理为平台，环境卫生、文明乡风、社会稳定等评比为抓手、职工群众广泛参与为重点的自治、法治、德治相结合的治理体系。</w:t>
      </w:r>
    </w:p>
    <w:p>
      <w:pPr>
        <w:pStyle w:val="15"/>
        <w:numPr>
          <w:ilvl w:val="0"/>
          <w:numId w:val="0"/>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可持续发展能力</w:t>
      </w:r>
    </w:p>
    <w:p>
      <w:pPr>
        <w:pStyle w:val="5"/>
        <w:keepNext w:val="0"/>
        <w:keepLines w:val="0"/>
        <w:pageBreakBefore w:val="0"/>
        <w:widowControl w:val="0"/>
        <w:kinsoku/>
        <w:wordWrap/>
        <w:overflowPunct/>
        <w:topLinePunct w:val="0"/>
        <w:autoSpaceDE/>
        <w:bidi w:val="0"/>
        <w:snapToGrid/>
        <w:spacing w:line="550" w:lineRule="exact"/>
        <w:ind w:firstLine="640" w:firstLineChars="200"/>
        <w:textAlignment w:val="auto"/>
        <w:rPr>
          <w:rFonts w:hint="eastAsia" w:ascii="仿宋" w:hAnsi="仿宋" w:eastAsia="仿宋" w:cs="仿宋"/>
          <w:b w:val="0"/>
          <w:bCs w:val="0"/>
          <w:i w:val="0"/>
          <w:iCs w:val="0"/>
          <w:color w:val="auto"/>
          <w:sz w:val="32"/>
          <w:szCs w:val="32"/>
          <w:shd w:val="clear" w:color="auto" w:fill="auto"/>
        </w:rPr>
      </w:pPr>
      <w:r>
        <w:rPr>
          <w:rFonts w:hint="eastAsia" w:ascii="仿宋" w:hAnsi="仿宋" w:eastAsia="仿宋" w:cs="仿宋"/>
          <w:b/>
          <w:bCs/>
          <w:i w:val="0"/>
          <w:iCs w:val="0"/>
          <w:color w:val="auto"/>
          <w:sz w:val="32"/>
          <w:szCs w:val="32"/>
          <w:shd w:val="clear" w:color="auto" w:fill="auto"/>
        </w:rPr>
        <w:t>一是</w:t>
      </w:r>
      <w:r>
        <w:rPr>
          <w:rFonts w:hint="eastAsia" w:cs="仿宋"/>
          <w:b w:val="0"/>
          <w:bCs w:val="0"/>
          <w:i w:val="0"/>
          <w:iCs w:val="0"/>
          <w:color w:val="auto"/>
          <w:sz w:val="32"/>
          <w:szCs w:val="32"/>
          <w:shd w:val="clear" w:color="auto" w:fill="auto"/>
          <w:lang w:val="en-US" w:eastAsia="zh-CN"/>
        </w:rPr>
        <w:t>认真落实</w:t>
      </w:r>
      <w:r>
        <w:rPr>
          <w:rFonts w:hint="eastAsia" w:ascii="仿宋" w:hAnsi="仿宋" w:eastAsia="仿宋" w:cs="仿宋"/>
          <w:b w:val="0"/>
          <w:bCs w:val="0"/>
          <w:i w:val="0"/>
          <w:iCs w:val="0"/>
          <w:color w:val="auto"/>
          <w:sz w:val="32"/>
          <w:szCs w:val="32"/>
          <w:shd w:val="clear" w:color="auto" w:fill="auto"/>
        </w:rPr>
        <w:t>国家南方稻区和湖南省水稻新品种区域试验、高低温适应性鉴定</w:t>
      </w:r>
      <w:r>
        <w:rPr>
          <w:rFonts w:hint="eastAsia" w:cs="仿宋"/>
          <w:b w:val="0"/>
          <w:bCs w:val="0"/>
          <w:i w:val="0"/>
          <w:iCs w:val="0"/>
          <w:color w:val="auto"/>
          <w:sz w:val="32"/>
          <w:szCs w:val="32"/>
          <w:shd w:val="clear" w:color="auto" w:fill="auto"/>
          <w:lang w:val="en-US" w:eastAsia="zh-CN"/>
        </w:rPr>
        <w:t>等试验任务</w:t>
      </w:r>
      <w:r>
        <w:rPr>
          <w:rFonts w:hint="eastAsia" w:ascii="仿宋" w:hAnsi="仿宋" w:eastAsia="仿宋" w:cs="仿宋"/>
          <w:b w:val="0"/>
          <w:bCs w:val="0"/>
          <w:i w:val="0"/>
          <w:iCs w:val="0"/>
          <w:color w:val="auto"/>
          <w:sz w:val="32"/>
          <w:szCs w:val="32"/>
          <w:shd w:val="clear" w:color="auto" w:fill="auto"/>
        </w:rPr>
        <w:t>，鉴定测试品种1200多个，为筛选推广优质水稻品种发挥了重要作用</w:t>
      </w:r>
      <w:r>
        <w:rPr>
          <w:rFonts w:hint="eastAsia" w:cs="仿宋"/>
          <w:b w:val="0"/>
          <w:bCs w:val="0"/>
          <w:i w:val="0"/>
          <w:iCs w:val="0"/>
          <w:color w:val="auto"/>
          <w:sz w:val="32"/>
          <w:szCs w:val="32"/>
          <w:shd w:val="clear" w:color="auto" w:fill="auto"/>
          <w:lang w:eastAsia="zh-CN"/>
        </w:rPr>
        <w:t>。</w:t>
      </w:r>
      <w:r>
        <w:rPr>
          <w:rFonts w:hint="eastAsia" w:cs="仿宋"/>
          <w:b/>
          <w:bCs/>
          <w:i w:val="0"/>
          <w:iCs w:val="0"/>
          <w:color w:val="auto"/>
          <w:sz w:val="32"/>
          <w:szCs w:val="32"/>
          <w:shd w:val="clear" w:color="auto" w:fill="auto"/>
          <w:lang w:val="en-US" w:eastAsia="zh-CN"/>
        </w:rPr>
        <w:t>二是</w:t>
      </w:r>
      <w:r>
        <w:rPr>
          <w:rFonts w:hint="eastAsia" w:cs="仿宋"/>
          <w:b w:val="0"/>
          <w:bCs w:val="0"/>
          <w:i w:val="0"/>
          <w:iCs w:val="0"/>
          <w:color w:val="auto"/>
          <w:sz w:val="32"/>
          <w:szCs w:val="32"/>
          <w:shd w:val="clear" w:color="auto" w:fill="auto"/>
          <w:lang w:val="en-US" w:eastAsia="zh-CN"/>
        </w:rPr>
        <w:t>开展</w:t>
      </w:r>
      <w:r>
        <w:rPr>
          <w:rFonts w:hint="eastAsia" w:ascii="仿宋" w:hAnsi="仿宋" w:eastAsia="仿宋" w:cs="仿宋"/>
          <w:b w:val="0"/>
          <w:bCs w:val="0"/>
          <w:i w:val="0"/>
          <w:iCs w:val="0"/>
          <w:color w:val="auto"/>
          <w:sz w:val="32"/>
          <w:szCs w:val="32"/>
          <w:shd w:val="clear" w:color="auto" w:fill="auto"/>
        </w:rPr>
        <w:t>水稻种植技术国际培训，培训亚非拉农业技术</w:t>
      </w:r>
      <w:r>
        <w:rPr>
          <w:rFonts w:hint="eastAsia" w:cs="仿宋"/>
          <w:b w:val="0"/>
          <w:bCs w:val="0"/>
          <w:i w:val="0"/>
          <w:iCs w:val="0"/>
          <w:color w:val="auto"/>
          <w:sz w:val="32"/>
          <w:szCs w:val="32"/>
          <w:shd w:val="clear" w:color="auto" w:fill="auto"/>
          <w:lang w:val="en-US" w:eastAsia="zh-CN"/>
        </w:rPr>
        <w:t>专家</w:t>
      </w:r>
      <w:r>
        <w:rPr>
          <w:rFonts w:hint="eastAsia" w:ascii="仿宋" w:hAnsi="仿宋" w:eastAsia="仿宋" w:cs="仿宋"/>
          <w:b w:val="0"/>
          <w:bCs w:val="0"/>
          <w:i w:val="0"/>
          <w:iCs w:val="0"/>
          <w:color w:val="auto"/>
          <w:sz w:val="32"/>
          <w:szCs w:val="32"/>
          <w:shd w:val="clear" w:color="auto" w:fill="auto"/>
        </w:rPr>
        <w:t>35人次</w:t>
      </w:r>
      <w:r>
        <w:rPr>
          <w:rFonts w:hint="eastAsia" w:cs="仿宋"/>
          <w:b w:val="0"/>
          <w:bCs w:val="0"/>
          <w:i w:val="0"/>
          <w:iCs w:val="0"/>
          <w:color w:val="auto"/>
          <w:sz w:val="32"/>
          <w:szCs w:val="32"/>
          <w:shd w:val="clear" w:color="auto" w:fill="auto"/>
          <w:lang w:eastAsia="zh-CN"/>
        </w:rPr>
        <w:t>，</w:t>
      </w:r>
      <w:r>
        <w:rPr>
          <w:rFonts w:hint="eastAsia" w:ascii="仿宋" w:hAnsi="仿宋" w:eastAsia="仿宋" w:cs="仿宋"/>
          <w:b w:val="0"/>
          <w:bCs w:val="0"/>
          <w:i w:val="0"/>
          <w:iCs w:val="0"/>
          <w:color w:val="auto"/>
          <w:sz w:val="32"/>
          <w:szCs w:val="32"/>
          <w:shd w:val="clear" w:color="auto" w:fill="auto"/>
        </w:rPr>
        <w:t>助力“一带一路”发展。</w:t>
      </w:r>
      <w:r>
        <w:rPr>
          <w:rFonts w:hint="eastAsia" w:cs="仿宋"/>
          <w:b/>
          <w:bCs/>
          <w:i w:val="0"/>
          <w:iCs w:val="0"/>
          <w:color w:val="auto"/>
          <w:sz w:val="32"/>
          <w:szCs w:val="32"/>
          <w:shd w:val="clear" w:color="auto" w:fill="auto"/>
          <w:lang w:val="en-US" w:eastAsia="zh-CN"/>
        </w:rPr>
        <w:t>三</w:t>
      </w:r>
      <w:r>
        <w:rPr>
          <w:rFonts w:hint="eastAsia" w:ascii="仿宋" w:hAnsi="仿宋" w:eastAsia="仿宋" w:cs="仿宋"/>
          <w:b/>
          <w:bCs/>
          <w:i w:val="0"/>
          <w:iCs w:val="0"/>
          <w:color w:val="auto"/>
          <w:sz w:val="32"/>
          <w:szCs w:val="32"/>
          <w:shd w:val="clear" w:color="auto" w:fill="auto"/>
        </w:rPr>
        <w:t>是</w:t>
      </w:r>
      <w:r>
        <w:rPr>
          <w:rFonts w:hint="eastAsia" w:ascii="仿宋" w:hAnsi="仿宋" w:eastAsia="仿宋" w:cs="仿宋"/>
          <w:b w:val="0"/>
          <w:bCs w:val="0"/>
          <w:i w:val="0"/>
          <w:iCs w:val="0"/>
          <w:color w:val="auto"/>
          <w:sz w:val="32"/>
          <w:szCs w:val="32"/>
          <w:shd w:val="clear" w:color="auto" w:fill="auto"/>
        </w:rPr>
        <w:t>《籼型三系不育系家60A繁殖技术规程》等5个省级地方标准通过评审</w:t>
      </w:r>
      <w:r>
        <w:rPr>
          <w:rFonts w:hint="eastAsia" w:cs="仿宋"/>
          <w:b w:val="0"/>
          <w:bCs w:val="0"/>
          <w:i w:val="0"/>
          <w:iCs w:val="0"/>
          <w:color w:val="auto"/>
          <w:sz w:val="32"/>
          <w:szCs w:val="32"/>
          <w:shd w:val="clear" w:color="auto" w:fill="auto"/>
          <w:lang w:eastAsia="zh-CN"/>
        </w:rPr>
        <w:t>，</w:t>
      </w:r>
      <w:r>
        <w:rPr>
          <w:rFonts w:hint="eastAsia" w:ascii="仿宋" w:hAnsi="仿宋" w:eastAsia="仿宋" w:cs="仿宋"/>
          <w:b w:val="0"/>
          <w:bCs w:val="0"/>
          <w:i w:val="0"/>
          <w:iCs w:val="0"/>
          <w:color w:val="auto"/>
          <w:sz w:val="32"/>
          <w:szCs w:val="32"/>
          <w:shd w:val="clear" w:color="auto" w:fill="auto"/>
        </w:rPr>
        <w:t>为逐步占领行业制高点奠定基础。</w:t>
      </w:r>
    </w:p>
    <w:p>
      <w:pPr>
        <w:pStyle w:val="15"/>
        <w:numPr>
          <w:ilvl w:val="0"/>
          <w:numId w:val="3"/>
        </w:numPr>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服务对象满意度</w:t>
      </w:r>
    </w:p>
    <w:p>
      <w:pPr>
        <w:widowControl/>
        <w:spacing w:line="600" w:lineRule="exact"/>
        <w:ind w:firstLine="640" w:firstLineChars="20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我场紧紧围社会职责职能积极开展工作，统筹推进智慧农业数字大米科研示范建设、优质高效农业产业发展、宜居宜业和美乡村建设“三篇文章”，促进全场高质量发展，取得良好成效。</w:t>
      </w:r>
    </w:p>
    <w:bookmarkEnd w:id="20"/>
    <w:p>
      <w:pPr>
        <w:widowControl/>
        <w:numPr>
          <w:ilvl w:val="0"/>
          <w:numId w:val="0"/>
        </w:numPr>
        <w:spacing w:line="600" w:lineRule="exact"/>
        <w:ind w:leftChars="200"/>
        <w:jc w:val="left"/>
        <w:rPr>
          <w:rFonts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存在的问题及原因分析</w:t>
      </w:r>
    </w:p>
    <w:p>
      <w:pPr>
        <w:pStyle w:val="15"/>
        <w:numPr>
          <w:ilvl w:val="0"/>
          <w:numId w:val="0"/>
        </w:numPr>
        <w:spacing w:line="600" w:lineRule="exact"/>
        <w:ind w:firstLine="640" w:firstLineChars="200"/>
        <w:rPr>
          <w:rFonts w:hint="default" w:ascii="仿宋_GB2312" w:hAnsi="仿宋" w:eastAsia="仿宋_GB2312" w:cs="Times New Roman"/>
          <w:color w:val="auto"/>
          <w:kern w:val="2"/>
          <w:sz w:val="32"/>
          <w:szCs w:val="32"/>
          <w:highlight w:val="none"/>
          <w:lang w:val="en-US" w:eastAsia="zh-CN" w:bidi="ar-SA"/>
        </w:rPr>
      </w:pPr>
      <w:bookmarkStart w:id="21" w:name="OLE_LINK24"/>
      <w:r>
        <w:rPr>
          <w:rFonts w:hint="eastAsia" w:ascii="仿宋_GB2312" w:hAnsi="仿宋" w:eastAsia="仿宋_GB2312" w:cs="Times New Roman"/>
          <w:color w:val="auto"/>
          <w:kern w:val="2"/>
          <w:sz w:val="32"/>
          <w:szCs w:val="32"/>
          <w:highlight w:val="none"/>
          <w:lang w:val="en-US" w:eastAsia="zh-CN" w:bidi="ar-SA"/>
        </w:rPr>
        <w:t>存在的问题：全年预算执行率较低，项目执行率仅为34%。</w:t>
      </w:r>
    </w:p>
    <w:p>
      <w:pPr>
        <w:pStyle w:val="21"/>
        <w:widowControl/>
        <w:spacing w:line="600" w:lineRule="exact"/>
        <w:ind w:firstLine="640"/>
        <w:rPr>
          <w:rFonts w:hint="eastAsia"/>
          <w:color w:val="auto"/>
          <w:highlight w:val="none"/>
          <w:lang w:eastAsia="zh-CN"/>
        </w:rPr>
      </w:pPr>
      <w:r>
        <w:rPr>
          <w:rFonts w:hint="eastAsia" w:ascii="仿宋_GB2312" w:hAnsi="仿宋" w:eastAsia="仿宋_GB2312"/>
          <w:color w:val="auto"/>
          <w:sz w:val="32"/>
          <w:szCs w:val="32"/>
          <w:highlight w:val="none"/>
          <w:lang w:val="en-US" w:eastAsia="zh-CN"/>
        </w:rPr>
        <w:t>原因分析：2023年项目支出全年预算数为3398.9万元，执行数为1153.9万元，执行率为34%，主要是因为2023年有4个跨年项目，分别是：2022年中央成品油价格调整对渔业补助资金“池塘改造和尾水治理资金”200万元、数字乡村和数字农业试点资金400万元、2022年设施智慧农业建设320万元、农业产业融合发展项目1000万元。</w:t>
      </w:r>
    </w:p>
    <w:p>
      <w:pPr>
        <w:pStyle w:val="2"/>
        <w:ind w:left="0" w:leftChars="0" w:firstLine="640" w:firstLineChars="200"/>
        <w:rPr>
          <w:rFonts w:hint="eastAsia" w:eastAsia="仿宋_GB2312"/>
          <w:color w:val="auto"/>
          <w:highlight w:val="none"/>
          <w:lang w:eastAsia="zh-CN"/>
        </w:rPr>
        <w:sectPr>
          <w:pgSz w:w="11906" w:h="16838"/>
          <w:pgMar w:top="720" w:right="720" w:bottom="720" w:left="720" w:header="851" w:footer="992" w:gutter="0"/>
          <w:cols w:space="720" w:num="1"/>
          <w:docGrid w:type="linesAndChars" w:linePitch="312" w:charSpace="0"/>
        </w:sectPr>
      </w:pPr>
      <w:r>
        <w:rPr>
          <w:rFonts w:hint="eastAsia" w:ascii="仿宋_GB2312" w:hAnsi="仿宋" w:eastAsia="仿宋_GB2312"/>
          <w:color w:val="auto"/>
          <w:sz w:val="32"/>
          <w:szCs w:val="32"/>
          <w:highlight w:val="none"/>
          <w:lang w:eastAsia="zh-CN"/>
        </w:rPr>
        <w:t>下一步改进措施：加快</w:t>
      </w:r>
      <w:r>
        <w:rPr>
          <w:rFonts w:hint="eastAsia" w:ascii="仿宋_GB2312" w:hAnsi="仿宋" w:eastAsia="仿宋_GB2312"/>
          <w:color w:val="auto"/>
          <w:sz w:val="32"/>
          <w:szCs w:val="32"/>
          <w:highlight w:val="none"/>
          <w:lang w:val="en-US" w:eastAsia="zh-CN"/>
        </w:rPr>
        <w:t>2022年中央成品油价格调整对渔业补助资金“池塘改造和尾水治理资金”、数字乡村和数字农业试点资金、2022年设施智慧农业建设、农业产业融合发展项目等四个跨年项目的项目建设</w:t>
      </w:r>
      <w:r>
        <w:rPr>
          <w:rFonts w:hint="eastAsia" w:ascii="仿宋_GB2312" w:hAnsi="仿宋" w:eastAsia="仿宋_GB2312"/>
          <w:color w:val="auto"/>
          <w:sz w:val="32"/>
          <w:szCs w:val="32"/>
          <w:highlight w:val="none"/>
          <w:lang w:eastAsia="zh-CN"/>
        </w:rPr>
        <w:t>，根据项目资金使用计划，及时跟进支付，提高项目支出预算执行率。</w:t>
      </w:r>
    </w:p>
    <w:bookmarkEnd w:id="21"/>
    <w:p>
      <w:pPr>
        <w:pStyle w:val="2"/>
        <w:ind w:left="0" w:leftChars="0" w:firstLine="0" w:firstLineChars="0"/>
        <w:rPr>
          <w:rFonts w:hint="default" w:eastAsia="宋体"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附件1</w:t>
      </w:r>
    </w:p>
    <w:p>
      <w:pPr>
        <w:rPr>
          <w:rFonts w:hint="eastAsia"/>
          <w:lang w:val="en-US" w:eastAsia="zh-CN"/>
        </w:rPr>
      </w:pPr>
    </w:p>
    <w:tbl>
      <w:tblPr>
        <w:tblStyle w:val="10"/>
        <w:tblW w:w="10240" w:type="dxa"/>
        <w:jc w:val="center"/>
        <w:tblInd w:w="0" w:type="dxa"/>
        <w:shd w:val="clear" w:color="auto" w:fill="auto"/>
        <w:tblLayout w:type="fixed"/>
        <w:tblCellMar>
          <w:top w:w="0" w:type="dxa"/>
          <w:left w:w="0" w:type="dxa"/>
          <w:bottom w:w="0" w:type="dxa"/>
          <w:right w:w="0" w:type="dxa"/>
        </w:tblCellMar>
      </w:tblPr>
      <w:tblGrid>
        <w:gridCol w:w="2903"/>
        <w:gridCol w:w="1982"/>
        <w:gridCol w:w="869"/>
        <w:gridCol w:w="274"/>
        <w:gridCol w:w="1372"/>
        <w:gridCol w:w="474"/>
        <w:gridCol w:w="1525"/>
        <w:gridCol w:w="841"/>
      </w:tblGrid>
      <w:tr>
        <w:tblPrEx>
          <w:tblLayout w:type="fixed"/>
          <w:tblCellMar>
            <w:top w:w="0" w:type="dxa"/>
            <w:left w:w="0" w:type="dxa"/>
            <w:bottom w:w="0" w:type="dxa"/>
            <w:right w:w="0" w:type="dxa"/>
          </w:tblCellMar>
        </w:tblPrEx>
        <w:trPr>
          <w:trHeight w:val="475" w:hRule="atLeast"/>
          <w:jc w:val="center"/>
        </w:trPr>
        <w:tc>
          <w:tcPr>
            <w:tcW w:w="1024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36"/>
                <w:szCs w:val="36"/>
                <w:u w:val="none"/>
              </w:rPr>
            </w:pPr>
            <w:r>
              <w:rPr>
                <w:rFonts w:hint="default" w:ascii="Times New Roman" w:hAnsi="Times New Roman" w:eastAsia="宋体" w:cs="Times New Roman"/>
                <w:i w:val="0"/>
                <w:color w:val="000000"/>
                <w:kern w:val="0"/>
                <w:sz w:val="36"/>
                <w:szCs w:val="36"/>
                <w:u w:val="none"/>
                <w:lang w:val="en-US" w:eastAsia="zh-CN" w:bidi="ar"/>
              </w:rPr>
              <w:t>2023年度部门整体支出绩效评价基础数据表</w:t>
            </w:r>
          </w:p>
        </w:tc>
      </w:tr>
      <w:tr>
        <w:tblPrEx>
          <w:shd w:val="clear" w:color="auto" w:fill="auto"/>
          <w:tblLayout w:type="fixed"/>
          <w:tblCellMar>
            <w:top w:w="0" w:type="dxa"/>
            <w:left w:w="0" w:type="dxa"/>
            <w:bottom w:w="0" w:type="dxa"/>
            <w:right w:w="0" w:type="dxa"/>
          </w:tblCellMar>
        </w:tblPrEx>
        <w:trPr>
          <w:trHeight w:val="480" w:hRule="atLeast"/>
          <w:jc w:val="center"/>
        </w:trPr>
        <w:tc>
          <w:tcPr>
            <w:tcW w:w="2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财政供养人员情况（人）</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编制数</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Style w:val="24"/>
                <w:rFonts w:hAnsi="Times New Roman"/>
                <w:lang w:val="en-US" w:eastAsia="zh-CN" w:bidi="ar"/>
              </w:rPr>
              <w:t>3</w:t>
            </w:r>
            <w:r>
              <w:rPr>
                <w:rFonts w:hint="default" w:ascii="Times New Roman" w:hAnsi="Times New Roman" w:eastAsia="宋体" w:cs="Times New Roman"/>
                <w:b/>
                <w:i w:val="0"/>
                <w:color w:val="000000"/>
                <w:kern w:val="0"/>
                <w:sz w:val="20"/>
                <w:szCs w:val="20"/>
                <w:u w:val="none"/>
                <w:lang w:val="en-US" w:eastAsia="zh-CN" w:bidi="ar"/>
              </w:rPr>
              <w:t>年实际在职人数</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控制率</w:t>
            </w:r>
          </w:p>
        </w:tc>
      </w:tr>
      <w:tr>
        <w:tblPrEx>
          <w:tblLayout w:type="fixed"/>
          <w:tblCellMar>
            <w:top w:w="0" w:type="dxa"/>
            <w:left w:w="0" w:type="dxa"/>
            <w:bottom w:w="0" w:type="dxa"/>
            <w:right w:w="0" w:type="dxa"/>
          </w:tblCellMar>
        </w:tblPrEx>
        <w:trPr>
          <w:trHeight w:val="337" w:hRule="atLeast"/>
          <w:jc w:val="center"/>
        </w:trPr>
        <w:tc>
          <w:tcPr>
            <w:tcW w:w="2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608</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r>
      <w:tr>
        <w:tblPrEx>
          <w:tblLayout w:type="fixed"/>
          <w:tblCellMar>
            <w:top w:w="0" w:type="dxa"/>
            <w:left w:w="0" w:type="dxa"/>
            <w:bottom w:w="0" w:type="dxa"/>
            <w:right w:w="0" w:type="dxa"/>
          </w:tblCellMar>
        </w:tblPrEx>
        <w:trPr>
          <w:trHeight w:val="538"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经费控制情况（万元）</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Style w:val="24"/>
                <w:rFonts w:hAnsi="Times New Roman"/>
                <w:lang w:val="en-US" w:eastAsia="zh-CN" w:bidi="ar"/>
              </w:rPr>
              <w:t>2</w:t>
            </w:r>
            <w:r>
              <w:rPr>
                <w:rFonts w:hint="default" w:ascii="Times New Roman" w:hAnsi="Times New Roman" w:eastAsia="宋体" w:cs="Times New Roman"/>
                <w:b/>
                <w:i w:val="0"/>
                <w:color w:val="000000"/>
                <w:kern w:val="0"/>
                <w:sz w:val="20"/>
                <w:szCs w:val="20"/>
                <w:u w:val="none"/>
                <w:lang w:val="en-US" w:eastAsia="zh-CN" w:bidi="ar"/>
              </w:rPr>
              <w:t>年决算数</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Style w:val="24"/>
                <w:rFonts w:hAnsi="Times New Roman"/>
                <w:lang w:val="en-US" w:eastAsia="zh-CN" w:bidi="ar"/>
              </w:rPr>
              <w:t>3</w:t>
            </w:r>
            <w:r>
              <w:rPr>
                <w:rFonts w:hint="default" w:ascii="Times New Roman" w:hAnsi="Times New Roman" w:eastAsia="宋体" w:cs="Times New Roman"/>
                <w:b/>
                <w:i w:val="0"/>
                <w:color w:val="000000"/>
                <w:kern w:val="0"/>
                <w:sz w:val="20"/>
                <w:szCs w:val="20"/>
                <w:u w:val="none"/>
                <w:lang w:val="en-US" w:eastAsia="zh-CN" w:bidi="ar"/>
              </w:rPr>
              <w:t>年预算数</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Style w:val="24"/>
                <w:rFonts w:hAnsi="Times New Roman"/>
                <w:lang w:val="en-US" w:eastAsia="zh-CN" w:bidi="ar"/>
              </w:rPr>
              <w:t>3</w:t>
            </w:r>
            <w:r>
              <w:rPr>
                <w:rFonts w:hint="default" w:ascii="Times New Roman" w:hAnsi="Times New Roman" w:eastAsia="宋体" w:cs="Times New Roman"/>
                <w:b/>
                <w:i w:val="0"/>
                <w:color w:val="000000"/>
                <w:kern w:val="0"/>
                <w:sz w:val="20"/>
                <w:szCs w:val="20"/>
                <w:u w:val="none"/>
                <w:lang w:val="en-US" w:eastAsia="zh-CN" w:bidi="ar"/>
              </w:rPr>
              <w:t>年决算数</w:t>
            </w:r>
          </w:p>
        </w:tc>
      </w:tr>
      <w:tr>
        <w:tblPrEx>
          <w:shd w:val="clear" w:color="auto" w:fill="auto"/>
          <w:tblLayout w:type="fixed"/>
          <w:tblCellMar>
            <w:top w:w="0" w:type="dxa"/>
            <w:left w:w="0" w:type="dxa"/>
            <w:bottom w:w="0" w:type="dxa"/>
            <w:right w:w="0" w:type="dxa"/>
          </w:tblCellMar>
        </w:tblPrEx>
        <w:trPr>
          <w:trHeight w:val="337"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三公经费</w:t>
            </w:r>
            <w:r>
              <w:rPr>
                <w:rStyle w:val="25"/>
                <w:rFonts w:hAnsi="Times New Roman"/>
                <w:lang w:val="en-US" w:eastAsia="zh-CN" w:bidi="ar"/>
              </w:rPr>
              <w:t>:</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1</w:t>
            </w:r>
            <w:r>
              <w:rPr>
                <w:rStyle w:val="25"/>
                <w:rFonts w:hAnsi="Times New Roman"/>
                <w:lang w:val="en-US" w:eastAsia="zh-CN" w:bidi="ar"/>
              </w:rPr>
              <w:t>、公务用车购置和维护经费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其中：公车购置</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公车运行维护</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2</w:t>
            </w:r>
            <w:r>
              <w:rPr>
                <w:rStyle w:val="25"/>
                <w:rFonts w:hAnsi="Times New Roman"/>
                <w:lang w:val="en-US" w:eastAsia="zh-CN" w:bidi="ar"/>
              </w:rPr>
              <w:t>、出国经费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3</w:t>
            </w:r>
            <w:r>
              <w:rPr>
                <w:rStyle w:val="25"/>
                <w:rFonts w:hAnsi="Times New Roman"/>
                <w:lang w:val="en-US" w:eastAsia="zh-CN" w:bidi="ar"/>
              </w:rPr>
              <w:t>、公务接待</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项目支出：</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r>
              <w:rPr>
                <w:rFonts w:hint="eastAsia" w:ascii="宋体" w:hAnsi="宋体" w:eastAsia="宋体" w:cs="宋体"/>
                <w:i w:val="0"/>
                <w:color w:val="000000"/>
                <w:kern w:val="0"/>
                <w:sz w:val="20"/>
                <w:szCs w:val="20"/>
                <w:u w:val="none"/>
                <w:lang w:val="en-US" w:eastAsia="zh-CN" w:bidi="ar"/>
              </w:rPr>
              <w:t>、业务工作经费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r>
              <w:rPr>
                <w:rFonts w:hint="eastAsia" w:ascii="宋体" w:hAnsi="宋体" w:eastAsia="宋体" w:cs="宋体"/>
                <w:i w:val="0"/>
                <w:color w:val="000000"/>
                <w:kern w:val="0"/>
                <w:sz w:val="20"/>
                <w:szCs w:val="20"/>
                <w:u w:val="none"/>
                <w:lang w:val="en-US" w:eastAsia="zh-CN" w:bidi="ar"/>
              </w:rPr>
              <w:t>、运行维护经费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r>
              <w:rPr>
                <w:rFonts w:hint="eastAsia" w:ascii="宋体" w:hAnsi="宋体" w:eastAsia="宋体" w:cs="宋体"/>
                <w:i w:val="0"/>
                <w:color w:val="000000"/>
                <w:kern w:val="0"/>
                <w:sz w:val="20"/>
                <w:szCs w:val="20"/>
                <w:u w:val="none"/>
                <w:lang w:val="en-US" w:eastAsia="zh-CN" w:bidi="ar"/>
              </w:rPr>
              <w:t>、省级专项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769.7766</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949.1667</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311.8303</w:t>
            </w:r>
          </w:p>
        </w:tc>
      </w:tr>
      <w:tr>
        <w:tblPrEx>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r>
              <w:rPr>
                <w:rStyle w:val="26"/>
                <w:rFonts w:eastAsia="宋体"/>
                <w:lang w:val="en-US" w:eastAsia="zh-CN" w:bidi="ar"/>
              </w:rPr>
              <w:t>1</w:t>
            </w:r>
            <w:r>
              <w:rPr>
                <w:rFonts w:hint="eastAsia" w:ascii="宋体" w:hAnsi="宋体" w:eastAsia="宋体" w:cs="宋体"/>
                <w:i w:val="0"/>
                <w:color w:val="000000"/>
                <w:kern w:val="0"/>
                <w:sz w:val="20"/>
                <w:szCs w:val="20"/>
                <w:u w:val="none"/>
                <w:lang w:val="en-US" w:eastAsia="zh-CN" w:bidi="ar"/>
              </w:rPr>
              <w:t>）现代农业发展（2023年）</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245</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121.5488</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r>
              <w:rPr>
                <w:rStyle w:val="26"/>
                <w:rFonts w:eastAsia="宋体"/>
                <w:lang w:val="en-US" w:eastAsia="zh-CN" w:bidi="ar"/>
              </w:rPr>
              <w:t>2</w:t>
            </w:r>
            <w:r>
              <w:rPr>
                <w:rFonts w:hint="eastAsia" w:ascii="宋体" w:hAnsi="宋体" w:eastAsia="宋体" w:cs="宋体"/>
                <w:i w:val="0"/>
                <w:color w:val="000000"/>
                <w:kern w:val="0"/>
                <w:sz w:val="20"/>
                <w:szCs w:val="20"/>
                <w:u w:val="none"/>
                <w:lang w:val="en-US" w:eastAsia="zh-CN" w:bidi="ar"/>
              </w:rPr>
              <w:t>）现代农业发展（2022年）</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285.91</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144.0897</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144.0897</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（3）农业资源修复与利用（受污染耕地安全利用）</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0.3198</w:t>
            </w:r>
          </w:p>
        </w:tc>
      </w:tr>
      <w:tr>
        <w:tblPrEx>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（4）农业生产保障服务体系能力建设提升（</w:t>
            </w:r>
            <w:r>
              <w:rPr>
                <w:rStyle w:val="26"/>
                <w:rFonts w:eastAsia="宋体"/>
                <w:lang w:val="en-US" w:eastAsia="zh-CN" w:bidi="ar"/>
              </w:rPr>
              <w:t>2022</w:t>
            </w:r>
            <w:r>
              <w:rPr>
                <w:rFonts w:hint="eastAsia" w:ascii="宋体" w:hAnsi="宋体" w:eastAsia="宋体" w:cs="宋体"/>
                <w:i w:val="0"/>
                <w:color w:val="000000"/>
                <w:kern w:val="0"/>
                <w:sz w:val="20"/>
                <w:szCs w:val="20"/>
                <w:u w:val="none"/>
                <w:lang w:val="en-US" w:eastAsia="zh-CN" w:bidi="ar"/>
              </w:rPr>
              <w:t>结转）</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w:t>
            </w:r>
          </w:p>
        </w:tc>
      </w:tr>
      <w:tr>
        <w:tblPrEx>
          <w:shd w:val="clear" w:color="auto" w:fill="auto"/>
          <w:tblLayout w:type="fixed"/>
          <w:tblCellMar>
            <w:top w:w="0" w:type="dxa"/>
            <w:left w:w="0" w:type="dxa"/>
            <w:bottom w:w="0" w:type="dxa"/>
            <w:right w:w="0" w:type="dxa"/>
          </w:tblCellMar>
        </w:tblPrEx>
        <w:trPr>
          <w:trHeight w:val="610"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r>
              <w:rPr>
                <w:rStyle w:val="26"/>
                <w:rFonts w:eastAsia="宋体"/>
                <w:lang w:val="en-US" w:eastAsia="zh-CN" w:bidi="ar"/>
              </w:rPr>
              <w:t>2023</w:t>
            </w:r>
            <w:r>
              <w:rPr>
                <w:rFonts w:hint="eastAsia" w:ascii="宋体" w:hAnsi="宋体" w:eastAsia="宋体" w:cs="宋体"/>
                <w:i w:val="0"/>
                <w:color w:val="000000"/>
                <w:kern w:val="0"/>
                <w:sz w:val="20"/>
                <w:szCs w:val="20"/>
                <w:u w:val="none"/>
                <w:lang w:val="en-US" w:eastAsia="zh-CN" w:bidi="ar"/>
              </w:rPr>
              <w:t>年省级动物防疫补助资金</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（6）科技转化与推广服务专项（中央基层农技推广体系改革与建设）</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8.795</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（7）农业生产保障服务（省级）专项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500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（8）基层农技推广体系改革与建设项目（</w:t>
            </w:r>
            <w:r>
              <w:rPr>
                <w:rStyle w:val="26"/>
                <w:rFonts w:eastAsia="宋体"/>
                <w:lang w:val="en-US" w:eastAsia="zh-CN" w:bidi="ar"/>
              </w:rPr>
              <w:t>2022</w:t>
            </w:r>
            <w:r>
              <w:rPr>
                <w:rFonts w:hint="eastAsia" w:ascii="宋体" w:hAnsi="宋体" w:eastAsia="宋体" w:cs="宋体"/>
                <w:i w:val="0"/>
                <w:color w:val="000000"/>
                <w:kern w:val="0"/>
                <w:sz w:val="20"/>
                <w:szCs w:val="20"/>
                <w:u w:val="none"/>
                <w:lang w:val="en-US" w:eastAsia="zh-CN" w:bidi="ar"/>
              </w:rPr>
              <w:t>年）</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20.923</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4.077</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4.077</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2022公共机构节能补助</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一化四体系与三产融合（2021年结转）</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410.9436</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种植产业发展2022年</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公用经费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370.74</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307.02</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307.02</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其中：办公经费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19.82</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13.34</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13.34</w:t>
            </w:r>
          </w:p>
        </w:tc>
      </w:tr>
      <w:tr>
        <w:tblPrEx>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水费、电费、差旅费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60.31</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60.53</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60.53</w:t>
            </w:r>
          </w:p>
        </w:tc>
      </w:tr>
      <w:tr>
        <w:tblPrEx>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会议费、培训费</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0.9</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28.8</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28.8</w:t>
            </w:r>
          </w:p>
        </w:tc>
      </w:tr>
      <w:tr>
        <w:tblPrEx>
          <w:shd w:val="clear" w:color="auto" w:fill="auto"/>
          <w:tblLayout w:type="fixed"/>
          <w:tblCellMar>
            <w:top w:w="0" w:type="dxa"/>
            <w:left w:w="0" w:type="dxa"/>
            <w:bottom w:w="0" w:type="dxa"/>
            <w:right w:w="0" w:type="dxa"/>
          </w:tblCellMar>
        </w:tblPrEx>
        <w:trPr>
          <w:trHeight w:val="355"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政府采购金额</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234.55</w:t>
            </w:r>
          </w:p>
        </w:tc>
      </w:tr>
      <w:tr>
        <w:tblPrEx>
          <w:shd w:val="clear" w:color="auto" w:fill="auto"/>
          <w:tblLayout w:type="fixed"/>
          <w:tblCellMar>
            <w:top w:w="0" w:type="dxa"/>
            <w:left w:w="0" w:type="dxa"/>
            <w:bottom w:w="0" w:type="dxa"/>
            <w:right w:w="0" w:type="dxa"/>
          </w:tblCellMar>
        </w:tblPrEx>
        <w:trPr>
          <w:trHeight w:val="432"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部门基本支出预算调整</w:t>
            </w:r>
          </w:p>
        </w:tc>
        <w:tc>
          <w:tcPr>
            <w:tcW w:w="28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3917.03</w:t>
            </w:r>
          </w:p>
        </w:tc>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4836.79</w:t>
            </w:r>
          </w:p>
        </w:tc>
      </w:tr>
      <w:tr>
        <w:tblPrEx>
          <w:tblLayout w:type="fixed"/>
          <w:tblCellMar>
            <w:top w:w="0" w:type="dxa"/>
            <w:left w:w="0" w:type="dxa"/>
            <w:bottom w:w="0" w:type="dxa"/>
            <w:right w:w="0" w:type="dxa"/>
          </w:tblCellMar>
        </w:tblPrEx>
        <w:trPr>
          <w:trHeight w:val="538"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楼堂馆所控制情况</w:t>
            </w:r>
          </w:p>
        </w:tc>
        <w:tc>
          <w:tcPr>
            <w:tcW w:w="1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批复规模</w:t>
            </w:r>
          </w:p>
        </w:tc>
        <w:tc>
          <w:tcPr>
            <w:tcW w:w="11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实际规模（</w:t>
            </w:r>
            <w:r>
              <w:rPr>
                <w:rStyle w:val="26"/>
                <w:rFonts w:eastAsia="宋体"/>
                <w:lang w:val="en-US" w:eastAsia="zh-CN" w:bidi="ar"/>
              </w:rPr>
              <w:t>㎡）</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规模控制率</w:t>
            </w:r>
          </w:p>
        </w:tc>
        <w:tc>
          <w:tcPr>
            <w:tcW w:w="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预算投资（万元）</w:t>
            </w:r>
          </w:p>
        </w:tc>
        <w:tc>
          <w:tcPr>
            <w:tcW w:w="1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实际投资（万元）</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投资概算控制率</w:t>
            </w:r>
          </w:p>
        </w:tc>
      </w:tr>
      <w:tr>
        <w:tblPrEx>
          <w:shd w:val="clear" w:color="auto" w:fill="auto"/>
          <w:tblLayout w:type="fixed"/>
          <w:tblCellMar>
            <w:top w:w="0" w:type="dxa"/>
            <w:left w:w="0" w:type="dxa"/>
            <w:bottom w:w="0" w:type="dxa"/>
            <w:right w:w="0" w:type="dxa"/>
          </w:tblCellMar>
        </w:tblPrEx>
        <w:trPr>
          <w:trHeight w:val="686"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（202</w:t>
            </w:r>
            <w:r>
              <w:rPr>
                <w:rStyle w:val="25"/>
                <w:rFonts w:hAnsi="Times New Roman"/>
                <w:lang w:val="en-US" w:eastAsia="zh-CN" w:bidi="ar"/>
              </w:rPr>
              <w:t>3</w:t>
            </w:r>
            <w:r>
              <w:rPr>
                <w:rStyle w:val="26"/>
                <w:rFonts w:eastAsia="宋体"/>
                <w:lang w:val="en-US" w:eastAsia="zh-CN" w:bidi="ar"/>
              </w:rPr>
              <w:t>年完工项目）</w:t>
            </w:r>
          </w:p>
        </w:tc>
        <w:tc>
          <w:tcPr>
            <w:tcW w:w="1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r>
              <w:rPr>
                <w:rStyle w:val="26"/>
                <w:rFonts w:eastAsia="宋体"/>
                <w:lang w:val="en-US" w:eastAsia="zh-CN" w:bidi="ar"/>
              </w:rPr>
              <w:t>㎡）</w:t>
            </w:r>
          </w:p>
        </w:tc>
        <w:tc>
          <w:tcPr>
            <w:tcW w:w="11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1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337"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19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1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p>
        </w:tc>
      </w:tr>
      <w:tr>
        <w:tblPrEx>
          <w:shd w:val="clear" w:color="auto" w:fill="auto"/>
          <w:tblLayout w:type="fixed"/>
          <w:tblCellMar>
            <w:top w:w="0" w:type="dxa"/>
            <w:left w:w="0" w:type="dxa"/>
            <w:bottom w:w="0" w:type="dxa"/>
            <w:right w:w="0" w:type="dxa"/>
          </w:tblCellMar>
        </w:tblPrEx>
        <w:trPr>
          <w:trHeight w:val="624" w:hRule="atLeast"/>
          <w:jc w:val="center"/>
        </w:trPr>
        <w:tc>
          <w:tcPr>
            <w:tcW w:w="2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厉行节约保障措施</w:t>
            </w:r>
          </w:p>
        </w:tc>
        <w:tc>
          <w:tcPr>
            <w:tcW w:w="733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持续落实</w:t>
            </w:r>
            <w:r>
              <w:rPr>
                <w:rStyle w:val="26"/>
                <w:rFonts w:eastAsia="宋体"/>
                <w:lang w:val="en-US" w:eastAsia="zh-CN" w:bidi="ar"/>
              </w:rPr>
              <w:t>“</w:t>
            </w:r>
            <w:r>
              <w:rPr>
                <w:rFonts w:hint="eastAsia" w:ascii="宋体" w:hAnsi="宋体" w:eastAsia="宋体" w:cs="宋体"/>
                <w:i w:val="0"/>
                <w:color w:val="000000"/>
                <w:kern w:val="0"/>
                <w:sz w:val="20"/>
                <w:szCs w:val="20"/>
                <w:u w:val="none"/>
                <w:lang w:val="en-US" w:eastAsia="zh-CN" w:bidi="ar"/>
              </w:rPr>
              <w:t>过紧日子”要求，压减一般性支出，严格预算执行，严禁无预算、超预算支出，强化纪检监察、财务审计、监督检查问责。</w:t>
            </w:r>
          </w:p>
        </w:tc>
      </w:tr>
      <w:tr>
        <w:tblPrEx>
          <w:shd w:val="clear" w:color="auto" w:fill="auto"/>
          <w:tblLayout w:type="fixed"/>
          <w:tblCellMar>
            <w:top w:w="0" w:type="dxa"/>
            <w:left w:w="0" w:type="dxa"/>
            <w:bottom w:w="0" w:type="dxa"/>
            <w:right w:w="0" w:type="dxa"/>
          </w:tblCellMar>
        </w:tblPrEx>
        <w:trPr>
          <w:trHeight w:val="605" w:hRule="atLeast"/>
          <w:jc w:val="center"/>
        </w:trPr>
        <w:tc>
          <w:tcPr>
            <w:tcW w:w="1024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仿宋_GB2312" w:hAnsi="宋体" w:eastAsia="仿宋_GB2312" w:cs="仿宋_GB2312"/>
                <w:i w:val="0"/>
                <w:color w:val="000000"/>
                <w:sz w:val="22"/>
                <w:szCs w:val="22"/>
                <w:u w:val="none"/>
              </w:rPr>
            </w:pPr>
            <w:r>
              <w:rPr>
                <w:rFonts w:hint="default" w:ascii="仿宋_GB2312" w:hAnsi="宋体" w:eastAsia="仿宋_GB2312" w:cs="仿宋_GB2312"/>
                <w:i w:val="0"/>
                <w:color w:val="000000"/>
                <w:kern w:val="0"/>
                <w:sz w:val="22"/>
                <w:szCs w:val="22"/>
                <w:u w:val="none"/>
                <w:lang w:val="en-US" w:eastAsia="zh-CN" w:bidi="ar"/>
              </w:rPr>
              <w:t>说明：“项目支出”需要填报基本支出以外的所有项目支出情况，“公用经费”填报基本支出    中的一般商品和服务支出。</w:t>
            </w:r>
          </w:p>
        </w:tc>
      </w:tr>
      <w:tr>
        <w:tblPrEx>
          <w:tblLayout w:type="fixed"/>
          <w:tblCellMar>
            <w:top w:w="0" w:type="dxa"/>
            <w:left w:w="0" w:type="dxa"/>
            <w:bottom w:w="0" w:type="dxa"/>
            <w:right w:w="0" w:type="dxa"/>
          </w:tblCellMar>
        </w:tblPrEx>
        <w:trPr>
          <w:trHeight w:val="317" w:hRule="atLeast"/>
          <w:jc w:val="center"/>
        </w:trPr>
        <w:tc>
          <w:tcPr>
            <w:tcW w:w="2903"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 xml:space="preserve"> </w:t>
            </w:r>
          </w:p>
        </w:tc>
        <w:tc>
          <w:tcPr>
            <w:tcW w:w="198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1143"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137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474"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1525"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c>
          <w:tcPr>
            <w:tcW w:w="841"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317" w:hRule="atLeast"/>
          <w:jc w:val="center"/>
        </w:trPr>
        <w:tc>
          <w:tcPr>
            <w:tcW w:w="2903"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仿宋_GB2312" w:hAnsi="宋体" w:eastAsia="仿宋_GB2312" w:cs="仿宋_GB2312"/>
                <w:i w:val="0"/>
                <w:color w:val="000000"/>
                <w:sz w:val="22"/>
                <w:szCs w:val="22"/>
                <w:u w:val="none"/>
              </w:rPr>
            </w:pPr>
            <w:r>
              <w:rPr>
                <w:rFonts w:hint="default" w:ascii="仿宋_GB2312" w:hAnsi="宋体" w:eastAsia="仿宋_GB2312" w:cs="仿宋_GB2312"/>
                <w:i w:val="0"/>
                <w:color w:val="000000"/>
                <w:kern w:val="0"/>
                <w:sz w:val="22"/>
                <w:szCs w:val="22"/>
                <w:u w:val="none"/>
                <w:lang w:val="en-US" w:eastAsia="zh-CN" w:bidi="ar"/>
              </w:rPr>
              <w:t xml:space="preserve">填表人：        </w:t>
            </w:r>
          </w:p>
        </w:tc>
        <w:tc>
          <w:tcPr>
            <w:tcW w:w="198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default" w:ascii="仿宋_GB2312" w:hAnsi="宋体" w:eastAsia="仿宋_GB2312" w:cs="仿宋_GB2312"/>
                <w:i w:val="0"/>
                <w:color w:val="000000"/>
                <w:sz w:val="22"/>
                <w:szCs w:val="22"/>
                <w:u w:val="none"/>
              </w:rPr>
            </w:pPr>
            <w:r>
              <w:rPr>
                <w:rFonts w:hint="default" w:ascii="仿宋_GB2312" w:hAnsi="宋体" w:eastAsia="仿宋_GB2312" w:cs="仿宋_GB2312"/>
                <w:i w:val="0"/>
                <w:color w:val="000000"/>
                <w:kern w:val="0"/>
                <w:sz w:val="22"/>
                <w:szCs w:val="22"/>
                <w:u w:val="none"/>
                <w:lang w:val="en-US" w:eastAsia="zh-CN" w:bidi="ar"/>
              </w:rPr>
              <w:t xml:space="preserve"> 填报日期：</w:t>
            </w:r>
          </w:p>
        </w:tc>
        <w:tc>
          <w:tcPr>
            <w:tcW w:w="2515"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ind w:firstLine="660" w:firstLineChars="300"/>
              <w:rPr>
                <w:rFonts w:hint="default" w:ascii="仿宋_GB2312" w:hAnsi="宋体" w:eastAsia="仿宋_GB2312" w:cs="仿宋_GB2312"/>
                <w:i w:val="0"/>
                <w:color w:val="000000"/>
                <w:sz w:val="22"/>
                <w:szCs w:val="22"/>
                <w:u w:val="none"/>
              </w:rPr>
            </w:pPr>
            <w:r>
              <w:rPr>
                <w:rFonts w:hint="default" w:ascii="仿宋_GB2312" w:hAnsi="宋体" w:eastAsia="仿宋_GB2312" w:cs="仿宋_GB2312"/>
                <w:i w:val="0"/>
                <w:color w:val="000000"/>
                <w:kern w:val="0"/>
                <w:sz w:val="22"/>
                <w:szCs w:val="22"/>
                <w:u w:val="none"/>
                <w:lang w:val="en-US" w:eastAsia="zh-CN" w:bidi="ar"/>
              </w:rPr>
              <w:t xml:space="preserve">联系电话： </w:t>
            </w:r>
          </w:p>
        </w:tc>
        <w:tc>
          <w:tcPr>
            <w:tcW w:w="1999"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default" w:ascii="仿宋_GB2312" w:hAnsi="宋体" w:eastAsia="仿宋_GB2312" w:cs="仿宋_GB2312"/>
                <w:i w:val="0"/>
                <w:color w:val="000000"/>
                <w:sz w:val="22"/>
                <w:szCs w:val="22"/>
                <w:u w:val="none"/>
              </w:rPr>
            </w:pPr>
            <w:r>
              <w:rPr>
                <w:rFonts w:hint="default" w:ascii="仿宋_GB2312" w:hAnsi="宋体" w:eastAsia="仿宋_GB2312" w:cs="仿宋_GB2312"/>
                <w:i w:val="0"/>
                <w:color w:val="000000"/>
                <w:kern w:val="0"/>
                <w:sz w:val="22"/>
                <w:szCs w:val="22"/>
                <w:u w:val="none"/>
                <w:lang w:val="en-US" w:eastAsia="zh-CN" w:bidi="ar"/>
              </w:rPr>
              <w:t xml:space="preserve"> 单位负责人签字：</w:t>
            </w:r>
          </w:p>
        </w:tc>
        <w:tc>
          <w:tcPr>
            <w:tcW w:w="841"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default" w:ascii="仿宋_GB2312" w:hAnsi="宋体" w:eastAsia="仿宋_GB2312" w:cs="仿宋_GB2312"/>
                <w:i w:val="0"/>
                <w:color w:val="000000"/>
                <w:sz w:val="22"/>
                <w:szCs w:val="22"/>
                <w:u w:val="none"/>
              </w:rPr>
            </w:pPr>
          </w:p>
        </w:tc>
      </w:tr>
    </w:tbl>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keepNext w:val="0"/>
        <w:keepLines w:val="0"/>
        <w:pageBreakBefore w:val="0"/>
        <w:widowControl/>
        <w:kinsoku/>
        <w:wordWrap/>
        <w:overflowPunct/>
        <w:topLinePunct w:val="0"/>
        <w:autoSpaceDE/>
        <w:autoSpaceDN/>
        <w:bidi w:val="0"/>
        <w:adjustRightInd/>
        <w:snapToGrid/>
        <w:spacing w:line="360" w:lineRule="exact"/>
        <w:ind w:left="0" w:leftChars="0" w:firstLine="0" w:firstLineChars="0"/>
        <w:textAlignment w:val="auto"/>
        <w:rPr>
          <w:rFonts w:hint="eastAsia"/>
          <w:sz w:val="32"/>
          <w:szCs w:val="32"/>
          <w:lang w:val="en-US" w:eastAsia="zh-CN"/>
        </w:rPr>
      </w:pPr>
    </w:p>
    <w:p>
      <w:pPr>
        <w:pStyle w:val="2"/>
        <w:keepNext w:val="0"/>
        <w:keepLines w:val="0"/>
        <w:pageBreakBefore w:val="0"/>
        <w:widowControl/>
        <w:kinsoku/>
        <w:wordWrap/>
        <w:overflowPunct/>
        <w:topLinePunct w:val="0"/>
        <w:autoSpaceDE/>
        <w:autoSpaceDN/>
        <w:bidi w:val="0"/>
        <w:adjustRightInd/>
        <w:snapToGrid/>
        <w:spacing w:line="360" w:lineRule="exact"/>
        <w:ind w:left="0" w:leftChars="0" w:firstLine="0" w:firstLineChars="0"/>
        <w:textAlignment w:val="auto"/>
        <w:rPr>
          <w:rFonts w:hint="default"/>
          <w:sz w:val="32"/>
          <w:szCs w:val="32"/>
          <w:lang w:val="en-US" w:eastAsia="zh-CN"/>
        </w:rPr>
      </w:pPr>
      <w:r>
        <w:rPr>
          <w:rFonts w:hint="eastAsia"/>
          <w:sz w:val="32"/>
          <w:szCs w:val="32"/>
          <w:lang w:val="en-US" w:eastAsia="zh-CN"/>
        </w:rPr>
        <w:t>附件2</w:t>
      </w:r>
    </w:p>
    <w:tbl>
      <w:tblPr>
        <w:tblStyle w:val="10"/>
        <w:tblpPr w:leftFromText="180" w:rightFromText="180" w:vertAnchor="text" w:horzAnchor="page" w:tblpXSpec="center" w:tblpY="771"/>
        <w:tblOverlap w:val="never"/>
        <w:tblW w:w="10800" w:type="dxa"/>
        <w:jc w:val="center"/>
        <w:tblInd w:w="0" w:type="dxa"/>
        <w:shd w:val="clear" w:color="auto" w:fill="auto"/>
        <w:tblLayout w:type="fixed"/>
        <w:tblCellMar>
          <w:top w:w="0" w:type="dxa"/>
          <w:left w:w="0" w:type="dxa"/>
          <w:bottom w:w="0" w:type="dxa"/>
          <w:right w:w="0" w:type="dxa"/>
        </w:tblCellMar>
      </w:tblPr>
      <w:tblGrid>
        <w:gridCol w:w="1080"/>
        <w:gridCol w:w="1080"/>
        <w:gridCol w:w="1080"/>
        <w:gridCol w:w="1080"/>
        <w:gridCol w:w="1080"/>
        <w:gridCol w:w="1080"/>
        <w:gridCol w:w="1080"/>
        <w:gridCol w:w="1080"/>
        <w:gridCol w:w="1080"/>
        <w:gridCol w:w="1080"/>
      </w:tblGrid>
      <w:tr>
        <w:tblPrEx>
          <w:tblLayout w:type="fixed"/>
          <w:tblCellMar>
            <w:top w:w="0" w:type="dxa"/>
            <w:left w:w="0" w:type="dxa"/>
            <w:bottom w:w="0" w:type="dxa"/>
            <w:right w:w="0" w:type="dxa"/>
          </w:tblCellMar>
        </w:tblPrEx>
        <w:trPr>
          <w:trHeight w:val="450" w:hRule="atLeast"/>
          <w:jc w:val="center"/>
        </w:trPr>
        <w:tc>
          <w:tcPr>
            <w:tcW w:w="10800"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2023年度部门整体支出绩效自评表</w:t>
            </w:r>
          </w:p>
        </w:tc>
      </w:tr>
      <w:tr>
        <w:tblPrEx>
          <w:tblLayout w:type="fixed"/>
          <w:tblCellMar>
            <w:top w:w="0" w:type="dxa"/>
            <w:left w:w="0" w:type="dxa"/>
            <w:bottom w:w="0" w:type="dxa"/>
            <w:right w:w="0" w:type="dxa"/>
          </w:tblCellMar>
        </w:tblPrEx>
        <w:trPr>
          <w:trHeight w:val="270" w:hRule="atLeast"/>
          <w:jc w:val="center"/>
        </w:trPr>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c>
          <w:tcPr>
            <w:tcW w:w="108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部门名称</w:t>
            </w:r>
          </w:p>
        </w:tc>
        <w:tc>
          <w:tcPr>
            <w:tcW w:w="972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湖南省贺家山原种场</w:t>
            </w:r>
          </w:p>
        </w:tc>
      </w:tr>
      <w:tr>
        <w:tblPrEx>
          <w:tblLayout w:type="fixed"/>
          <w:tblCellMar>
            <w:top w:w="0" w:type="dxa"/>
            <w:left w:w="0" w:type="dxa"/>
            <w:bottom w:w="0" w:type="dxa"/>
            <w:right w:w="0" w:type="dxa"/>
          </w:tblCellMar>
        </w:tblPrEx>
        <w:trPr>
          <w:trHeight w:val="27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年度预算申请（万元）</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全年预算数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全年执行数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执行率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4510.19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8494.12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6249.09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73.60%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按收入性质分：</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按支出性质分：</w:t>
            </w: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其中：  一般公共预算：5607.79</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w:t>
            </w: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政府性基金拨款：0</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基本支出：5095.17</w:t>
            </w: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纳入专户管理的非税收入拨款：0</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项目支出：3398.95</w:t>
            </w: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其他资金：2886.33</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年初设定目标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全年实际完成情况</w:t>
            </w:r>
          </w:p>
        </w:tc>
      </w:tr>
      <w:tr>
        <w:tblPrEx>
          <w:tblLayout w:type="fixed"/>
          <w:tblCellMar>
            <w:top w:w="0" w:type="dxa"/>
            <w:left w:w="0" w:type="dxa"/>
            <w:bottom w:w="0" w:type="dxa"/>
            <w:right w:w="0" w:type="dxa"/>
          </w:tblCellMar>
        </w:tblPrEx>
        <w:trPr>
          <w:trHeight w:val="96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全面履行本单位年度工作职责，贯彻落实党中央关于“三农"工作的方针政策和决策部署,全面落实省农业农村厅关于“三农"工作的部署要求。</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全部完成</w:t>
            </w:r>
          </w:p>
        </w:tc>
      </w:tr>
      <w:tr>
        <w:tblPrEx>
          <w:tblLayout w:type="fixed"/>
          <w:tblCellMar>
            <w:top w:w="0" w:type="dxa"/>
            <w:left w:w="0" w:type="dxa"/>
            <w:bottom w:w="0" w:type="dxa"/>
            <w:right w:w="0" w:type="dxa"/>
          </w:tblCellMar>
        </w:tblPrEx>
        <w:trPr>
          <w:trHeight w:val="27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年度指标值</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实际完成值</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分值</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得分</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偏差原因分析及改进措施</w:t>
            </w: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产出指标(50分)</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水稻新品种审定数量（个）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水稻新品种选育与推广（个）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农业科技成果转化</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为民办实事完成率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种子质量安全合格率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行业安全生产合格率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年度重点工作落实完成率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财政支持重点项目完成率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基层矛盾问题及时处置化解</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效益指标（30分）</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益指标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职工群众增产增收</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粮食附加值提升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益指标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提高生产效率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稳粮增收服务全省粮食安全</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水肥药施用减少</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耕地重金属污染减少</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81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color w:val="000000"/>
                <w:sz w:val="22"/>
                <w:szCs w:val="2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职工群众满意度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70" w:hRule="atLeast"/>
          <w:jc w:val="center"/>
        </w:trPr>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总分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color w:val="000000"/>
                <w:sz w:val="22"/>
                <w:szCs w:val="22"/>
                <w:u w:val="none"/>
              </w:rPr>
            </w:pPr>
          </w:p>
        </w:tc>
      </w:tr>
    </w:tbl>
    <w:p>
      <w:pPr>
        <w:keepNext w:val="0"/>
        <w:keepLines w:val="0"/>
        <w:pageBreakBefore w:val="0"/>
        <w:kinsoku/>
        <w:wordWrap/>
        <w:overflowPunct/>
        <w:topLinePunct w:val="0"/>
        <w:autoSpaceDE/>
        <w:autoSpaceDN/>
        <w:bidi w:val="0"/>
        <w:adjustRightInd/>
        <w:snapToGrid/>
        <w:spacing w:line="240" w:lineRule="exact"/>
        <w:rPr>
          <w:rFonts w:hint="default"/>
          <w:lang w:val="en-US" w:eastAsia="zh-CN"/>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7563D"/>
    <w:multiLevelType w:val="singleLevel"/>
    <w:tmpl w:val="A6B7563D"/>
    <w:lvl w:ilvl="0" w:tentative="0">
      <w:start w:val="2"/>
      <w:numFmt w:val="decimal"/>
      <w:suff w:val="nothing"/>
      <w:lvlText w:val="%1、"/>
      <w:lvlJc w:val="left"/>
    </w:lvl>
  </w:abstractNum>
  <w:abstractNum w:abstractNumId="1">
    <w:nsid w:val="ED294651"/>
    <w:multiLevelType w:val="singleLevel"/>
    <w:tmpl w:val="ED294651"/>
    <w:lvl w:ilvl="0" w:tentative="0">
      <w:start w:val="2"/>
      <w:numFmt w:val="chineseCounting"/>
      <w:suff w:val="nothing"/>
      <w:lvlText w:val="（%1）"/>
      <w:lvlJc w:val="left"/>
      <w:rPr>
        <w:rFonts w:hint="eastAsia"/>
      </w:rPr>
    </w:lvl>
  </w:abstractNum>
  <w:abstractNum w:abstractNumId="2">
    <w:nsid w:val="F639CCF1"/>
    <w:multiLevelType w:val="singleLevel"/>
    <w:tmpl w:val="F639CCF1"/>
    <w:lvl w:ilvl="0" w:tentative="0">
      <w:start w:val="2"/>
      <w:numFmt w:val="chineseCounting"/>
      <w:suff w:val="nothing"/>
      <w:lvlText w:val="%1、"/>
      <w:lvlJc w:val="left"/>
      <w:rPr>
        <w:rFonts w:hint="eastAsia"/>
      </w:rPr>
    </w:lvl>
  </w:abstractNum>
  <w:abstractNum w:abstractNumId="3">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jZjI4MDNkZjQ1YTFiMmRiMDM5NDM0ZWYxMDFiYjkifQ=="/>
  </w:docVars>
  <w:rsids>
    <w:rsidRoot w:val="00000000"/>
    <w:rsid w:val="0112551A"/>
    <w:rsid w:val="029F1F3A"/>
    <w:rsid w:val="067F7784"/>
    <w:rsid w:val="073C3BEB"/>
    <w:rsid w:val="07C55B11"/>
    <w:rsid w:val="07DA4565"/>
    <w:rsid w:val="084621EF"/>
    <w:rsid w:val="09772E73"/>
    <w:rsid w:val="0A5F4DAA"/>
    <w:rsid w:val="0B3072CF"/>
    <w:rsid w:val="0C474AE5"/>
    <w:rsid w:val="0D9A2995"/>
    <w:rsid w:val="0E312D97"/>
    <w:rsid w:val="0E6179B4"/>
    <w:rsid w:val="0F591DFB"/>
    <w:rsid w:val="111737DA"/>
    <w:rsid w:val="122C3DD5"/>
    <w:rsid w:val="12CC3B3D"/>
    <w:rsid w:val="15DB7C1A"/>
    <w:rsid w:val="16922E00"/>
    <w:rsid w:val="16DD33E6"/>
    <w:rsid w:val="16F74D42"/>
    <w:rsid w:val="1847310C"/>
    <w:rsid w:val="1AF8344E"/>
    <w:rsid w:val="1B34510B"/>
    <w:rsid w:val="1C043551"/>
    <w:rsid w:val="1DE32193"/>
    <w:rsid w:val="1EE21B76"/>
    <w:rsid w:val="1EEE0DF0"/>
    <w:rsid w:val="1FD2160E"/>
    <w:rsid w:val="202E690F"/>
    <w:rsid w:val="204C04C4"/>
    <w:rsid w:val="21376C32"/>
    <w:rsid w:val="22C51D03"/>
    <w:rsid w:val="23930417"/>
    <w:rsid w:val="2398757C"/>
    <w:rsid w:val="24A3442A"/>
    <w:rsid w:val="24BB5C18"/>
    <w:rsid w:val="265C7396"/>
    <w:rsid w:val="2747011D"/>
    <w:rsid w:val="27EA44E5"/>
    <w:rsid w:val="28033884"/>
    <w:rsid w:val="28AD01DD"/>
    <w:rsid w:val="299274E0"/>
    <w:rsid w:val="29E926E5"/>
    <w:rsid w:val="2A5C57A7"/>
    <w:rsid w:val="2A9E7B6E"/>
    <w:rsid w:val="2C5D750C"/>
    <w:rsid w:val="2CB5119F"/>
    <w:rsid w:val="2DE24B84"/>
    <w:rsid w:val="2E310CF9"/>
    <w:rsid w:val="2FB4573E"/>
    <w:rsid w:val="31781843"/>
    <w:rsid w:val="32E56CBF"/>
    <w:rsid w:val="338E637F"/>
    <w:rsid w:val="33C32B1B"/>
    <w:rsid w:val="34912D51"/>
    <w:rsid w:val="34D32B0A"/>
    <w:rsid w:val="35C6441D"/>
    <w:rsid w:val="36BE7F6E"/>
    <w:rsid w:val="36F32FEF"/>
    <w:rsid w:val="37384EA6"/>
    <w:rsid w:val="39916AF0"/>
    <w:rsid w:val="399B47A1"/>
    <w:rsid w:val="39F8091D"/>
    <w:rsid w:val="3C3A5B16"/>
    <w:rsid w:val="3C483B22"/>
    <w:rsid w:val="3D7C616C"/>
    <w:rsid w:val="3DBB22EE"/>
    <w:rsid w:val="3ECD57A0"/>
    <w:rsid w:val="3F3B19D7"/>
    <w:rsid w:val="3FD37E62"/>
    <w:rsid w:val="3FD722E0"/>
    <w:rsid w:val="4054537E"/>
    <w:rsid w:val="41C1098F"/>
    <w:rsid w:val="438765F0"/>
    <w:rsid w:val="44437B38"/>
    <w:rsid w:val="45032D52"/>
    <w:rsid w:val="45132AAF"/>
    <w:rsid w:val="45E00D45"/>
    <w:rsid w:val="46BA58D8"/>
    <w:rsid w:val="472E25F9"/>
    <w:rsid w:val="47B71E17"/>
    <w:rsid w:val="49333F3A"/>
    <w:rsid w:val="496F29A9"/>
    <w:rsid w:val="49C84E7F"/>
    <w:rsid w:val="4A3F76FD"/>
    <w:rsid w:val="4B785F54"/>
    <w:rsid w:val="4C2D26A8"/>
    <w:rsid w:val="4C9D5A7F"/>
    <w:rsid w:val="4CA3296A"/>
    <w:rsid w:val="4E4D5283"/>
    <w:rsid w:val="4F4538CF"/>
    <w:rsid w:val="502F2E92"/>
    <w:rsid w:val="50B11ACE"/>
    <w:rsid w:val="50EF5EDB"/>
    <w:rsid w:val="51A0500E"/>
    <w:rsid w:val="52697407"/>
    <w:rsid w:val="52937959"/>
    <w:rsid w:val="53406D8D"/>
    <w:rsid w:val="557B450A"/>
    <w:rsid w:val="55A35764"/>
    <w:rsid w:val="56BC0CFD"/>
    <w:rsid w:val="573E39BB"/>
    <w:rsid w:val="578C3B53"/>
    <w:rsid w:val="58145BF7"/>
    <w:rsid w:val="5870297C"/>
    <w:rsid w:val="59617E35"/>
    <w:rsid w:val="5B215F10"/>
    <w:rsid w:val="5B5A2D8E"/>
    <w:rsid w:val="5CD97E21"/>
    <w:rsid w:val="5D0E3E30"/>
    <w:rsid w:val="5D3A2E77"/>
    <w:rsid w:val="5DC3272A"/>
    <w:rsid w:val="5E676DB6"/>
    <w:rsid w:val="5F5A7800"/>
    <w:rsid w:val="5F5ED7F5"/>
    <w:rsid w:val="5FD07342"/>
    <w:rsid w:val="60B30F76"/>
    <w:rsid w:val="62CB7DA8"/>
    <w:rsid w:val="633A772C"/>
    <w:rsid w:val="634405AB"/>
    <w:rsid w:val="63646F00"/>
    <w:rsid w:val="63F55AE2"/>
    <w:rsid w:val="643A6DA1"/>
    <w:rsid w:val="653666D3"/>
    <w:rsid w:val="6578453C"/>
    <w:rsid w:val="68027FCD"/>
    <w:rsid w:val="6808604B"/>
    <w:rsid w:val="68B7181F"/>
    <w:rsid w:val="6A1707C7"/>
    <w:rsid w:val="6A276531"/>
    <w:rsid w:val="6AE0505D"/>
    <w:rsid w:val="6C0B1789"/>
    <w:rsid w:val="6C2549E3"/>
    <w:rsid w:val="6CF144A4"/>
    <w:rsid w:val="6D2E4741"/>
    <w:rsid w:val="6D4F0278"/>
    <w:rsid w:val="6DD4077E"/>
    <w:rsid w:val="6E466854"/>
    <w:rsid w:val="708159DE"/>
    <w:rsid w:val="70C82647"/>
    <w:rsid w:val="70E75BDB"/>
    <w:rsid w:val="713908F6"/>
    <w:rsid w:val="733F6316"/>
    <w:rsid w:val="7445747C"/>
    <w:rsid w:val="76445054"/>
    <w:rsid w:val="7797580B"/>
    <w:rsid w:val="780F2671"/>
    <w:rsid w:val="78CB6517"/>
    <w:rsid w:val="79102039"/>
    <w:rsid w:val="7AA00365"/>
    <w:rsid w:val="7ABA6F15"/>
    <w:rsid w:val="7C217284"/>
    <w:rsid w:val="7D493F2A"/>
    <w:rsid w:val="7D6E474B"/>
    <w:rsid w:val="B5BC83D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unhideWhenUsed/>
    <w:qFormat/>
    <w:uiPriority w:val="0"/>
    <w:rPr>
      <w:rFonts w:ascii="仿宋" w:hAnsi="仿宋" w:eastAsia="仿宋" w:cs="仿宋"/>
      <w:sz w:val="24"/>
      <w:lang w:val="zh-CN" w:bidi="zh-CN"/>
    </w:r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2"/>
    <w:semiHidden/>
    <w:qFormat/>
    <w:uiPriority w:val="0"/>
    <w:pPr>
      <w:snapToGrid w:val="0"/>
      <w:jc w:val="left"/>
    </w:pPr>
    <w:rPr>
      <w:sz w:val="18"/>
      <w:szCs w:val="18"/>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 w:type="paragraph" w:customStyle="1" w:styleId="21">
    <w:name w:val="_Style 7"/>
    <w:basedOn w:val="1"/>
    <w:next w:val="1"/>
    <w:qFormat/>
    <w:uiPriority w:val="99"/>
    <w:pPr>
      <w:ind w:firstLine="420" w:firstLineChars="200"/>
    </w:pPr>
  </w:style>
  <w:style w:type="character" w:customStyle="1" w:styleId="22">
    <w:name w:val="font41"/>
    <w:basedOn w:val="12"/>
    <w:qFormat/>
    <w:uiPriority w:val="0"/>
    <w:rPr>
      <w:rFonts w:hint="default" w:ascii="仿宋_GB2312" w:eastAsia="仿宋_GB2312" w:cs="仿宋_GB2312"/>
      <w:color w:val="000000"/>
      <w:sz w:val="21"/>
      <w:szCs w:val="21"/>
      <w:u w:val="none"/>
    </w:rPr>
  </w:style>
  <w:style w:type="paragraph" w:customStyle="1" w:styleId="23">
    <w:name w:val="p0"/>
    <w:basedOn w:val="1"/>
    <w:qFormat/>
    <w:uiPriority w:val="0"/>
    <w:pPr>
      <w:widowControl/>
    </w:pPr>
    <w:rPr>
      <w:rFonts w:ascii="Times New Roman" w:hAnsi="Times New Roman"/>
      <w:kern w:val="0"/>
      <w:szCs w:val="21"/>
    </w:rPr>
  </w:style>
  <w:style w:type="character" w:customStyle="1" w:styleId="24">
    <w:name w:val="font61"/>
    <w:basedOn w:val="12"/>
    <w:qFormat/>
    <w:uiPriority w:val="0"/>
    <w:rPr>
      <w:rFonts w:ascii="仿宋_GB2312" w:eastAsia="仿宋_GB2312" w:cs="仿宋_GB2312"/>
      <w:b/>
      <w:color w:val="000000"/>
      <w:sz w:val="20"/>
      <w:szCs w:val="20"/>
      <w:u w:val="none"/>
    </w:rPr>
  </w:style>
  <w:style w:type="character" w:customStyle="1" w:styleId="25">
    <w:name w:val="font71"/>
    <w:basedOn w:val="12"/>
    <w:qFormat/>
    <w:uiPriority w:val="0"/>
    <w:rPr>
      <w:rFonts w:hint="default" w:ascii="仿宋_GB2312" w:eastAsia="仿宋_GB2312" w:cs="仿宋_GB2312"/>
      <w:color w:val="000000"/>
      <w:sz w:val="20"/>
      <w:szCs w:val="20"/>
      <w:u w:val="none"/>
    </w:rPr>
  </w:style>
  <w:style w:type="character" w:customStyle="1" w:styleId="26">
    <w:name w:val="font91"/>
    <w:basedOn w:val="12"/>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15516</Words>
  <Characters>20975</Characters>
  <Lines>63</Lines>
  <Paragraphs>18</Paragraphs>
  <TotalTime>57</TotalTime>
  <ScaleCrop>false</ScaleCrop>
  <LinksUpToDate>false</LinksUpToDate>
  <CharactersWithSpaces>21261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2020-07-05T02:32:00Z</dcterms:created>
  <dc:creator>李航 null</dc:creator>
  <cp:lastModifiedBy>lenovo</cp:lastModifiedBy>
  <cp:lastPrinted>2023-08-15T17:28:00Z</cp:lastPrinted>
  <dcterms:modified xsi:type="dcterms:W3CDTF">2024-09-05T08:34:35Z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823AC284B0694179946643ED5168D434_12</vt:lpwstr>
  </property>
</Properties>
</file>