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center"/>
        <w:rPr>
          <w:sz w:val="56"/>
          <w:szCs w:val="56"/>
        </w:rPr>
      </w:pPr>
    </w:p>
    <w:p>
      <w:pPr>
        <w:pStyle w:val="13"/>
        <w:jc w:val="center"/>
        <w:rPr>
          <w:sz w:val="56"/>
          <w:szCs w:val="56"/>
        </w:rPr>
      </w:pPr>
    </w:p>
    <w:p>
      <w:pPr>
        <w:pStyle w:val="13"/>
        <w:jc w:val="center"/>
        <w:rPr>
          <w:sz w:val="84"/>
          <w:szCs w:val="84"/>
        </w:rPr>
      </w:pPr>
    </w:p>
    <w:p>
      <w:pPr>
        <w:pStyle w:val="13"/>
        <w:jc w:val="center"/>
        <w:rPr>
          <w:sz w:val="84"/>
          <w:szCs w:val="84"/>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3"/>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湖南省绿色食品发展中心</w:t>
      </w: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pPr>
        <w:pStyle w:val="13"/>
        <w:jc w:val="center"/>
        <w:rPr>
          <w:rFonts w:hint="eastAsia" w:ascii="方正小标宋_GBK" w:hAnsi="方正小标宋_GBK" w:eastAsia="方正小标宋_GBK" w:cs="方正小标宋_GBK"/>
          <w:sz w:val="56"/>
          <w:szCs w:val="56"/>
        </w:rPr>
      </w:pPr>
    </w:p>
    <w:p>
      <w:pPr>
        <w:pStyle w:val="13"/>
        <w:jc w:val="center"/>
        <w:rPr>
          <w:sz w:val="56"/>
          <w:szCs w:val="56"/>
        </w:rPr>
      </w:pPr>
    </w:p>
    <w:p>
      <w:pPr>
        <w:pStyle w:val="13"/>
        <w:jc w:val="center"/>
        <w:rPr>
          <w:sz w:val="56"/>
          <w:szCs w:val="56"/>
        </w:rPr>
      </w:pPr>
    </w:p>
    <w:p>
      <w:pPr>
        <w:pStyle w:val="13"/>
        <w:jc w:val="center"/>
        <w:rPr>
          <w:sz w:val="56"/>
          <w:szCs w:val="56"/>
        </w:rPr>
      </w:pPr>
    </w:p>
    <w:p>
      <w:pPr>
        <w:pStyle w:val="13"/>
        <w:jc w:val="center"/>
        <w:rPr>
          <w:sz w:val="32"/>
          <w:szCs w:val="32"/>
        </w:rPr>
      </w:pPr>
    </w:p>
    <w:p>
      <w:pPr>
        <w:pStyle w:val="13"/>
        <w:jc w:val="center"/>
        <w:rPr>
          <w:sz w:val="32"/>
          <w:szCs w:val="32"/>
        </w:rPr>
      </w:pPr>
    </w:p>
    <w:p>
      <w:pPr>
        <w:pStyle w:val="13"/>
        <w:jc w:val="center"/>
        <w:rPr>
          <w:sz w:val="32"/>
          <w:szCs w:val="32"/>
        </w:rPr>
      </w:pPr>
    </w:p>
    <w:p>
      <w:pPr>
        <w:pStyle w:val="13"/>
        <w:spacing w:line="500" w:lineRule="exact"/>
        <w:jc w:val="center"/>
        <w:rPr>
          <w:b/>
          <w:sz w:val="36"/>
          <w:szCs w:val="28"/>
        </w:rPr>
      </w:pPr>
      <w:r>
        <w:rPr>
          <w:rFonts w:hint="eastAsia"/>
          <w:b/>
          <w:sz w:val="36"/>
          <w:szCs w:val="28"/>
        </w:rPr>
        <w:t>目录</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湖南省绿色食品发展中心</w:t>
      </w:r>
      <w:r>
        <w:rPr>
          <w:rFonts w:hint="eastAsia" w:ascii="黑体" w:hAnsi="黑体" w:eastAsia="黑体" w:cs="黑体"/>
          <w:b w:val="0"/>
          <w:bCs/>
          <w:sz w:val="28"/>
          <w:szCs w:val="28"/>
        </w:rPr>
        <w:t>概况</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3"/>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3"/>
        <w:spacing w:line="500" w:lineRule="exact"/>
        <w:rPr>
          <w:rFonts w:hint="eastAsia" w:ascii="黑体" w:hAnsi="黑体" w:eastAsia="黑体" w:cs="黑体"/>
          <w:b w:val="0"/>
          <w:bCs/>
          <w:sz w:val="28"/>
          <w:szCs w:val="28"/>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湖南省绿色食品发展中心</w:t>
      </w: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pStyle w:val="2"/>
      </w:pPr>
    </w:p>
    <w:p>
      <w:pPr>
        <w:jc w:val="center"/>
        <w:rPr>
          <w:sz w:val="72"/>
          <w:szCs w:val="72"/>
        </w:rPr>
      </w:pPr>
    </w:p>
    <w:p>
      <w:pPr>
        <w:pStyle w:val="14"/>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spacing w:line="62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组织全省“三品一标”生产加工及绿色食品生产资料新技术研究与协作；承担“三品一标”基地建设示范与推广服务；承担“三标一标”生产操作技术规程的制（修）订工作；负责组织全省“三品一标”的市场开拓与监管、信息服务；承办“三品一标”的行业宣传与专业培训工作。</w:t>
      </w:r>
    </w:p>
    <w:p>
      <w:pPr>
        <w:keepNext w:val="0"/>
        <w:keepLines w:val="0"/>
        <w:pageBreakBefore w:val="0"/>
        <w:widowControl/>
        <w:kinsoku/>
        <w:wordWrap/>
        <w:overflowPunct/>
        <w:topLinePunct w:val="0"/>
        <w:autoSpaceDE/>
        <w:autoSpaceDN/>
        <w:bidi w:val="0"/>
        <w:adjustRightInd/>
        <w:snapToGrid/>
        <w:spacing w:line="580" w:lineRule="exact"/>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spacing w:line="62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s="仿宋"/>
          <w:bCs/>
          <w:kern w:val="0"/>
          <w:sz w:val="32"/>
          <w:szCs w:val="32"/>
        </w:rPr>
        <w:t>（一）内设机构设置。</w:t>
      </w:r>
      <w:r>
        <w:rPr>
          <w:rFonts w:hint="eastAsia" w:ascii="仿宋" w:hAnsi="仿宋" w:eastAsia="仿宋"/>
          <w:color w:val="auto"/>
          <w:sz w:val="32"/>
          <w:szCs w:val="32"/>
          <w:highlight w:val="none"/>
          <w:lang w:eastAsia="zh-CN"/>
        </w:rPr>
        <w:t>湖南省绿色食品发展中心</w:t>
      </w:r>
      <w:r>
        <w:rPr>
          <w:rFonts w:hint="eastAsia" w:ascii="仿宋" w:hAnsi="仿宋" w:eastAsia="仿宋"/>
          <w:color w:val="auto"/>
          <w:sz w:val="32"/>
          <w:szCs w:val="32"/>
          <w:highlight w:val="none"/>
        </w:rPr>
        <w:t>内设机构包括：科技科、综合科、市场科</w:t>
      </w:r>
      <w:r>
        <w:rPr>
          <w:rFonts w:hint="eastAsia" w:ascii="仿宋" w:hAnsi="仿宋" w:eastAsia="仿宋"/>
          <w:color w:val="auto"/>
          <w:sz w:val="32"/>
          <w:szCs w:val="32"/>
          <w:highlight w:val="none"/>
          <w:lang w:val="en-US" w:eastAsia="zh-CN"/>
        </w:rPr>
        <w:t>。</w:t>
      </w:r>
    </w:p>
    <w:p>
      <w:pPr>
        <w:widowControl/>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s="仿宋"/>
          <w:bCs/>
          <w:kern w:val="0"/>
          <w:sz w:val="32"/>
          <w:szCs w:val="32"/>
        </w:rPr>
        <w:t>（二）决算单位构成。</w:t>
      </w:r>
      <w:r>
        <w:rPr>
          <w:rFonts w:hint="eastAsia" w:ascii="仿宋" w:hAnsi="仿宋" w:eastAsia="仿宋"/>
          <w:color w:val="auto"/>
          <w:sz w:val="32"/>
          <w:szCs w:val="32"/>
          <w:highlight w:val="none"/>
          <w:lang w:eastAsia="zh-CN"/>
        </w:rPr>
        <w:t>湖南省绿色食品发展中心202</w:t>
      </w:r>
      <w:r>
        <w:rPr>
          <w:rFonts w:hint="eastAsia" w:ascii="仿宋" w:hAnsi="仿宋" w:eastAsia="仿宋"/>
          <w:color w:val="auto"/>
          <w:sz w:val="32"/>
          <w:szCs w:val="32"/>
          <w:highlight w:val="none"/>
          <w:lang w:val="en-US" w:eastAsia="zh-CN"/>
        </w:rPr>
        <w:t>3</w:t>
      </w:r>
      <w:r>
        <w:rPr>
          <w:rFonts w:hint="eastAsia" w:ascii="仿宋" w:hAnsi="仿宋" w:eastAsia="仿宋"/>
          <w:color w:val="auto"/>
          <w:sz w:val="32"/>
          <w:szCs w:val="32"/>
          <w:highlight w:val="none"/>
          <w:lang w:eastAsia="zh-CN"/>
        </w:rPr>
        <w:t>年部门决算汇总公开单位构成包括：湖南省绿色食品发展中心本级。</w:t>
      </w:r>
    </w:p>
    <w:p>
      <w:pPr>
        <w:keepNext w:val="0"/>
        <w:keepLines w:val="0"/>
        <w:pageBreakBefore w:val="0"/>
        <w:widowControl/>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bCs/>
          <w:kern w:val="0"/>
          <w:sz w:val="32"/>
          <w:szCs w:val="32"/>
        </w:rPr>
      </w:pPr>
    </w:p>
    <w:p>
      <w:pPr>
        <w:jc w:val="left"/>
        <w:rPr>
          <w:rFonts w:hint="eastAsia" w:ascii="仿宋" w:hAnsi="仿宋" w:eastAsia="仿宋" w:cs="仿宋"/>
          <w:sz w:val="32"/>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3"/>
        <w:jc w:val="center"/>
        <w:rPr>
          <w:rFonts w:hint="eastAsia" w:ascii="方正小标宋_GBK" w:hAnsi="方正小标宋_GBK" w:eastAsia="方正小标宋_GBK" w:cs="方正小标宋_GBK"/>
          <w:sz w:val="84"/>
          <w:szCs w:val="84"/>
        </w:rPr>
      </w:pPr>
    </w:p>
    <w:p>
      <w:pPr>
        <w:pStyle w:val="13"/>
        <w:jc w:val="center"/>
        <w:rPr>
          <w:sz w:val="72"/>
          <w:szCs w:val="72"/>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8"/>
        <w:tblW w:w="13381" w:type="dxa"/>
        <w:tblInd w:w="75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298"/>
        <w:gridCol w:w="603"/>
        <w:gridCol w:w="891"/>
        <w:gridCol w:w="5169"/>
        <w:gridCol w:w="603"/>
        <w:gridCol w:w="18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3381" w:type="dxa"/>
            <w:gridSpan w:val="6"/>
            <w:tcBorders>
              <w:top w:val="nil"/>
              <w:left w:val="nil"/>
              <w:bottom w:val="nil"/>
              <w:right w:val="nil"/>
            </w:tcBorders>
            <w:shd w:val="clear" w:color="auto" w:fill="auto"/>
            <w:noWrap/>
            <w:tcMar>
              <w:top w:w="10" w:type="dxa"/>
              <w:left w:w="10" w:type="dxa"/>
              <w:right w:w="10" w:type="dxa"/>
            </w:tcMar>
            <w:vAlign w:val="center"/>
          </w:tcPr>
          <w:p>
            <w:pPr>
              <w:widowControl/>
              <w:jc w:val="center"/>
              <w:rPr>
                <w:rFonts w:hint="eastAsia" w:ascii="宋体" w:hAnsi="宋体" w:eastAsia="宋体" w:cs="宋体"/>
                <w:b/>
                <w:i w:val="0"/>
                <w:color w:val="000000"/>
                <w:sz w:val="28"/>
                <w:szCs w:val="28"/>
                <w:u w:val="none"/>
              </w:rPr>
            </w:pPr>
            <w:r>
              <w:rPr>
                <w:rFonts w:ascii="Times New Roman" w:hAnsi="Times New Roman" w:eastAsia="黑体" w:cs="Times New Roman"/>
                <w:bCs/>
                <w:kern w:val="0"/>
                <w:sz w:val="32"/>
                <w:szCs w:val="32"/>
              </w:rPr>
              <w:br w:type="page"/>
            </w:r>
            <w:r>
              <w:rPr>
                <w:rFonts w:hint="eastAsia" w:ascii="宋体" w:hAnsi="宋体" w:eastAsia="宋体" w:cs="宋体"/>
                <w:b/>
                <w:i w:val="0"/>
                <w:color w:val="000000"/>
                <w:kern w:val="0"/>
                <w:sz w:val="28"/>
                <w:szCs w:val="28"/>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429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0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89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16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0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817"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4298" w:type="dxa"/>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部门：湖南省绿色食品发展中心</w:t>
            </w:r>
          </w:p>
        </w:tc>
        <w:tc>
          <w:tcPr>
            <w:tcW w:w="60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89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16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0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817"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7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75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156.26</w:t>
            </w: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27.59</w:t>
            </w: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19.26</w:t>
            </w: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184.29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203.11</w:t>
            </w: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197.29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使用非财政拨款结余和专用结余</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60.20</w:t>
            </w: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2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263.31</w:t>
            </w:r>
          </w:p>
        </w:tc>
        <w:tc>
          <w:tcPr>
            <w:tcW w:w="51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263.31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381"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注：1.本表反映部门本年度的总收支和年末结转结余情况。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381"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2.本套报表金额单位转换时可能存在尾数误差。</w:t>
            </w:r>
          </w:p>
        </w:tc>
      </w:tr>
    </w:tbl>
    <w:p>
      <w:pPr>
        <w:widowControl/>
        <w:jc w:val="left"/>
        <w:rPr>
          <w:rFonts w:ascii="Times New Roman" w:hAnsi="Times New Roman" w:eastAsia="黑体" w:cs="Times New Roman"/>
          <w:bCs/>
          <w:kern w:val="0"/>
          <w:sz w:val="32"/>
          <w:szCs w:val="32"/>
        </w:rPr>
      </w:pPr>
    </w:p>
    <w:p>
      <w:pPr>
        <w:widowControl/>
        <w:rPr>
          <w:rFonts w:ascii="Times New Roman" w:hAnsi="Times New Roman" w:eastAsia="方正小标宋_GBK" w:cs="Times New Roman"/>
          <w:color w:val="000000"/>
          <w:kern w:val="0"/>
          <w:sz w:val="36"/>
          <w:szCs w:val="36"/>
        </w:rPr>
      </w:pPr>
    </w:p>
    <w:p>
      <w:pPr>
        <w:widowControl/>
        <w:jc w:val="both"/>
        <w:rPr>
          <w:rFonts w:ascii="Times New Roman" w:hAnsi="Times New Roman" w:eastAsia="方正小标宋_GBK" w:cs="Times New Roman"/>
          <w:color w:val="000000"/>
          <w:kern w:val="0"/>
          <w:sz w:val="36"/>
          <w:szCs w:val="21"/>
        </w:rPr>
      </w:pPr>
    </w:p>
    <w:p>
      <w:pPr>
        <w:widowControl/>
        <w:jc w:val="center"/>
        <w:rPr>
          <w:rFonts w:ascii="Times New Roman" w:hAnsi="Times New Roman" w:eastAsia="方正小标宋_GBK" w:cs="Times New Roman"/>
          <w:kern w:val="0"/>
          <w:sz w:val="36"/>
          <w:szCs w:val="36"/>
        </w:rPr>
      </w:pPr>
      <w:bookmarkStart w:id="0" w:name="RANGE!A1:I22"/>
      <w:bookmarkEnd w:id="0"/>
      <w:bookmarkStart w:id="1" w:name="RANGE!A1:F16"/>
    </w:p>
    <w:p>
      <w:pPr>
        <w:widowControl/>
        <w:jc w:val="center"/>
        <w:rPr>
          <w:rFonts w:ascii="Times New Roman" w:hAnsi="Times New Roman" w:eastAsia="方正小标宋_GBK" w:cs="Times New Roman"/>
          <w:kern w:val="0"/>
          <w:sz w:val="36"/>
          <w:szCs w:val="36"/>
        </w:rPr>
        <w:sectPr>
          <w:pgSz w:w="16838" w:h="11906" w:orient="landscape"/>
          <w:pgMar w:top="720" w:right="720" w:bottom="720" w:left="720" w:header="851" w:footer="992" w:gutter="0"/>
          <w:cols w:space="425" w:num="1"/>
          <w:docGrid w:type="lines" w:linePitch="312" w:charSpace="0"/>
        </w:sectPr>
      </w:pPr>
    </w:p>
    <w:tbl>
      <w:tblPr>
        <w:tblStyle w:val="8"/>
        <w:tblW w:w="155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693"/>
        <w:gridCol w:w="2188"/>
        <w:gridCol w:w="1907"/>
        <w:gridCol w:w="1816"/>
        <w:gridCol w:w="1726"/>
        <w:gridCol w:w="1817"/>
        <w:gridCol w:w="1726"/>
        <w:gridCol w:w="1726"/>
        <w:gridCol w:w="14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5559" w:type="dxa"/>
            <w:gridSpan w:val="11"/>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9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18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90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816"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72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81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72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72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32"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5316" w:type="dxa"/>
            <w:gridSpan w:val="5"/>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部门：湖南省绿色食品发展中心</w:t>
            </w:r>
          </w:p>
        </w:tc>
        <w:tc>
          <w:tcPr>
            <w:tcW w:w="1816"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72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81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72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72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32"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09"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90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72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81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72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72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43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218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18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18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09"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9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8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8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09"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203.11</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156.26</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27.59</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19.26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21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190.11</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143.26</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27.59</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21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190.11</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143.26</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27.59</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21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10.26</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10.26</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21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104.85</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58.00</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27.59</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21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75.00</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75.00</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21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21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21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18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559" w:type="dxa"/>
            <w:gridSpan w:val="11"/>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注：本表反映部门本年度取得的各项收入情况。</w:t>
            </w:r>
          </w:p>
        </w:tc>
      </w:tr>
    </w:tbl>
    <w:p>
      <w:pPr>
        <w:pStyle w:val="2"/>
        <w:sectPr>
          <w:pgSz w:w="16838" w:h="11906" w:orient="landscape"/>
          <w:pgMar w:top="720" w:right="720" w:bottom="720" w:left="720" w:header="851" w:footer="992" w:gutter="0"/>
          <w:cols w:space="425" w:num="1"/>
          <w:docGrid w:type="lines" w:linePitch="312" w:charSpace="0"/>
        </w:sectPr>
      </w:pPr>
    </w:p>
    <w:tbl>
      <w:tblPr>
        <w:tblStyle w:val="8"/>
        <w:tblW w:w="14710" w:type="dxa"/>
        <w:tblInd w:w="42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56"/>
        <w:gridCol w:w="256"/>
        <w:gridCol w:w="675"/>
        <w:gridCol w:w="2600"/>
        <w:gridCol w:w="1851"/>
        <w:gridCol w:w="1851"/>
        <w:gridCol w:w="1764"/>
        <w:gridCol w:w="1676"/>
        <w:gridCol w:w="1676"/>
        <w:gridCol w:w="21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4710" w:type="dxa"/>
            <w:gridSpan w:val="10"/>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25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5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7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0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85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851"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76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67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67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2105"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5638" w:type="dxa"/>
            <w:gridSpan w:val="5"/>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部门：湖南省绿色食品发展中心</w:t>
            </w:r>
          </w:p>
        </w:tc>
        <w:tc>
          <w:tcPr>
            <w:tcW w:w="1851"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76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67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67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2105"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8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85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85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76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67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67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210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260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8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1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60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1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60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1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8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7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210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8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8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197.29</w:t>
            </w:r>
          </w:p>
        </w:tc>
        <w:tc>
          <w:tcPr>
            <w:tcW w:w="18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102.22</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95.07</w:t>
            </w:r>
          </w:p>
        </w:tc>
        <w:tc>
          <w:tcPr>
            <w:tcW w:w="16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6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21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8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184.29</w:t>
            </w:r>
          </w:p>
        </w:tc>
        <w:tc>
          <w:tcPr>
            <w:tcW w:w="18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89.22</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95.07</w:t>
            </w:r>
          </w:p>
        </w:tc>
        <w:tc>
          <w:tcPr>
            <w:tcW w:w="16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1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8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184.29</w:t>
            </w:r>
          </w:p>
        </w:tc>
        <w:tc>
          <w:tcPr>
            <w:tcW w:w="18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89.22</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95.07</w:t>
            </w:r>
          </w:p>
        </w:tc>
        <w:tc>
          <w:tcPr>
            <w:tcW w:w="16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1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8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10.26</w:t>
            </w:r>
          </w:p>
        </w:tc>
        <w:tc>
          <w:tcPr>
            <w:tcW w:w="18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10.26</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1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8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87.52</w:t>
            </w:r>
          </w:p>
        </w:tc>
        <w:tc>
          <w:tcPr>
            <w:tcW w:w="18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78.96</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8.56</w:t>
            </w:r>
          </w:p>
        </w:tc>
        <w:tc>
          <w:tcPr>
            <w:tcW w:w="16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1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8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86.51</w:t>
            </w:r>
          </w:p>
        </w:tc>
        <w:tc>
          <w:tcPr>
            <w:tcW w:w="18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86.51</w:t>
            </w:r>
          </w:p>
        </w:tc>
        <w:tc>
          <w:tcPr>
            <w:tcW w:w="16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1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8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18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1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8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18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1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18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1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710" w:type="dxa"/>
            <w:gridSpan w:val="10"/>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注：本表反映部门本年度各项支出情况。</w:t>
            </w:r>
          </w:p>
        </w:tc>
      </w:tr>
    </w:tbl>
    <w:p>
      <w:pPr>
        <w:pStyle w:val="3"/>
        <w:sectPr>
          <w:pgSz w:w="16838" w:h="11906" w:orient="landscape"/>
          <w:pgMar w:top="720" w:right="720" w:bottom="720" w:left="720" w:header="851" w:footer="992" w:gutter="0"/>
          <w:cols w:space="425" w:num="1"/>
          <w:docGrid w:type="lines" w:linePitch="312" w:charSpace="0"/>
        </w:sectPr>
      </w:pPr>
    </w:p>
    <w:tbl>
      <w:tblPr>
        <w:tblStyle w:val="8"/>
        <w:tblW w:w="1528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521"/>
        <w:gridCol w:w="467"/>
        <w:gridCol w:w="1358"/>
        <w:gridCol w:w="4337"/>
        <w:gridCol w:w="467"/>
        <w:gridCol w:w="832"/>
        <w:gridCol w:w="1358"/>
        <w:gridCol w:w="1224"/>
        <w:gridCol w:w="17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5287" w:type="dxa"/>
            <w:gridSpan w:val="9"/>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352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6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35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33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6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832"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358"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22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723"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5346" w:type="dxa"/>
            <w:gridSpan w:val="3"/>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部门：湖南省绿色食品发展中心</w:t>
            </w:r>
          </w:p>
        </w:tc>
        <w:tc>
          <w:tcPr>
            <w:tcW w:w="433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6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832"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358"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22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723"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34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9941"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5" w:hRule="atLeast"/>
        </w:trPr>
        <w:tc>
          <w:tcPr>
            <w:tcW w:w="352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6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35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33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6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35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22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17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35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3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156.26</w:t>
            </w: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154.77</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154.77</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156.26</w:t>
            </w: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167.77</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167.77</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16.05</w:t>
            </w: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4.53</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4.53</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16.05</w:t>
            </w: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172.31</w:t>
            </w:r>
          </w:p>
        </w:tc>
        <w:tc>
          <w:tcPr>
            <w:tcW w:w="43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172.31</w:t>
            </w:r>
          </w:p>
        </w:tc>
        <w:tc>
          <w:tcPr>
            <w:tcW w:w="13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172.31</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564" w:type="dxa"/>
            <w:gridSpan w:val="8"/>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注：本表反映部门本年度一般公共预算财政拨款、政府性基金预算财政拨款和国有资本经营预算财政拨款的总收支和年末结转结余情况。</w:t>
            </w:r>
          </w:p>
        </w:tc>
        <w:tc>
          <w:tcPr>
            <w:tcW w:w="1723" w:type="dxa"/>
            <w:tcBorders>
              <w:top w:val="nil"/>
              <w:left w:val="nil"/>
              <w:bottom w:val="nil"/>
              <w:right w:val="nil"/>
            </w:tcBorders>
            <w:shd w:val="clear" w:color="auto" w:fill="FFFFFF"/>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r>
      <w:bookmarkEnd w:id="1"/>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8"/>
        <w:tblW w:w="11644" w:type="dxa"/>
        <w:tblInd w:w="150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761"/>
        <w:gridCol w:w="3733"/>
        <w:gridCol w:w="2092"/>
        <w:gridCol w:w="2007"/>
        <w:gridCol w:w="25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11644" w:type="dxa"/>
            <w:gridSpan w:val="7"/>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76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73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09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007"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2523"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7114" w:type="dxa"/>
            <w:gridSpan w:val="5"/>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部门：湖南省绿色食品发展中心</w:t>
            </w:r>
          </w:p>
        </w:tc>
        <w:tc>
          <w:tcPr>
            <w:tcW w:w="2007"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2523"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2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622"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8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373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09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200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128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73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8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73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2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2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0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2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167.77</w:t>
            </w:r>
          </w:p>
        </w:tc>
        <w:tc>
          <w:tcPr>
            <w:tcW w:w="20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81.26</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86.51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2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154.77</w:t>
            </w:r>
          </w:p>
        </w:tc>
        <w:tc>
          <w:tcPr>
            <w:tcW w:w="20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68.26</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2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154.77</w:t>
            </w:r>
          </w:p>
        </w:tc>
        <w:tc>
          <w:tcPr>
            <w:tcW w:w="20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68.26</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2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10.26</w:t>
            </w:r>
          </w:p>
        </w:tc>
        <w:tc>
          <w:tcPr>
            <w:tcW w:w="20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10.26</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2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58.00</w:t>
            </w:r>
          </w:p>
        </w:tc>
        <w:tc>
          <w:tcPr>
            <w:tcW w:w="20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58.00</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2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86.51</w:t>
            </w:r>
          </w:p>
        </w:tc>
        <w:tc>
          <w:tcPr>
            <w:tcW w:w="20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2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20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2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20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2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20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2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644" w:type="dxa"/>
            <w:gridSpan w:val="7"/>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注：本表反映部门本年度一般公共预算财政拨款支出情况。</w:t>
            </w:r>
          </w:p>
        </w:tc>
      </w:tr>
    </w:tbl>
    <w:p>
      <w:pPr>
        <w:widowControl/>
        <w:jc w:val="left"/>
        <w:rPr>
          <w:rFonts w:ascii="Times New Roman" w:hAnsi="Times New Roman" w:eastAsia="仿宋_GB2312" w:cs="Times New Roman"/>
          <w:bCs/>
          <w:kern w:val="0"/>
          <w:szCs w:val="21"/>
        </w:rPr>
        <w:sectPr>
          <w:pgSz w:w="16838" w:h="11906" w:orient="landscape"/>
          <w:pgMar w:top="720" w:right="720" w:bottom="720" w:left="720" w:header="851" w:footer="992" w:gutter="0"/>
          <w:cols w:space="425" w:num="1"/>
          <w:docGrid w:type="lines" w:linePitch="312" w:charSpace="0"/>
        </w:sectPr>
      </w:pPr>
    </w:p>
    <w:p>
      <w:pPr>
        <w:pStyle w:val="2"/>
        <w:sectPr>
          <w:pgSz w:w="16838" w:h="11906" w:orient="landscape"/>
          <w:pgMar w:top="720" w:right="720" w:bottom="720" w:left="720" w:header="851" w:footer="992" w:gutter="0"/>
          <w:cols w:space="425" w:num="1"/>
          <w:docGrid w:type="lines" w:linePitch="312" w:charSpace="0"/>
        </w:sectPr>
      </w:pPr>
      <w:r>
        <w:drawing>
          <wp:inline distT="0" distB="0" distL="114300" distR="114300">
            <wp:extent cx="9763760" cy="5977890"/>
            <wp:effectExtent l="0" t="0" r="254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9763760" cy="5977890"/>
                    </a:xfrm>
                    <a:prstGeom prst="rect">
                      <a:avLst/>
                    </a:prstGeom>
                    <a:noFill/>
                    <a:ln>
                      <a:noFill/>
                    </a:ln>
                  </pic:spPr>
                </pic:pic>
              </a:graphicData>
            </a:graphic>
          </wp:inline>
        </w:drawing>
      </w:r>
    </w:p>
    <w:p>
      <w:pPr>
        <w:pStyle w:val="3"/>
      </w:pPr>
    </w:p>
    <w:tbl>
      <w:tblPr>
        <w:tblStyle w:val="8"/>
        <w:tblW w:w="153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3"/>
        <w:gridCol w:w="240"/>
        <w:gridCol w:w="1402"/>
        <w:gridCol w:w="2119"/>
        <w:gridCol w:w="2119"/>
        <w:gridCol w:w="2119"/>
        <w:gridCol w:w="2119"/>
        <w:gridCol w:w="2119"/>
        <w:gridCol w:w="21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90" w:hRule="atLeast"/>
        </w:trPr>
        <w:tc>
          <w:tcPr>
            <w:tcW w:w="15360" w:type="dxa"/>
            <w:gridSpan w:val="9"/>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5" w:hRule="atLeast"/>
        </w:trPr>
        <w:tc>
          <w:tcPr>
            <w:tcW w:w="1003"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40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90" w:hRule="atLeast"/>
        </w:trPr>
        <w:tc>
          <w:tcPr>
            <w:tcW w:w="4764" w:type="dxa"/>
            <w:gridSpan w:val="4"/>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部门：湖南省绿色食品发展中心</w:t>
            </w: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Style w:val="16"/>
                <w:lang w:val="en-US" w:eastAsia="zh-CN" w:bidi="ar"/>
              </w:rPr>
              <w:t xml:space="preserve">   </w:t>
            </w:r>
            <w:r>
              <w:rPr>
                <w:rStyle w:val="17"/>
                <w:lang w:val="en-US" w:eastAsia="zh-CN" w:bidi="ar"/>
              </w:rPr>
              <w:t>目</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63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25" w:hRule="atLeast"/>
        </w:trPr>
        <w:tc>
          <w:tcPr>
            <w:tcW w:w="15360" w:type="dxa"/>
            <w:gridSpan w:val="9"/>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tbl>
      <w:tblPr>
        <w:tblStyle w:val="8"/>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部门：湖南省绿色食品发展中心</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Style w:val="18"/>
                <w:lang w:val="en-US" w:eastAsia="zh-CN" w:bidi="ar"/>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000000"/>
          <w:kern w:val="0"/>
          <w:sz w:val="36"/>
          <w:szCs w:val="36"/>
        </w:rPr>
      </w:pPr>
    </w:p>
    <w:tbl>
      <w:tblPr>
        <w:tblStyle w:val="8"/>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部门：湖南省绿色食品发展中心</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lang w:val="en-US" w:eastAsia="zh-CN"/>
              </w:rPr>
            </w:pPr>
            <w:r>
              <w:rPr>
                <w:rFonts w:hint="eastAsia"/>
                <w:lang w:val="en-US" w:eastAsia="zh-CN"/>
              </w:rPr>
              <w:t>注：本表反映部门本年度财政拨款“三公”经费支出预决算情况。其中，预算数为“三公”经费全年预算数，反映按规定程序调整后的预算数；决算数是包括当年财政拨款和以前年度结转资金安排的实际支出。</w:t>
            </w:r>
          </w:p>
          <w:p>
            <w:pPr>
              <w:pStyle w:val="2"/>
              <w:rPr>
                <w:rFonts w:hint="eastAsia"/>
              </w:rPr>
            </w:pPr>
            <w:r>
              <w:rPr>
                <w:rFonts w:hint="eastAsia" w:ascii="楷体" w:hAnsi="楷体" w:eastAsia="楷体" w:cs="楷体"/>
                <w:b/>
                <w:bCs/>
                <w:i w:val="0"/>
                <w:color w:val="auto"/>
                <w:kern w:val="0"/>
                <w:sz w:val="24"/>
                <w:szCs w:val="24"/>
                <w:u w:val="none"/>
                <w:lang w:val="en-US" w:eastAsia="zh-CN" w:bidi="ar"/>
              </w:rPr>
              <w:t>说明：我单位没有财政拨款“三公”经费支出，故本表无数据。</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szCs w:val="21"/>
        </w:rPr>
        <w:br w:type="page"/>
      </w:r>
    </w:p>
    <w:p>
      <w:pPr>
        <w:pStyle w:val="13"/>
        <w:rPr>
          <w:sz w:val="72"/>
          <w:szCs w:val="72"/>
        </w:rPr>
      </w:pPr>
    </w:p>
    <w:p>
      <w:pPr>
        <w:pStyle w:val="13"/>
        <w:rPr>
          <w:sz w:val="72"/>
          <w:szCs w:val="72"/>
        </w:rPr>
      </w:pPr>
    </w:p>
    <w:p>
      <w:pPr>
        <w:pStyle w:val="13"/>
        <w:rPr>
          <w:sz w:val="72"/>
          <w:szCs w:val="72"/>
        </w:rPr>
      </w:pPr>
    </w:p>
    <w:p>
      <w:pPr>
        <w:pStyle w:val="13"/>
        <w:rPr>
          <w:sz w:val="72"/>
          <w:szCs w:val="72"/>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3"/>
        <w:jc w:val="center"/>
        <w:rPr>
          <w:rFonts w:hint="eastAsia" w:ascii="方正小标宋_GBK" w:hAnsi="方正小标宋_GBK" w:eastAsia="方正小标宋_GBK" w:cs="方正小标宋_GBK"/>
          <w:sz w:val="70"/>
          <w:szCs w:val="70"/>
        </w:rPr>
      </w:pPr>
    </w:p>
    <w:p>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rPr>
          <w:rFonts w:hint="eastAsia" w:ascii="方正小标宋_GBK" w:hAnsi="方正小标宋_GBK" w:eastAsia="方正小标宋_GBK" w:cs="方正小标宋_GBK"/>
          <w:sz w:val="70"/>
          <w:szCs w:val="70"/>
        </w:rPr>
        <w:br w:type="page"/>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263.31</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40.11</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13.22</w:t>
      </w:r>
      <w:r>
        <w:rPr>
          <w:rFonts w:hint="eastAsia" w:ascii="Times New Roman" w:hAnsi="Times New Roman" w:eastAsia="仿宋_GB2312"/>
          <w:sz w:val="32"/>
          <w:szCs w:val="32"/>
        </w:rPr>
        <w:t>%，主要是因为</w:t>
      </w:r>
      <w:r>
        <w:rPr>
          <w:rFonts w:hint="eastAsia" w:ascii="Times New Roman" w:hAnsi="Times New Roman" w:eastAsia="仿宋_GB2312"/>
          <w:color w:val="auto"/>
          <w:sz w:val="32"/>
          <w:szCs w:val="32"/>
          <w:highlight w:val="none"/>
        </w:rPr>
        <w:t>绿色、有机食品博览会</w:t>
      </w:r>
      <w:r>
        <w:rPr>
          <w:rFonts w:hint="eastAsia" w:ascii="Times New Roman" w:hAnsi="Times New Roman" w:eastAsia="仿宋_GB2312"/>
          <w:color w:val="auto"/>
          <w:sz w:val="32"/>
          <w:szCs w:val="32"/>
          <w:highlight w:val="none"/>
          <w:lang w:val="en-US" w:eastAsia="zh-CN"/>
        </w:rPr>
        <w:t>项目经费的减少。</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3"/>
        <w:keepNext w:val="0"/>
        <w:keepLines w:val="0"/>
        <w:pageBreakBefore w:val="0"/>
        <w:numPr>
          <w:ilvl w:val="0"/>
          <w:numId w:val="0"/>
        </w:numPr>
        <w:kinsoku/>
        <w:wordWrap/>
        <w:overflowPunct/>
        <w:topLinePunct w:val="0"/>
        <w:bidi w:val="0"/>
        <w:snapToGrid/>
        <w:spacing w:line="58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2022年度收入合计</w:t>
      </w:r>
      <w:r>
        <w:rPr>
          <w:rFonts w:hint="eastAsia" w:ascii="Times New Roman" w:hAnsi="Times New Roman" w:eastAsia="仿宋_GB2312"/>
          <w:sz w:val="32"/>
          <w:szCs w:val="32"/>
          <w:lang w:val="en-US" w:eastAsia="zh-CN"/>
        </w:rPr>
        <w:t>203.11</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156.26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76.93</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27.59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13.58</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19.26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9.48</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3"/>
        <w:keepNext w:val="0"/>
        <w:keepLines w:val="0"/>
        <w:pageBreakBefore w:val="0"/>
        <w:numPr>
          <w:ilvl w:val="0"/>
          <w:numId w:val="0"/>
        </w:numPr>
        <w:kinsoku/>
        <w:wordWrap/>
        <w:overflowPunct/>
        <w:topLinePunct w:val="0"/>
        <w:bidi w:val="0"/>
        <w:snapToGrid/>
        <w:spacing w:line="58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197.29</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102.22</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51.81</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95.07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48.19</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172.31</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29.91</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减少</w:t>
      </w:r>
      <w:r>
        <w:rPr>
          <w:rFonts w:hint="eastAsia" w:ascii="Times New Roman" w:hAnsi="Times New Roman" w:eastAsia="仿宋_GB2312"/>
          <w:sz w:val="32"/>
          <w:szCs w:val="32"/>
          <w:lang w:val="en-US" w:eastAsia="zh-CN"/>
        </w:rPr>
        <w:t>14.79</w:t>
      </w:r>
      <w:r>
        <w:rPr>
          <w:rFonts w:hint="eastAsia" w:ascii="Times New Roman" w:hAnsi="Times New Roman" w:eastAsia="仿宋_GB2312"/>
          <w:sz w:val="32"/>
          <w:szCs w:val="32"/>
        </w:rPr>
        <w:t>%，主要是因为</w:t>
      </w:r>
      <w:r>
        <w:rPr>
          <w:rFonts w:hint="eastAsia" w:ascii="Times New Roman" w:hAnsi="Times New Roman" w:eastAsia="仿宋_GB2312"/>
          <w:color w:val="auto"/>
          <w:sz w:val="32"/>
          <w:szCs w:val="32"/>
          <w:highlight w:val="none"/>
        </w:rPr>
        <w:t>绿色、有机食品博览会</w:t>
      </w:r>
      <w:r>
        <w:rPr>
          <w:rFonts w:hint="eastAsia" w:ascii="Times New Roman" w:hAnsi="Times New Roman" w:eastAsia="仿宋_GB2312"/>
          <w:color w:val="auto"/>
          <w:sz w:val="32"/>
          <w:szCs w:val="32"/>
          <w:highlight w:val="none"/>
          <w:lang w:val="en-US" w:eastAsia="zh-CN"/>
        </w:rPr>
        <w:t>项目经费的减少。</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167.77</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85.04</w:t>
      </w:r>
      <w:r>
        <w:rPr>
          <w:rFonts w:hint="eastAsia" w:ascii="Times New Roman" w:hAnsi="Times New Roman" w:eastAsia="仿宋_GB2312"/>
          <w:sz w:val="32"/>
          <w:szCs w:val="32"/>
        </w:rPr>
        <w:t>%，与上年相比，财政拨款支出增加</w:t>
      </w:r>
      <w:r>
        <w:rPr>
          <w:rFonts w:hint="eastAsia" w:ascii="Times New Roman" w:hAnsi="Times New Roman" w:eastAsia="仿宋_GB2312"/>
          <w:sz w:val="32"/>
          <w:szCs w:val="32"/>
          <w:lang w:val="en-US" w:eastAsia="zh-CN"/>
        </w:rPr>
        <w:t>16.43</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9.79</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年中追加人员经费。</w:t>
      </w:r>
    </w:p>
    <w:p>
      <w:pPr>
        <w:pStyle w:val="13"/>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（二）一般公共预算财政拨款支出决算结构情况</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 w:hAnsi="仿宋" w:eastAsia="仿宋" w:cs="仿宋"/>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167.77</w:t>
      </w:r>
      <w:r>
        <w:rPr>
          <w:rFonts w:hint="eastAsia" w:ascii="Times New Roman" w:hAnsi="Times New Roman" w:eastAsia="仿宋_GB2312"/>
          <w:sz w:val="32"/>
          <w:szCs w:val="32"/>
        </w:rPr>
        <w:t>万元，主要用于以下方面：</w:t>
      </w:r>
      <w:r>
        <w:rPr>
          <w:rFonts w:hint="eastAsia" w:ascii="仿宋" w:hAnsi="仿宋" w:eastAsia="仿宋" w:cs="仿宋"/>
          <w:sz w:val="32"/>
          <w:szCs w:val="32"/>
        </w:rPr>
        <w:t>农林水</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类）</w:t>
      </w:r>
      <w:r>
        <w:rPr>
          <w:rFonts w:hint="eastAsia" w:ascii="仿宋" w:hAnsi="仿宋" w:eastAsia="仿宋" w:cs="仿宋"/>
          <w:sz w:val="32"/>
          <w:szCs w:val="32"/>
        </w:rPr>
        <w:t>支出</w:t>
      </w:r>
      <w:r>
        <w:rPr>
          <w:rFonts w:hint="eastAsia" w:ascii="仿宋" w:hAnsi="仿宋" w:eastAsia="仿宋" w:cs="仿宋"/>
          <w:sz w:val="32"/>
          <w:szCs w:val="32"/>
          <w:lang w:val="en-US" w:eastAsia="zh-CN"/>
        </w:rPr>
        <w:t>167.77</w:t>
      </w:r>
      <w:r>
        <w:rPr>
          <w:rFonts w:hint="eastAsia" w:ascii="仿宋" w:hAnsi="仿宋" w:eastAsia="仿宋" w:cs="仿宋"/>
          <w:sz w:val="32"/>
          <w:szCs w:val="32"/>
        </w:rPr>
        <w:t>万元，占</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162.05</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167.77</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农林水（类）农业农村（款）行政运行（项）。</w:t>
      </w:r>
    </w:p>
    <w:p>
      <w:pPr>
        <w:pStyle w:val="13"/>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sz w:val="32"/>
          <w:szCs w:val="32"/>
          <w:lang w:val="en-US" w:eastAsia="zh-CN"/>
        </w:rPr>
      </w:pPr>
      <w:r>
        <w:rPr>
          <w:rFonts w:hint="eastAsia" w:ascii="仿宋" w:hAnsi="仿宋" w:eastAsia="仿宋" w:cs="仿宋"/>
          <w:sz w:val="32"/>
          <w:szCs w:val="32"/>
        </w:rPr>
        <w:t>年初预算为</w:t>
      </w:r>
      <w:r>
        <w:rPr>
          <w:rFonts w:hint="eastAsia" w:ascii="仿宋" w:hAnsi="仿宋" w:eastAsia="仿宋" w:cs="仿宋"/>
          <w:sz w:val="32"/>
          <w:szCs w:val="32"/>
          <w:lang w:val="en-US" w:eastAsia="zh-CN"/>
        </w:rPr>
        <w:t>0</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10.26</w:t>
      </w:r>
      <w:r>
        <w:rPr>
          <w:rFonts w:hint="eastAsia" w:ascii="仿宋" w:hAnsi="仿宋" w:eastAsia="仿宋" w:cs="仿宋"/>
          <w:sz w:val="32"/>
          <w:szCs w:val="32"/>
        </w:rPr>
        <w:t>万元，决算数</w:t>
      </w:r>
      <w:r>
        <w:rPr>
          <w:rFonts w:hint="eastAsia" w:ascii="仿宋" w:hAnsi="仿宋" w:eastAsia="仿宋" w:cs="仿宋"/>
          <w:sz w:val="32"/>
          <w:szCs w:val="32"/>
          <w:lang w:eastAsia="zh-CN"/>
        </w:rPr>
        <w:t>大</w:t>
      </w:r>
      <w:r>
        <w:rPr>
          <w:rFonts w:hint="eastAsia" w:ascii="仿宋" w:hAnsi="仿宋" w:eastAsia="仿宋" w:cs="仿宋"/>
          <w:sz w:val="32"/>
          <w:szCs w:val="32"/>
        </w:rPr>
        <w:t>于年初预算数的主要原因是</w:t>
      </w:r>
      <w:r>
        <w:rPr>
          <w:rFonts w:hint="eastAsia" w:ascii="仿宋" w:hAnsi="仿宋" w:eastAsia="仿宋" w:cs="仿宋"/>
          <w:sz w:val="32"/>
          <w:szCs w:val="32"/>
          <w:lang w:val="en-US" w:eastAsia="zh-CN"/>
        </w:rPr>
        <w:t>年中</w:t>
      </w:r>
      <w:r>
        <w:rPr>
          <w:rFonts w:hint="eastAsia" w:ascii="Times New Roman" w:hAnsi="Times New Roman" w:eastAsia="仿宋_GB2312"/>
          <w:sz w:val="32"/>
          <w:szCs w:val="32"/>
          <w:lang w:val="en-US" w:eastAsia="zh-CN"/>
        </w:rPr>
        <w:t>追加人员经费。</w:t>
      </w:r>
    </w:p>
    <w:p>
      <w:pPr>
        <w:pStyle w:val="13"/>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农林水（类）</w:t>
      </w:r>
      <w:r>
        <w:rPr>
          <w:rFonts w:hint="eastAsia" w:ascii="仿宋" w:hAnsi="仿宋" w:eastAsia="仿宋" w:cs="仿宋"/>
          <w:sz w:val="32"/>
          <w:szCs w:val="32"/>
          <w:lang w:eastAsia="zh-CN"/>
        </w:rPr>
        <w:t>水利</w:t>
      </w:r>
      <w:r>
        <w:rPr>
          <w:rFonts w:hint="eastAsia" w:ascii="仿宋" w:hAnsi="仿宋" w:eastAsia="仿宋" w:cs="仿宋"/>
          <w:sz w:val="32"/>
          <w:szCs w:val="32"/>
        </w:rPr>
        <w:t>（款）</w:t>
      </w:r>
      <w:r>
        <w:rPr>
          <w:rFonts w:hint="eastAsia" w:ascii="仿宋" w:hAnsi="仿宋" w:eastAsia="仿宋" w:cs="仿宋"/>
          <w:sz w:val="32"/>
          <w:szCs w:val="32"/>
          <w:lang w:val="en-US" w:eastAsia="zh-CN"/>
        </w:rPr>
        <w:t>事业</w:t>
      </w:r>
      <w:r>
        <w:rPr>
          <w:rFonts w:hint="eastAsia" w:ascii="仿宋" w:hAnsi="仿宋" w:eastAsia="仿宋" w:cs="仿宋"/>
          <w:sz w:val="32"/>
          <w:szCs w:val="32"/>
        </w:rPr>
        <w:t>运行（项）。</w:t>
      </w:r>
    </w:p>
    <w:p>
      <w:pPr>
        <w:pStyle w:val="13"/>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年初预算为</w:t>
      </w:r>
      <w:r>
        <w:rPr>
          <w:rFonts w:hint="eastAsia" w:ascii="仿宋" w:hAnsi="仿宋" w:eastAsia="仿宋" w:cs="仿宋"/>
          <w:sz w:val="32"/>
          <w:szCs w:val="32"/>
          <w:lang w:val="en-US" w:eastAsia="zh-CN"/>
        </w:rPr>
        <w:t>58.00</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58.00</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完成年初预算的100%。</w:t>
      </w:r>
    </w:p>
    <w:p>
      <w:pPr>
        <w:pStyle w:val="13"/>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农林水（类）农业农村（款）农业生产发展（项）。</w:t>
      </w:r>
    </w:p>
    <w:p>
      <w:pPr>
        <w:pStyle w:val="13"/>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年初预算为</w:t>
      </w:r>
      <w:r>
        <w:rPr>
          <w:rFonts w:hint="eastAsia" w:ascii="仿宋" w:hAnsi="仿宋" w:eastAsia="仿宋" w:cs="仿宋"/>
          <w:color w:val="auto"/>
          <w:sz w:val="32"/>
          <w:szCs w:val="32"/>
          <w:lang w:val="en-US" w:eastAsia="zh-CN"/>
        </w:rPr>
        <w:t>91.05</w:t>
      </w:r>
      <w:r>
        <w:rPr>
          <w:rFonts w:hint="eastAsia" w:ascii="仿宋" w:hAnsi="仿宋" w:eastAsia="仿宋" w:cs="仿宋"/>
          <w:color w:val="auto"/>
          <w:sz w:val="32"/>
          <w:szCs w:val="32"/>
        </w:rPr>
        <w:t>万元，支出决算为</w:t>
      </w:r>
      <w:r>
        <w:rPr>
          <w:rFonts w:hint="eastAsia" w:ascii="仿宋" w:hAnsi="仿宋" w:eastAsia="仿宋" w:cs="仿宋"/>
          <w:color w:val="auto"/>
          <w:sz w:val="32"/>
          <w:szCs w:val="32"/>
          <w:lang w:val="en-US" w:eastAsia="zh-CN"/>
        </w:rPr>
        <w:t>86.51</w:t>
      </w:r>
      <w:r>
        <w:rPr>
          <w:rFonts w:hint="eastAsia" w:ascii="仿宋" w:hAnsi="仿宋" w:eastAsia="仿宋" w:cs="仿宋"/>
          <w:color w:val="auto"/>
          <w:sz w:val="32"/>
          <w:szCs w:val="32"/>
        </w:rPr>
        <w:t>万元，完成年初预算的</w:t>
      </w:r>
      <w:r>
        <w:rPr>
          <w:rFonts w:hint="eastAsia" w:ascii="仿宋" w:hAnsi="仿宋" w:eastAsia="仿宋" w:cs="仿宋"/>
          <w:color w:val="auto"/>
          <w:sz w:val="32"/>
          <w:szCs w:val="32"/>
          <w:lang w:val="en-US" w:eastAsia="zh-CN"/>
        </w:rPr>
        <w:t>95.01</w:t>
      </w:r>
      <w:r>
        <w:rPr>
          <w:rFonts w:hint="eastAsia" w:ascii="仿宋" w:hAnsi="仿宋" w:eastAsia="仿宋" w:cs="仿宋"/>
          <w:color w:val="auto"/>
          <w:sz w:val="32"/>
          <w:szCs w:val="32"/>
        </w:rPr>
        <w:t>%。决算数小于年初预算数的主要原因是展会减少，资金</w:t>
      </w:r>
      <w:r>
        <w:rPr>
          <w:rFonts w:hint="eastAsia" w:ascii="仿宋" w:hAnsi="仿宋" w:eastAsia="仿宋" w:cs="仿宋"/>
          <w:color w:val="auto"/>
          <w:sz w:val="32"/>
          <w:szCs w:val="32"/>
          <w:lang w:val="en-US" w:eastAsia="zh-CN"/>
        </w:rPr>
        <w:t>年底</w:t>
      </w:r>
      <w:r>
        <w:rPr>
          <w:rFonts w:hint="eastAsia" w:ascii="仿宋" w:hAnsi="仿宋" w:eastAsia="仿宋" w:cs="仿宋"/>
          <w:color w:val="auto"/>
          <w:sz w:val="32"/>
          <w:szCs w:val="32"/>
        </w:rPr>
        <w:t>结余</w:t>
      </w:r>
      <w:r>
        <w:rPr>
          <w:rFonts w:hint="eastAsia" w:ascii="仿宋" w:hAnsi="仿宋" w:eastAsia="仿宋" w:cs="仿宋"/>
          <w:color w:val="auto"/>
          <w:sz w:val="32"/>
          <w:szCs w:val="32"/>
          <w:lang w:eastAsia="zh-CN"/>
        </w:rPr>
        <w:t>。</w:t>
      </w:r>
    </w:p>
    <w:p>
      <w:pPr>
        <w:pStyle w:val="13"/>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住房保障（类）</w:t>
      </w:r>
      <w:r>
        <w:rPr>
          <w:rFonts w:hint="eastAsia" w:ascii="仿宋" w:hAnsi="仿宋" w:eastAsia="仿宋" w:cs="仿宋"/>
          <w:sz w:val="32"/>
          <w:szCs w:val="32"/>
          <w:lang w:eastAsia="zh-CN"/>
        </w:rPr>
        <w:t>住房改革</w:t>
      </w:r>
      <w:r>
        <w:rPr>
          <w:rFonts w:hint="eastAsia" w:ascii="仿宋" w:hAnsi="仿宋" w:eastAsia="仿宋" w:cs="仿宋"/>
          <w:sz w:val="32"/>
          <w:szCs w:val="32"/>
        </w:rPr>
        <w:t>（款）住房公积金（项）。</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sz w:val="32"/>
          <w:szCs w:val="32"/>
        </w:rPr>
        <w:t>年初预算为</w:t>
      </w:r>
      <w:r>
        <w:rPr>
          <w:rFonts w:hint="eastAsia" w:ascii="仿宋" w:hAnsi="仿宋" w:eastAsia="仿宋" w:cs="仿宋"/>
          <w:sz w:val="32"/>
          <w:szCs w:val="32"/>
          <w:lang w:val="en-US" w:eastAsia="zh-CN"/>
        </w:rPr>
        <w:t>13.00</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13.00</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完成年初预算的100%。</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年度财政拨款基本支出81.26万元，其中：</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rPr>
        <w:t>81.26万元，占基本支出的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%,主要包括基本工资、津贴补贴、</w:t>
      </w:r>
      <w:r>
        <w:rPr>
          <w:rFonts w:hint="eastAsia" w:ascii="Times New Roman" w:hAnsi="Times New Roman" w:eastAsia="仿宋_GB2312"/>
          <w:sz w:val="32"/>
          <w:szCs w:val="32"/>
          <w:lang w:val="en-US" w:eastAsia="zh-CN"/>
        </w:rPr>
        <w:t>绩效工资、住房公积金、机关事业单位基本养老保险缴费等。</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七、财政拨款三公经费支出决算情况说明</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无增减</w:t>
      </w:r>
      <w:r>
        <w:rPr>
          <w:rFonts w:hint="eastAsia" w:ascii="Times New Roman" w:hAnsi="Times New Roman" w:eastAsia="仿宋_GB2312"/>
          <w:sz w:val="32"/>
          <w:szCs w:val="32"/>
        </w:rPr>
        <w:t>。其中：</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无增减</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无增减</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无增减</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无增减</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万元，公务用车购置费及运行维护费支出决算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万元，全年安排因公出国（境）团组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个，累计</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r>
        <w:rPr>
          <w:rFonts w:hint="eastAsia" w:ascii="Times New Roman" w:hAnsi="Times New Roman" w:eastAsia="仿宋_GB2312"/>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万元，单位本级更新公务用车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万元，截止202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w:t>
      </w:r>
      <w:r>
        <w:rPr>
          <w:rFonts w:hint="eastAsia" w:ascii="Times New Roman" w:hAnsi="Times New Roman" w:eastAsia="仿宋_GB2312"/>
          <w:sz w:val="32"/>
          <w:szCs w:val="32"/>
          <w:lang w:val="en-US" w:eastAsia="zh-CN"/>
        </w:rPr>
        <w:t>本单位无政府性基金收支</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w:t>
      </w:r>
      <w:r>
        <w:rPr>
          <w:rFonts w:hint="eastAsia" w:ascii="Times New Roman" w:hAnsi="Times New Roman" w:eastAsia="仿宋_GB2312"/>
          <w:sz w:val="32"/>
          <w:szCs w:val="32"/>
          <w:lang w:val="en-US" w:eastAsia="zh-CN"/>
        </w:rPr>
        <w:t>无</w:t>
      </w:r>
      <w:r>
        <w:rPr>
          <w:rFonts w:hint="eastAsia" w:ascii="Times New Roman" w:hAnsi="Times New Roman" w:eastAsia="仿宋_GB2312"/>
          <w:sz w:val="32"/>
          <w:szCs w:val="32"/>
        </w:rPr>
        <w:t>机关运行经费支出。</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年本部门开支会议费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万元，开支培训费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未</w:t>
      </w:r>
      <w:r>
        <w:rPr>
          <w:rFonts w:hint="eastAsia" w:ascii="Times New Roman" w:hAnsi="Times New Roman" w:eastAsia="仿宋_GB2312"/>
          <w:sz w:val="32"/>
          <w:szCs w:val="32"/>
        </w:rPr>
        <w:t>举办节庆、晚会、论坛、赛事活动。</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 xml:space="preserve"> 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万元，其中：授予小微企业合同金额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color w:val="auto"/>
          <w:sz w:val="32"/>
          <w:szCs w:val="32"/>
        </w:rPr>
        <w:t>。</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截至202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年12月31日，</w:t>
      </w:r>
      <w:r>
        <w:rPr>
          <w:rFonts w:hint="eastAsia" w:ascii="Times New Roman" w:hAnsi="Times New Roman" w:eastAsia="仿宋_GB2312"/>
          <w:color w:val="auto"/>
          <w:sz w:val="32"/>
          <w:szCs w:val="32"/>
          <w:lang w:eastAsia="zh-CN"/>
        </w:rPr>
        <w:t>单位</w:t>
      </w:r>
      <w:r>
        <w:rPr>
          <w:rFonts w:hint="eastAsia" w:ascii="Times New Roman" w:hAnsi="Times New Roman" w:eastAsia="仿宋_GB2312"/>
          <w:color w:val="auto"/>
          <w:sz w:val="32"/>
          <w:szCs w:val="32"/>
        </w:rPr>
        <w:t>共有车辆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辆，其中</w:t>
      </w:r>
      <w:r>
        <w:rPr>
          <w:rFonts w:hint="eastAsia" w:ascii="Times New Roman" w:hAnsi="Times New Roman" w:eastAsia="仿宋_GB2312"/>
          <w:color w:val="auto"/>
          <w:sz w:val="32"/>
          <w:szCs w:val="32"/>
          <w:lang w:eastAsia="zh-CN"/>
        </w:rPr>
        <w:t>，副部（省）级及以上领导用车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主要</w:t>
      </w:r>
      <w:r>
        <w:rPr>
          <w:rFonts w:hint="eastAsia" w:ascii="Times New Roman" w:hAnsi="Times New Roman" w:eastAsia="仿宋_GB2312"/>
          <w:color w:val="auto"/>
          <w:sz w:val="32"/>
          <w:szCs w:val="32"/>
          <w:lang w:eastAsia="zh-CN"/>
        </w:rPr>
        <w:t>负责人</w:t>
      </w:r>
      <w:r>
        <w:rPr>
          <w:rFonts w:hint="eastAsia" w:ascii="Times New Roman" w:hAnsi="Times New Roman" w:eastAsia="仿宋_GB2312"/>
          <w:color w:val="auto"/>
          <w:sz w:val="32"/>
          <w:szCs w:val="32"/>
        </w:rPr>
        <w:t>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机要通信用车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辆、应急保障用车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辆、执法执勤用车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辆、特种专业技术用车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离退休干部服务用车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辆、其他用车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辆；单位价值100万元以上设备</w:t>
      </w:r>
      <w:r>
        <w:rPr>
          <w:rFonts w:hint="eastAsia" w:ascii="Times New Roman" w:hAnsi="Times New Roman" w:eastAsia="仿宋_GB2312"/>
          <w:color w:val="auto"/>
          <w:sz w:val="32"/>
          <w:szCs w:val="32"/>
          <w:lang w:eastAsia="zh-CN"/>
        </w:rPr>
        <w:t>（不含车辆）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台（套）。</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lang w:eastAsia="zh-CN"/>
        </w:rPr>
        <w:t>为加强财政支出预算绩效管理，提高财政资源配置效率和资金使用效益，根据《中共中央国务院关于全面实施预算绩效管理的意见》（中发〔2018〕34 号）、《中共湖南省委办公厅 湖南省人民政府办公厅关于全面实施预算绩效管理的实施意见》（湘办发〔2019〕10 号）和《湖南省财政厅关于印发湖南省预算支出绩效评价管理办法的通知》（湘财绩〔2020〕7号）等有关规定，按照省财政厅《关于开展2023 年度省级预算部门绩效自评和部门评价的通知》（湘财绩〔2024〕1号）要求，我</w:t>
      </w:r>
      <w:r>
        <w:rPr>
          <w:rFonts w:hint="eastAsia" w:ascii="Times New Roman" w:hAnsi="Times New Roman" w:eastAsia="仿宋_GB2312"/>
          <w:color w:val="auto"/>
          <w:sz w:val="32"/>
          <w:szCs w:val="32"/>
          <w:lang w:val="en-US" w:eastAsia="zh-CN"/>
        </w:rPr>
        <w:t>中心</w:t>
      </w:r>
      <w:r>
        <w:rPr>
          <w:rFonts w:hint="eastAsia" w:ascii="Times New Roman" w:hAnsi="Times New Roman" w:eastAsia="仿宋_GB2312"/>
          <w:color w:val="auto"/>
          <w:sz w:val="32"/>
          <w:szCs w:val="32"/>
          <w:lang w:eastAsia="zh-CN"/>
        </w:rPr>
        <w:t>于2024年</w:t>
      </w: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lang w:eastAsia="zh-CN"/>
        </w:rPr>
        <w:t>月对 2023 年整体支出实施了预算绩效自评。</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运行成本</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全年预算数263.31万元，决算数197.29万元，执行率74.92%，。</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人员经费预算数97.99万元，决算数81.68万元，公用经费20.53万元，决算数20.53万元，均控制在预算范围内。</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制在预算范围内。</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color w:val="auto"/>
          <w:sz w:val="32"/>
          <w:szCs w:val="32"/>
          <w:lang w:val="en-US" w:eastAsia="zh-CN"/>
        </w:rPr>
        <w:t>会议费预算0万元，培训费</w:t>
      </w:r>
      <w:r>
        <w:rPr>
          <w:rFonts w:hint="eastAsia" w:ascii="Times New Roman" w:hAnsi="Times New Roman" w:eastAsia="仿宋_GB2312"/>
          <w:sz w:val="32"/>
          <w:szCs w:val="32"/>
          <w:lang w:val="en-US" w:eastAsia="zh-CN"/>
        </w:rPr>
        <w:t>预算0万元，均控制在预算范围内。</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管理效率</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2023年初，继续以中心1号文件，鼓励全省农业投入品企业申报绿色生资认证。截至年底，我省绿色生资认证企业达10家，绿色生资产品数18个。</w:t>
      </w:r>
      <w:r>
        <w:rPr>
          <w:rFonts w:hint="eastAsia" w:ascii="仿宋" w:hAnsi="仿宋" w:eastAsia="仿宋" w:cs="仿宋"/>
          <w:sz w:val="32"/>
          <w:szCs w:val="32"/>
          <w:lang w:bidi="ar"/>
        </w:rPr>
        <w:t>为确保用标规范，有效防范风险，根据《绿色食品生产资料年度检查工作管理办法》相关要求，对我省有效获证绿色食品生资企业开展了年度检查工作。截止今日，我省绿色生资企业数量10家，共计产品数量19个（其中1家12月31日到期不续展）。5家企业今年无需年检。（其中有2家企业为今年新获证企业，1家于今年初完成续展，另外还有2家企业的证书于今年底到期，需续展。）我中心对剩余5家企业开展了年度检查工作，包括：郴州市通源生物科技有限公司、常宁市宜庆科技有限公司、湖南湘佳现代农业有限公司、宁乡丰裕生物科技有限公司、长沙绿丰源生物有机肥料有限公司。</w:t>
      </w:r>
      <w:r>
        <w:rPr>
          <w:rFonts w:hint="eastAsia" w:ascii="仿宋" w:hAnsi="仿宋" w:eastAsia="仿宋" w:cs="仿宋"/>
          <w:sz w:val="32"/>
          <w:szCs w:val="32"/>
        </w:rPr>
        <w:t>对企业目前状况、存在问题进行了汇总登记，提出了相关要求。并就我省2023年度年检的全面情况进行了整理，并上报省绿色食品办公室、中国绿色食品协会。</w:t>
      </w:r>
    </w:p>
    <w:p>
      <w:pPr>
        <w:pStyle w:val="13"/>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履职效能</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按照中国绿色发展中心相关文件要求，协同省绿办共同组织认证企业参加了第二十二届中国绿色食品博览会的绿色、有机专区和绿色生资展区的组织、布展等工作，做好了本省参展产品的包装、用标等把关审核。</w:t>
      </w:r>
      <w:r>
        <w:rPr>
          <w:rFonts w:hint="eastAsia" w:ascii="仿宋" w:hAnsi="仿宋" w:eastAsia="仿宋" w:cs="仿宋"/>
          <w:color w:val="333333"/>
          <w:sz w:val="32"/>
          <w:szCs w:val="32"/>
        </w:rPr>
        <w:t>尽可能的帮助到企业拓展国内外市场</w:t>
      </w:r>
      <w:r>
        <w:rPr>
          <w:rFonts w:hint="eastAsia" w:ascii="仿宋" w:hAnsi="仿宋" w:eastAsia="仿宋" w:cs="仿宋"/>
          <w:color w:val="000000"/>
          <w:sz w:val="28"/>
          <w:szCs w:val="28"/>
        </w:rPr>
        <w:t>。</w:t>
      </w:r>
      <w:r>
        <w:rPr>
          <w:rFonts w:hint="eastAsia" w:ascii="仿宋" w:hAnsi="仿宋" w:eastAsia="仿宋" w:cs="仿宋"/>
          <w:sz w:val="32"/>
          <w:szCs w:val="32"/>
        </w:rPr>
        <w:t>注重绿色生资认证与推广工作</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为改良农业生态环境、提升农产品质量安全。我们一直致力于绿色生资的认证、宣传推广与品牌建设工作；注重做好资料申报、年检审核、考察调研、试验示范、产销对接、产品推广等工作。</w:t>
      </w:r>
    </w:p>
    <w:p>
      <w:pPr>
        <w:pStyle w:val="13"/>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left="0" w:leftChars="0"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社会效应</w:t>
      </w:r>
    </w:p>
    <w:p>
      <w:pPr>
        <w:spacing w:line="600" w:lineRule="exact"/>
        <w:ind w:firstLine="640" w:firstLineChars="200"/>
        <w:jc w:val="left"/>
        <w:rPr>
          <w:rFonts w:hint="eastAsia" w:ascii="仿宋" w:hAnsi="仿宋" w:eastAsia="仿宋"/>
          <w:sz w:val="32"/>
          <w:szCs w:val="32"/>
        </w:rPr>
      </w:pPr>
      <w:r>
        <w:rPr>
          <w:rFonts w:hint="eastAsia" w:ascii="仿宋" w:hAnsi="仿宋" w:eastAsia="仿宋"/>
          <w:sz w:val="32"/>
          <w:szCs w:val="32"/>
        </w:rPr>
        <w:t>邀请了中国农科院湖南红壤工作站的高菊生研究员、湖南日报的张尚武主任在宁乡、桃江、张家界等地围绕绿色生资如何“以点带面”来进一步扩大影响，以期做到有效推广。就基地如何有效对接绿色生资开展了相关课题的绿色生资企业调研，并与企业负责人、公司内检员、销售部门负责人进行现场座谈与田间地头的了解与观摩。</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绿色生资的宣传与推广。一是定制了绿色生资宣传用水。二是利用新闻媒介，将绿色生资工作动态公布在省绿色食品网和中国绿色食品协会网页上，让更多人了解绿色生资。今年底在湖南日报发表了“湖南打造绿色食品产业链”的报道，并转发省农业厅网站。</w:t>
      </w:r>
    </w:p>
    <w:p>
      <w:pPr>
        <w:pStyle w:val="13"/>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left="0" w:leftChars="0"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可持续发展能力</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托中国农科院红壤实验站在站内（祁阳市文富市镇官山坪村）共同开展了绿色生资实验检测工作。遴选“富立来有机肥”和“丰裕有机肥”开展了实验检测，出具了相关检测报告，主要分析项目包括pH、有机质、速效氮、速效磷。联合省绿色食品协会通过当面交流、问卷调查等形式深入了解基地对投入品的需求，为绿色生资企业与基地牵线搭桥，开展绿色生资试验。在望城桥驿、永顺禾旭、郴州栖汉、北湖众惠有效开展试验示范等工作。</w:t>
      </w:r>
    </w:p>
    <w:p>
      <w:pPr>
        <w:pStyle w:val="13"/>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left="0" w:leftChars="0"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服务对象满意度</w:t>
      </w:r>
    </w:p>
    <w:p>
      <w:pPr>
        <w:pStyle w:val="13"/>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leftChars="200" w:firstLine="320" w:firstLineChars="1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服务对象满意度</w:t>
      </w:r>
      <w:r>
        <w:rPr>
          <w:rFonts w:hint="eastAsia" w:ascii="Times New Roman" w:hAnsi="Times New Roman" w:eastAsia="仿宋_GB2312"/>
          <w:sz w:val="32"/>
          <w:szCs w:val="32"/>
          <w:lang w:val="en-US" w:eastAsia="zh-CN"/>
        </w:rPr>
        <w:t>90%。</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pStyle w:val="13"/>
        <w:ind w:firstLine="640" w:firstLineChars="200"/>
        <w:jc w:val="both"/>
        <w:rPr>
          <w:rFonts w:hint="eastAsia" w:eastAsia="仿宋"/>
          <w:sz w:val="72"/>
          <w:szCs w:val="72"/>
          <w:lang w:eastAsia="zh-CN"/>
        </w:rPr>
      </w:pPr>
      <w:r>
        <w:rPr>
          <w:rFonts w:hint="eastAsia" w:ascii="仿宋" w:hAnsi="仿宋" w:eastAsia="仿宋" w:cs="仿宋"/>
          <w:sz w:val="32"/>
          <w:szCs w:val="32"/>
        </w:rPr>
        <w:t>天心城</w:t>
      </w:r>
      <w:r>
        <w:rPr>
          <w:rFonts w:hint="eastAsia" w:ascii="仿宋" w:hAnsi="仿宋" w:eastAsia="仿宋" w:cs="仿宋"/>
          <w:sz w:val="32"/>
          <w:szCs w:val="32"/>
          <w:lang w:val="en-US" w:eastAsia="zh-CN"/>
        </w:rPr>
        <w:t>门面闲置，主要原因是</w:t>
      </w:r>
      <w:r>
        <w:rPr>
          <w:rFonts w:hint="eastAsia" w:ascii="仿宋" w:hAnsi="仿宋" w:eastAsia="仿宋" w:cs="仿宋"/>
          <w:sz w:val="32"/>
          <w:szCs w:val="32"/>
        </w:rPr>
        <w:t>年久电梯设施不完善，加之室内地面、家电几乎无法正常使用</w:t>
      </w:r>
      <w:r>
        <w:rPr>
          <w:rFonts w:hint="eastAsia" w:ascii="仿宋" w:hAnsi="仿宋" w:eastAsia="仿宋" w:cs="仿宋"/>
          <w:sz w:val="32"/>
          <w:szCs w:val="32"/>
          <w:lang w:eastAsia="zh-CN"/>
        </w:rPr>
        <w:t>。</w:t>
      </w:r>
    </w:p>
    <w:p>
      <w:pPr>
        <w:pStyle w:val="13"/>
        <w:jc w:val="center"/>
        <w:rPr>
          <w:sz w:val="72"/>
          <w:szCs w:val="72"/>
        </w:rPr>
      </w:pPr>
    </w:p>
    <w:p>
      <w:pPr>
        <w:pStyle w:val="13"/>
        <w:jc w:val="center"/>
        <w:rPr>
          <w:sz w:val="72"/>
          <w:szCs w:val="72"/>
        </w:rPr>
      </w:pPr>
    </w:p>
    <w:p>
      <w:pPr>
        <w:pStyle w:val="13"/>
        <w:jc w:val="both"/>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widowControl/>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一、基本支出：指为保障机构正常运转、完成日常工作任务而发生的各项支出，包括人员支出和公用支出。</w:t>
      </w:r>
    </w:p>
    <w:p>
      <w:pPr>
        <w:numPr>
          <w:ilvl w:val="0"/>
          <w:numId w:val="0"/>
        </w:numPr>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 xml:space="preserve">二、项目支出：指在基本支出以外为完成相关行政任务和事业发展目标所发生的各项支出。 </w:t>
      </w:r>
    </w:p>
    <w:p>
      <w:pPr>
        <w:pStyle w:val="13"/>
        <w:ind w:firstLine="640" w:firstLineChars="200"/>
        <w:rPr>
          <w:rFonts w:ascii="仿宋" w:hAnsi="仿宋" w:eastAsia="仿宋"/>
          <w:bCs/>
          <w:sz w:val="32"/>
          <w:szCs w:val="32"/>
        </w:rPr>
      </w:pPr>
      <w:r>
        <w:rPr>
          <w:rFonts w:hint="eastAsia" w:ascii="仿宋" w:hAnsi="仿宋" w:eastAsia="仿宋" w:cs="黑体"/>
          <w:bCs/>
          <w:color w:val="000000"/>
          <w:kern w:val="0"/>
          <w:sz w:val="32"/>
          <w:szCs w:val="32"/>
          <w:lang w:val="en-US" w:eastAsia="zh-CN" w:bidi="ar-SA"/>
        </w:rPr>
        <w:t>三、“三公”经费:纳入省财政预算管理的“三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rPr>
          <w:sz w:val="72"/>
          <w:szCs w:val="72"/>
        </w:rPr>
      </w:pPr>
      <w:r>
        <w:rPr>
          <w:sz w:val="72"/>
          <w:szCs w:val="72"/>
        </w:rPr>
        <w:br w:type="page"/>
      </w: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3"/>
        <w:jc w:val="center"/>
        <w:rPr>
          <w:rFonts w:hint="eastAsia" w:ascii="方正小标宋_GBK" w:hAnsi="方正小标宋_GBK" w:eastAsia="方正小标宋_GBK" w:cs="方正小标宋_GBK"/>
          <w:sz w:val="70"/>
          <w:szCs w:val="70"/>
        </w:rPr>
      </w:pPr>
    </w:p>
    <w:p>
      <w:pPr>
        <w:pStyle w:val="13"/>
        <w:jc w:val="center"/>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rPr>
          <w:sz w:val="72"/>
          <w:szCs w:val="72"/>
        </w:rPr>
      </w:pPr>
      <w:r>
        <w:rPr>
          <w:sz w:val="72"/>
          <w:szCs w:val="72"/>
        </w:rPr>
        <w:br w:type="page"/>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w:t>
      </w:r>
      <w:bookmarkStart w:id="2" w:name="_GoBack"/>
      <w:bookmarkEnd w:id="2"/>
      <w:r>
        <w:rPr>
          <w:rFonts w:hint="eastAsia" w:ascii="Times New Roman" w:hAnsi="Times New Roman" w:eastAsia="仿宋_GB2312"/>
          <w:sz w:val="32"/>
          <w:szCs w:val="32"/>
          <w:lang w:val="en-US" w:eastAsia="zh-CN"/>
        </w:rPr>
        <w:t>整体支出绩效自评报告。</w:t>
      </w:r>
    </w:p>
    <w:p>
      <w:pPr>
        <w:pStyle w:val="13"/>
        <w:keepNext w:val="0"/>
        <w:keepLines w:val="0"/>
        <w:pageBreakBefore w:val="0"/>
        <w:widowControl w:val="0"/>
        <w:kinsoku/>
        <w:wordWrap/>
        <w:overflowPunct/>
        <w:topLinePunct w:val="0"/>
        <w:bidi w:val="0"/>
        <w:snapToGrid/>
        <w:spacing w:line="600" w:lineRule="exact"/>
        <w:jc w:val="center"/>
        <w:textAlignment w:val="auto"/>
        <w:rPr>
          <w:rFonts w:hint="eastAsia" w:ascii="Times New Roman" w:hAnsi="Times New Roman" w:eastAsia="仿宋_GB2312"/>
          <w:b/>
          <w:bCs/>
          <w:sz w:val="32"/>
          <w:szCs w:val="32"/>
          <w:lang w:val="en-US" w:eastAsia="zh-CN"/>
        </w:rPr>
      </w:pPr>
      <w:r>
        <w:rPr>
          <w:rFonts w:hint="eastAsia" w:ascii="Times New Roman" w:hAnsi="Times New Roman" w:eastAsia="仿宋_GB2312"/>
          <w:b/>
          <w:bCs/>
          <w:sz w:val="32"/>
          <w:szCs w:val="32"/>
          <w:lang w:val="en-US" w:eastAsia="zh-CN"/>
        </w:rPr>
        <w:t>湖南省绿色食品发展中心部门整体绩效自评报告</w:t>
      </w:r>
    </w:p>
    <w:p>
      <w:pPr>
        <w:pStyle w:val="13"/>
        <w:keepNext w:val="0"/>
        <w:keepLines w:val="0"/>
        <w:pageBreakBefore w:val="0"/>
        <w:widowControl w:val="0"/>
        <w:numPr>
          <w:ilvl w:val="0"/>
          <w:numId w:val="3"/>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单位基本情况</w:t>
      </w:r>
    </w:p>
    <w:p>
      <w:pPr>
        <w:spacing w:line="620" w:lineRule="exact"/>
        <w:ind w:firstLine="640" w:firstLineChars="200"/>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单位</w:t>
      </w:r>
      <w:r>
        <w:rPr>
          <w:rFonts w:hint="eastAsia" w:ascii="仿宋" w:hAnsi="仿宋" w:eastAsia="仿宋"/>
          <w:color w:val="auto"/>
          <w:sz w:val="32"/>
          <w:szCs w:val="32"/>
          <w:highlight w:val="none"/>
          <w:lang w:eastAsia="zh-CN"/>
        </w:rPr>
        <w:t>职责组织全省“三品一标”生产加工及绿色食品生产资料新技术研究与协作；承担“三品一标”基地建设示范与推广服务；承担“三标一标”生产操作技术规程的制（修）订工作；负责组织全省“三品一标”的市场开拓与监管、信息服务；承办“三品一标”的行业宣传与专业培训工作。</w:t>
      </w:r>
      <w:r>
        <w:rPr>
          <w:rFonts w:hint="eastAsia" w:ascii="仿宋" w:hAnsi="仿宋" w:eastAsia="仿宋" w:cs="仿宋"/>
          <w:bCs/>
          <w:kern w:val="0"/>
          <w:sz w:val="32"/>
          <w:szCs w:val="32"/>
        </w:rPr>
        <w:t>内设机构设置</w:t>
      </w:r>
      <w:r>
        <w:rPr>
          <w:rFonts w:hint="eastAsia" w:ascii="仿宋" w:hAnsi="仿宋" w:eastAsia="仿宋"/>
          <w:color w:val="auto"/>
          <w:sz w:val="32"/>
          <w:szCs w:val="32"/>
          <w:highlight w:val="none"/>
        </w:rPr>
        <w:t>包括：科技科、综合科、市场科</w:t>
      </w:r>
      <w:r>
        <w:rPr>
          <w:rFonts w:hint="eastAsia" w:ascii="仿宋" w:hAnsi="仿宋" w:eastAsia="仿宋"/>
          <w:color w:val="auto"/>
          <w:sz w:val="32"/>
          <w:szCs w:val="32"/>
          <w:highlight w:val="none"/>
          <w:lang w:val="en-US" w:eastAsia="zh-CN"/>
        </w:rPr>
        <w:t>。年末在职人数4人。</w:t>
      </w:r>
    </w:p>
    <w:p>
      <w:pPr>
        <w:pStyle w:val="13"/>
        <w:keepNext w:val="0"/>
        <w:keepLines w:val="0"/>
        <w:pageBreakBefore w:val="0"/>
        <w:widowControl w:val="0"/>
        <w:numPr>
          <w:ilvl w:val="0"/>
          <w:numId w:val="3"/>
        </w:numPr>
        <w:kinsoku/>
        <w:wordWrap/>
        <w:overflowPunct/>
        <w:topLinePunct w:val="0"/>
        <w:bidi w:val="0"/>
        <w:snapToGrid/>
        <w:spacing w:line="600" w:lineRule="exact"/>
        <w:ind w:left="0" w:leftChars="0"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一般公共预算支出情况</w:t>
      </w:r>
    </w:p>
    <w:p>
      <w:pPr>
        <w:pStyle w:val="13"/>
        <w:keepNext w:val="0"/>
        <w:keepLines w:val="0"/>
        <w:pageBreakBefore w:val="0"/>
        <w:widowControl w:val="0"/>
        <w:numPr>
          <w:ilvl w:val="0"/>
          <w:numId w:val="4"/>
        </w:numPr>
        <w:kinsoku/>
        <w:wordWrap/>
        <w:overflowPunct/>
        <w:topLinePunct w:val="0"/>
        <w:bidi w:val="0"/>
        <w:snapToGrid/>
        <w:spacing w:line="600" w:lineRule="exact"/>
        <w:ind w:left="580" w:leftChars="0" w:firstLine="0" w:firstLineChars="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基本支出情况</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基本支出全年预算数81.26万元，实际支出81.26万元，预算执行率100%，其中人员经费全年预算数81.26万元，实际支出81.26万元，预算执行率100%。</w:t>
      </w:r>
    </w:p>
    <w:p>
      <w:pPr>
        <w:pStyle w:val="13"/>
        <w:keepNext w:val="0"/>
        <w:keepLines w:val="0"/>
        <w:pageBreakBefore w:val="0"/>
        <w:widowControl w:val="0"/>
        <w:numPr>
          <w:ilvl w:val="0"/>
          <w:numId w:val="4"/>
        </w:numPr>
        <w:kinsoku/>
        <w:wordWrap/>
        <w:overflowPunct/>
        <w:topLinePunct w:val="0"/>
        <w:bidi w:val="0"/>
        <w:snapToGrid/>
        <w:spacing w:line="600" w:lineRule="exact"/>
        <w:ind w:left="580" w:leftChars="0" w:firstLine="0" w:firstLineChars="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项目支出情况</w:t>
      </w:r>
    </w:p>
    <w:p>
      <w:pPr>
        <w:pStyle w:val="13"/>
        <w:keepNext w:val="0"/>
        <w:keepLines w:val="0"/>
        <w:pageBreakBefore w:val="0"/>
        <w:widowControl w:val="0"/>
        <w:numPr>
          <w:ilvl w:val="0"/>
          <w:numId w:val="0"/>
        </w:numPr>
        <w:kinsoku/>
        <w:wordWrap/>
        <w:overflowPunct/>
        <w:topLinePunct w:val="0"/>
        <w:bidi w:val="0"/>
        <w:snapToGrid/>
        <w:spacing w:line="600" w:lineRule="exact"/>
        <w:ind w:left="580" w:leftChars="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 项目支出全年预算数91.05万元，实际支出86.51万元，预算执行率95.1%</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三、部门整体支出绩效情况</w:t>
      </w:r>
    </w:p>
    <w:p>
      <w:pPr>
        <w:pStyle w:val="13"/>
        <w:keepNext w:val="0"/>
        <w:keepLines w:val="0"/>
        <w:pageBreakBefore w:val="0"/>
        <w:widowControl w:val="0"/>
        <w:numPr>
          <w:ilvl w:val="0"/>
          <w:numId w:val="5"/>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运行成本</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财政拨款收支全年预算数172.31万元，决算数167.73万元，执行率97.37%，。</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人员经费全年预算数81.26万元，实际支出81.26万元，预算执行率100%。公用经费全年预算数为0，决算数为0；</w:t>
      </w: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控制在预算范围内。</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color w:val="auto"/>
          <w:sz w:val="32"/>
          <w:szCs w:val="32"/>
          <w:lang w:val="en-US" w:eastAsia="zh-CN"/>
        </w:rPr>
        <w:t>会议费预算0万元，培训费</w:t>
      </w:r>
      <w:r>
        <w:rPr>
          <w:rFonts w:hint="eastAsia" w:ascii="Times New Roman" w:hAnsi="Times New Roman" w:eastAsia="仿宋_GB2312"/>
          <w:sz w:val="32"/>
          <w:szCs w:val="32"/>
          <w:lang w:val="en-US" w:eastAsia="zh-CN"/>
        </w:rPr>
        <w:t>预算0万元，均控制在预算范围内。</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管理效率</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2023年初，继续以中心1号文件，鼓励全省农业投入品企业申报绿色生资认证。截至年底，我省绿色生资认证企业达10家，绿色生资产品数18个。</w:t>
      </w:r>
      <w:r>
        <w:rPr>
          <w:rFonts w:hint="eastAsia" w:ascii="仿宋" w:hAnsi="仿宋" w:eastAsia="仿宋" w:cs="仿宋"/>
          <w:sz w:val="32"/>
          <w:szCs w:val="32"/>
          <w:lang w:bidi="ar"/>
        </w:rPr>
        <w:t>为确保用标规范，有效防范风险，根据《绿色食品生产资料年度检查工作管理办法》相关要求，对我省有效获证绿色食品生资企业开展了年度检查工作。截止今日，我省绿色生资企业数量10家，共计产品数量19个（其中1家12月31日到期不续展）。5家企业今年无需年检。（其中有2家企业为今年新获证企业，1家于今年初完成续展，另外还有2家企业的证书于今年底到期，需续展。）我中心对剩余5家企业开展了年度检查工作，包括：郴州市通源生物科技有限公司、常宁市宜庆科技有限公司、湖南湘佳现代农业有限公司、宁乡丰裕生物科技有限公司、长沙绿丰源生物有机肥料有限公司。</w:t>
      </w:r>
      <w:r>
        <w:rPr>
          <w:rFonts w:hint="eastAsia" w:ascii="仿宋" w:hAnsi="仿宋" w:eastAsia="仿宋" w:cs="仿宋"/>
          <w:sz w:val="32"/>
          <w:szCs w:val="32"/>
        </w:rPr>
        <w:t>对企业目前状况、存在问题进行了汇总登记，提出了相关要求。并就我省2023年度年检的全面情况进行了整理，并上报省绿色食品办公室、中国绿色食品协会。</w:t>
      </w:r>
    </w:p>
    <w:p>
      <w:pPr>
        <w:pStyle w:val="13"/>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履职效能</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按照中国绿色发展中心相关文件要求，协同省绿办共同组织认证企业参加了第二十二届中国绿色食品博览会的绿色、有机专区和绿色生资展区的组织、布展等工作，做好了本省参展产品的包装、用标等把关审核。</w:t>
      </w:r>
      <w:r>
        <w:rPr>
          <w:rFonts w:hint="eastAsia" w:ascii="仿宋" w:hAnsi="仿宋" w:eastAsia="仿宋" w:cs="仿宋"/>
          <w:color w:val="333333"/>
          <w:sz w:val="32"/>
          <w:szCs w:val="32"/>
        </w:rPr>
        <w:t>尽可能的帮助到企业拓展国内外市场</w:t>
      </w:r>
      <w:r>
        <w:rPr>
          <w:rFonts w:hint="eastAsia" w:ascii="仿宋" w:hAnsi="仿宋" w:eastAsia="仿宋" w:cs="仿宋"/>
          <w:color w:val="000000"/>
          <w:sz w:val="28"/>
          <w:szCs w:val="28"/>
        </w:rPr>
        <w:t>。</w:t>
      </w:r>
      <w:r>
        <w:rPr>
          <w:rFonts w:hint="eastAsia" w:ascii="仿宋" w:hAnsi="仿宋" w:eastAsia="仿宋" w:cs="仿宋"/>
          <w:sz w:val="32"/>
          <w:szCs w:val="32"/>
        </w:rPr>
        <w:t>注重绿色生资认证与推广工作</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为改良农业生态环境、提升农产品质量安全。我们一直致力于绿色生资的认证、宣传推广与品牌建设工作；注重做好资料申报、年检审核、考察调研、试验示范、产销对接、产品推广等工作。</w:t>
      </w:r>
    </w:p>
    <w:p>
      <w:pPr>
        <w:pStyle w:val="13"/>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left="0" w:leftChars="0"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社会效应</w:t>
      </w:r>
    </w:p>
    <w:p>
      <w:pPr>
        <w:spacing w:line="600" w:lineRule="exact"/>
        <w:ind w:firstLine="640" w:firstLineChars="200"/>
        <w:jc w:val="left"/>
        <w:rPr>
          <w:rFonts w:hint="eastAsia" w:ascii="仿宋" w:hAnsi="仿宋" w:eastAsia="仿宋"/>
          <w:sz w:val="32"/>
          <w:szCs w:val="32"/>
        </w:rPr>
      </w:pPr>
      <w:r>
        <w:rPr>
          <w:rFonts w:hint="eastAsia" w:ascii="仿宋" w:hAnsi="仿宋" w:eastAsia="仿宋"/>
          <w:sz w:val="32"/>
          <w:szCs w:val="32"/>
        </w:rPr>
        <w:t>邀请了中国农科院湖南红壤工作站的高菊生研究员、湖南日报的张尚武主任在宁乡、桃江、张家界等地围绕绿色生资如何“以点带面”来进一步扩大影响，以期做到有效推广。就基地如何有效对接绿色生资开展了相关课题的绿色生资企业调研，并与企业负责人、公司内检员、销售部门负责人进行现场座谈与田间地头的了解与观摩。</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绿色生资的宣传与推广。一是定制了绿色生资宣传用水。二是利用新闻媒介，将绿色生资工作动态公布在省绿色食品网和中国绿色食品协会网页上，让更多人了解绿色生资。今年底在湖南日报发表了“湖南打造绿色食品产业链”的报道，并转发省农业厅网站。</w:t>
      </w:r>
    </w:p>
    <w:p>
      <w:pPr>
        <w:pStyle w:val="13"/>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left="0" w:leftChars="0"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可持续发展能力</w:t>
      </w:r>
    </w:p>
    <w:p>
      <w:pPr>
        <w:spacing w:line="57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托中国农科院红壤实验站在站内（祁阳市文富市镇官山坪村）共同开展了绿色生资实验检测工作。遴选“富立来有机肥”和“丰裕有机肥”开展了实验检测，出具了相关检测报告，主要分析项目包括pH、有机质、速效氮、速效磷。联合省绿色食品协会通过当面交流、问卷调查等形式深入了解基地对投入品的需求，为绿色生资企业与基地牵线搭桥，开展绿色生资试验。在望城桥驿、永顺禾旭、郴州栖汉、北湖众惠有效开展试验示范等工作。</w:t>
      </w:r>
    </w:p>
    <w:p>
      <w:pPr>
        <w:pStyle w:val="13"/>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left="0" w:leftChars="0"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服务对象满意度</w:t>
      </w:r>
    </w:p>
    <w:p>
      <w:pPr>
        <w:pStyle w:val="13"/>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leftChars="200" w:firstLine="320" w:firstLineChars="1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服务对象满意度</w:t>
      </w:r>
      <w:r>
        <w:rPr>
          <w:rFonts w:hint="eastAsia" w:ascii="Times New Roman" w:hAnsi="Times New Roman" w:eastAsia="仿宋_GB2312"/>
          <w:sz w:val="32"/>
          <w:szCs w:val="32"/>
          <w:lang w:val="en-US" w:eastAsia="zh-CN"/>
        </w:rPr>
        <w:t>90%。</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四、存在的问题及原因分析</w:t>
      </w:r>
    </w:p>
    <w:p>
      <w:pPr>
        <w:pStyle w:val="13"/>
        <w:ind w:firstLine="640" w:firstLineChars="200"/>
        <w:jc w:val="both"/>
        <w:rPr>
          <w:rFonts w:hint="eastAsia" w:eastAsia="仿宋"/>
          <w:sz w:val="72"/>
          <w:szCs w:val="72"/>
          <w:lang w:eastAsia="zh-CN"/>
        </w:rPr>
      </w:pPr>
      <w:r>
        <w:rPr>
          <w:rFonts w:hint="eastAsia" w:ascii="仿宋" w:hAnsi="仿宋" w:eastAsia="仿宋" w:cs="仿宋"/>
          <w:sz w:val="32"/>
          <w:szCs w:val="32"/>
        </w:rPr>
        <w:t>天心城</w:t>
      </w:r>
      <w:r>
        <w:rPr>
          <w:rFonts w:hint="eastAsia" w:ascii="仿宋" w:hAnsi="仿宋" w:eastAsia="仿宋" w:cs="仿宋"/>
          <w:sz w:val="32"/>
          <w:szCs w:val="32"/>
          <w:lang w:val="en-US" w:eastAsia="zh-CN"/>
        </w:rPr>
        <w:t>门面闲置，主要原因是</w:t>
      </w:r>
      <w:r>
        <w:rPr>
          <w:rFonts w:hint="eastAsia" w:ascii="仿宋" w:hAnsi="仿宋" w:eastAsia="仿宋" w:cs="仿宋"/>
          <w:sz w:val="32"/>
          <w:szCs w:val="32"/>
        </w:rPr>
        <w:t>年久电梯设施不完善，加之室内地面、家电几乎无法正常使用</w:t>
      </w:r>
      <w:r>
        <w:rPr>
          <w:rFonts w:hint="eastAsia" w:ascii="仿宋" w:hAnsi="仿宋" w:eastAsia="仿宋" w:cs="仿宋"/>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p>
    <w:p>
      <w:pPr>
        <w:pStyle w:val="13"/>
        <w:jc w:val="center"/>
        <w:rPr>
          <w:sz w:val="72"/>
          <w:szCs w:val="72"/>
        </w:rPr>
      </w:pPr>
    </w:p>
    <w:p>
      <w:pPr>
        <w:pStyle w:val="13"/>
        <w:jc w:val="center"/>
        <w:rPr>
          <w:sz w:val="72"/>
          <w:szCs w:val="72"/>
        </w:rPr>
        <w:sectPr>
          <w:pgSz w:w="11906" w:h="16838"/>
          <w:pgMar w:top="720" w:right="720" w:bottom="720" w:left="720" w:header="851" w:footer="992" w:gutter="0"/>
          <w:cols w:space="425" w:num="1"/>
          <w:docGrid w:type="linesAndChars" w:linePitch="312" w:charSpace="0"/>
        </w:sectPr>
      </w:pPr>
    </w:p>
    <w:p>
      <w:pPr>
        <w:spacing w:after="120" w:afterLines="50" w:line="600" w:lineRule="exact"/>
        <w:jc w:val="center"/>
        <w:rPr>
          <w:rFonts w:hint="default" w:ascii="Times New Roman" w:hAnsi="Times New Roman" w:eastAsia="仿宋_GB2312" w:cs="Times New Roman"/>
          <w:sz w:val="24"/>
        </w:rPr>
      </w:pPr>
      <w:r>
        <w:rPr>
          <w:rFonts w:hint="default" w:ascii="Times New Roman" w:hAnsi="Times New Roman" w:eastAsia="方正小标宋_GBK" w:cs="Times New Roman"/>
          <w:sz w:val="36"/>
          <w:szCs w:val="36"/>
        </w:rPr>
        <w:t>202</w:t>
      </w:r>
      <w:r>
        <w:rPr>
          <w:rFonts w:hint="eastAsia" w:ascii="Times New Roman" w:hAnsi="Times New Roman" w:eastAsia="方正小标宋_GBK" w:cs="Times New Roman"/>
          <w:sz w:val="36"/>
          <w:szCs w:val="36"/>
          <w:lang w:val="en-US" w:eastAsia="zh-CN"/>
        </w:rPr>
        <w:t>3</w:t>
      </w:r>
      <w:r>
        <w:rPr>
          <w:rFonts w:hint="default" w:ascii="Times New Roman" w:hAnsi="Times New Roman" w:eastAsia="方正小标宋_GBK" w:cs="Times New Roman"/>
          <w:sz w:val="36"/>
          <w:szCs w:val="36"/>
        </w:rPr>
        <w:t>年</w:t>
      </w:r>
      <w:r>
        <w:rPr>
          <w:rFonts w:hint="eastAsia" w:ascii="Times New Roman" w:hAnsi="Times New Roman" w:eastAsia="方正小标宋_GBK" w:cs="Times New Roman"/>
          <w:sz w:val="36"/>
          <w:szCs w:val="36"/>
          <w:lang w:eastAsia="zh-CN"/>
        </w:rPr>
        <w:t>度</w:t>
      </w:r>
      <w:r>
        <w:rPr>
          <w:rFonts w:hint="default" w:ascii="Times New Roman" w:hAnsi="Times New Roman" w:eastAsia="方正小标宋_GBK" w:cs="Times New Roman"/>
          <w:sz w:val="36"/>
          <w:szCs w:val="36"/>
        </w:rPr>
        <w:t>部门整体支出绩效评价基础数据表</w:t>
      </w:r>
    </w:p>
    <w:tbl>
      <w:tblPr>
        <w:tblStyle w:val="8"/>
        <w:tblW w:w="9673" w:type="dxa"/>
        <w:jc w:val="center"/>
        <w:tblInd w:w="0" w:type="dxa"/>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Layout w:type="fixed"/>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控制率</w:t>
            </w:r>
          </w:p>
        </w:tc>
      </w:tr>
      <w:tr>
        <w:tblPrEx>
          <w:tblLayout w:type="fixed"/>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rPr>
            </w:pPr>
            <w:r>
              <w:rPr>
                <w:rFonts w:hint="eastAsia" w:ascii="Times New Roman" w:hAnsi="Times New Roman" w:eastAsia="仿宋_GB2312" w:cs="Times New Roman"/>
                <w:sz w:val="20"/>
                <w:szCs w:val="20"/>
                <w:lang w:val="en-US" w:eastAsia="zh-CN"/>
              </w:rPr>
              <w:t>4</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4</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100%</w:t>
            </w: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2</w:t>
            </w:r>
            <w:r>
              <w:rPr>
                <w:rFonts w:hint="default" w:ascii="Times New Roman" w:hAnsi="Times New Roman" w:eastAsia="仿宋_GB2312" w:cs="Times New Roman"/>
                <w:b/>
                <w:bCs/>
                <w:sz w:val="20"/>
                <w:szCs w:val="20"/>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年决算数</w:t>
            </w:r>
          </w:p>
        </w:tc>
      </w:tr>
      <w:tr>
        <w:tblPrEx>
          <w:tblLayout w:type="fixed"/>
          <w:tblCellMar>
            <w:top w:w="0" w:type="dxa"/>
            <w:left w:w="108" w:type="dxa"/>
            <w:bottom w:w="0" w:type="dxa"/>
            <w:right w:w="108" w:type="dxa"/>
          </w:tblCellMar>
        </w:tblPrEx>
        <w:trPr>
          <w:trHeight w:val="347"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三公经费</w:t>
            </w:r>
            <w:r>
              <w:rPr>
                <w:rFonts w:hint="eastAsia" w:ascii="Times New Roman" w:hAnsi="Times New Roman" w:eastAsia="仿宋_GB2312" w:cs="Times New Roman"/>
                <w:sz w:val="20"/>
                <w:szCs w:val="20"/>
                <w:lang w:val="en-US" w:eastAsia="zh-CN"/>
              </w:rPr>
              <w:t>:</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111.75</w:t>
            </w:r>
          </w:p>
        </w:tc>
        <w:tc>
          <w:tcPr>
            <w:tcW w:w="2240"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仿宋_GB2312" w:cs="Times New Roman"/>
                <w:sz w:val="20"/>
                <w:szCs w:val="20"/>
                <w:highlight w:val="none"/>
                <w:lang w:val="en-US"/>
              </w:rPr>
            </w:pPr>
            <w:r>
              <w:rPr>
                <w:rFonts w:hint="eastAsia" w:ascii="宋体" w:hAnsi="宋体" w:eastAsia="宋体" w:cs="宋体"/>
                <w:i w:val="0"/>
                <w:color w:val="000000"/>
                <w:kern w:val="0"/>
                <w:sz w:val="22"/>
                <w:szCs w:val="22"/>
                <w:u w:val="none"/>
                <w:lang w:val="en-US" w:eastAsia="zh-CN" w:bidi="ar"/>
              </w:rPr>
              <w:t xml:space="preserve"> 144.79 </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仿宋_GB2312" w:cs="Times New Roman"/>
                <w:sz w:val="20"/>
                <w:szCs w:val="20"/>
                <w:highlight w:val="none"/>
                <w:lang w:val="en-US"/>
              </w:rPr>
            </w:pPr>
            <w:r>
              <w:rPr>
                <w:rFonts w:hint="eastAsia" w:ascii="宋体" w:hAnsi="宋体" w:eastAsia="宋体" w:cs="宋体"/>
                <w:i w:val="0"/>
                <w:color w:val="000000"/>
                <w:kern w:val="0"/>
                <w:sz w:val="22"/>
                <w:szCs w:val="22"/>
                <w:u w:val="none"/>
                <w:lang w:val="en-US" w:eastAsia="zh-CN" w:bidi="ar"/>
              </w:rPr>
              <w:t xml:space="preserve"> 95.07 </w:t>
            </w:r>
          </w:p>
        </w:tc>
      </w:tr>
      <w:tr>
        <w:tblPrEx>
          <w:tblLayout w:type="fixed"/>
          <w:tblCellMar>
            <w:top w:w="0" w:type="dxa"/>
            <w:left w:w="108" w:type="dxa"/>
            <w:bottom w:w="0" w:type="dxa"/>
            <w:right w:w="108" w:type="dxa"/>
          </w:tblCellMar>
        </w:tblPrEx>
        <w:trPr>
          <w:trHeight w:val="346"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ind w:firstLine="400" w:firstLineChars="200"/>
              <w:jc w:val="left"/>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3、</w:t>
            </w:r>
            <w:r>
              <w:rPr>
                <w:rFonts w:hint="default" w:ascii="Times New Roman" w:hAnsi="Times New Roman" w:eastAsia="仿宋_GB2312" w:cs="Times New Roman"/>
                <w:sz w:val="20"/>
                <w:szCs w:val="20"/>
              </w:rPr>
              <w:t>其他事业发展资金</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16.30</w:t>
            </w:r>
          </w:p>
        </w:tc>
        <w:tc>
          <w:tcPr>
            <w:tcW w:w="2240"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仿宋_GB2312" w:cs="Times New Roman"/>
                <w:sz w:val="20"/>
                <w:szCs w:val="20"/>
                <w:highlight w:val="none"/>
                <w:lang w:val="en-US" w:eastAsia="zh-CN"/>
              </w:rPr>
            </w:pPr>
            <w:r>
              <w:rPr>
                <w:rFonts w:hint="eastAsia" w:ascii="宋体" w:hAnsi="宋体" w:eastAsia="宋体" w:cs="宋体"/>
                <w:i w:val="0"/>
                <w:color w:val="000000"/>
                <w:kern w:val="0"/>
                <w:sz w:val="22"/>
                <w:szCs w:val="22"/>
                <w:u w:val="none"/>
                <w:lang w:val="en-US" w:eastAsia="zh-CN" w:bidi="ar"/>
              </w:rPr>
              <w:t xml:space="preserve"> 9.59 </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仿宋_GB2312" w:cs="Times New Roman"/>
                <w:sz w:val="20"/>
                <w:szCs w:val="20"/>
                <w:highlight w:val="none"/>
                <w:lang w:val="en-US" w:eastAsia="zh-CN"/>
              </w:rPr>
            </w:pPr>
            <w:r>
              <w:rPr>
                <w:rFonts w:hint="eastAsia" w:ascii="宋体" w:hAnsi="宋体" w:eastAsia="宋体" w:cs="宋体"/>
                <w:i w:val="0"/>
                <w:color w:val="000000"/>
                <w:kern w:val="0"/>
                <w:sz w:val="22"/>
                <w:szCs w:val="22"/>
                <w:u w:val="none"/>
                <w:lang w:val="en-US" w:eastAsia="zh-CN" w:bidi="ar"/>
              </w:rPr>
              <w:t xml:space="preserve"> 8.56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4</w:t>
            </w:r>
            <w:r>
              <w:rPr>
                <w:rFonts w:hint="default" w:ascii="Times New Roman" w:hAnsi="Times New Roman" w:eastAsia="仿宋_GB2312" w:cs="Times New Roman"/>
                <w:sz w:val="20"/>
                <w:szCs w:val="20"/>
              </w:rPr>
              <w:t>、省级专项资金（</w:t>
            </w:r>
            <w:r>
              <w:rPr>
                <w:rFonts w:hint="eastAsia" w:ascii="Times New Roman" w:hAnsi="Times New Roman" w:eastAsia="仿宋_GB2312" w:cs="Times New Roman"/>
                <w:sz w:val="20"/>
                <w:szCs w:val="20"/>
                <w:lang w:eastAsia="zh-CN"/>
              </w:rPr>
              <w:t>每</w:t>
            </w:r>
            <w:r>
              <w:rPr>
                <w:rFonts w:hint="default" w:ascii="Times New Roman" w:hAnsi="Times New Roman" w:eastAsia="仿宋_GB2312" w:cs="Times New Roman"/>
                <w:sz w:val="20"/>
                <w:szCs w:val="20"/>
              </w:rPr>
              <w:t>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95.48</w:t>
            </w:r>
          </w:p>
        </w:tc>
        <w:tc>
          <w:tcPr>
            <w:tcW w:w="2240"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仿宋_GB2312" w:cs="Times New Roman"/>
                <w:sz w:val="20"/>
                <w:szCs w:val="20"/>
                <w:highlight w:val="none"/>
                <w:lang w:val="en-US" w:eastAsia="zh-CN"/>
              </w:rPr>
            </w:pPr>
            <w:r>
              <w:rPr>
                <w:rFonts w:hint="eastAsia" w:ascii="宋体" w:hAnsi="宋体" w:eastAsia="宋体" w:cs="宋体"/>
                <w:i w:val="0"/>
                <w:color w:val="000000"/>
                <w:kern w:val="0"/>
                <w:sz w:val="22"/>
                <w:szCs w:val="22"/>
                <w:u w:val="none"/>
                <w:lang w:val="en-US" w:eastAsia="zh-CN" w:bidi="ar"/>
              </w:rPr>
              <w:t xml:space="preserve"> 144.79 </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仿宋_GB2312" w:cs="Times New Roman"/>
                <w:sz w:val="20"/>
                <w:szCs w:val="20"/>
                <w:highlight w:val="none"/>
                <w:lang w:val="en-US" w:eastAsia="zh-CN"/>
              </w:rPr>
            </w:pPr>
            <w:r>
              <w:rPr>
                <w:rFonts w:hint="eastAsia" w:ascii="宋体" w:hAnsi="宋体" w:eastAsia="宋体" w:cs="宋体"/>
                <w:i w:val="0"/>
                <w:color w:val="000000"/>
                <w:kern w:val="0"/>
                <w:sz w:val="22"/>
                <w:szCs w:val="22"/>
                <w:u w:val="none"/>
                <w:lang w:val="en-US" w:eastAsia="zh-CN" w:bidi="ar"/>
              </w:rPr>
              <w:t xml:space="preserve"> 95.07 </w:t>
            </w:r>
          </w:p>
        </w:tc>
      </w:tr>
      <w:tr>
        <w:tblPrEx>
          <w:tblLayout w:type="fixed"/>
          <w:tblCellMar>
            <w:top w:w="0" w:type="dxa"/>
            <w:left w:w="108" w:type="dxa"/>
            <w:bottom w:w="0" w:type="dxa"/>
            <w:right w:w="108" w:type="dxa"/>
          </w:tblCellMar>
        </w:tblPrEx>
        <w:trPr>
          <w:trHeight w:val="373"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ind w:firstLine="400" w:firstLineChars="200"/>
              <w:jc w:val="left"/>
              <w:rPr>
                <w:rFonts w:hint="eastAsia" w:ascii="Times New Roman" w:hAnsi="Times New Roman" w:eastAsia="仿宋_GB2312" w:cs="Times New Roman"/>
                <w:sz w:val="20"/>
                <w:szCs w:val="20"/>
                <w:lang w:eastAsia="zh-CN"/>
              </w:rPr>
            </w:pPr>
            <w:r>
              <w:rPr>
                <w:rFonts w:hint="eastAsia" w:ascii="Times New Roman" w:hAnsi="Times New Roman" w:eastAsia="仿宋_GB2312" w:cs="Times New Roman"/>
                <w:sz w:val="20"/>
                <w:szCs w:val="20"/>
                <w:lang w:val="en-US" w:eastAsia="zh-CN"/>
              </w:rPr>
              <w:t>现代农业发展专项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仿宋_GB2312" w:cs="Times New Roman"/>
                <w:sz w:val="20"/>
                <w:szCs w:val="20"/>
                <w:highlight w:val="none"/>
                <w:lang w:val="en-US" w:eastAsia="zh-CN"/>
              </w:rPr>
            </w:pPr>
            <w:r>
              <w:rPr>
                <w:rFonts w:hint="eastAsia" w:ascii="宋体" w:hAnsi="宋体" w:eastAsia="宋体" w:cs="宋体"/>
                <w:i w:val="0"/>
                <w:color w:val="000000"/>
                <w:kern w:val="0"/>
                <w:sz w:val="22"/>
                <w:szCs w:val="22"/>
                <w:u w:val="none"/>
                <w:lang w:val="en-US" w:eastAsia="zh-CN" w:bidi="ar"/>
              </w:rPr>
              <w:t xml:space="preserve"> 75.00 </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仿宋_GB2312" w:cs="Times New Roman"/>
                <w:sz w:val="20"/>
                <w:szCs w:val="20"/>
                <w:highlight w:val="none"/>
                <w:lang w:val="en-US"/>
              </w:rPr>
            </w:pPr>
            <w:r>
              <w:rPr>
                <w:rFonts w:hint="eastAsia" w:ascii="宋体" w:hAnsi="宋体" w:eastAsia="宋体" w:cs="宋体"/>
                <w:i w:val="0"/>
                <w:color w:val="000000"/>
                <w:kern w:val="0"/>
                <w:sz w:val="22"/>
                <w:szCs w:val="22"/>
                <w:u w:val="none"/>
                <w:lang w:val="en-US" w:eastAsia="zh-CN" w:bidi="ar"/>
              </w:rPr>
              <w:t xml:space="preserve"> 70.47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ind w:firstLine="400" w:firstLineChars="200"/>
              <w:jc w:val="left"/>
              <w:rPr>
                <w:rFonts w:hint="eastAsia" w:ascii="Times New Roman" w:hAnsi="Times New Roman" w:eastAsia="仿宋_GB2312" w:cs="Times New Roman"/>
                <w:sz w:val="20"/>
                <w:szCs w:val="20"/>
                <w:lang w:eastAsia="zh-CN"/>
              </w:rPr>
            </w:pPr>
            <w:r>
              <w:rPr>
                <w:rFonts w:hint="eastAsia" w:ascii="Times New Roman" w:hAnsi="Times New Roman" w:eastAsia="仿宋_GB2312" w:cs="Times New Roman"/>
                <w:sz w:val="20"/>
                <w:szCs w:val="20"/>
                <w:lang w:val="en-US" w:eastAsia="zh-CN"/>
              </w:rPr>
              <w:t>绿色生资管理（2022结转）</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51.30</w:t>
            </w:r>
          </w:p>
        </w:tc>
        <w:tc>
          <w:tcPr>
            <w:tcW w:w="2240"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仿宋_GB2312" w:cs="Times New Roman"/>
                <w:sz w:val="20"/>
                <w:szCs w:val="20"/>
                <w:highlight w:val="none"/>
                <w:lang w:val="en-US" w:eastAsia="zh-CN"/>
              </w:rPr>
            </w:pPr>
            <w:r>
              <w:rPr>
                <w:rFonts w:hint="eastAsia" w:ascii="宋体" w:hAnsi="宋体" w:eastAsia="宋体" w:cs="宋体"/>
                <w:i w:val="0"/>
                <w:color w:val="000000"/>
                <w:kern w:val="0"/>
                <w:sz w:val="22"/>
                <w:szCs w:val="22"/>
                <w:u w:val="none"/>
                <w:lang w:val="en-US" w:eastAsia="zh-CN" w:bidi="ar"/>
              </w:rPr>
              <w:t xml:space="preserve"> 0.17 </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仿宋_GB2312" w:cs="Times New Roman"/>
                <w:sz w:val="20"/>
                <w:szCs w:val="20"/>
                <w:highlight w:val="none"/>
                <w:lang w:val="en-US" w:eastAsia="zh-CN"/>
              </w:rPr>
            </w:pPr>
            <w:r>
              <w:rPr>
                <w:rFonts w:hint="eastAsia" w:ascii="宋体" w:hAnsi="宋体" w:eastAsia="宋体" w:cs="宋体"/>
                <w:i w:val="0"/>
                <w:color w:val="000000"/>
                <w:kern w:val="0"/>
                <w:sz w:val="22"/>
                <w:szCs w:val="22"/>
                <w:u w:val="none"/>
                <w:lang w:val="en-US" w:eastAsia="zh-CN" w:bidi="ar"/>
              </w:rPr>
              <w:t xml:space="preserve"> 0.17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ind w:firstLine="400" w:firstLineChars="200"/>
              <w:jc w:val="left"/>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绿色、有机食品博览会（2022结转）</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33.15</w:t>
            </w:r>
          </w:p>
        </w:tc>
        <w:tc>
          <w:tcPr>
            <w:tcW w:w="2240"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仿宋_GB2312" w:cs="Times New Roman"/>
                <w:sz w:val="20"/>
                <w:szCs w:val="20"/>
                <w:highlight w:val="none"/>
                <w:lang w:val="en-US" w:eastAsia="zh-CN"/>
              </w:rPr>
            </w:pPr>
            <w:r>
              <w:rPr>
                <w:rFonts w:hint="eastAsia" w:ascii="宋体" w:hAnsi="宋体" w:eastAsia="宋体" w:cs="宋体"/>
                <w:i w:val="0"/>
                <w:color w:val="000000"/>
                <w:kern w:val="0"/>
                <w:sz w:val="22"/>
                <w:szCs w:val="22"/>
                <w:u w:val="none"/>
                <w:lang w:val="en-US" w:eastAsia="zh-CN" w:bidi="ar"/>
              </w:rPr>
              <w:t xml:space="preserve"> 15.88 </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right"/>
              <w:textAlignment w:val="center"/>
              <w:rPr>
                <w:rFonts w:hint="eastAsia" w:ascii="Times New Roman" w:hAnsi="Times New Roman" w:eastAsia="仿宋_GB2312" w:cs="Times New Roman"/>
                <w:sz w:val="20"/>
                <w:szCs w:val="20"/>
                <w:highlight w:val="none"/>
                <w:lang w:val="en-US" w:eastAsia="zh-CN"/>
              </w:rPr>
            </w:pPr>
            <w:r>
              <w:rPr>
                <w:rFonts w:hint="eastAsia" w:ascii="宋体" w:hAnsi="宋体" w:eastAsia="宋体" w:cs="宋体"/>
                <w:i w:val="0"/>
                <w:color w:val="000000"/>
                <w:kern w:val="0"/>
                <w:sz w:val="22"/>
                <w:szCs w:val="22"/>
                <w:u w:val="none"/>
                <w:lang w:val="en-US" w:eastAsia="zh-CN" w:bidi="ar"/>
              </w:rPr>
              <w:t xml:space="preserve"> 15.88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ind w:firstLine="400" w:firstLineChars="200"/>
              <w:jc w:val="left"/>
              <w:rPr>
                <w:rFonts w:hint="eastAsia" w:ascii="Times New Roman" w:hAnsi="Times New Roman" w:eastAsia="仿宋_GB2312" w:cs="Times New Roman"/>
                <w:sz w:val="20"/>
                <w:szCs w:val="20"/>
                <w:lang w:eastAsia="zh-CN"/>
              </w:rPr>
            </w:pPr>
            <w:r>
              <w:rPr>
                <w:rFonts w:hint="eastAsia" w:ascii="Times New Roman" w:hAnsi="Times New Roman" w:eastAsia="仿宋_GB2312" w:cs="Times New Roman"/>
                <w:sz w:val="20"/>
                <w:szCs w:val="20"/>
                <w:lang w:eastAsia="zh-CN"/>
              </w:rPr>
              <w:t xml:space="preserve"> 早稻集中育秧驻点项目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11.00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仿宋_GB2312" w:cs="Times New Roman"/>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p>
        </w:tc>
      </w:tr>
      <w:tr>
        <w:tblPrEx>
          <w:tblLayout w:type="fixed"/>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楼堂馆所控制情况</w:t>
            </w:r>
            <w:r>
              <w:rPr>
                <w:rFonts w:hint="default" w:ascii="Times New Roman" w:hAnsi="Times New Roman" w:eastAsia="仿宋_GB2312" w:cs="Times New Roman"/>
                <w:sz w:val="20"/>
                <w:szCs w:val="20"/>
              </w:rPr>
              <w:br w:type="textWrapping"/>
            </w:r>
            <w:r>
              <w:rPr>
                <w:rFonts w:hint="default" w:ascii="Times New Roman" w:hAnsi="Times New Roman" w:eastAsia="仿宋_GB2312" w:cs="Times New Roman"/>
                <w:sz w:val="20"/>
                <w:szCs w:val="20"/>
              </w:rPr>
              <w:t>（202</w:t>
            </w:r>
            <w:r>
              <w:rPr>
                <w:rFonts w:hint="eastAsia" w:ascii="Times New Roman" w:hAnsi="Times New Roman" w:eastAsia="仿宋_GB2312" w:cs="Times New Roman"/>
                <w:sz w:val="20"/>
                <w:szCs w:val="20"/>
                <w:lang w:val="en-US" w:eastAsia="zh-CN"/>
              </w:rPr>
              <w:t>3</w:t>
            </w:r>
            <w:r>
              <w:rPr>
                <w:rFonts w:hint="default" w:ascii="Times New Roman" w:hAnsi="Times New Roman" w:eastAsia="仿宋_GB2312" w:cs="Times New Roman"/>
                <w:sz w:val="20"/>
                <w:szCs w:val="20"/>
              </w:rPr>
              <w:t>年完工项目）</w:t>
            </w: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批复规模</w:t>
            </w:r>
            <w:r>
              <w:rPr>
                <w:rFonts w:hint="default" w:ascii="Times New Roman" w:hAnsi="Times New Roman" w:eastAsia="仿宋_GB2312" w:cs="Times New Roman"/>
                <w:bCs/>
                <w:sz w:val="20"/>
                <w:szCs w:val="20"/>
              </w:rPr>
              <w:br w:type="textWrapping"/>
            </w:r>
            <w:r>
              <w:rPr>
                <w:rFonts w:hint="default" w:ascii="Times New Roman" w:hAnsi="Times New Roman" w:eastAsia="仿宋_GB2312" w:cs="Times New Roman"/>
                <w:bCs/>
                <w:sz w:val="20"/>
                <w:szCs w:val="20"/>
              </w:rPr>
              <w:t>（</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实际规模（</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规模控制率</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预算投资（万元）</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实际投资（万元）</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18"/>
                <w:szCs w:val="18"/>
              </w:rPr>
              <w:t>投资概算控制率</w:t>
            </w:r>
          </w:p>
        </w:tc>
      </w:tr>
      <w:tr>
        <w:tblPrEx>
          <w:tblLayout w:type="fixed"/>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849"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960"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bl>
    <w:p>
      <w:pPr>
        <w:widowControl/>
        <w:spacing w:afterLines="0" w:line="400" w:lineRule="exact"/>
        <w:jc w:val="left"/>
        <w:rPr>
          <w:rFonts w:hint="default" w:ascii="Times New Roman" w:hAnsi="Times New Roman" w:eastAsia="仿宋_GB2312" w:cs="Times New Roman"/>
          <w:sz w:val="22"/>
        </w:rPr>
      </w:pPr>
      <w:r>
        <w:rPr>
          <w:rFonts w:hint="default" w:ascii="Times New Roman" w:hAnsi="Times New Roman" w:eastAsia="仿宋_GB2312" w:cs="Times New Roman"/>
          <w:sz w:val="22"/>
        </w:rPr>
        <w:t>说明：“项目支出”需要填报基本支出以外的所有项目支出情况，“公用经费”填报基本支出中的一般商品和服务支出。</w:t>
      </w:r>
    </w:p>
    <w:p>
      <w:pPr>
        <w:widowControl/>
        <w:spacing w:afterLines="0" w:line="400" w:lineRule="exact"/>
        <w:jc w:val="left"/>
        <w:rPr>
          <w:rFonts w:hint="default" w:ascii="Times New Roman" w:hAnsi="Times New Roman" w:eastAsia="仿宋_GB2312" w:cs="Times New Roman"/>
          <w:sz w:val="22"/>
        </w:rPr>
      </w:pPr>
    </w:p>
    <w:p>
      <w:pPr>
        <w:pStyle w:val="2"/>
        <w:rPr>
          <w:rFonts w:hint="default" w:ascii="Times New Roman" w:hAnsi="Times New Roman" w:eastAsia="仿宋_GB2312" w:cs="Times New Roman"/>
          <w:sz w:val="22"/>
          <w:szCs w:val="22"/>
        </w:rPr>
      </w:pPr>
    </w:p>
    <w:p>
      <w:pPr>
        <w:pStyle w:val="3"/>
        <w:rPr>
          <w:rFonts w:hint="default" w:ascii="Times New Roman" w:hAnsi="Times New Roman" w:eastAsia="仿宋_GB2312" w:cs="Times New Roman"/>
          <w:sz w:val="22"/>
          <w:szCs w:val="22"/>
        </w:rPr>
      </w:pPr>
    </w:p>
    <w:p>
      <w:pPr>
        <w:rPr>
          <w:rFonts w:hint="default" w:ascii="Times New Roman" w:hAnsi="Times New Roman" w:eastAsia="仿宋_GB2312" w:cs="Times New Roman"/>
          <w:sz w:val="22"/>
          <w:szCs w:val="22"/>
        </w:rPr>
      </w:pPr>
    </w:p>
    <w:p>
      <w:pPr>
        <w:pStyle w:val="2"/>
        <w:rPr>
          <w:rFonts w:hint="default" w:ascii="Times New Roman" w:hAnsi="Times New Roman" w:eastAsia="仿宋_GB2312" w:cs="Times New Roman"/>
          <w:sz w:val="22"/>
          <w:szCs w:val="22"/>
        </w:rPr>
      </w:pPr>
    </w:p>
    <w:p>
      <w:pPr>
        <w:pStyle w:val="3"/>
        <w:rPr>
          <w:rFonts w:hint="default" w:ascii="Times New Roman" w:hAnsi="Times New Roman" w:eastAsia="仿宋_GB2312" w:cs="Times New Roman"/>
          <w:sz w:val="22"/>
          <w:szCs w:val="22"/>
        </w:rPr>
      </w:pPr>
    </w:p>
    <w:p>
      <w:pPr>
        <w:rPr>
          <w:rFonts w:hint="default" w:ascii="Times New Roman" w:hAnsi="Times New Roman" w:eastAsia="仿宋_GB2312" w:cs="Times New Roman"/>
          <w:sz w:val="22"/>
          <w:szCs w:val="22"/>
        </w:rPr>
      </w:pPr>
    </w:p>
    <w:p>
      <w:pPr>
        <w:pStyle w:val="2"/>
        <w:rPr>
          <w:rFonts w:hint="eastAsia"/>
          <w:lang w:eastAsia="zh-CN"/>
        </w:rPr>
      </w:pPr>
    </w:p>
    <w:p>
      <w:pPr>
        <w:widowControl/>
        <w:spacing w:after="120" w:afterLines="50"/>
        <w:jc w:val="center"/>
        <w:rPr>
          <w:rFonts w:hint="default" w:ascii="Times New Roman" w:hAnsi="Times New Roman" w:eastAsia="方正小标宋_GBK" w:cs="Times New Roman"/>
          <w:color w:val="000000"/>
          <w:sz w:val="36"/>
          <w:szCs w:val="36"/>
        </w:rPr>
      </w:pPr>
      <w:r>
        <w:rPr>
          <w:rFonts w:hint="default" w:ascii="Times New Roman" w:hAnsi="Times New Roman" w:eastAsia="方正小标宋_GBK" w:cs="Times New Roman"/>
          <w:color w:val="000000"/>
          <w:sz w:val="36"/>
          <w:szCs w:val="36"/>
        </w:rPr>
        <w:t>202</w:t>
      </w:r>
      <w:r>
        <w:rPr>
          <w:rFonts w:hint="eastAsia" w:ascii="Times New Roman" w:hAnsi="Times New Roman" w:eastAsia="方正小标宋_GBK" w:cs="Times New Roman"/>
          <w:color w:val="000000"/>
          <w:sz w:val="36"/>
          <w:szCs w:val="36"/>
          <w:lang w:val="en-US" w:eastAsia="zh-CN"/>
        </w:rPr>
        <w:t>3</w:t>
      </w:r>
      <w:r>
        <w:rPr>
          <w:rFonts w:hint="default" w:ascii="Times New Roman" w:hAnsi="Times New Roman" w:eastAsia="方正小标宋_GBK" w:cs="Times New Roman"/>
          <w:color w:val="000000"/>
          <w:sz w:val="36"/>
          <w:szCs w:val="36"/>
        </w:rPr>
        <w:t>年</w:t>
      </w:r>
      <w:r>
        <w:rPr>
          <w:rFonts w:hint="eastAsia" w:ascii="Times New Roman" w:hAnsi="Times New Roman" w:eastAsia="方正小标宋_GBK" w:cs="Times New Roman"/>
          <w:color w:val="000000"/>
          <w:sz w:val="36"/>
          <w:szCs w:val="36"/>
          <w:lang w:eastAsia="zh-CN"/>
        </w:rPr>
        <w:t>度</w:t>
      </w:r>
      <w:r>
        <w:rPr>
          <w:rFonts w:hint="default" w:ascii="Times New Roman" w:hAnsi="Times New Roman" w:eastAsia="方正小标宋_GBK" w:cs="Times New Roman"/>
          <w:color w:val="000000"/>
          <w:sz w:val="36"/>
          <w:szCs w:val="36"/>
        </w:rPr>
        <w:t>部门整体支出绩效自评表</w:t>
      </w:r>
    </w:p>
    <w:tbl>
      <w:tblPr>
        <w:tblStyle w:val="8"/>
        <w:tblW w:w="10093" w:type="dxa"/>
        <w:jc w:val="center"/>
        <w:tblInd w:w="-574" w:type="dxa"/>
        <w:tblLayout w:type="fixed"/>
        <w:tblCellMar>
          <w:top w:w="0" w:type="dxa"/>
          <w:left w:w="108" w:type="dxa"/>
          <w:bottom w:w="0" w:type="dxa"/>
          <w:right w:w="108" w:type="dxa"/>
        </w:tblCellMar>
      </w:tblPr>
      <w:tblGrid>
        <w:gridCol w:w="616"/>
        <w:gridCol w:w="1029"/>
        <w:gridCol w:w="1140"/>
        <w:gridCol w:w="1813"/>
        <w:gridCol w:w="1187"/>
        <w:gridCol w:w="1752"/>
        <w:gridCol w:w="624"/>
        <w:gridCol w:w="888"/>
        <w:gridCol w:w="1044"/>
      </w:tblGrid>
      <w:tr>
        <w:tblPrEx>
          <w:tblLayout w:type="fixed"/>
          <w:tblCellMar>
            <w:top w:w="0" w:type="dxa"/>
            <w:left w:w="108" w:type="dxa"/>
            <w:bottom w:w="0" w:type="dxa"/>
            <w:right w:w="108" w:type="dxa"/>
          </w:tblCellMar>
        </w:tblPrEx>
        <w:trPr>
          <w:jc w:val="center"/>
        </w:trPr>
        <w:tc>
          <w:tcPr>
            <w:tcW w:w="278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省级预算部门</w:t>
            </w:r>
            <w:r>
              <w:rPr>
                <w:rFonts w:hint="eastAsia" w:ascii="Times New Roman" w:hAnsi="Times New Roman" w:eastAsia="仿宋_GB2312" w:cs="Times New Roman"/>
                <w:color w:val="000000"/>
                <w:sz w:val="20"/>
                <w:szCs w:val="20"/>
                <w:lang w:eastAsia="zh-CN"/>
              </w:rPr>
              <w:t>、单位</w:t>
            </w:r>
            <w:r>
              <w:rPr>
                <w:rFonts w:hint="default" w:ascii="Times New Roman" w:hAnsi="Times New Roman" w:eastAsia="仿宋_GB2312" w:cs="Times New Roman"/>
                <w:color w:val="000000"/>
                <w:sz w:val="20"/>
                <w:szCs w:val="20"/>
              </w:rPr>
              <w:t>名称</w:t>
            </w:r>
          </w:p>
        </w:tc>
        <w:tc>
          <w:tcPr>
            <w:tcW w:w="7308"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湖南省绿色食品发展中心</w:t>
            </w:r>
          </w:p>
        </w:tc>
      </w:tr>
      <w:tr>
        <w:tblPrEx>
          <w:tblLayout w:type="fixed"/>
          <w:tblCellMar>
            <w:top w:w="0" w:type="dxa"/>
            <w:left w:w="108" w:type="dxa"/>
            <w:bottom w:w="0" w:type="dxa"/>
            <w:right w:w="108" w:type="dxa"/>
          </w:tblCellMar>
        </w:tblPrEx>
        <w:trPr>
          <w:jc w:val="center"/>
        </w:trPr>
        <w:tc>
          <w:tcPr>
            <w:tcW w:w="616"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年度预</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算申请</w:t>
            </w:r>
            <w:r>
              <w:rPr>
                <w:rFonts w:hint="default" w:ascii="Times New Roman" w:hAnsi="Times New Roman" w:eastAsia="仿宋_GB2312" w:cs="Times New Roman"/>
                <w:color w:val="000000"/>
                <w:sz w:val="20"/>
                <w:szCs w:val="20"/>
              </w:rPr>
              <w:br w:type="textWrapping"/>
            </w:r>
            <w:r>
              <w:rPr>
                <w:rFonts w:hint="default" w:ascii="Times New Roman" w:hAnsi="Times New Roman" w:eastAsia="仿宋_GB2312" w:cs="Times New Roman"/>
                <w:color w:val="000000"/>
                <w:sz w:val="20"/>
                <w:szCs w:val="20"/>
              </w:rPr>
              <w:t>（万元）</w:t>
            </w:r>
          </w:p>
        </w:tc>
        <w:tc>
          <w:tcPr>
            <w:tcW w:w="2169"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p>
        </w:tc>
        <w:tc>
          <w:tcPr>
            <w:tcW w:w="181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年初预算数</w:t>
            </w:r>
          </w:p>
        </w:tc>
        <w:tc>
          <w:tcPr>
            <w:tcW w:w="1187"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全年预算数</w:t>
            </w:r>
          </w:p>
        </w:tc>
        <w:tc>
          <w:tcPr>
            <w:tcW w:w="1752"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全年执行数</w:t>
            </w:r>
          </w:p>
        </w:tc>
        <w:tc>
          <w:tcPr>
            <w:tcW w:w="62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分值</w:t>
            </w:r>
          </w:p>
        </w:tc>
        <w:tc>
          <w:tcPr>
            <w:tcW w:w="888"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执行率</w:t>
            </w:r>
          </w:p>
        </w:tc>
        <w:tc>
          <w:tcPr>
            <w:tcW w:w="104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自评</w:t>
            </w:r>
            <w:r>
              <w:rPr>
                <w:rFonts w:hint="default" w:ascii="Times New Roman" w:hAnsi="Times New Roman" w:eastAsia="仿宋_GB2312" w:cs="Times New Roman"/>
                <w:sz w:val="20"/>
                <w:szCs w:val="20"/>
              </w:rPr>
              <w:t>得分</w:t>
            </w:r>
          </w:p>
        </w:tc>
      </w:tr>
      <w:tr>
        <w:tblPrEx>
          <w:tblLayout w:type="fixed"/>
          <w:tblCellMar>
            <w:top w:w="0" w:type="dxa"/>
            <w:left w:w="108" w:type="dxa"/>
            <w:bottom w:w="0" w:type="dxa"/>
            <w:right w:w="108" w:type="dxa"/>
          </w:tblCellMar>
        </w:tblPrEx>
        <w:trPr>
          <w:trHeight w:val="237" w:hRule="atLeast"/>
          <w:jc w:val="center"/>
        </w:trPr>
        <w:tc>
          <w:tcPr>
            <w:tcW w:w="616" w:type="dxa"/>
            <w:vMerge w:val="continue"/>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2169"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color w:val="000000"/>
                <w:sz w:val="20"/>
                <w:szCs w:val="20"/>
              </w:rPr>
              <w:t>年度资金总额</w:t>
            </w:r>
          </w:p>
        </w:tc>
        <w:tc>
          <w:tcPr>
            <w:tcW w:w="181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162.05</w:t>
            </w:r>
          </w:p>
        </w:tc>
        <w:tc>
          <w:tcPr>
            <w:tcW w:w="1187"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263.31</w:t>
            </w:r>
          </w:p>
        </w:tc>
        <w:tc>
          <w:tcPr>
            <w:tcW w:w="1752"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197.29</w:t>
            </w:r>
          </w:p>
        </w:tc>
        <w:tc>
          <w:tcPr>
            <w:tcW w:w="62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b/>
                <w:bCs/>
                <w:sz w:val="20"/>
                <w:szCs w:val="20"/>
              </w:rPr>
              <w:t>10</w:t>
            </w:r>
          </w:p>
        </w:tc>
        <w:tc>
          <w:tcPr>
            <w:tcW w:w="888"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74.92%</w:t>
            </w:r>
          </w:p>
        </w:tc>
        <w:tc>
          <w:tcPr>
            <w:tcW w:w="104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7.49</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按收入性质分：</w:t>
            </w:r>
          </w:p>
        </w:tc>
        <w:tc>
          <w:tcPr>
            <w:tcW w:w="4308"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按支出性质分：</w:t>
            </w:r>
          </w:p>
        </w:tc>
      </w:tr>
      <w:tr>
        <w:tblPrEx>
          <w:tblLayout w:type="fixed"/>
          <w:tblCellMar>
            <w:top w:w="0" w:type="dxa"/>
            <w:left w:w="108" w:type="dxa"/>
            <w:bottom w:w="0" w:type="dxa"/>
            <w:right w:w="108" w:type="dxa"/>
          </w:tblCellMar>
        </w:tblPrEx>
        <w:trPr>
          <w:trHeight w:val="312" w:hRule="atLeast"/>
          <w:jc w:val="center"/>
        </w:trPr>
        <w:tc>
          <w:tcPr>
            <w:tcW w:w="616"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xml:space="preserve">  其中：  一般公共预算：</w:t>
            </w:r>
            <w:r>
              <w:rPr>
                <w:rFonts w:hint="eastAsia" w:ascii="Times New Roman" w:hAnsi="Times New Roman" w:eastAsia="仿宋_GB2312" w:cs="Times New Roman"/>
                <w:sz w:val="20"/>
                <w:szCs w:val="20"/>
                <w:lang w:val="en-US" w:eastAsia="zh-CN"/>
              </w:rPr>
              <w:t>172.31</w:t>
            </w:r>
          </w:p>
        </w:tc>
        <w:tc>
          <w:tcPr>
            <w:tcW w:w="4308"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其中：基本支出：</w:t>
            </w:r>
            <w:r>
              <w:rPr>
                <w:rFonts w:hint="eastAsia" w:ascii="Times New Roman" w:hAnsi="Times New Roman" w:eastAsia="仿宋_GB2312" w:cs="Times New Roman"/>
                <w:color w:val="000000"/>
                <w:sz w:val="20"/>
                <w:szCs w:val="20"/>
                <w:lang w:val="en-US" w:eastAsia="zh-CN"/>
              </w:rPr>
              <w:t>102.22</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政府性基金拨款：</w:t>
            </w:r>
          </w:p>
        </w:tc>
        <w:tc>
          <w:tcPr>
            <w:tcW w:w="4308"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项目支出：</w:t>
            </w:r>
            <w:r>
              <w:rPr>
                <w:rFonts w:hint="eastAsia" w:ascii="Times New Roman" w:hAnsi="Times New Roman" w:eastAsia="仿宋_GB2312" w:cs="Times New Roman"/>
                <w:color w:val="000000"/>
                <w:sz w:val="20"/>
                <w:szCs w:val="20"/>
                <w:lang w:val="en-US" w:eastAsia="zh-CN"/>
              </w:rPr>
              <w:t>95.07</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纳入专户管理的非税收入拨款：</w:t>
            </w:r>
          </w:p>
        </w:tc>
        <w:tc>
          <w:tcPr>
            <w:tcW w:w="4308"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trHeight w:val="276" w:hRule="atLeast"/>
          <w:jc w:val="center"/>
        </w:trPr>
        <w:tc>
          <w:tcPr>
            <w:tcW w:w="6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pPr>
              <w:widowControl/>
              <w:spacing w:line="240" w:lineRule="exact"/>
              <w:ind w:left="5596" w:leftChars="665" w:hanging="4200" w:hangingChars="2100"/>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其他资金91.00</w:t>
            </w:r>
          </w:p>
        </w:tc>
        <w:tc>
          <w:tcPr>
            <w:tcW w:w="4308"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6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年度总体目标</w:t>
            </w:r>
          </w:p>
        </w:tc>
        <w:tc>
          <w:tcPr>
            <w:tcW w:w="5169"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预期目标</w:t>
            </w:r>
          </w:p>
        </w:tc>
        <w:tc>
          <w:tcPr>
            <w:tcW w:w="4308"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实际完成情况　</w:t>
            </w:r>
          </w:p>
        </w:tc>
      </w:tr>
      <w:tr>
        <w:tblPrEx>
          <w:tblLayout w:type="fixed"/>
          <w:tblCellMar>
            <w:top w:w="0" w:type="dxa"/>
            <w:left w:w="108" w:type="dxa"/>
            <w:bottom w:w="0" w:type="dxa"/>
            <w:right w:w="108" w:type="dxa"/>
          </w:tblCellMar>
        </w:tblPrEx>
        <w:trPr>
          <w:trHeight w:val="570" w:hRule="atLeast"/>
          <w:jc w:val="center"/>
        </w:trPr>
        <w:tc>
          <w:tcPr>
            <w:tcW w:w="6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加强队伍建设和内部管理，加强综合治理和文明创建相关工作；202</w:t>
            </w:r>
            <w:r>
              <w:rPr>
                <w:rFonts w:hint="eastAsia" w:ascii="Times New Roman" w:hAnsi="Times New Roman" w:eastAsia="仿宋_GB2312" w:cs="Times New Roman"/>
                <w:color w:val="000000"/>
                <w:sz w:val="20"/>
                <w:szCs w:val="20"/>
                <w:lang w:val="en-US" w:eastAsia="zh-CN"/>
              </w:rPr>
              <w:t>3</w:t>
            </w:r>
            <w:r>
              <w:rPr>
                <w:rFonts w:hint="default" w:ascii="Times New Roman" w:hAnsi="Times New Roman" w:eastAsia="仿宋_GB2312" w:cs="Times New Roman"/>
                <w:color w:val="000000"/>
                <w:sz w:val="20"/>
                <w:szCs w:val="20"/>
              </w:rPr>
              <w:t>年度在原有的基础上，再新增至少两家家湖南绿色生资认证企业；继续做好中国有机食品博览会、中国绿色食品博览会及对接厅相关行政处室的境内农业展，助推我省绿色食品“走出去”，加强本省“二品一标”尤其是绿色食品基地试验示范的推广与服务；完善制度化建设；抓好疫情防控工作。</w:t>
            </w:r>
          </w:p>
        </w:tc>
        <w:tc>
          <w:tcPr>
            <w:tcW w:w="4308"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 w:cs="Times New Roman"/>
                <w:color w:val="000000"/>
                <w:sz w:val="20"/>
                <w:szCs w:val="20"/>
                <w:lang w:val="en-US" w:eastAsia="zh-CN"/>
              </w:rPr>
            </w:pPr>
            <w:r>
              <w:rPr>
                <w:rFonts w:hint="default" w:ascii="Times New Roman" w:hAnsi="Times New Roman" w:eastAsia="仿宋_GB2312" w:cs="Times New Roman"/>
                <w:color w:val="000000"/>
                <w:sz w:val="20"/>
                <w:szCs w:val="20"/>
              </w:rPr>
              <w:t>加强队伍建设和内部管理，加强综合治理和文明创建相关工作；202</w:t>
            </w:r>
            <w:r>
              <w:rPr>
                <w:rFonts w:hint="eastAsia" w:ascii="Times New Roman" w:hAnsi="Times New Roman" w:eastAsia="仿宋_GB2312" w:cs="Times New Roman"/>
                <w:color w:val="000000"/>
                <w:sz w:val="20"/>
                <w:szCs w:val="20"/>
                <w:lang w:val="en-US" w:eastAsia="zh-CN"/>
              </w:rPr>
              <w:t>3</w:t>
            </w:r>
            <w:r>
              <w:rPr>
                <w:rFonts w:hint="default" w:ascii="Times New Roman" w:hAnsi="Times New Roman" w:eastAsia="仿宋_GB2312" w:cs="Times New Roman"/>
                <w:color w:val="000000"/>
                <w:sz w:val="20"/>
                <w:szCs w:val="20"/>
              </w:rPr>
              <w:t>年度在原有的基础上，再新增至少两家家湖南绿色生资认证企业；继续做好中国有机食品博览会、中国绿色食品博览会及对接厅相关行政处室的境内农业展，助推我省绿色食品“走出去”，加强本省“二品一标”尤其是绿色食品基地试验示范的推广与服务；完善制度化建设；抓好疫情防控工作。</w:t>
            </w:r>
          </w:p>
        </w:tc>
      </w:tr>
      <w:tr>
        <w:tblPrEx>
          <w:tblLayout w:type="fixed"/>
          <w:tblCellMar>
            <w:top w:w="0" w:type="dxa"/>
            <w:left w:w="108" w:type="dxa"/>
            <w:bottom w:w="0" w:type="dxa"/>
            <w:right w:w="108" w:type="dxa"/>
          </w:tblCellMar>
        </w:tblPrEx>
        <w:trPr>
          <w:jc w:val="center"/>
        </w:trPr>
        <w:tc>
          <w:tcPr>
            <w:tcW w:w="616"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绩</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标</w:t>
            </w:r>
          </w:p>
          <w:p>
            <w:pPr>
              <w:widowControl/>
              <w:spacing w:line="240" w:lineRule="exact"/>
              <w:jc w:val="center"/>
              <w:rPr>
                <w:rFonts w:hint="default" w:ascii="Times New Roman" w:hAnsi="Times New Roman" w:eastAsia="仿宋_GB2312" w:cs="Times New Roman"/>
                <w:color w:val="000000"/>
                <w:sz w:val="20"/>
                <w:szCs w:val="20"/>
              </w:rPr>
            </w:pPr>
          </w:p>
        </w:tc>
        <w:tc>
          <w:tcPr>
            <w:tcW w:w="102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一级指标</w:t>
            </w:r>
          </w:p>
        </w:tc>
        <w:tc>
          <w:tcPr>
            <w:tcW w:w="114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二级指标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lang w:val="en-US" w:eastAsia="zh-CN"/>
              </w:rPr>
              <w:t>三级指标</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年度指标值</w:t>
            </w:r>
          </w:p>
        </w:tc>
        <w:tc>
          <w:tcPr>
            <w:tcW w:w="1752" w:type="dxa"/>
            <w:tcBorders>
              <w:top w:val="nil"/>
              <w:left w:val="nil"/>
              <w:bottom w:val="single" w:color="auto" w:sz="4" w:space="0"/>
              <w:right w:val="single" w:color="auto" w:sz="4" w:space="0"/>
            </w:tcBorders>
            <w:noWrap w:val="0"/>
            <w:vAlign w:val="center"/>
          </w:tcPr>
          <w:p>
            <w:pPr>
              <w:widowControl/>
              <w:spacing w:line="240" w:lineRule="exac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实际完成值</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分值</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16"/>
                <w:szCs w:val="16"/>
                <w:lang w:eastAsia="zh-CN"/>
              </w:rPr>
              <w:t>自评</w:t>
            </w:r>
            <w:r>
              <w:rPr>
                <w:rFonts w:hint="default" w:ascii="Times New Roman" w:hAnsi="Times New Roman" w:eastAsia="仿宋_GB2312" w:cs="Times New Roman"/>
                <w:color w:val="000000"/>
                <w:sz w:val="16"/>
                <w:szCs w:val="16"/>
              </w:rPr>
              <w:t>得分</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偏差原因分析及改进措施</w:t>
            </w:r>
          </w:p>
        </w:tc>
      </w:tr>
      <w:tr>
        <w:tblPrEx>
          <w:tblLayout w:type="fixed"/>
          <w:tblCellMar>
            <w:top w:w="0" w:type="dxa"/>
            <w:left w:w="108" w:type="dxa"/>
            <w:bottom w:w="0" w:type="dxa"/>
            <w:right w:w="108" w:type="dxa"/>
          </w:tblCellMar>
        </w:tblPrEx>
        <w:trPr>
          <w:trHeight w:val="442" w:hRule="atLeast"/>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产出指标</w:t>
            </w:r>
          </w:p>
          <w:p>
            <w:pPr>
              <w:widowControl/>
              <w:spacing w:line="240" w:lineRule="exact"/>
              <w:jc w:val="center"/>
              <w:rPr>
                <w:rFonts w:hint="default" w:ascii="Times New Roman" w:hAnsi="Times New Roman" w:eastAsia="仿宋_GB2312" w:cs="Times New Roman"/>
                <w:color w:val="000000"/>
                <w:sz w:val="20"/>
                <w:szCs w:val="20"/>
              </w:rPr>
            </w:pP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(50分)</w:t>
            </w:r>
          </w:p>
        </w:tc>
        <w:tc>
          <w:tcPr>
            <w:tcW w:w="1140"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数量指标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绿色生资认证企业</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≥10家</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10家</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40" w:type="dxa"/>
            <w:vMerge w:val="continue"/>
            <w:tcBorders>
              <w:left w:val="nil"/>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20"/>
                <w:szCs w:val="20"/>
              </w:rPr>
            </w:pP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绿色生资产品数</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≥15个</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18个</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484" w:hRule="atLeast"/>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40"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lang w:val="en-US" w:eastAsia="zh-CN"/>
              </w:rPr>
              <w:t>绿色生资企业</w:t>
            </w:r>
            <w:r>
              <w:rPr>
                <w:rFonts w:hint="eastAsia" w:ascii="Times New Roman" w:hAnsi="Times New Roman" w:eastAsia="仿宋_GB2312" w:cs="Times New Roman"/>
                <w:color w:val="000000"/>
                <w:sz w:val="20"/>
                <w:szCs w:val="20"/>
                <w:lang w:val="en-US" w:eastAsia="zh-CN"/>
              </w:rPr>
              <w:t>年检数</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≥5家</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5家</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40" w:type="dxa"/>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质量指标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参加第二十二届中国绿色食品博览会的绿色、有机专区和绿色生资展区的组织、布展等工作，做好了本省参展产品的包装、用标等把关审核</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按要求完成</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完成</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trHeight w:val="543" w:hRule="atLeast"/>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40" w:type="dxa"/>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时效指标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按时完成企业年检工作</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≥按时</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已完成</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restart"/>
            <w:tcBorders>
              <w:top w:val="single" w:color="auto" w:sz="4" w:space="0"/>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效益指标</w:t>
            </w: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（30分）</w:t>
            </w: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14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经济效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kern w:val="2"/>
                <w:sz w:val="20"/>
                <w:szCs w:val="20"/>
                <w:lang w:val="en-US" w:eastAsia="zh-CN" w:bidi="ar-SA"/>
              </w:rPr>
              <w:t>各项支出控制在预算范围内</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kern w:val="2"/>
                <w:sz w:val="20"/>
                <w:szCs w:val="20"/>
                <w:lang w:val="en-US" w:eastAsia="zh-CN" w:bidi="ar-SA"/>
              </w:rPr>
              <w:t>各项支出控制在预算范围内</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kern w:val="2"/>
                <w:sz w:val="20"/>
                <w:szCs w:val="20"/>
                <w:lang w:val="en-US" w:eastAsia="zh-CN" w:bidi="ar-SA"/>
              </w:rPr>
              <w:t>完成</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4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社会效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在省内媒体发表报道</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在省内媒体发表报道</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lang w:val="en-US" w:eastAsia="zh-CN"/>
              </w:rPr>
              <w:t>今年底在湖南日报发表了“湖南打造绿色食品产业链”的报道，并转发省农业厅网站。</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573" w:hRule="atLeast"/>
          <w:jc w:val="center"/>
        </w:trPr>
        <w:tc>
          <w:tcPr>
            <w:tcW w:w="616" w:type="dxa"/>
            <w:vMerge w:val="continue"/>
            <w:tcBorders>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可持续影响指标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 w:cs="Times New Roman"/>
                <w:color w:val="000000"/>
                <w:sz w:val="20"/>
                <w:szCs w:val="20"/>
                <w:lang w:eastAsia="zh-CN"/>
              </w:rPr>
            </w:pPr>
            <w:r>
              <w:rPr>
                <w:rFonts w:hint="eastAsia" w:ascii="Times New Roman" w:hAnsi="Times New Roman" w:eastAsia="仿宋" w:cs="Times New Roman"/>
                <w:color w:val="000000"/>
                <w:sz w:val="20"/>
                <w:szCs w:val="20"/>
                <w:lang w:eastAsia="zh-CN"/>
              </w:rPr>
              <w:t>共同开展了绿色生资实验检测工作</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持续开展</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val="en-US" w:eastAsia="zh-CN"/>
              </w:rPr>
              <w:t>完成</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trHeight w:val="754" w:hRule="atLeast"/>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满意度</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（10分）</w:t>
            </w:r>
          </w:p>
        </w:tc>
        <w:tc>
          <w:tcPr>
            <w:tcW w:w="1140" w:type="dxa"/>
            <w:tcBorders>
              <w:top w:val="single" w:color="auto" w:sz="4" w:space="0"/>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服务对象满意度指标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default" w:ascii="Times New Roman" w:hAnsi="Times New Roman" w:eastAsia="仿宋_GB2312" w:cs="Times New Roman"/>
                <w:color w:val="000000"/>
                <w:sz w:val="20"/>
                <w:szCs w:val="20"/>
              </w:rPr>
              <w:t>服务对象的满意程度</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90%以上</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90%</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trHeight w:val="458" w:hRule="atLeast"/>
          <w:jc w:val="center"/>
        </w:trPr>
        <w:tc>
          <w:tcPr>
            <w:tcW w:w="7537"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总分</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100</w:t>
            </w:r>
          </w:p>
        </w:tc>
        <w:tc>
          <w:tcPr>
            <w:tcW w:w="888" w:type="dxa"/>
            <w:tcBorders>
              <w:top w:val="nil"/>
              <w:left w:val="nil"/>
              <w:bottom w:val="single" w:color="auto" w:sz="4" w:space="0"/>
              <w:right w:val="single" w:color="auto" w:sz="4" w:space="0"/>
            </w:tcBorders>
            <w:noWrap w:val="0"/>
            <w:vAlign w:val="center"/>
          </w:tcPr>
          <w:p>
            <w:pPr>
              <w:widowControl/>
              <w:spacing w:line="240" w:lineRule="exact"/>
              <w:ind w:firstLine="200" w:firstLineChars="100"/>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97.49</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bl>
    <w:p>
      <w:pPr>
        <w:jc w:val="both"/>
        <w:rPr>
          <w:rFonts w:hint="default" w:ascii="Times New Roman" w:hAnsi="Times New Roman" w:eastAsia="仿宋_GB2312" w:cs="Times New Roman"/>
          <w:sz w:val="22"/>
          <w:szCs w:val="22"/>
        </w:rPr>
      </w:pPr>
    </w:p>
    <w:p>
      <w:pPr>
        <w:pStyle w:val="13"/>
        <w:jc w:val="center"/>
        <w:rPr>
          <w:sz w:val="72"/>
          <w:szCs w:val="7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29D4C1"/>
    <w:multiLevelType w:val="singleLevel"/>
    <w:tmpl w:val="EA29D4C1"/>
    <w:lvl w:ilvl="0" w:tentative="0">
      <w:start w:val="3"/>
      <w:numFmt w:val="decimal"/>
      <w:suff w:val="nothing"/>
      <w:lvlText w:val="%1、"/>
      <w:lvlJc w:val="left"/>
    </w:lvl>
  </w:abstractNum>
  <w:abstractNum w:abstractNumId="1">
    <w:nsid w:val="36F409D1"/>
    <w:multiLevelType w:val="singleLevel"/>
    <w:tmpl w:val="36F409D1"/>
    <w:lvl w:ilvl="0" w:tentative="0">
      <w:start w:val="1"/>
      <w:numFmt w:val="chineseCounting"/>
      <w:suff w:val="nothing"/>
      <w:lvlText w:val="%1、"/>
      <w:lvlJc w:val="left"/>
      <w:rPr>
        <w:rFonts w:hint="eastAsia"/>
      </w:rPr>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8CE42CB"/>
    <w:multiLevelType w:val="singleLevel"/>
    <w:tmpl w:val="48CE42CB"/>
    <w:lvl w:ilvl="0" w:tentative="0">
      <w:start w:val="1"/>
      <w:numFmt w:val="chineseCounting"/>
      <w:suff w:val="nothing"/>
      <w:lvlText w:val="（%1）"/>
      <w:lvlJc w:val="left"/>
      <w:pPr>
        <w:ind w:left="580" w:leftChars="0" w:firstLine="0" w:firstLineChars="0"/>
      </w:pPr>
      <w:rPr>
        <w:rFonts w:hint="eastAsia"/>
      </w:rPr>
    </w:lvl>
  </w:abstractNum>
  <w:abstractNum w:abstractNumId="4">
    <w:nsid w:val="505CDDE9"/>
    <w:multiLevelType w:val="singleLevel"/>
    <w:tmpl w:val="505CDDE9"/>
    <w:lvl w:ilvl="0" w:tentative="0">
      <w:start w:val="1"/>
      <w:numFmt w:val="decimal"/>
      <w:suff w:val="nothing"/>
      <w:lvlText w:val="%1、"/>
      <w:lvlJc w:val="left"/>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EE904F0"/>
    <w:rsid w:val="16F65183"/>
    <w:rsid w:val="1D97DEFF"/>
    <w:rsid w:val="1DFF72E5"/>
    <w:rsid w:val="1EFC6F07"/>
    <w:rsid w:val="1F4310E5"/>
    <w:rsid w:val="2813600D"/>
    <w:rsid w:val="2FB65F18"/>
    <w:rsid w:val="2FDF85B8"/>
    <w:rsid w:val="2FFFEE04"/>
    <w:rsid w:val="31990EA4"/>
    <w:rsid w:val="31C572DD"/>
    <w:rsid w:val="31E82760"/>
    <w:rsid w:val="34DF85B0"/>
    <w:rsid w:val="392D3A85"/>
    <w:rsid w:val="3B8F36BC"/>
    <w:rsid w:val="44F60D09"/>
    <w:rsid w:val="48D40F93"/>
    <w:rsid w:val="491FF225"/>
    <w:rsid w:val="4FFD214C"/>
    <w:rsid w:val="51523C58"/>
    <w:rsid w:val="5542503E"/>
    <w:rsid w:val="5777D4F5"/>
    <w:rsid w:val="58C30DCF"/>
    <w:rsid w:val="59DD8326"/>
    <w:rsid w:val="5C3B46A4"/>
    <w:rsid w:val="5DEF592A"/>
    <w:rsid w:val="5E77780E"/>
    <w:rsid w:val="5FC6BB1E"/>
    <w:rsid w:val="5FC82167"/>
    <w:rsid w:val="5FF720F1"/>
    <w:rsid w:val="64000177"/>
    <w:rsid w:val="67FF5C0B"/>
    <w:rsid w:val="69B26F88"/>
    <w:rsid w:val="6E5C20DC"/>
    <w:rsid w:val="6EFC0924"/>
    <w:rsid w:val="6FB74722"/>
    <w:rsid w:val="6FEF8B7E"/>
    <w:rsid w:val="71A6591B"/>
    <w:rsid w:val="737D59BA"/>
    <w:rsid w:val="77C37683"/>
    <w:rsid w:val="79D841AC"/>
    <w:rsid w:val="79FF515B"/>
    <w:rsid w:val="7C2843CD"/>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5"/>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character" w:customStyle="1" w:styleId="11">
    <w:name w:val="页眉 Char"/>
    <w:basedOn w:val="9"/>
    <w:link w:val="7"/>
    <w:qFormat/>
    <w:uiPriority w:val="99"/>
    <w:rPr>
      <w:sz w:val="18"/>
      <w:szCs w:val="18"/>
    </w:rPr>
  </w:style>
  <w:style w:type="character" w:customStyle="1" w:styleId="12">
    <w:name w:val="页脚 Char"/>
    <w:basedOn w:val="9"/>
    <w:link w:val="6"/>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9"/>
    <w:link w:val="5"/>
    <w:semiHidden/>
    <w:qFormat/>
    <w:uiPriority w:val="99"/>
    <w:rPr>
      <w:sz w:val="18"/>
      <w:szCs w:val="18"/>
    </w:rPr>
  </w:style>
  <w:style w:type="character" w:customStyle="1" w:styleId="16">
    <w:name w:val="font01"/>
    <w:basedOn w:val="9"/>
    <w:qFormat/>
    <w:uiPriority w:val="0"/>
    <w:rPr>
      <w:rFonts w:hint="eastAsia" w:ascii="宋体" w:hAnsi="宋体" w:eastAsia="宋体" w:cs="宋体"/>
      <w:color w:val="000000"/>
      <w:sz w:val="22"/>
      <w:szCs w:val="22"/>
      <w:u w:val="none"/>
    </w:rPr>
  </w:style>
  <w:style w:type="character" w:customStyle="1" w:styleId="17">
    <w:name w:val="font21"/>
    <w:basedOn w:val="9"/>
    <w:qFormat/>
    <w:uiPriority w:val="0"/>
    <w:rPr>
      <w:rFonts w:hint="eastAsia" w:ascii="宋体" w:hAnsi="宋体" w:eastAsia="宋体" w:cs="宋体"/>
      <w:color w:val="000000"/>
      <w:sz w:val="24"/>
      <w:szCs w:val="24"/>
      <w:u w:val="none"/>
    </w:rPr>
  </w:style>
  <w:style w:type="character" w:customStyle="1" w:styleId="18">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1</TotalTime>
  <ScaleCrop>false</ScaleCrop>
  <LinksUpToDate>false</LinksUpToDate>
  <CharactersWithSpaces>9008</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lenovo</cp:lastModifiedBy>
  <cp:lastPrinted>2024-08-08T10:20:00Z</cp:lastPrinted>
  <dcterms:modified xsi:type="dcterms:W3CDTF">2024-09-06T07:15:03Z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