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jc w:val="center"/>
        <w:rPr>
          <w:sz w:val="56"/>
          <w:szCs w:val="56"/>
        </w:rPr>
      </w:pPr>
    </w:p>
    <w:p>
      <w:pPr>
        <w:pStyle w:val="14"/>
        <w:jc w:val="center"/>
        <w:rPr>
          <w:sz w:val="56"/>
          <w:szCs w:val="56"/>
        </w:rPr>
      </w:pPr>
    </w:p>
    <w:p>
      <w:pPr>
        <w:pStyle w:val="14"/>
        <w:jc w:val="center"/>
        <w:rPr>
          <w:sz w:val="84"/>
          <w:szCs w:val="84"/>
        </w:rPr>
      </w:pPr>
    </w:p>
    <w:p>
      <w:pPr>
        <w:pStyle w:val="14"/>
        <w:jc w:val="center"/>
        <w:rPr>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pPr>
        <w:pStyle w:val="14"/>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湖南省绿色食品办公室</w:t>
      </w: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w:t>
      </w:r>
    </w:p>
    <w:p>
      <w:pPr>
        <w:pStyle w:val="14"/>
        <w:jc w:val="center"/>
        <w:rPr>
          <w:rFonts w:hint="eastAsia" w:ascii="方正小标宋_GBK" w:hAnsi="方正小标宋_GBK" w:eastAsia="方正小标宋_GBK" w:cs="方正小标宋_GBK"/>
          <w:sz w:val="56"/>
          <w:szCs w:val="56"/>
        </w:rPr>
      </w:pPr>
    </w:p>
    <w:p>
      <w:pPr>
        <w:pStyle w:val="14"/>
        <w:jc w:val="center"/>
        <w:rPr>
          <w:sz w:val="56"/>
          <w:szCs w:val="56"/>
        </w:rPr>
      </w:pPr>
    </w:p>
    <w:p>
      <w:pPr>
        <w:pStyle w:val="14"/>
        <w:jc w:val="center"/>
        <w:rPr>
          <w:sz w:val="56"/>
          <w:szCs w:val="56"/>
        </w:rPr>
      </w:pPr>
    </w:p>
    <w:p>
      <w:pPr>
        <w:pStyle w:val="14"/>
        <w:jc w:val="center"/>
        <w:rPr>
          <w:sz w:val="144"/>
          <w:szCs w:val="144"/>
        </w:rPr>
      </w:pPr>
    </w:p>
    <w:p>
      <w:pPr>
        <w:pStyle w:val="14"/>
        <w:jc w:val="center"/>
        <w:rPr>
          <w:sz w:val="32"/>
          <w:szCs w:val="32"/>
        </w:rPr>
      </w:pPr>
    </w:p>
    <w:p>
      <w:pPr>
        <w:pStyle w:val="14"/>
        <w:jc w:val="center"/>
        <w:rPr>
          <w:sz w:val="32"/>
          <w:szCs w:val="32"/>
        </w:rPr>
      </w:pPr>
    </w:p>
    <w:p>
      <w:pPr>
        <w:pStyle w:val="14"/>
        <w:spacing w:line="500" w:lineRule="exact"/>
        <w:jc w:val="center"/>
        <w:rPr>
          <w:b/>
          <w:sz w:val="36"/>
          <w:szCs w:val="28"/>
        </w:rPr>
      </w:pPr>
      <w:r>
        <w:rPr>
          <w:rFonts w:hint="eastAsia"/>
          <w:b/>
          <w:sz w:val="36"/>
          <w:szCs w:val="28"/>
        </w:rPr>
        <w:t>目录</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湖南省绿色食品办公室</w:t>
      </w:r>
      <w:r>
        <w:rPr>
          <w:rFonts w:hint="eastAsia" w:ascii="黑体" w:hAnsi="黑体" w:eastAsia="黑体" w:cs="黑体"/>
          <w:b w:val="0"/>
          <w:bCs/>
          <w:sz w:val="28"/>
          <w:szCs w:val="28"/>
        </w:rPr>
        <w:t>概况</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二、机构设置</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七、财政拨款三公经费支出决算情况说明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八、政府性基金预算收入支出决算情况</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九、关于机关运行经费支出说明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十一、关于政府采购支出说明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十二、关于国有资产占用情况说明</w:t>
      </w:r>
    </w:p>
    <w:p>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4"/>
        <w:spacing w:line="500" w:lineRule="exact"/>
        <w:rPr>
          <w:rFonts w:hint="eastAsia" w:ascii="黑体" w:hAnsi="黑体" w:eastAsia="黑体" w:cs="黑体"/>
          <w:b w:val="0"/>
          <w:bCs/>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湖南省绿色食品办公室</w:t>
      </w:r>
      <w:r>
        <w:rPr>
          <w:rFonts w:hint="eastAsia" w:ascii="方正小标宋_GBK" w:hAnsi="方正小标宋_GBK" w:eastAsia="方正小标宋_GBK" w:cs="方正小标宋_GBK"/>
          <w:sz w:val="84"/>
          <w:szCs w:val="84"/>
        </w:rPr>
        <w:t>概况</w:t>
      </w:r>
    </w:p>
    <w:p>
      <w:pPr>
        <w:jc w:val="center"/>
        <w:rPr>
          <w:rFonts w:hint="eastAsia" w:ascii="方正小标宋_GBK" w:hAnsi="方正小标宋_GBK" w:eastAsia="方正小标宋_GBK" w:cs="方正小标宋_GBK"/>
          <w:sz w:val="72"/>
          <w:szCs w:val="72"/>
        </w:rPr>
      </w:pPr>
    </w:p>
    <w:p>
      <w:pPr>
        <w:jc w:val="center"/>
        <w:rPr>
          <w:rFonts w:hint="eastAsia" w:ascii="方正小标宋_GBK" w:hAnsi="方正小标宋_GBK" w:eastAsia="方正小标宋_GBK" w:cs="方正小标宋_GBK"/>
          <w:sz w:val="72"/>
          <w:szCs w:val="72"/>
        </w:rPr>
      </w:pPr>
    </w:p>
    <w:p>
      <w:pPr>
        <w:jc w:val="center"/>
        <w:rPr>
          <w:sz w:val="72"/>
          <w:szCs w:val="72"/>
        </w:rPr>
      </w:pPr>
    </w:p>
    <w:p>
      <w:pPr>
        <w:jc w:val="center"/>
        <w:rPr>
          <w:sz w:val="72"/>
          <w:szCs w:val="72"/>
        </w:rPr>
      </w:pPr>
    </w:p>
    <w:p>
      <w:pPr>
        <w:jc w:val="center"/>
        <w:rPr>
          <w:sz w:val="72"/>
          <w:szCs w:val="72"/>
        </w:rPr>
      </w:pPr>
    </w:p>
    <w:p>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服务湖南农业农村现代化，大力发展安全、优质、健康的绿色食品、有机农产品和地理标志农产品，培育打造绿色有机地标农产品品牌，推动全省农产品质量安全认证管理事业持续健康发展，引领全省农产品质量安全水平稳步提高。研究制定并组织实施发展绿色食品、有机农产品和农产品地理标志产业政策和发展规划；负责管理权限内建设项目的审核、组织实施和资金管理；组织相关产业的科研推广、标准制订和质量监管；开展相关政策咨询、技术服务、宣传推介和合作交流。</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keepNext w:val="0"/>
        <w:keepLines w:val="0"/>
        <w:pageBreakBefore w:val="0"/>
        <w:widowControl/>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bCs/>
          <w:kern w:val="0"/>
          <w:sz w:val="32"/>
          <w:szCs w:val="32"/>
          <w:lang w:eastAsia="zh-CN"/>
        </w:rPr>
      </w:pPr>
      <w:r>
        <w:rPr>
          <w:rFonts w:hint="eastAsia" w:ascii="仿宋" w:hAnsi="仿宋" w:eastAsia="仿宋" w:cs="仿宋"/>
          <w:bCs/>
          <w:kern w:val="0"/>
          <w:sz w:val="32"/>
          <w:szCs w:val="32"/>
        </w:rPr>
        <w:t>（一）内设机构设置。</w:t>
      </w:r>
      <w:r>
        <w:rPr>
          <w:rFonts w:hint="eastAsia" w:ascii="仿宋" w:hAnsi="仿宋" w:eastAsia="仿宋" w:cs="仿宋"/>
          <w:color w:val="auto"/>
          <w:sz w:val="32"/>
          <w:szCs w:val="32"/>
          <w:lang w:eastAsia="zh-CN"/>
        </w:rPr>
        <w:t>湖南省绿色食品办公室</w:t>
      </w:r>
      <w:r>
        <w:rPr>
          <w:rFonts w:hint="eastAsia" w:ascii="仿宋" w:hAnsi="仿宋" w:eastAsia="仿宋" w:cs="仿宋"/>
          <w:bCs/>
          <w:kern w:val="0"/>
          <w:sz w:val="32"/>
          <w:szCs w:val="32"/>
        </w:rPr>
        <w:t>内设机构包括：</w:t>
      </w:r>
      <w:r>
        <w:rPr>
          <w:rFonts w:hint="eastAsia" w:ascii="仿宋" w:hAnsi="仿宋" w:eastAsia="仿宋" w:cs="仿宋"/>
          <w:bCs/>
          <w:kern w:val="0"/>
          <w:sz w:val="32"/>
          <w:szCs w:val="32"/>
          <w:lang w:eastAsia="zh-CN"/>
        </w:rPr>
        <w:t>综合科、农产品质量安全科、绿色食品科、有机农产品科、市场监督管理科、市场推广科六个科室。</w:t>
      </w:r>
    </w:p>
    <w:p>
      <w:pPr>
        <w:keepNext w:val="0"/>
        <w:keepLines w:val="0"/>
        <w:pageBreakBefore w:val="0"/>
        <w:widowControl/>
        <w:kinsoku/>
        <w:wordWrap/>
        <w:overflowPunct/>
        <w:topLinePunct w:val="0"/>
        <w:autoSpaceDE/>
        <w:autoSpaceDN/>
        <w:bidi w:val="0"/>
        <w:adjustRightInd/>
        <w:snapToGrid/>
        <w:spacing w:line="580" w:lineRule="exact"/>
        <w:ind w:firstLine="320" w:firstLineChars="100"/>
        <w:textAlignment w:val="auto"/>
        <w:rPr>
          <w:rFonts w:hint="eastAsia" w:ascii="仿宋" w:hAnsi="仿宋" w:eastAsia="仿宋" w:cs="仿宋"/>
          <w:bCs/>
          <w:kern w:val="0"/>
          <w:sz w:val="32"/>
          <w:szCs w:val="32"/>
        </w:rPr>
      </w:pPr>
      <w:r>
        <w:rPr>
          <w:rFonts w:hint="eastAsia" w:ascii="仿宋" w:hAnsi="仿宋" w:eastAsia="仿宋" w:cs="仿宋"/>
          <w:bCs/>
          <w:kern w:val="0"/>
          <w:sz w:val="32"/>
          <w:szCs w:val="32"/>
        </w:rPr>
        <w:t>（二）决算单位构成。</w:t>
      </w:r>
      <w:r>
        <w:rPr>
          <w:rFonts w:hint="eastAsia" w:ascii="仿宋" w:hAnsi="仿宋" w:eastAsia="仿宋" w:cs="仿宋"/>
          <w:color w:val="auto"/>
          <w:sz w:val="32"/>
          <w:szCs w:val="32"/>
          <w:lang w:eastAsia="zh-CN"/>
        </w:rPr>
        <w:t>湖南省绿色食品办公室</w:t>
      </w:r>
      <w:r>
        <w:rPr>
          <w:rFonts w:hint="eastAsia" w:ascii="仿宋" w:hAnsi="仿宋" w:eastAsia="仿宋" w:cs="仿宋"/>
          <w:bCs/>
          <w:kern w:val="0"/>
          <w:sz w:val="32"/>
          <w:szCs w:val="32"/>
        </w:rPr>
        <w:t>202</w:t>
      </w:r>
      <w:r>
        <w:rPr>
          <w:rFonts w:hint="eastAsia" w:ascii="仿宋" w:hAnsi="仿宋" w:eastAsia="仿宋" w:cs="仿宋"/>
          <w:bCs/>
          <w:kern w:val="0"/>
          <w:sz w:val="32"/>
          <w:szCs w:val="32"/>
          <w:lang w:val="en-US" w:eastAsia="zh-CN"/>
        </w:rPr>
        <w:t>3</w:t>
      </w:r>
      <w:r>
        <w:rPr>
          <w:rFonts w:hint="eastAsia" w:ascii="仿宋" w:hAnsi="仿宋" w:eastAsia="仿宋" w:cs="仿宋"/>
          <w:bCs/>
          <w:kern w:val="0"/>
          <w:sz w:val="32"/>
          <w:szCs w:val="32"/>
        </w:rPr>
        <w:t>年部门决算汇总公开单位构成包括：</w:t>
      </w:r>
      <w:r>
        <w:rPr>
          <w:rFonts w:hint="eastAsia" w:ascii="仿宋" w:hAnsi="仿宋" w:eastAsia="仿宋" w:cs="仿宋"/>
          <w:bCs/>
          <w:kern w:val="0"/>
          <w:sz w:val="32"/>
          <w:szCs w:val="32"/>
          <w:lang w:eastAsia="zh-CN"/>
        </w:rPr>
        <w:t>湖南省绿色食品办公室</w:t>
      </w:r>
      <w:r>
        <w:rPr>
          <w:rFonts w:hint="eastAsia" w:ascii="仿宋" w:hAnsi="仿宋" w:eastAsia="仿宋" w:cs="仿宋"/>
          <w:bCs/>
          <w:kern w:val="0"/>
          <w:sz w:val="32"/>
          <w:szCs w:val="32"/>
          <w:lang w:val="en-US" w:eastAsia="zh-CN"/>
        </w:rPr>
        <w:t>本级</w:t>
      </w:r>
      <w:r>
        <w:rPr>
          <w:rFonts w:hint="eastAsia" w:ascii="仿宋" w:hAnsi="仿宋" w:eastAsia="仿宋" w:cs="仿宋"/>
          <w:bCs/>
          <w:kern w:val="0"/>
          <w:sz w:val="32"/>
          <w:szCs w:val="32"/>
          <w:lang w:eastAsia="zh-CN"/>
        </w:rPr>
        <w:t>。</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sz w:val="72"/>
          <w:szCs w:val="72"/>
        </w:rPr>
      </w:pPr>
    </w:p>
    <w:p>
      <w:pPr>
        <w:jc w:val="center"/>
        <w:rPr>
          <w:sz w:val="72"/>
          <w:szCs w:val="72"/>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4"/>
        <w:jc w:val="center"/>
        <w:rPr>
          <w:rFonts w:hint="eastAsia" w:ascii="方正小标宋_GBK" w:hAnsi="方正小标宋_GBK" w:eastAsia="方正小标宋_GBK" w:cs="方正小标宋_GBK"/>
          <w:sz w:val="84"/>
          <w:szCs w:val="84"/>
        </w:rPr>
      </w:pPr>
    </w:p>
    <w:p>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left"/>
        <w:rPr>
          <w:sz w:val="32"/>
          <w:szCs w:val="3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8"/>
        <w:tblW w:w="14336" w:type="dxa"/>
        <w:tblInd w:w="42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5103"/>
        <w:gridCol w:w="612"/>
        <w:gridCol w:w="1521"/>
        <w:gridCol w:w="4675"/>
        <w:gridCol w:w="612"/>
        <w:gridCol w:w="18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336" w:type="dxa"/>
            <w:gridSpan w:val="6"/>
            <w:tcBorders>
              <w:top w:val="nil"/>
              <w:left w:val="nil"/>
              <w:bottom w:val="nil"/>
              <w:right w:val="nil"/>
            </w:tcBorders>
            <w:shd w:val="clear" w:color="auto" w:fill="auto"/>
            <w:noWrap/>
            <w:tcMar>
              <w:top w:w="10" w:type="dxa"/>
              <w:left w:w="10" w:type="dxa"/>
              <w:right w:w="10" w:type="dxa"/>
            </w:tcMar>
            <w:vAlign w:val="center"/>
          </w:tcPr>
          <w:p>
            <w:pPr>
              <w:widowControl/>
              <w:jc w:val="center"/>
              <w:rPr>
                <w:rFonts w:hint="eastAsia" w:ascii="宋体" w:hAnsi="宋体" w:eastAsia="宋体" w:cs="宋体"/>
                <w:b/>
                <w:i w:val="0"/>
                <w:color w:val="000000"/>
                <w:sz w:val="28"/>
                <w:szCs w:val="28"/>
                <w:u w:val="none"/>
              </w:rPr>
            </w:pPr>
            <w:r>
              <w:rPr>
                <w:rFonts w:ascii="Times New Roman" w:hAnsi="Times New Roman" w:eastAsia="黑体" w:cs="Times New Roman"/>
                <w:bCs/>
                <w:kern w:val="0"/>
                <w:sz w:val="32"/>
                <w:szCs w:val="32"/>
              </w:rPr>
              <w:br w:type="page"/>
            </w:r>
            <w:r>
              <w:rPr>
                <w:rFonts w:hint="eastAsia" w:ascii="宋体" w:hAnsi="宋体" w:eastAsia="宋体" w:cs="宋体"/>
                <w:b/>
                <w:i w:val="0"/>
                <w:color w:val="000000"/>
                <w:kern w:val="0"/>
                <w:sz w:val="28"/>
                <w:szCs w:val="28"/>
                <w:u w:val="none"/>
                <w:lang w:val="en-US" w:eastAsia="zh-CN" w:bidi="ar"/>
              </w:rPr>
              <w:t>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10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1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2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7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1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公开01表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5103"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部门：湖南省绿色食品办公室</w:t>
            </w:r>
          </w:p>
        </w:tc>
        <w:tc>
          <w:tcPr>
            <w:tcW w:w="61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21"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75"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1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813"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723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收入</w:t>
            </w:r>
          </w:p>
        </w:tc>
        <w:tc>
          <w:tcPr>
            <w:tcW w:w="710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546.59</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四、上级补助收入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五、事业收入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229.60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六、经营收入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七、附属单位上缴收入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八、其他收入</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644.55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24</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25</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776.19</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719.29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使用非财政拨款结余和专用结余</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结余分配</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年初结转和结余</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324.37</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年末结转和结余</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381.27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52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1,100.56</w:t>
            </w:r>
          </w:p>
        </w:tc>
        <w:tc>
          <w:tcPr>
            <w:tcW w:w="467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6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18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1,100.56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336"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注：1.本表反映部门本年度的总收支和年末结转结余情况。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4336" w:type="dxa"/>
            <w:gridSpan w:val="6"/>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2.本套报表金额单位转换时可能存在尾数误差。</w:t>
            </w:r>
          </w:p>
        </w:tc>
      </w:tr>
    </w:tbl>
    <w:p>
      <w:pPr>
        <w:widowControl/>
        <w:jc w:val="left"/>
        <w:rPr>
          <w:rFonts w:ascii="Times New Roman" w:hAnsi="Times New Roman" w:eastAsia="黑体" w:cs="Times New Roman"/>
          <w:bCs/>
          <w:kern w:val="0"/>
          <w:sz w:val="32"/>
          <w:szCs w:val="32"/>
        </w:rPr>
      </w:pPr>
    </w:p>
    <w:p>
      <w:pPr>
        <w:widowControl/>
        <w:rPr>
          <w:rFonts w:ascii="Times New Roman" w:hAnsi="Times New Roman" w:eastAsia="方正小标宋_GBK" w:cs="Times New Roman"/>
          <w:color w:val="000000"/>
          <w:kern w:val="0"/>
          <w:sz w:val="36"/>
          <w:szCs w:val="36"/>
        </w:rPr>
      </w:pPr>
    </w:p>
    <w:p>
      <w:pPr>
        <w:widowControl/>
        <w:jc w:val="both"/>
        <w:rPr>
          <w:rFonts w:ascii="Times New Roman" w:hAnsi="Times New Roman" w:eastAsia="方正小标宋_GBK" w:cs="Times New Roman"/>
          <w:color w:val="000000"/>
          <w:kern w:val="0"/>
          <w:sz w:val="36"/>
          <w:szCs w:val="21"/>
        </w:rPr>
        <w:sectPr>
          <w:pgSz w:w="16838" w:h="11906" w:orient="landscape"/>
          <w:pgMar w:top="720" w:right="720" w:bottom="720" w:left="720" w:header="851" w:footer="992" w:gutter="0"/>
          <w:cols w:space="425" w:num="1"/>
          <w:docGrid w:type="lines" w:linePitch="312" w:charSpace="0"/>
        </w:sectPr>
      </w:pPr>
    </w:p>
    <w:tbl>
      <w:tblPr>
        <w:tblStyle w:val="8"/>
        <w:tblW w:w="158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64"/>
        <w:gridCol w:w="264"/>
        <w:gridCol w:w="638"/>
        <w:gridCol w:w="3986"/>
        <w:gridCol w:w="1613"/>
        <w:gridCol w:w="1613"/>
        <w:gridCol w:w="1460"/>
        <w:gridCol w:w="1613"/>
        <w:gridCol w:w="1460"/>
        <w:gridCol w:w="1460"/>
        <w:gridCol w:w="1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5840"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收入决算表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4"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63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1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1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6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6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6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6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公开02表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152"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部门：湖南省绿色食品办公室</w:t>
            </w:r>
          </w:p>
        </w:tc>
        <w:tc>
          <w:tcPr>
            <w:tcW w:w="1613"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613"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46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613"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6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60"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69"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15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6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本年收入合计</w:t>
            </w:r>
          </w:p>
        </w:tc>
        <w:tc>
          <w:tcPr>
            <w:tcW w:w="16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财政拨款收入</w:t>
            </w:r>
          </w:p>
        </w:tc>
        <w:tc>
          <w:tcPr>
            <w:tcW w:w="1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上级补助收入</w:t>
            </w:r>
          </w:p>
        </w:tc>
        <w:tc>
          <w:tcPr>
            <w:tcW w:w="1613"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事业收入</w:t>
            </w:r>
          </w:p>
        </w:tc>
        <w:tc>
          <w:tcPr>
            <w:tcW w:w="1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经营收入</w:t>
            </w:r>
          </w:p>
        </w:tc>
        <w:tc>
          <w:tcPr>
            <w:tcW w:w="1460"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附属单位上缴收入</w:t>
            </w:r>
          </w:p>
        </w:tc>
        <w:tc>
          <w:tcPr>
            <w:tcW w:w="146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3986"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8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86"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613"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6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5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61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460"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46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152"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776.19</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546.59</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229.60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53.63</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53.63</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701.45</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471.85</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229.60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701.45</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471.85</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229.60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365.85</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365.85</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106.00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166"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229.60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61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229.60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6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5840"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注：本表反映部门本年度取得的各项收入情况。</w:t>
            </w:r>
          </w:p>
        </w:tc>
      </w:tr>
    </w:tbl>
    <w:p>
      <w:pPr>
        <w:pStyle w:val="2"/>
        <w:sectPr>
          <w:pgSz w:w="16838" w:h="11906" w:orient="landscape"/>
          <w:pgMar w:top="720" w:right="720" w:bottom="720" w:left="720" w:header="851" w:footer="992" w:gutter="0"/>
          <w:cols w:space="425" w:num="1"/>
          <w:docGrid w:type="lines" w:linePitch="312" w:charSpace="0"/>
        </w:sectPr>
      </w:pPr>
    </w:p>
    <w:p>
      <w:pPr>
        <w:pStyle w:val="3"/>
      </w:pPr>
    </w:p>
    <w:tbl>
      <w:tblPr>
        <w:tblStyle w:val="8"/>
        <w:tblW w:w="14528" w:type="dxa"/>
        <w:tblInd w:w="45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58"/>
        <w:gridCol w:w="258"/>
        <w:gridCol w:w="562"/>
        <w:gridCol w:w="4150"/>
        <w:gridCol w:w="1558"/>
        <w:gridCol w:w="1558"/>
        <w:gridCol w:w="1558"/>
        <w:gridCol w:w="1409"/>
        <w:gridCol w:w="1409"/>
        <w:gridCol w:w="18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60" w:hRule="atLeast"/>
        </w:trPr>
        <w:tc>
          <w:tcPr>
            <w:tcW w:w="14528" w:type="dxa"/>
            <w:gridSpan w:val="10"/>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bookmarkStart w:id="0" w:name="RANGE!A1:I22"/>
            <w:bookmarkEnd w:id="0"/>
            <w:bookmarkStart w:id="1" w:name="RANGE!A1:F16"/>
            <w:r>
              <w:rPr>
                <w:rFonts w:hint="eastAsia" w:ascii="宋体" w:hAnsi="宋体" w:eastAsia="宋体" w:cs="宋体"/>
                <w:b/>
                <w:i w:val="0"/>
                <w:color w:val="000000"/>
                <w:kern w:val="0"/>
                <w:sz w:val="28"/>
                <w:szCs w:val="28"/>
                <w:u w:val="none"/>
                <w:lang w:val="en-US" w:eastAsia="zh-CN" w:bidi="ar"/>
              </w:rPr>
              <w:t>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56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15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5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5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0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公开03表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5228" w:type="dxa"/>
            <w:gridSpan w:val="4"/>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部门：湖南省绿色食品办公室</w:t>
            </w:r>
          </w:p>
        </w:tc>
        <w:tc>
          <w:tcPr>
            <w:tcW w:w="1558"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558"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558"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409"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808"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2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本年支出合计</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155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c>
          <w:tcPr>
            <w:tcW w:w="14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上缴上级支出</w:t>
            </w:r>
          </w:p>
        </w:tc>
        <w:tc>
          <w:tcPr>
            <w:tcW w:w="1409"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经营支出</w:t>
            </w:r>
          </w:p>
        </w:tc>
        <w:tc>
          <w:tcPr>
            <w:tcW w:w="1808"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150"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1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150"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5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409"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8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2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55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409"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808"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5228"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719.29</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412.06</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307.23</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53.63</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53.63</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644.55</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307.23</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644.55</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307.23</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167.88</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167.88</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078"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2130199</w:t>
            </w:r>
          </w:p>
        </w:tc>
        <w:tc>
          <w:tcPr>
            <w:tcW w:w="41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其他农业农村支出</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139.34</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55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139.34</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40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8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4528" w:type="dxa"/>
            <w:gridSpan w:val="10"/>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注：本表反映部门本年度各项支出情况。</w:t>
            </w:r>
          </w:p>
        </w:tc>
      </w:tr>
    </w:tbl>
    <w:p>
      <w:pPr>
        <w:widowControl/>
        <w:jc w:val="center"/>
        <w:rPr>
          <w:rFonts w:ascii="Times New Roman" w:hAnsi="Times New Roman" w:eastAsia="方正小标宋_GBK" w:cs="Times New Roman"/>
          <w:kern w:val="0"/>
          <w:sz w:val="36"/>
          <w:szCs w:val="36"/>
        </w:rPr>
        <w:sectPr>
          <w:pgSz w:w="16838" w:h="11906" w:orient="landscape"/>
          <w:pgMar w:top="720" w:right="720" w:bottom="720" w:left="720" w:header="851" w:footer="992" w:gutter="0"/>
          <w:cols w:space="425" w:num="1"/>
          <w:docGrid w:type="lines" w:linePitch="312" w:charSpace="0"/>
        </w:sectPr>
      </w:pPr>
    </w:p>
    <w:tbl>
      <w:tblPr>
        <w:tblStyle w:val="8"/>
        <w:tblW w:w="1520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3702"/>
        <w:gridCol w:w="456"/>
        <w:gridCol w:w="1326"/>
        <w:gridCol w:w="3986"/>
        <w:gridCol w:w="456"/>
        <w:gridCol w:w="812"/>
        <w:gridCol w:w="1326"/>
        <w:gridCol w:w="1194"/>
        <w:gridCol w:w="195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0" w:hRule="atLeast"/>
        </w:trPr>
        <w:tc>
          <w:tcPr>
            <w:tcW w:w="15209" w:type="dxa"/>
            <w:gridSpan w:val="9"/>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财政拨款收入支出决算总表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0" w:hRule="atLeast"/>
        </w:trPr>
        <w:tc>
          <w:tcPr>
            <w:tcW w:w="3702"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1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9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5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公开04表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280" w:hRule="atLeast"/>
        </w:trPr>
        <w:tc>
          <w:tcPr>
            <w:tcW w:w="3702" w:type="dxa"/>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部门：湖南省绿色食品办公室</w:t>
            </w: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13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398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812" w:type="dxa"/>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26"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194" w:type="dxa"/>
            <w:tcBorders>
              <w:top w:val="nil"/>
              <w:left w:val="nil"/>
              <w:bottom w:val="nil"/>
              <w:right w:val="nil"/>
            </w:tcBorders>
            <w:shd w:val="clear" w:color="auto" w:fill="auto"/>
            <w:noWrap/>
            <w:tcMar>
              <w:top w:w="10" w:type="dxa"/>
              <w:left w:w="10" w:type="dxa"/>
              <w:right w:w="10" w:type="dxa"/>
            </w:tcMar>
            <w:vAlign w:val="center"/>
          </w:tcPr>
          <w:p>
            <w:pPr>
              <w:rPr>
                <w:rFonts w:hint="eastAsia" w:ascii="宋体" w:hAnsi="宋体" w:eastAsia="宋体" w:cs="宋体"/>
                <w:i w:val="0"/>
                <w:color w:val="000000"/>
                <w:sz w:val="22"/>
                <w:szCs w:val="22"/>
                <w:u w:val="none"/>
              </w:rPr>
            </w:pPr>
          </w:p>
        </w:tc>
        <w:tc>
          <w:tcPr>
            <w:tcW w:w="195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5484"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收     入</w:t>
            </w:r>
          </w:p>
        </w:tc>
        <w:tc>
          <w:tcPr>
            <w:tcW w:w="9725" w:type="dxa"/>
            <w:gridSpan w:val="6"/>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85" w:hRule="atLeast"/>
        </w:trPr>
        <w:tc>
          <w:tcPr>
            <w:tcW w:w="3702"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金额</w:t>
            </w:r>
          </w:p>
        </w:tc>
        <w:tc>
          <w:tcPr>
            <w:tcW w:w="398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行次</w:t>
            </w:r>
          </w:p>
        </w:tc>
        <w:tc>
          <w:tcPr>
            <w:tcW w:w="812"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326"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一般公共预算财政拨款</w:t>
            </w:r>
          </w:p>
        </w:tc>
        <w:tc>
          <w:tcPr>
            <w:tcW w:w="1194"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政府性基金预算财政拨款</w:t>
            </w:r>
          </w:p>
        </w:tc>
        <w:tc>
          <w:tcPr>
            <w:tcW w:w="195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00" w:hRule="atLeast"/>
        </w:trPr>
        <w:tc>
          <w:tcPr>
            <w:tcW w:w="3702"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398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12"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6"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1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9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546.59</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一、一般公共服务支出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二、政府性基金预算财政拨款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二、外交支出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三、国有资本经营预算财政拨款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三、国防支出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35</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四、公共安全支出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36</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五、教育支出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37</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六、科学技术支出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38</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七、文化旅游体育与传媒支出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39</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八、社会保障和就业支出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40</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九、卫生健康支出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41</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十、节能环保支出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42</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十一、城乡社区支出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十二、农林水支出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505.21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505.21</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十三、交通运输支出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45</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十四、资源勘探工业信息等支出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46</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十五、商业服务业等支出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47</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十六、金融支出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48</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十七、援助其他地区支出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49</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十八、自然资源海洋气象等支出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十九、住房保障支出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51</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二十、粮油物资储备支出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52</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二十一、国有资本经营预算支出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二十二、灾害防治及应急管理支出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二十三、其他支出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55</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b/>
                <w:i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24</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二十四、债务还本支出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56</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二十五、债务付息支出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26</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二十六、抗疫特别国债安排的支出</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58</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本年收入合计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27</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546.59</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本年支出合计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59</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579.95</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579.95</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年初财政拨款结转和结余</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68.04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年末财政拨款结转和结余</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60</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34.68</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34.68</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一般公共预算财政拨款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29</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68.04</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政府性基金预算财政拨款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30</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62</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国有资本经营预算财政拨款</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31</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eastAsia" w:ascii="宋体" w:hAnsi="宋体" w:eastAsia="宋体" w:cs="宋体"/>
                <w:i w:val="0"/>
                <w:color w:val="000000"/>
                <w:sz w:val="22"/>
                <w:szCs w:val="22"/>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63</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370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32</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614.63</w:t>
            </w:r>
          </w:p>
        </w:tc>
        <w:tc>
          <w:tcPr>
            <w:tcW w:w="398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总计</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64</w:t>
            </w:r>
          </w:p>
        </w:tc>
        <w:tc>
          <w:tcPr>
            <w:tcW w:w="812"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614.63</w:t>
            </w:r>
          </w:p>
        </w:tc>
        <w:tc>
          <w:tcPr>
            <w:tcW w:w="132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614.63</w:t>
            </w:r>
          </w:p>
        </w:tc>
        <w:tc>
          <w:tcPr>
            <w:tcW w:w="119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9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258" w:type="dxa"/>
            <w:gridSpan w:val="8"/>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注：本表反映部门本年度一般公共预算财政拨款、政府性基金预算财政拨款和国有资本经营预算财政拨款的总收支和年末结转结余情况。</w:t>
            </w:r>
          </w:p>
        </w:tc>
        <w:tc>
          <w:tcPr>
            <w:tcW w:w="1951" w:type="dxa"/>
            <w:tcBorders>
              <w:top w:val="nil"/>
              <w:left w:val="nil"/>
              <w:bottom w:val="nil"/>
              <w:right w:val="nil"/>
            </w:tcBorders>
            <w:shd w:val="clear" w:color="auto" w:fill="FFFFFF"/>
            <w:noWrap/>
            <w:tcMar>
              <w:top w:w="10" w:type="dxa"/>
              <w:left w:w="10" w:type="dxa"/>
              <w:right w:w="10" w:type="dxa"/>
            </w:tcMar>
            <w:vAlign w:val="center"/>
          </w:tcPr>
          <w:p>
            <w:pPr>
              <w:jc w:val="left"/>
              <w:rPr>
                <w:rFonts w:hint="eastAsia" w:ascii="宋体" w:hAnsi="宋体" w:eastAsia="宋体" w:cs="宋体"/>
                <w:i w:val="0"/>
                <w:color w:val="000000"/>
                <w:sz w:val="20"/>
                <w:szCs w:val="20"/>
                <w:u w:val="none"/>
              </w:rPr>
            </w:pPr>
          </w:p>
        </w:tc>
      </w:tr>
    </w:tbl>
    <w:p>
      <w:pPr>
        <w:pStyle w:val="2"/>
        <w:sectPr>
          <w:pgSz w:w="16838" w:h="11906" w:orient="landscape"/>
          <w:pgMar w:top="720" w:right="720" w:bottom="720" w:left="720" w:header="851" w:footer="992" w:gutter="0"/>
          <w:cols w:space="425" w:num="1"/>
          <w:docGrid w:type="lines" w:linePitch="312" w:charSpace="0"/>
        </w:sectPr>
      </w:pPr>
    </w:p>
    <w:p>
      <w:pPr>
        <w:pStyle w:val="3"/>
      </w:pPr>
    </w:p>
    <w:tbl>
      <w:tblPr>
        <w:tblStyle w:val="8"/>
        <w:tblW w:w="13916" w:type="dxa"/>
        <w:tblInd w:w="104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841"/>
        <w:gridCol w:w="1039"/>
        <w:gridCol w:w="26"/>
        <w:gridCol w:w="90"/>
        <w:gridCol w:w="3540"/>
        <w:gridCol w:w="1155"/>
        <w:gridCol w:w="1364"/>
        <w:gridCol w:w="1155"/>
        <w:gridCol w:w="1220"/>
        <w:gridCol w:w="1155"/>
        <w:gridCol w:w="133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60" w:hRule="atLeast"/>
        </w:trPr>
        <w:tc>
          <w:tcPr>
            <w:tcW w:w="13916" w:type="dxa"/>
            <w:gridSpan w:val="11"/>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28"/>
                <w:szCs w:val="28"/>
                <w:u w:val="none"/>
              </w:rPr>
            </w:pPr>
            <w:r>
              <w:rPr>
                <w:rFonts w:hint="eastAsia" w:ascii="宋体" w:hAnsi="宋体" w:eastAsia="宋体" w:cs="宋体"/>
                <w:b/>
                <w:i w:val="0"/>
                <w:color w:val="000000"/>
                <w:kern w:val="0"/>
                <w:sz w:val="28"/>
                <w:szCs w:val="28"/>
                <w:u w:val="none"/>
                <w:lang w:val="en-US" w:eastAsia="zh-CN" w:bidi="ar"/>
              </w:rPr>
              <w:t>一般公共预算财政拨款支出决算表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2880"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95"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19"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375"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3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公开05表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0" w:hRule="atLeast"/>
        </w:trPr>
        <w:tc>
          <w:tcPr>
            <w:tcW w:w="2880" w:type="dxa"/>
            <w:gridSpan w:val="2"/>
            <w:tcBorders>
              <w:top w:val="nil"/>
              <w:left w:val="nil"/>
              <w:bottom w:val="nil"/>
              <w:right w:val="nil"/>
            </w:tcBorders>
            <w:shd w:val="clear" w:color="auto" w:fill="auto"/>
            <w:noWrap/>
            <w:tcMar>
              <w:top w:w="10" w:type="dxa"/>
              <w:left w:w="10" w:type="dxa"/>
              <w:right w:w="10" w:type="dxa"/>
            </w:tcMar>
            <w:vAlign w:val="bottom"/>
          </w:tcPr>
          <w:p>
            <w:pPr>
              <w:keepNext w:val="0"/>
              <w:keepLines w:val="0"/>
              <w:widowControl/>
              <w:suppressLineNumbers w:val="0"/>
              <w:jc w:val="left"/>
              <w:textAlignment w:val="bottom"/>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部门：湖南省绿色食品办公室</w:t>
            </w:r>
          </w:p>
        </w:tc>
        <w:tc>
          <w:tcPr>
            <w:tcW w:w="26"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90" w:type="dxa"/>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4695"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519" w:type="dxa"/>
            <w:gridSpan w:val="2"/>
            <w:tcBorders>
              <w:top w:val="nil"/>
              <w:left w:val="nil"/>
              <w:bottom w:val="nil"/>
              <w:right w:val="nil"/>
            </w:tcBorders>
            <w:shd w:val="clear" w:color="auto" w:fill="auto"/>
            <w:noWrap/>
            <w:tcMar>
              <w:top w:w="10" w:type="dxa"/>
              <w:left w:w="10" w:type="dxa"/>
              <w:right w:w="10" w:type="dxa"/>
            </w:tcMar>
            <w:vAlign w:val="bottom"/>
          </w:tcPr>
          <w:p>
            <w:pPr>
              <w:rPr>
                <w:rFonts w:hint="eastAsia" w:ascii="宋体" w:hAnsi="宋体" w:eastAsia="宋体" w:cs="宋体"/>
                <w:i w:val="0"/>
                <w:color w:val="000000"/>
                <w:sz w:val="22"/>
                <w:szCs w:val="22"/>
                <w:u w:val="none"/>
              </w:rPr>
            </w:pPr>
          </w:p>
        </w:tc>
        <w:tc>
          <w:tcPr>
            <w:tcW w:w="2375" w:type="dxa"/>
            <w:gridSpan w:val="2"/>
            <w:tcBorders>
              <w:top w:val="nil"/>
              <w:left w:val="nil"/>
              <w:bottom w:val="nil"/>
              <w:right w:val="nil"/>
            </w:tcBorders>
            <w:shd w:val="clear" w:color="auto" w:fill="auto"/>
            <w:noWrap/>
            <w:tcMar>
              <w:top w:w="10" w:type="dxa"/>
              <w:left w:w="10" w:type="dxa"/>
              <w:right w:w="10" w:type="dxa"/>
            </w:tcMar>
            <w:vAlign w:val="center"/>
          </w:tcPr>
          <w:p>
            <w:pPr>
              <w:jc w:val="right"/>
              <w:rPr>
                <w:rFonts w:hint="eastAsia" w:ascii="宋体" w:hAnsi="宋体" w:eastAsia="宋体" w:cs="宋体"/>
                <w:i w:val="0"/>
                <w:color w:val="000000"/>
                <w:sz w:val="20"/>
                <w:szCs w:val="20"/>
                <w:u w:val="none"/>
              </w:rPr>
            </w:pPr>
          </w:p>
        </w:tc>
        <w:tc>
          <w:tcPr>
            <w:tcW w:w="1331" w:type="dxa"/>
            <w:tcBorders>
              <w:top w:val="nil"/>
              <w:left w:val="nil"/>
              <w:bottom w:val="nil"/>
              <w:right w:val="nil"/>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53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w:t>
            </w:r>
          </w:p>
        </w:tc>
        <w:tc>
          <w:tcPr>
            <w:tcW w:w="7380" w:type="dxa"/>
            <w:gridSpan w:val="6"/>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1" w:type="dxa"/>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科目代码</w:t>
            </w:r>
          </w:p>
        </w:tc>
        <w:tc>
          <w:tcPr>
            <w:tcW w:w="4695" w:type="dxa"/>
            <w:gridSpan w:val="4"/>
            <w:vMerge w:val="restart"/>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科目名称</w:t>
            </w:r>
          </w:p>
        </w:tc>
        <w:tc>
          <w:tcPr>
            <w:tcW w:w="25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237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基本支出</w:t>
            </w:r>
          </w:p>
        </w:tc>
        <w:tc>
          <w:tcPr>
            <w:tcW w:w="248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trPr>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69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1" w:type="dxa"/>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4695"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5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37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c>
          <w:tcPr>
            <w:tcW w:w="248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53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栏次</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6536"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579.95</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412.06</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b/>
                <w:i w:val="0"/>
                <w:color w:val="000000"/>
                <w:sz w:val="22"/>
                <w:szCs w:val="22"/>
                <w:u w:val="none"/>
              </w:rPr>
            </w:pPr>
            <w:r>
              <w:rPr>
                <w:rFonts w:hint="eastAsia" w:ascii="宋体" w:hAnsi="宋体" w:eastAsia="宋体" w:cs="宋体"/>
                <w:b/>
                <w:i w:val="0"/>
                <w:color w:val="000000"/>
                <w:kern w:val="0"/>
                <w:sz w:val="22"/>
                <w:szCs w:val="22"/>
                <w:u w:val="none"/>
                <w:lang w:val="en-US" w:eastAsia="zh-CN" w:bidi="ar"/>
              </w:rPr>
              <w:t>167.88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社会保障和就业支出</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行政事业单位养老支出</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74.74</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2080502</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事业单位离退休</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21.11</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2080505</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机关事业单位基本养老保险缴费支出</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53.63</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53.63</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农林水支出</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505.21</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农业农村</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505.21</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2130101</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行政运行</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337.32</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84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2130122</w:t>
            </w:r>
          </w:p>
        </w:tc>
        <w:tc>
          <w:tcPr>
            <w:tcW w:w="4695" w:type="dxa"/>
            <w:gridSpan w:val="4"/>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农业生产发展</w:t>
            </w:r>
          </w:p>
        </w:tc>
        <w:tc>
          <w:tcPr>
            <w:tcW w:w="2519"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167.88</w:t>
            </w:r>
          </w:p>
        </w:tc>
        <w:tc>
          <w:tcPr>
            <w:tcW w:w="2375"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2486"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167.88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0" w:hRule="atLeast"/>
        </w:trPr>
        <w:tc>
          <w:tcPr>
            <w:tcW w:w="13916" w:type="dxa"/>
            <w:gridSpan w:val="11"/>
            <w:tcBorders>
              <w:top w:val="nil"/>
              <w:left w:val="nil"/>
              <w:bottom w:val="nil"/>
              <w:right w:val="nil"/>
            </w:tcBorders>
            <w:shd w:val="clear" w:color="auto" w:fill="FFFFFF"/>
            <w:noWrap/>
            <w:tcMar>
              <w:top w:w="10" w:type="dxa"/>
              <w:left w:w="10" w:type="dxa"/>
              <w:right w:w="10" w:type="dxa"/>
            </w:tcMar>
            <w:vAlign w:val="center"/>
          </w:tcPr>
          <w:p>
            <w:pPr>
              <w:keepNext w:val="0"/>
              <w:keepLines w:val="0"/>
              <w:widowControl/>
              <w:suppressLineNumbers w:val="0"/>
              <w:jc w:val="lef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注：本表反映部门本年度一般公共预算财政拨款支出情况。</w:t>
            </w:r>
          </w:p>
        </w:tc>
      </w:tr>
    </w:tbl>
    <w:p>
      <w:pPr>
        <w:widowControl/>
        <w:jc w:val="center"/>
        <w:rPr>
          <w:rFonts w:ascii="Times New Roman" w:hAnsi="Times New Roman" w:eastAsia="方正小标宋_GBK" w:cs="Times New Roman"/>
          <w:kern w:val="0"/>
          <w:sz w:val="36"/>
          <w:szCs w:val="36"/>
        </w:rPr>
      </w:pPr>
    </w:p>
    <w:bookmarkEnd w:id="1"/>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sectPr>
          <w:pgSz w:w="16838" w:h="11906" w:orient="landscape"/>
          <w:pgMar w:top="720" w:right="720" w:bottom="720" w:left="720" w:header="851" w:footer="992" w:gutter="0"/>
          <w:cols w:space="425" w:num="1"/>
          <w:docGrid w:type="lines" w:linePitch="312" w:charSpace="0"/>
        </w:sectPr>
      </w:pPr>
      <w:r>
        <w:rPr>
          <w:rFonts w:ascii="Times New Roman" w:hAnsi="Times New Roman" w:eastAsia="仿宋_GB2312" w:cs="Times New Roman"/>
          <w:bCs/>
          <w:kern w:val="0"/>
          <w:szCs w:val="21"/>
        </w:rPr>
        <w:br w:type="page"/>
      </w:r>
    </w:p>
    <w:p>
      <w:pPr>
        <w:pStyle w:val="2"/>
      </w:pPr>
    </w:p>
    <w:tbl>
      <w:tblPr>
        <w:tblStyle w:val="8"/>
        <w:tblW w:w="15614" w:type="dxa"/>
        <w:tblInd w:w="0" w:type="dxa"/>
        <w:tblLayout w:type="fixed"/>
        <w:tblCellMar>
          <w:top w:w="0" w:type="dxa"/>
          <w:left w:w="108" w:type="dxa"/>
          <w:bottom w:w="0" w:type="dxa"/>
          <w:right w:w="108" w:type="dxa"/>
        </w:tblCellMar>
      </w:tblPr>
      <w:tblGrid>
        <w:gridCol w:w="1003"/>
        <w:gridCol w:w="240"/>
        <w:gridCol w:w="95"/>
        <w:gridCol w:w="1307"/>
        <w:gridCol w:w="2059"/>
        <w:gridCol w:w="60"/>
        <w:gridCol w:w="587"/>
        <w:gridCol w:w="1222"/>
        <w:gridCol w:w="310"/>
        <w:gridCol w:w="2006"/>
        <w:gridCol w:w="113"/>
        <w:gridCol w:w="535"/>
        <w:gridCol w:w="1223"/>
        <w:gridCol w:w="361"/>
        <w:gridCol w:w="2119"/>
        <w:gridCol w:w="1726"/>
        <w:gridCol w:w="394"/>
        <w:gridCol w:w="254"/>
      </w:tblGrid>
      <w:tr>
        <w:tblPrEx>
          <w:tblLayout w:type="fixed"/>
          <w:tblCellMar>
            <w:top w:w="0" w:type="dxa"/>
            <w:left w:w="108" w:type="dxa"/>
            <w:bottom w:w="0" w:type="dxa"/>
            <w:right w:w="108" w:type="dxa"/>
          </w:tblCellMar>
        </w:tblPrEx>
        <w:trPr>
          <w:trHeight w:val="113" w:hRule="atLeast"/>
        </w:trPr>
        <w:tc>
          <w:tcPr>
            <w:tcW w:w="15614" w:type="dxa"/>
            <w:gridSpan w:val="18"/>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Cs w:val="32"/>
              </w:rPr>
            </w:pPr>
            <w:bookmarkStart w:id="2" w:name="RANGE!A1:I34"/>
            <w:r>
              <w:rPr>
                <w:rFonts w:hint="eastAsia" w:ascii="华文中宋" w:hAnsi="华文中宋" w:eastAsia="华文中宋" w:cs="宋体"/>
                <w:color w:val="000000"/>
                <w:kern w:val="0"/>
                <w:szCs w:val="32"/>
              </w:rPr>
              <w:t>一般公共预算财政拨款基本支出决算明细表</w:t>
            </w:r>
            <w:bookmarkEnd w:id="2"/>
          </w:p>
          <w:p>
            <w:pPr>
              <w:widowControl/>
              <w:wordWrap/>
              <w:jc w:val="lef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湖南省绿色食品办公室</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right"/>
              <w:rPr>
                <w:rFonts w:ascii="华文中宋" w:hAnsi="华文中宋" w:eastAsia="华文中宋" w:cs="宋体"/>
                <w:color w:val="000000"/>
                <w:kern w:val="0"/>
                <w:szCs w:val="32"/>
              </w:rPr>
            </w:pPr>
            <w:r>
              <w:rPr>
                <w:rFonts w:hint="eastAsia" w:ascii="Times New Roman" w:hAnsi="Times New Roman" w:eastAsia="仿宋_GB2312" w:cs="Times New Roman"/>
                <w:color w:val="000000"/>
                <w:kern w:val="0"/>
                <w:szCs w:val="21"/>
              </w:rPr>
              <w:t>单位：万元</w:t>
            </w:r>
          </w:p>
        </w:tc>
      </w:tr>
      <w:tr>
        <w:tblPrEx>
          <w:tblLayout w:type="fixed"/>
          <w:tblCellMar>
            <w:top w:w="0" w:type="dxa"/>
            <w:left w:w="108" w:type="dxa"/>
            <w:bottom w:w="0" w:type="dxa"/>
            <w:right w:w="108" w:type="dxa"/>
          </w:tblCellMar>
        </w:tblPrEx>
        <w:trPr>
          <w:trHeight w:val="113" w:hRule="atLeast"/>
        </w:trPr>
        <w:tc>
          <w:tcPr>
            <w:tcW w:w="1338"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6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7"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31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223"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06"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648"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340.97</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49.98</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82.81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1.65</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72.16</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0.10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73.20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13.80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0.10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29.45</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2.00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20.79</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12.30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6.51</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1.99</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34.47</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0.39</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21.11</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4.40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20.72</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0.98</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39907</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国家赔偿费用支出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8.85</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39908</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对民间非营利组织和群众性自治组织补贴</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0.39</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3.26</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lang w:val="en-US" w:eastAsia="zh-CN"/>
              </w:rPr>
            </w:pPr>
            <w:r>
              <w:rPr>
                <w:rFonts w:hint="eastAsia" w:ascii="宋体" w:hAnsi="宋体" w:eastAsia="宋体" w:cs="宋体"/>
                <w:color w:val="000000"/>
                <w:kern w:val="0"/>
                <w:szCs w:val="20"/>
              </w:rPr>
              <w:t>3990</w:t>
            </w:r>
            <w:r>
              <w:rPr>
                <w:rFonts w:hint="eastAsia" w:ascii="宋体" w:hAnsi="宋体" w:eastAsia="宋体" w:cs="宋体"/>
                <w:color w:val="000000"/>
                <w:kern w:val="0"/>
                <w:szCs w:val="20"/>
                <w:lang w:val="en-US" w:eastAsia="zh-CN"/>
              </w:rPr>
              <w:t>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经常性赠与</w:t>
            </w:r>
          </w:p>
          <w:p>
            <w:pPr>
              <w:widowControl/>
              <w:jc w:val="left"/>
              <w:rPr>
                <w:rFonts w:hint="eastAsia" w:ascii="宋体" w:hAnsi="宋体" w:eastAsia="宋体" w:cs="宋体"/>
                <w:color w:val="000000"/>
                <w:kern w:val="0"/>
                <w:szCs w:val="20"/>
              </w:rPr>
            </w:pPr>
            <w:r>
              <w:rPr>
                <w:rFonts w:hint="eastAsia" w:ascii="宋体" w:hAnsi="宋体" w:eastAsia="宋体" w:cs="宋体"/>
                <w:color w:val="000000"/>
                <w:kern w:val="0"/>
                <w:szCs w:val="20"/>
              </w:rPr>
              <w:t xml:space="preserve">  资本性赠与</w:t>
            </w:r>
          </w:p>
          <w:p>
            <w:pPr>
              <w:widowControl/>
              <w:jc w:val="left"/>
              <w:rPr>
                <w:rFonts w:hint="eastAsia" w:ascii="宋体" w:hAnsi="宋体" w:eastAsia="宋体" w:cs="宋体"/>
                <w:color w:val="000000"/>
                <w:kern w:val="0"/>
                <w:szCs w:val="20"/>
              </w:rPr>
            </w:pPr>
          </w:p>
          <w:tbl>
            <w:tblPr>
              <w:tblStyle w:val="8"/>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hint="eastAsia" w:ascii="宋体" w:hAnsi="宋体" w:eastAsia="宋体" w:cs="宋体"/>
                <w:color w:val="000000"/>
                <w:kern w:val="0"/>
                <w:szCs w:val="20"/>
              </w:rPr>
            </w:pPr>
          </w:p>
          <w:tbl>
            <w:tblPr>
              <w:tblStyle w:val="8"/>
              <w:tblW w:w="3946"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经常性赠与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52" w:hRule="atLeast"/>
              </w:trPr>
              <w:tc>
                <w:tcPr>
                  <w:tcW w:w="394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资本性赠与</w:t>
                  </w:r>
                </w:p>
              </w:tc>
            </w:tr>
          </w:tbl>
          <w:p>
            <w:pPr>
              <w:widowControl/>
              <w:jc w:val="left"/>
              <w:rPr>
                <w:rFonts w:ascii="宋体" w:hAnsi="宋体" w:eastAsia="宋体" w:cs="宋体"/>
                <w:color w:val="000000"/>
                <w:kern w:val="0"/>
                <w:szCs w:val="20"/>
              </w:rPr>
            </w:pP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rPr>
              <w:t>399</w:t>
            </w:r>
            <w:r>
              <w:rPr>
                <w:rFonts w:hint="eastAsia" w:ascii="宋体" w:hAnsi="宋体" w:eastAsia="宋体" w:cs="宋体"/>
                <w:color w:val="000000"/>
                <w:kern w:val="0"/>
                <w:szCs w:val="20"/>
                <w:lang w:val="en-US" w:eastAsia="zh-CN"/>
              </w:rPr>
              <w:t>10</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color w:val="000000"/>
                <w:kern w:val="0"/>
                <w:szCs w:val="20"/>
                <w:lang w:val="en-US" w:eastAsia="zh-CN"/>
              </w:rPr>
            </w:pPr>
            <w:r>
              <w:rPr>
                <w:rFonts w:hint="eastAsia" w:ascii="宋体" w:hAnsi="宋体" w:eastAsia="宋体" w:cs="宋体"/>
                <w:color w:val="000000"/>
                <w:kern w:val="0"/>
                <w:szCs w:val="20"/>
                <w:lang w:val="en-US" w:eastAsia="zh-CN"/>
              </w:rPr>
              <w:t xml:space="preserve">  资本性赠与</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13.58</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39999</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 w:val="21"/>
                <w:szCs w:val="20"/>
                <w:lang w:val="en-US" w:eastAsia="zh-CN" w:bidi="ar-SA"/>
              </w:rPr>
            </w:pPr>
            <w:r>
              <w:rPr>
                <w:rFonts w:hint="eastAsia" w:ascii="宋体" w:hAnsi="宋体" w:eastAsia="宋体" w:cs="宋体"/>
                <w:color w:val="000000"/>
                <w:kern w:val="0"/>
                <w:szCs w:val="20"/>
              </w:rPr>
              <w:t xml:space="preserve">  其他支出</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0.00</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1338" w:type="dxa"/>
            <w:gridSpan w:val="3"/>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6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647" w:type="dxa"/>
            <w:gridSpan w:val="2"/>
            <w:tcBorders>
              <w:top w:val="nil"/>
              <w:left w:val="nil"/>
              <w:bottom w:val="single" w:color="auto" w:sz="4" w:space="0"/>
              <w:right w:val="single" w:color="auto" w:sz="4" w:space="0"/>
            </w:tcBorders>
            <w:shd w:val="clear" w:color="auto" w:fill="auto"/>
            <w:noWrap/>
            <w:vAlign w:val="center"/>
          </w:tcPr>
          <w:p>
            <w:pPr>
              <w:jc w:val="right"/>
              <w:rPr>
                <w:rFonts w:ascii="宋体" w:hAnsi="宋体" w:eastAsia="宋体" w:cs="宋体"/>
                <w:color w:val="000000"/>
                <w:kern w:val="0"/>
                <w:sz w:val="15"/>
                <w:szCs w:val="15"/>
              </w:rPr>
            </w:pPr>
          </w:p>
        </w:tc>
        <w:tc>
          <w:tcPr>
            <w:tcW w:w="122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316"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6.17</w:t>
            </w:r>
          </w:p>
        </w:tc>
        <w:tc>
          <w:tcPr>
            <w:tcW w:w="1223"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06"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648" w:type="dxa"/>
            <w:gridSpan w:val="2"/>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Layout w:type="fixed"/>
          <w:tblCellMar>
            <w:top w:w="0" w:type="dxa"/>
            <w:left w:w="108" w:type="dxa"/>
            <w:bottom w:w="0" w:type="dxa"/>
            <w:right w:w="108" w:type="dxa"/>
          </w:tblCellMar>
        </w:tblPrEx>
        <w:trPr>
          <w:trHeight w:val="284" w:hRule="exact"/>
        </w:trPr>
        <w:tc>
          <w:tcPr>
            <w:tcW w:w="4704"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647"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362.08</w:t>
            </w:r>
          </w:p>
        </w:tc>
        <w:tc>
          <w:tcPr>
            <w:tcW w:w="9615" w:type="dxa"/>
            <w:gridSpan w:val="9"/>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648" w:type="dxa"/>
            <w:gridSpan w:val="2"/>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 w:val="15"/>
                <w:szCs w:val="15"/>
              </w:rPr>
            </w:pPr>
            <w:r>
              <w:rPr>
                <w:rFonts w:hint="eastAsia" w:ascii="宋体" w:hAnsi="宋体" w:eastAsia="宋体" w:cs="宋体"/>
                <w:i w:val="0"/>
                <w:color w:val="000000"/>
                <w:kern w:val="0"/>
                <w:sz w:val="15"/>
                <w:szCs w:val="15"/>
                <w:u w:val="none"/>
                <w:lang w:val="en-US" w:eastAsia="zh-CN" w:bidi="ar"/>
              </w:rPr>
              <w:t>49.98</w:t>
            </w:r>
          </w:p>
        </w:tc>
      </w:tr>
      <w:tr>
        <w:tblPrEx>
          <w:tblLayout w:type="fixed"/>
          <w:tblCellMar>
            <w:top w:w="0" w:type="dxa"/>
            <w:left w:w="108" w:type="dxa"/>
            <w:bottom w:w="0" w:type="dxa"/>
            <w:right w:w="108" w:type="dxa"/>
          </w:tblCellMar>
        </w:tblPrEx>
        <w:trPr>
          <w:trHeight w:val="284" w:hRule="exact"/>
        </w:trPr>
        <w:tc>
          <w:tcPr>
            <w:tcW w:w="15614" w:type="dxa"/>
            <w:gridSpan w:val="18"/>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15360" w:type="dxa"/>
            <w:gridSpan w:val="17"/>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政府性基金预算财政拨款收入支出决算表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345" w:hRule="atLeast"/>
        </w:trPr>
        <w:tc>
          <w:tcPr>
            <w:tcW w:w="1003"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40"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1402" w:type="dxa"/>
            <w:gridSpan w:val="2"/>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公开07表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90" w:hRule="atLeast"/>
        </w:trPr>
        <w:tc>
          <w:tcPr>
            <w:tcW w:w="4764" w:type="dxa"/>
            <w:gridSpan w:val="6"/>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湖南省绿色食品办公室</w:t>
            </w:r>
            <w:r>
              <w:rPr>
                <w:rFonts w:hint="eastAsia" w:ascii="Times New Roman" w:hAnsi="Times New Roman" w:eastAsia="仿宋_GB2312" w:cs="Times New Roman"/>
                <w:color w:val="000000"/>
                <w:kern w:val="0"/>
                <w:szCs w:val="21"/>
              </w:rPr>
              <w:t xml:space="preserve">  </w:t>
            </w: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2"/>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gridSpan w:val="3"/>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19"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2120"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5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Style w:val="17"/>
                <w:lang w:val="en-US" w:eastAsia="zh-CN" w:bidi="ar"/>
              </w:rPr>
              <w:t xml:space="preserve">   </w:t>
            </w:r>
            <w:r>
              <w:rPr>
                <w:rStyle w:val="18"/>
                <w:lang w:val="en-US" w:eastAsia="zh-CN" w:bidi="ar"/>
              </w:rPr>
              <w:t>目</w:t>
            </w: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年初结转和结余</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本年收入</w:t>
            </w:r>
          </w:p>
        </w:tc>
        <w:tc>
          <w:tcPr>
            <w:tcW w:w="6357"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c>
          <w:tcPr>
            <w:tcW w:w="212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609" w:hRule="atLeast"/>
        </w:trPr>
        <w:tc>
          <w:tcPr>
            <w:tcW w:w="1243"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140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小计</w:t>
            </w:r>
          </w:p>
        </w:tc>
        <w:tc>
          <w:tcPr>
            <w:tcW w:w="2119"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211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4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w:t>
            </w: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5</w:t>
            </w: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2645"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509" w:hRule="atLeast"/>
        </w:trPr>
        <w:tc>
          <w:tcPr>
            <w:tcW w:w="124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14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19"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21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gridAfter w:val="1"/>
          <w:wAfter w:w="254" w:type="dxa"/>
          <w:trHeight w:val="725" w:hRule="atLeast"/>
        </w:trPr>
        <w:tc>
          <w:tcPr>
            <w:tcW w:w="15360" w:type="dxa"/>
            <w:gridSpan w:val="17"/>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注：本表反映部门本年度政府性基金预算财政拨款收入、支出及结转和结余情况。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说明：我单位没有政府性基金收入，也没有使用政府性基金安排的支出，故本表无数据。</w:t>
            </w:r>
          </w:p>
        </w:tc>
      </w:tr>
    </w:tbl>
    <w:p>
      <w:pPr>
        <w:widowControl/>
        <w:jc w:val="center"/>
        <w:rPr>
          <w:rFonts w:hint="eastAsia" w:ascii="Times New Roman" w:hAnsi="Times New Roman" w:eastAsia="方正小标宋_GBK" w:cs="Times New Roman"/>
          <w:color w:val="000000"/>
          <w:kern w:val="0"/>
          <w:sz w:val="36"/>
          <w:szCs w:val="36"/>
        </w:rPr>
      </w:pPr>
    </w:p>
    <w:p>
      <w:pPr>
        <w:widowControl/>
        <w:jc w:val="center"/>
        <w:rPr>
          <w:rFonts w:hint="eastAsia" w:ascii="Times New Roman" w:hAnsi="Times New Roman" w:eastAsia="方正小标宋_GBK" w:cs="Times New Roman"/>
          <w:color w:val="000000"/>
          <w:kern w:val="0"/>
          <w:sz w:val="36"/>
          <w:szCs w:val="36"/>
        </w:rPr>
      </w:pPr>
    </w:p>
    <w:tbl>
      <w:tblPr>
        <w:tblStyle w:val="8"/>
        <w:tblW w:w="151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6"/>
        <w:gridCol w:w="701"/>
        <w:gridCol w:w="2292"/>
        <w:gridCol w:w="3315"/>
        <w:gridCol w:w="3315"/>
        <w:gridCol w:w="417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963" w:hRule="atLeast"/>
        </w:trPr>
        <w:tc>
          <w:tcPr>
            <w:tcW w:w="15120" w:type="dxa"/>
            <w:gridSpan w:val="6"/>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国有资本经营预算财政拨款支出决算表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417" w:hRule="atLeast"/>
        </w:trPr>
        <w:tc>
          <w:tcPr>
            <w:tcW w:w="1326"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701"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2292" w:type="dxa"/>
            <w:tcBorders>
              <w:top w:val="nil"/>
              <w:left w:val="nil"/>
              <w:bottom w:val="nil"/>
              <w:right w:val="nil"/>
            </w:tcBorders>
            <w:shd w:val="clear" w:color="auto" w:fill="FFFFFF"/>
            <w:vAlign w:val="center"/>
          </w:tcPr>
          <w:p>
            <w:pPr>
              <w:jc w:val="cente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公开08表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17" w:hRule="atLeast"/>
        </w:trPr>
        <w:tc>
          <w:tcPr>
            <w:tcW w:w="4319" w:type="dxa"/>
            <w:gridSpan w:val="3"/>
            <w:tcBorders>
              <w:top w:val="nil"/>
              <w:left w:val="nil"/>
              <w:bottom w:val="nil"/>
              <w:right w:val="nil"/>
            </w:tcBorders>
            <w:shd w:val="clear" w:color="auto" w:fill="FFFFFF"/>
            <w:noWrap/>
            <w:vAlign w:val="center"/>
          </w:tcPr>
          <w:p>
            <w:pPr>
              <w:jc w:val="left"/>
              <w:rPr>
                <w:rFonts w:hint="eastAsia" w:ascii="宋体" w:hAnsi="宋体" w:eastAsia="宋体" w:cs="宋体"/>
                <w:i w:val="0"/>
                <w:color w:val="000000"/>
                <w:sz w:val="20"/>
                <w:szCs w:val="20"/>
                <w:u w:val="none"/>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湖南省绿色食品办公室</w:t>
            </w:r>
            <w:r>
              <w:rPr>
                <w:rFonts w:hint="eastAsia" w:ascii="Times New Roman" w:hAnsi="Times New Roman" w:eastAsia="仿宋_GB2312" w:cs="Times New Roman"/>
                <w:color w:val="000000"/>
                <w:kern w:val="0"/>
                <w:szCs w:val="21"/>
              </w:rPr>
              <w:t xml:space="preserve">  </w:t>
            </w: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3315"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4171"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项 </w:t>
            </w:r>
            <w:r>
              <w:rPr>
                <w:rFonts w:hint="eastAsia" w:ascii="宋体" w:hAnsi="宋体" w:eastAsia="宋体" w:cs="宋体"/>
                <w:i w:val="0"/>
                <w:color w:val="000000"/>
                <w:kern w:val="0"/>
                <w:sz w:val="22"/>
                <w:szCs w:val="22"/>
                <w:u w:val="none"/>
                <w:lang w:val="en-US" w:eastAsia="zh-CN" w:bidi="ar"/>
              </w:rPr>
              <w:t xml:space="preserve">   </w:t>
            </w:r>
            <w:r>
              <w:rPr>
                <w:rStyle w:val="19"/>
                <w:lang w:val="en-US" w:eastAsia="zh-CN" w:bidi="ar"/>
              </w:rPr>
              <w:t>目</w:t>
            </w:r>
          </w:p>
        </w:tc>
        <w:tc>
          <w:tcPr>
            <w:tcW w:w="1080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科目代码</w:t>
            </w:r>
          </w:p>
        </w:tc>
        <w:tc>
          <w:tcPr>
            <w:tcW w:w="2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科目名称</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 xml:space="preserve">基本支出  </w:t>
            </w:r>
          </w:p>
        </w:tc>
        <w:tc>
          <w:tcPr>
            <w:tcW w:w="417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栏次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w:t>
            </w: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431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合计</w:t>
            </w: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0"/>
                <w:szCs w:val="20"/>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48" w:hRule="atLeast"/>
        </w:trPr>
        <w:tc>
          <w:tcPr>
            <w:tcW w:w="20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4"/>
                <w:szCs w:val="24"/>
                <w:u w:val="none"/>
              </w:rPr>
            </w:pPr>
          </w:p>
        </w:tc>
        <w:tc>
          <w:tcPr>
            <w:tcW w:w="229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331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c>
          <w:tcPr>
            <w:tcW w:w="4171"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976" w:hRule="atLeast"/>
        </w:trPr>
        <w:tc>
          <w:tcPr>
            <w:tcW w:w="15120" w:type="dxa"/>
            <w:gridSpan w:val="6"/>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注：本表反映部门本年度国有资本经营预算财政拨款支出情况。</w:t>
            </w: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p>
          <w:p>
            <w:pPr>
              <w:keepNext w:val="0"/>
              <w:keepLines w:val="0"/>
              <w:widowControl/>
              <w:suppressLineNumbers w:val="0"/>
              <w:jc w:val="left"/>
              <w:textAlignment w:val="center"/>
              <w:rPr>
                <w:rFonts w:hint="eastAsia" w:ascii="宋体" w:hAnsi="宋体" w:eastAsia="宋体" w:cs="宋体"/>
                <w:i w:val="0"/>
                <w:color w:val="000000"/>
                <w:kern w:val="0"/>
                <w:sz w:val="24"/>
                <w:szCs w:val="24"/>
                <w:u w:val="none"/>
                <w:lang w:val="en-US" w:eastAsia="zh-CN" w:bidi="ar"/>
              </w:rPr>
            </w:pPr>
            <w:r>
              <w:rPr>
                <w:rFonts w:hint="eastAsia" w:ascii="楷体" w:hAnsi="楷体" w:eastAsia="楷体" w:cs="楷体"/>
                <w:b/>
                <w:bCs/>
                <w:i w:val="0"/>
                <w:color w:val="auto"/>
                <w:kern w:val="0"/>
                <w:sz w:val="24"/>
                <w:szCs w:val="24"/>
                <w:u w:val="none"/>
                <w:lang w:val="en-US" w:eastAsia="zh-CN" w:bidi="ar"/>
              </w:rPr>
              <w:t>说明：我单位没有使用国有资本经营预算安排的支出，故本表无数据。</w:t>
            </w:r>
          </w:p>
        </w:tc>
      </w:tr>
    </w:tbl>
    <w:p>
      <w:pPr>
        <w:widowControl/>
        <w:jc w:val="center"/>
        <w:rPr>
          <w:rFonts w:hint="eastAsia" w:ascii="Times New Roman" w:hAnsi="Times New Roman" w:eastAsia="方正小标宋_GBK" w:cs="Times New Roman"/>
          <w:color w:val="000000"/>
          <w:kern w:val="0"/>
          <w:sz w:val="36"/>
          <w:szCs w:val="36"/>
        </w:rPr>
      </w:pPr>
    </w:p>
    <w:tbl>
      <w:tblPr>
        <w:tblStyle w:val="8"/>
        <w:tblW w:w="15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60"/>
        <w:gridCol w:w="1261"/>
        <w:gridCol w:w="1261"/>
        <w:gridCol w:w="1261"/>
        <w:gridCol w:w="1261"/>
        <w:gridCol w:w="1261"/>
        <w:gridCol w:w="1261"/>
        <w:gridCol w:w="1261"/>
        <w:gridCol w:w="1261"/>
        <w:gridCol w:w="1261"/>
        <w:gridCol w:w="1261"/>
        <w:gridCol w:w="127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840" w:hRule="atLeast"/>
        </w:trPr>
        <w:tc>
          <w:tcPr>
            <w:tcW w:w="15140" w:type="dxa"/>
            <w:gridSpan w:val="12"/>
            <w:tcBorders>
              <w:top w:val="nil"/>
              <w:left w:val="nil"/>
              <w:bottom w:val="nil"/>
              <w:right w:val="nil"/>
            </w:tcBorders>
            <w:shd w:val="clear" w:color="auto" w:fill="FFFFFF"/>
            <w:vAlign w:val="center"/>
          </w:tcPr>
          <w:p>
            <w:pPr>
              <w:keepNext w:val="0"/>
              <w:keepLines w:val="0"/>
              <w:widowControl/>
              <w:suppressLineNumbers w:val="0"/>
              <w:jc w:val="center"/>
              <w:textAlignment w:val="center"/>
              <w:rPr>
                <w:rFonts w:hint="eastAsia" w:ascii="华文中宋" w:hAnsi="华文中宋" w:eastAsia="华文中宋" w:cs="华文中宋"/>
                <w:i w:val="0"/>
                <w:color w:val="000000"/>
                <w:kern w:val="0"/>
                <w:sz w:val="32"/>
                <w:szCs w:val="32"/>
                <w:u w:val="none"/>
                <w:lang w:val="en-US" w:eastAsia="zh-CN" w:bidi="ar"/>
              </w:rPr>
            </w:pPr>
          </w:p>
          <w:p>
            <w:pPr>
              <w:keepNext w:val="0"/>
              <w:keepLines w:val="0"/>
              <w:widowControl/>
              <w:suppressLineNumbers w:val="0"/>
              <w:jc w:val="center"/>
              <w:textAlignment w:val="center"/>
              <w:rPr>
                <w:rFonts w:ascii="华文中宋" w:hAnsi="华文中宋" w:eastAsia="华文中宋" w:cs="华文中宋"/>
                <w:i w:val="0"/>
                <w:color w:val="000000"/>
                <w:sz w:val="32"/>
                <w:szCs w:val="32"/>
                <w:u w:val="none"/>
              </w:rPr>
            </w:pPr>
            <w:r>
              <w:rPr>
                <w:rFonts w:hint="eastAsia" w:ascii="华文中宋" w:hAnsi="华文中宋" w:eastAsia="华文中宋" w:cs="华文中宋"/>
                <w:i w:val="0"/>
                <w:color w:val="000000"/>
                <w:kern w:val="0"/>
                <w:sz w:val="32"/>
                <w:szCs w:val="32"/>
                <w:u w:val="none"/>
                <w:lang w:val="en-US" w:eastAsia="zh-CN" w:bidi="ar"/>
              </w:rPr>
              <w:t>财政拨款“三公”经费支出决算表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1260"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公开09表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20" w:hRule="atLeast"/>
        </w:trPr>
        <w:tc>
          <w:tcPr>
            <w:tcW w:w="3782" w:type="dxa"/>
            <w:gridSpan w:val="3"/>
            <w:tcBorders>
              <w:top w:val="nil"/>
              <w:left w:val="nil"/>
              <w:bottom w:val="nil"/>
              <w:right w:val="nil"/>
            </w:tcBorders>
            <w:shd w:val="clear" w:color="auto" w:fill="FFFFFF"/>
            <w:noWrap/>
            <w:vAlign w:val="center"/>
          </w:tcPr>
          <w:p>
            <w:pPr>
              <w:rPr>
                <w:rFonts w:hint="eastAsia" w:ascii="宋体" w:hAnsi="宋体" w:eastAsia="宋体" w:cs="宋体"/>
                <w:i w:val="0"/>
                <w:color w:val="000000"/>
                <w:sz w:val="20"/>
                <w:szCs w:val="20"/>
                <w:u w:val="none"/>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湖南省绿色食品办公室</w:t>
            </w:r>
            <w:r>
              <w:rPr>
                <w:rFonts w:hint="eastAsia" w:ascii="Times New Roman" w:hAnsi="Times New Roman" w:eastAsia="仿宋_GB2312" w:cs="Times New Roman"/>
                <w:color w:val="000000"/>
                <w:kern w:val="0"/>
                <w:szCs w:val="21"/>
              </w:rPr>
              <w:t xml:space="preserve">  </w:t>
            </w: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61" w:type="dxa"/>
            <w:tcBorders>
              <w:top w:val="nil"/>
              <w:left w:val="nil"/>
              <w:bottom w:val="nil"/>
              <w:right w:val="nil"/>
            </w:tcBorders>
            <w:shd w:val="clear" w:color="auto" w:fill="FFFFFF"/>
            <w:vAlign w:val="center"/>
          </w:tcPr>
          <w:p>
            <w:pPr>
              <w:rPr>
                <w:rFonts w:hint="eastAsia" w:ascii="宋体" w:hAnsi="宋体" w:eastAsia="宋体" w:cs="宋体"/>
                <w:i w:val="0"/>
                <w:color w:val="000000"/>
                <w:sz w:val="20"/>
                <w:szCs w:val="20"/>
                <w:u w:val="none"/>
              </w:rPr>
            </w:pPr>
          </w:p>
        </w:tc>
        <w:tc>
          <w:tcPr>
            <w:tcW w:w="1270" w:type="dxa"/>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756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预算数</w:t>
            </w:r>
          </w:p>
        </w:tc>
        <w:tc>
          <w:tcPr>
            <w:tcW w:w="7575"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22" w:hRule="atLeast"/>
        </w:trPr>
        <w:tc>
          <w:tcPr>
            <w:tcW w:w="12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合计</w:t>
            </w:r>
          </w:p>
        </w:tc>
        <w:tc>
          <w:tcPr>
            <w:tcW w:w="126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因公出国（境）费</w:t>
            </w:r>
          </w:p>
        </w:tc>
        <w:tc>
          <w:tcPr>
            <w:tcW w:w="378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公务用车购置及运行维护费</w:t>
            </w:r>
          </w:p>
        </w:tc>
        <w:tc>
          <w:tcPr>
            <w:tcW w:w="12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公务接待费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74" w:hRule="atLeast"/>
        </w:trPr>
        <w:tc>
          <w:tcPr>
            <w:tcW w:w="12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小计</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购置费</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公务用车</w:t>
            </w:r>
            <w:r>
              <w:rPr>
                <w:rFonts w:hint="eastAsia" w:ascii="宋体" w:hAnsi="宋体" w:eastAsia="宋体" w:cs="宋体"/>
                <w:i w:val="0"/>
                <w:color w:val="000000"/>
                <w:kern w:val="0"/>
                <w:sz w:val="22"/>
                <w:szCs w:val="22"/>
                <w:u w:val="none"/>
                <w:lang w:val="en-US" w:eastAsia="zh-CN" w:bidi="ar"/>
              </w:rPr>
              <w:br w:type="textWrapping"/>
            </w:r>
            <w:r>
              <w:rPr>
                <w:rFonts w:hint="eastAsia" w:ascii="宋体" w:hAnsi="宋体" w:eastAsia="宋体" w:cs="宋体"/>
                <w:i w:val="0"/>
                <w:color w:val="000000"/>
                <w:kern w:val="0"/>
                <w:sz w:val="22"/>
                <w:szCs w:val="22"/>
                <w:u w:val="none"/>
                <w:lang w:val="en-US" w:eastAsia="zh-CN" w:bidi="ar"/>
              </w:rPr>
              <w:t>运行维护费</w:t>
            </w:r>
          </w:p>
        </w:tc>
        <w:tc>
          <w:tcPr>
            <w:tcW w:w="12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66"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3</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5</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7</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9</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11</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65" w:hRule="atLeast"/>
        </w:trPr>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1.00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0.98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0.00</w:t>
            </w:r>
          </w:p>
        </w:tc>
        <w:tc>
          <w:tcPr>
            <w:tcW w:w="12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226" w:hRule="atLeast"/>
        </w:trPr>
        <w:tc>
          <w:tcPr>
            <w:tcW w:w="15140" w:type="dxa"/>
            <w:gridSpan w:val="12"/>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注：本表反映部门本年度财政拨款“三公”经费支出预决算情况。其中，预算数为“三公”经费全年预算数，反映按规定程序调整后的预算数；决算数是包括当年财政拨款和以前年度结转资金安排的实际支出。</w:t>
            </w:r>
          </w:p>
        </w:tc>
      </w:tr>
    </w:tbl>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autoSpaceDE w:val="0"/>
        <w:autoSpaceDN w:val="0"/>
        <w:adjustRightInd w:val="0"/>
        <w:ind w:left="315" w:leftChars="150"/>
        <w:jc w:val="left"/>
        <w:rPr>
          <w:rFonts w:ascii="宋体" w:eastAsia="宋体" w:cs="宋体"/>
          <w:kern w:val="0"/>
          <w:sz w:val="24"/>
          <w:szCs w:val="24"/>
        </w:rPr>
      </w:pPr>
    </w:p>
    <w:p>
      <w:pPr>
        <w:widowControl/>
        <w:jc w:val="both"/>
        <w:rPr>
          <w:sz w:val="72"/>
          <w:szCs w:val="72"/>
        </w:rPr>
        <w:sectPr>
          <w:pgSz w:w="16838" w:h="11906" w:orient="landscape"/>
          <w:pgMar w:top="720" w:right="720" w:bottom="720" w:left="720" w:header="851" w:footer="992" w:gutter="0"/>
          <w:cols w:space="425" w:num="1"/>
          <w:docGrid w:type="lines" w:linePitch="312" w:charSpace="0"/>
        </w:sectPr>
      </w:pPr>
      <w:r>
        <w:rPr>
          <w:rFonts w:ascii="黑体" w:hAnsi="黑体" w:eastAsia="黑体"/>
          <w:szCs w:val="21"/>
        </w:rPr>
        <w:br w:type="page"/>
      </w:r>
    </w:p>
    <w:p>
      <w:pPr>
        <w:pStyle w:val="14"/>
        <w:rPr>
          <w:sz w:val="72"/>
          <w:szCs w:val="72"/>
        </w:rPr>
      </w:pPr>
    </w:p>
    <w:p>
      <w:pPr>
        <w:pStyle w:val="14"/>
        <w:rPr>
          <w:sz w:val="72"/>
          <w:szCs w:val="72"/>
        </w:rPr>
      </w:pPr>
    </w:p>
    <w:p>
      <w:pPr>
        <w:pStyle w:val="14"/>
        <w:rPr>
          <w:sz w:val="72"/>
          <w:szCs w:val="72"/>
        </w:rPr>
      </w:pPr>
    </w:p>
    <w:p>
      <w:pPr>
        <w:pStyle w:val="14"/>
        <w:rPr>
          <w:sz w:val="72"/>
          <w:szCs w:val="72"/>
        </w:rPr>
      </w:pPr>
    </w:p>
    <w:p>
      <w:pPr>
        <w:pStyle w:val="14"/>
        <w:jc w:val="center"/>
        <w:rPr>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pPr>
        <w:widowControl/>
        <w:jc w:val="left"/>
        <w:rPr>
          <w:rFonts w:asciiTheme="minorEastAsia" w:hAnsiTheme="minorEastAsia" w:eastAsiaTheme="minorEastAsia"/>
          <w:sz w:val="32"/>
          <w:szCs w:val="32"/>
        </w:rPr>
      </w:pPr>
      <w:r>
        <w:rPr>
          <w:rFonts w:hint="eastAsia" w:ascii="方正小标宋_GBK" w:hAnsi="方正小标宋_GBK" w:eastAsia="方正小标宋_GBK" w:cs="方正小标宋_GBK"/>
          <w:sz w:val="70"/>
          <w:szCs w:val="70"/>
        </w:rPr>
        <w:br w:type="page"/>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ind w:firstLine="640" w:firstLineChars="200"/>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年度收、支总计</w:t>
      </w:r>
      <w:r>
        <w:rPr>
          <w:rFonts w:hint="eastAsia" w:ascii="Times New Roman" w:hAnsi="Times New Roman" w:eastAsia="仿宋_GB2312"/>
          <w:sz w:val="32"/>
          <w:szCs w:val="32"/>
          <w:lang w:val="en-US" w:eastAsia="zh-CN"/>
        </w:rPr>
        <w:t>1100.56</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8.20</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0.74</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主要</w:t>
      </w:r>
      <w:r>
        <w:rPr>
          <w:rFonts w:hint="eastAsia" w:ascii="Times New Roman" w:hAnsi="Times New Roman" w:eastAsia="仿宋_GB2312"/>
          <w:sz w:val="32"/>
          <w:szCs w:val="32"/>
        </w:rPr>
        <w:t>是因为</w:t>
      </w:r>
      <w:r>
        <w:rPr>
          <w:rFonts w:hint="eastAsia" w:ascii="Times New Roman" w:hAnsi="Times New Roman" w:eastAsia="仿宋_GB2312"/>
          <w:sz w:val="32"/>
          <w:szCs w:val="32"/>
          <w:lang w:val="en-US" w:eastAsia="zh-CN"/>
        </w:rPr>
        <w:t>人员经费减少。</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4"/>
        <w:keepNext w:val="0"/>
        <w:keepLines w:val="0"/>
        <w:pageBreakBefore w:val="0"/>
        <w:numPr>
          <w:ilvl w:val="0"/>
          <w:numId w:val="0"/>
        </w:numPr>
        <w:kinsoku/>
        <w:wordWrap/>
        <w:overflowPunct/>
        <w:topLinePunct w:val="0"/>
        <w:bidi w:val="0"/>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年度收入合计776.19万元，其中：财政拨款收入</w:t>
      </w:r>
      <w:r>
        <w:rPr>
          <w:rFonts w:hint="eastAsia" w:ascii="Times New Roman" w:hAnsi="Times New Roman" w:eastAsia="仿宋_GB2312"/>
          <w:sz w:val="32"/>
          <w:szCs w:val="32"/>
          <w:lang w:val="en-US" w:eastAsia="zh-CN"/>
        </w:rPr>
        <w:t>546.59</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70.42</w:t>
      </w:r>
      <w:r>
        <w:rPr>
          <w:rFonts w:hint="eastAsia" w:ascii="Times New Roman" w:hAnsi="Times New Roman" w:eastAsia="仿宋_GB2312"/>
          <w:sz w:val="32"/>
          <w:szCs w:val="32"/>
        </w:rPr>
        <w:t>%；上级补助收入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%；事业收入</w:t>
      </w:r>
      <w:r>
        <w:rPr>
          <w:rFonts w:hint="eastAsia" w:ascii="Times New Roman" w:hAnsi="Times New Roman" w:eastAsia="仿宋_GB2312"/>
          <w:sz w:val="32"/>
          <w:szCs w:val="32"/>
          <w:lang w:val="en-US" w:eastAsia="zh-CN"/>
        </w:rPr>
        <w:t>229.6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29.58</w:t>
      </w:r>
      <w:r>
        <w:rPr>
          <w:rFonts w:hint="eastAsia" w:ascii="Times New Roman" w:hAnsi="Times New Roman" w:eastAsia="仿宋_GB2312"/>
          <w:sz w:val="32"/>
          <w:szCs w:val="32"/>
        </w:rPr>
        <w:t>%；经营收入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%；附属单位上缴收入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%；其他收入</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4"/>
        <w:keepNext w:val="0"/>
        <w:keepLines w:val="0"/>
        <w:pageBreakBefore w:val="0"/>
        <w:numPr>
          <w:ilvl w:val="0"/>
          <w:numId w:val="0"/>
        </w:numPr>
        <w:kinsoku/>
        <w:wordWrap/>
        <w:overflowPunct/>
        <w:topLinePunct w:val="0"/>
        <w:bidi w:val="0"/>
        <w:snapToGrid/>
        <w:spacing w:line="58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年度支出合计719.29万元，其中：基本支出</w:t>
      </w:r>
      <w:r>
        <w:rPr>
          <w:rFonts w:hint="eastAsia" w:ascii="Times New Roman" w:hAnsi="Times New Roman" w:eastAsia="仿宋_GB2312"/>
          <w:sz w:val="32"/>
          <w:szCs w:val="32"/>
          <w:lang w:val="en-US" w:eastAsia="zh-CN"/>
        </w:rPr>
        <w:t>412.06</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57.29</w:t>
      </w:r>
      <w:r>
        <w:rPr>
          <w:rFonts w:hint="eastAsia" w:ascii="Times New Roman" w:hAnsi="Times New Roman" w:eastAsia="仿宋_GB2312"/>
          <w:sz w:val="32"/>
          <w:szCs w:val="32"/>
        </w:rPr>
        <w:t>%；项目支出</w:t>
      </w:r>
      <w:r>
        <w:rPr>
          <w:rFonts w:hint="eastAsia" w:ascii="Times New Roman" w:hAnsi="Times New Roman" w:eastAsia="仿宋_GB2312"/>
          <w:sz w:val="32"/>
          <w:szCs w:val="32"/>
          <w:lang w:val="en-US" w:eastAsia="zh-CN"/>
        </w:rPr>
        <w:t>307.23</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42.71</w:t>
      </w:r>
      <w:r>
        <w:rPr>
          <w:rFonts w:hint="eastAsia" w:ascii="Times New Roman" w:hAnsi="Times New Roman" w:eastAsia="仿宋_GB2312"/>
          <w:sz w:val="32"/>
          <w:szCs w:val="32"/>
        </w:rPr>
        <w:t>%；上缴上级支出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%；经营支出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%；对附属单位补助支出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年度财政拨款收、支总计</w:t>
      </w:r>
      <w:r>
        <w:rPr>
          <w:rFonts w:hint="eastAsia" w:ascii="Times New Roman" w:hAnsi="Times New Roman" w:eastAsia="仿宋_GB2312"/>
          <w:sz w:val="32"/>
          <w:szCs w:val="32"/>
          <w:lang w:val="en-US" w:eastAsia="zh-CN"/>
        </w:rPr>
        <w:t>614.63</w:t>
      </w:r>
      <w:r>
        <w:rPr>
          <w:rFonts w:hint="eastAsia" w:ascii="Times New Roman" w:hAnsi="Times New Roman" w:eastAsia="仿宋_GB2312"/>
          <w:sz w:val="32"/>
          <w:szCs w:val="32"/>
        </w:rPr>
        <w:t>万元，与上年相比，减少</w:t>
      </w:r>
      <w:r>
        <w:rPr>
          <w:rFonts w:hint="eastAsia" w:ascii="Times New Roman" w:hAnsi="Times New Roman" w:eastAsia="仿宋_GB2312"/>
          <w:sz w:val="32"/>
          <w:szCs w:val="32"/>
          <w:lang w:val="en-US" w:eastAsia="zh-CN"/>
        </w:rPr>
        <w:t>167.6</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21.43</w:t>
      </w:r>
      <w:r>
        <w:rPr>
          <w:rFonts w:hint="eastAsia" w:ascii="Times New Roman" w:hAnsi="Times New Roman" w:eastAsia="仿宋_GB2312"/>
          <w:sz w:val="32"/>
          <w:szCs w:val="32"/>
        </w:rPr>
        <w:t>%，主要是因为主要是因为</w:t>
      </w:r>
      <w:r>
        <w:rPr>
          <w:rFonts w:hint="eastAsia" w:ascii="Times New Roman" w:hAnsi="Times New Roman" w:eastAsia="仿宋_GB2312"/>
          <w:sz w:val="32"/>
          <w:szCs w:val="32"/>
          <w:lang w:val="en-US" w:eastAsia="zh-CN"/>
        </w:rPr>
        <w:t>人员经费减少及减少了</w:t>
      </w:r>
      <w:r>
        <w:rPr>
          <w:rFonts w:hint="eastAsia" w:ascii="Times New Roman" w:hAnsi="Times New Roman" w:eastAsia="仿宋_GB2312"/>
          <w:sz w:val="32"/>
          <w:szCs w:val="32"/>
          <w:lang w:eastAsia="zh-CN"/>
        </w:rPr>
        <w:t>全国农业展览馆国家地标馆湖南展区</w:t>
      </w:r>
      <w:r>
        <w:rPr>
          <w:rFonts w:hint="eastAsia" w:ascii="Times New Roman" w:hAnsi="Times New Roman" w:eastAsia="仿宋_GB2312"/>
          <w:sz w:val="32"/>
          <w:szCs w:val="32"/>
          <w:lang w:val="en-US" w:eastAsia="zh-CN"/>
        </w:rPr>
        <w:t>100万重点项目。</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（一）一般公共预算财政拨款支出决算总体情况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年度财政拨款支出579.95万元，占本年支出合计的</w:t>
      </w:r>
      <w:r>
        <w:rPr>
          <w:rFonts w:hint="eastAsia" w:ascii="Times New Roman" w:hAnsi="Times New Roman" w:eastAsia="仿宋_GB2312"/>
          <w:sz w:val="32"/>
          <w:szCs w:val="32"/>
          <w:lang w:val="en-US" w:eastAsia="zh-CN"/>
        </w:rPr>
        <w:t>80.63</w:t>
      </w:r>
      <w:r>
        <w:rPr>
          <w:rFonts w:hint="eastAsia" w:ascii="Times New Roman" w:hAnsi="Times New Roman" w:eastAsia="仿宋_GB2312"/>
          <w:sz w:val="32"/>
          <w:szCs w:val="32"/>
        </w:rPr>
        <w:t>%，与上年相比，财政拨款支出减少</w:t>
      </w:r>
      <w:r>
        <w:rPr>
          <w:rFonts w:hint="eastAsia" w:ascii="Times New Roman" w:hAnsi="Times New Roman" w:eastAsia="仿宋_GB2312"/>
          <w:sz w:val="32"/>
          <w:szCs w:val="32"/>
          <w:lang w:val="en-US" w:eastAsia="zh-CN"/>
        </w:rPr>
        <w:t>60.39</w:t>
      </w:r>
      <w:r>
        <w:rPr>
          <w:rFonts w:hint="eastAsia" w:ascii="Times New Roman" w:hAnsi="Times New Roman" w:eastAsia="仿宋_GB2312"/>
          <w:sz w:val="32"/>
          <w:szCs w:val="32"/>
        </w:rPr>
        <w:t>万元，减少</w:t>
      </w:r>
      <w:r>
        <w:rPr>
          <w:rFonts w:hint="eastAsia" w:ascii="Times New Roman" w:hAnsi="Times New Roman" w:eastAsia="仿宋_GB2312"/>
          <w:sz w:val="32"/>
          <w:szCs w:val="32"/>
          <w:lang w:val="en-US" w:eastAsia="zh-CN"/>
        </w:rPr>
        <w:t>9.43</w:t>
      </w:r>
      <w:r>
        <w:rPr>
          <w:rFonts w:hint="eastAsia" w:ascii="Times New Roman" w:hAnsi="Times New Roman" w:eastAsia="仿宋_GB2312"/>
          <w:sz w:val="32"/>
          <w:szCs w:val="32"/>
        </w:rPr>
        <w:t>%，主要是因为</w:t>
      </w:r>
      <w:r>
        <w:rPr>
          <w:rFonts w:hint="eastAsia" w:ascii="Times New Roman" w:hAnsi="Times New Roman" w:eastAsia="仿宋_GB2312"/>
          <w:sz w:val="32"/>
          <w:szCs w:val="32"/>
          <w:lang w:val="en-US" w:eastAsia="zh-CN"/>
        </w:rPr>
        <w:t>减少了</w:t>
      </w:r>
      <w:r>
        <w:rPr>
          <w:rFonts w:hint="eastAsia" w:ascii="Times New Roman" w:hAnsi="Times New Roman" w:eastAsia="仿宋_GB2312"/>
          <w:sz w:val="32"/>
          <w:szCs w:val="32"/>
          <w:lang w:eastAsia="zh-CN"/>
        </w:rPr>
        <w:t>全国农业展览馆国家地标馆湖南展区</w:t>
      </w:r>
      <w:r>
        <w:rPr>
          <w:rFonts w:hint="eastAsia" w:ascii="Times New Roman" w:hAnsi="Times New Roman" w:eastAsia="仿宋_GB2312"/>
          <w:sz w:val="32"/>
          <w:szCs w:val="32"/>
          <w:lang w:val="en-US" w:eastAsia="zh-CN"/>
        </w:rPr>
        <w:t>100万重点项目</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rPr>
        <w:t>二）一般公共预算财政拨款支出决算结构情况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年度财政拨款支出579.95万元，主要用于以下方面：社会保障和就业</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74.74</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12.89</w:t>
      </w:r>
      <w:r>
        <w:rPr>
          <w:rFonts w:hint="eastAsia" w:ascii="Times New Roman" w:hAnsi="Times New Roman" w:eastAsia="仿宋_GB2312"/>
          <w:sz w:val="32"/>
          <w:szCs w:val="32"/>
        </w:rPr>
        <w:t>%；农林水</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类）</w:t>
      </w:r>
      <w:r>
        <w:rPr>
          <w:rFonts w:hint="eastAsia" w:ascii="Times New Roman" w:hAnsi="Times New Roman" w:eastAsia="仿宋_GB2312"/>
          <w:sz w:val="32"/>
          <w:szCs w:val="32"/>
        </w:rPr>
        <w:t>支出</w:t>
      </w:r>
      <w:r>
        <w:rPr>
          <w:rFonts w:hint="eastAsia" w:ascii="Times New Roman" w:hAnsi="Times New Roman" w:eastAsia="仿宋_GB2312"/>
          <w:sz w:val="32"/>
          <w:szCs w:val="32"/>
          <w:lang w:val="en-US" w:eastAsia="zh-CN"/>
        </w:rPr>
        <w:t>505.21</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87.11</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val="0"/>
          <w:bCs/>
          <w:sz w:val="32"/>
          <w:szCs w:val="32"/>
        </w:rPr>
      </w:pPr>
      <w:r>
        <w:rPr>
          <w:rFonts w:hint="eastAsia" w:ascii="楷体" w:hAnsi="楷体" w:eastAsia="楷体" w:cs="楷体"/>
          <w:b w:val="0"/>
          <w:bCs/>
          <w:sz w:val="32"/>
          <w:szCs w:val="32"/>
        </w:rPr>
        <w:t>（三）一般公共预算财政拨款支出决算具体情况</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年度财政拨款支出年初预算数为</w:t>
      </w:r>
      <w:r>
        <w:rPr>
          <w:rFonts w:hint="eastAsia" w:ascii="Times New Roman" w:hAnsi="Times New Roman" w:eastAsia="仿宋_GB2312"/>
          <w:sz w:val="32"/>
          <w:szCs w:val="32"/>
          <w:lang w:val="en-US" w:eastAsia="zh-CN"/>
        </w:rPr>
        <w:t>592.83</w:t>
      </w:r>
      <w:r>
        <w:rPr>
          <w:rFonts w:hint="eastAsia" w:ascii="Times New Roman" w:hAnsi="Times New Roman" w:eastAsia="仿宋_GB2312"/>
          <w:sz w:val="32"/>
          <w:szCs w:val="32"/>
        </w:rPr>
        <w:t>万元，支出决算数为579.95万元，完成年初预算的</w:t>
      </w:r>
      <w:r>
        <w:rPr>
          <w:rFonts w:hint="eastAsia" w:ascii="Times New Roman" w:hAnsi="Times New Roman" w:eastAsia="仿宋_GB2312"/>
          <w:sz w:val="32"/>
          <w:szCs w:val="32"/>
          <w:lang w:val="en-US" w:eastAsia="zh-CN"/>
        </w:rPr>
        <w:t>97.83</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1、社会保障和就业（类）</w:t>
      </w:r>
      <w:r>
        <w:rPr>
          <w:rFonts w:hint="eastAsia" w:ascii="Times New Roman" w:hAnsi="Times New Roman" w:eastAsia="仿宋_GB2312"/>
          <w:sz w:val="32"/>
          <w:szCs w:val="32"/>
          <w:lang w:val="en-US" w:eastAsia="zh-CN"/>
        </w:rPr>
        <w:t>行政事业单位养老支出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事业单位离退休费</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21.11</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21.11</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2、社会保障和就业（类）</w:t>
      </w:r>
      <w:r>
        <w:rPr>
          <w:rFonts w:hint="eastAsia" w:ascii="Times New Roman" w:hAnsi="Times New Roman" w:eastAsia="仿宋_GB2312"/>
          <w:sz w:val="32"/>
          <w:szCs w:val="32"/>
          <w:lang w:val="en-US" w:eastAsia="zh-CN"/>
        </w:rPr>
        <w:t>行政事业单位养老支出</w:t>
      </w:r>
      <w:r>
        <w:rPr>
          <w:rFonts w:hint="eastAsia" w:ascii="Times New Roman" w:hAnsi="Times New Roman" w:eastAsia="仿宋_GB2312"/>
          <w:sz w:val="32"/>
          <w:szCs w:val="32"/>
        </w:rPr>
        <w:t>（款）</w:t>
      </w:r>
      <w:r>
        <w:rPr>
          <w:rFonts w:hint="eastAsia" w:ascii="Times New Roman" w:hAnsi="Times New Roman" w:eastAsia="仿宋_GB2312"/>
          <w:sz w:val="32"/>
          <w:szCs w:val="32"/>
          <w:lang w:val="en-US" w:eastAsia="zh-CN"/>
        </w:rPr>
        <w:t>机关事业单位基本养老保险缴费支出</w:t>
      </w:r>
      <w:r>
        <w:rPr>
          <w:rFonts w:hint="eastAsia" w:ascii="Times New Roman" w:hAnsi="Times New Roman" w:eastAsia="仿宋_GB2312"/>
          <w:sz w:val="32"/>
          <w:szCs w:val="32"/>
        </w:rPr>
        <w:t>（项）。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53.63</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53.63</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农林水（类）农业农村（款）行政运行（项）。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344.05</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337.32</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98.04</w:t>
      </w:r>
      <w:r>
        <w:rPr>
          <w:rFonts w:hint="eastAsia" w:ascii="Times New Roman" w:hAnsi="Times New Roman" w:eastAsia="仿宋_GB2312"/>
          <w:sz w:val="32"/>
          <w:szCs w:val="32"/>
        </w:rPr>
        <w:t>%</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决算数</w:t>
      </w:r>
      <w:r>
        <w:rPr>
          <w:rFonts w:hint="eastAsia" w:ascii="Times New Roman" w:hAnsi="Times New Roman" w:eastAsia="仿宋_GB2312"/>
          <w:sz w:val="32"/>
          <w:szCs w:val="32"/>
          <w:lang w:val="en-US" w:eastAsia="zh-CN"/>
        </w:rPr>
        <w:t>小</w:t>
      </w:r>
      <w:r>
        <w:rPr>
          <w:rFonts w:hint="eastAsia" w:ascii="Times New Roman" w:hAnsi="Times New Roman" w:eastAsia="仿宋_GB2312"/>
          <w:sz w:val="32"/>
          <w:szCs w:val="32"/>
        </w:rPr>
        <w:t>于年初预算数的主要原因是</w:t>
      </w:r>
      <w:r>
        <w:rPr>
          <w:rFonts w:hint="eastAsia" w:ascii="Times New Roman" w:hAnsi="Times New Roman" w:eastAsia="仿宋_GB2312"/>
          <w:sz w:val="32"/>
          <w:szCs w:val="32"/>
          <w:lang w:eastAsia="zh-CN"/>
        </w:rPr>
        <w:t>我办认真贯彻中央“八项规定”和厉行节约的要求，压缩各项经费支出。</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lang w:val="en-US" w:eastAsia="zh-CN"/>
        </w:rPr>
        <w:t>4、</w:t>
      </w:r>
      <w:r>
        <w:rPr>
          <w:rFonts w:hint="eastAsia" w:ascii="Times New Roman" w:hAnsi="Times New Roman" w:eastAsia="仿宋_GB2312"/>
          <w:sz w:val="32"/>
          <w:szCs w:val="32"/>
        </w:rPr>
        <w:t>农林水（类）农业农村（款）农业生产发展（项）。</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年初预算为</w:t>
      </w:r>
      <w:r>
        <w:rPr>
          <w:rFonts w:hint="eastAsia" w:ascii="Times New Roman" w:hAnsi="Times New Roman" w:eastAsia="仿宋_GB2312"/>
          <w:sz w:val="32"/>
          <w:szCs w:val="32"/>
          <w:lang w:val="en-US" w:eastAsia="zh-CN"/>
        </w:rPr>
        <w:t>174.04</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167.88</w:t>
      </w:r>
      <w:r>
        <w:rPr>
          <w:rFonts w:hint="eastAsia" w:ascii="Times New Roman" w:hAnsi="Times New Roman" w:eastAsia="仿宋_GB2312"/>
          <w:sz w:val="32"/>
          <w:szCs w:val="32"/>
        </w:rPr>
        <w:t>万元，完成年初预算的</w:t>
      </w:r>
      <w:r>
        <w:rPr>
          <w:rFonts w:hint="eastAsia" w:ascii="Times New Roman" w:hAnsi="Times New Roman" w:eastAsia="仿宋_GB2312"/>
          <w:sz w:val="32"/>
          <w:szCs w:val="32"/>
          <w:lang w:val="en-US" w:eastAsia="zh-CN"/>
        </w:rPr>
        <w:t>96.46</w:t>
      </w:r>
      <w:r>
        <w:rPr>
          <w:rFonts w:hint="eastAsia" w:ascii="Times New Roman" w:hAnsi="Times New Roman" w:eastAsia="仿宋_GB2312"/>
          <w:sz w:val="32"/>
          <w:szCs w:val="32"/>
        </w:rPr>
        <w:t>%。决算数小于年初预算数的主要原因是</w:t>
      </w:r>
      <w:r>
        <w:rPr>
          <w:rFonts w:hint="eastAsia" w:ascii="Times New Roman" w:hAnsi="Times New Roman" w:eastAsia="仿宋_GB2312"/>
          <w:sz w:val="32"/>
          <w:szCs w:val="32"/>
          <w:lang w:eastAsia="zh-CN"/>
        </w:rPr>
        <w:t>我办在项目招标比选时，节约了经费。</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年度财政拨款基本支出412.06万元，其中：</w:t>
      </w:r>
    </w:p>
    <w:p>
      <w:pPr>
        <w:pStyle w:val="14"/>
        <w:keepNext w:val="0"/>
        <w:keepLines w:val="0"/>
        <w:pageBreakBefore w:val="0"/>
        <w:kinsoku/>
        <w:wordWrap/>
        <w:overflowPunct/>
        <w:topLinePunct w:val="0"/>
        <w:bidi w:val="0"/>
        <w:snapToGrid/>
        <w:spacing w:line="58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人员经费</w:t>
      </w:r>
      <w:r>
        <w:rPr>
          <w:rFonts w:hint="eastAsia" w:ascii="Times New Roman" w:hAnsi="Times New Roman" w:eastAsia="仿宋_GB2312"/>
          <w:sz w:val="32"/>
          <w:szCs w:val="32"/>
          <w:lang w:val="en-US" w:eastAsia="zh-CN"/>
        </w:rPr>
        <w:t>362.08</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87.87</w:t>
      </w:r>
      <w:r>
        <w:rPr>
          <w:rFonts w:hint="eastAsia" w:ascii="Times New Roman" w:hAnsi="Times New Roman" w:eastAsia="仿宋_GB2312"/>
          <w:sz w:val="32"/>
          <w:szCs w:val="32"/>
        </w:rPr>
        <w:t>%,主要包括基本工资、津贴补贴、奖金、伙食</w:t>
      </w:r>
      <w:r>
        <w:rPr>
          <w:rFonts w:hint="eastAsia" w:ascii="Times New Roman" w:hAnsi="Times New Roman" w:eastAsia="仿宋_GB2312"/>
          <w:sz w:val="32"/>
          <w:szCs w:val="32"/>
          <w:lang w:val="en-US" w:eastAsia="zh-CN"/>
        </w:rPr>
        <w:t>补助费、住房公积金、退休费、奖励金等。</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val="en-US" w:eastAsia="zh-CN"/>
        </w:rPr>
      </w:pPr>
      <w:r>
        <w:rPr>
          <w:rFonts w:hint="eastAsia" w:ascii="Times New Roman" w:hAnsi="Times New Roman" w:eastAsia="仿宋_GB2312"/>
          <w:b/>
          <w:bCs/>
          <w:sz w:val="32"/>
          <w:szCs w:val="32"/>
        </w:rPr>
        <w:t>公用经费</w:t>
      </w:r>
      <w:r>
        <w:rPr>
          <w:rFonts w:hint="eastAsia" w:ascii="Times New Roman" w:hAnsi="Times New Roman" w:eastAsia="仿宋_GB2312"/>
          <w:sz w:val="32"/>
          <w:szCs w:val="32"/>
          <w:lang w:val="en-US" w:eastAsia="zh-CN"/>
        </w:rPr>
        <w:t>49.98</w:t>
      </w:r>
      <w:r>
        <w:rPr>
          <w:rFonts w:hint="eastAsia" w:ascii="Times New Roman" w:hAnsi="Times New Roman" w:eastAsia="仿宋_GB2312"/>
          <w:sz w:val="32"/>
          <w:szCs w:val="32"/>
        </w:rPr>
        <w:t>万元，占基本支出的</w:t>
      </w:r>
      <w:r>
        <w:rPr>
          <w:rFonts w:hint="eastAsia" w:ascii="Times New Roman" w:hAnsi="Times New Roman" w:eastAsia="仿宋_GB2312"/>
          <w:sz w:val="32"/>
          <w:szCs w:val="32"/>
          <w:lang w:val="en-US" w:eastAsia="zh-CN"/>
        </w:rPr>
        <w:t>12.13</w:t>
      </w:r>
      <w:r>
        <w:rPr>
          <w:rFonts w:hint="eastAsia" w:ascii="Times New Roman" w:hAnsi="Times New Roman" w:eastAsia="仿宋_GB2312"/>
          <w:sz w:val="32"/>
          <w:szCs w:val="32"/>
        </w:rPr>
        <w:t>%，主要包括</w:t>
      </w:r>
      <w:r>
        <w:rPr>
          <w:rFonts w:hint="eastAsia" w:ascii="Times New Roman" w:hAnsi="Times New Roman" w:eastAsia="仿宋_GB2312"/>
          <w:sz w:val="32"/>
          <w:szCs w:val="32"/>
          <w:lang w:val="en-US" w:eastAsia="zh-CN"/>
        </w:rPr>
        <w:t>办公费、水费、电费、 邮电费、物业管理费、差旅费、会议费、其他交通费用等。</w:t>
      </w:r>
    </w:p>
    <w:p>
      <w:pPr>
        <w:pStyle w:val="14"/>
        <w:keepNext w:val="0"/>
        <w:keepLines w:val="0"/>
        <w:pageBreakBefore w:val="0"/>
        <w:widowControl w:val="0"/>
        <w:numPr>
          <w:ilvl w:val="0"/>
          <w:numId w:val="2"/>
        </w:numPr>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财政拨款三公经费支出决算情况说明</w:t>
      </w:r>
    </w:p>
    <w:p>
      <w:pPr>
        <w:pStyle w:val="14"/>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“三公”经费财政拨款支出预算为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0.98</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98</w:t>
      </w:r>
      <w:r>
        <w:rPr>
          <w:rFonts w:hint="eastAsia" w:ascii="Times New Roman" w:hAnsi="Times New Roman" w:eastAsia="仿宋_GB2312"/>
          <w:sz w:val="32"/>
          <w:szCs w:val="32"/>
        </w:rPr>
        <w:t>%，决算数小于预算数的主要原因是“三公”经费</w:t>
      </w:r>
      <w:r>
        <w:rPr>
          <w:rFonts w:hint="eastAsia" w:ascii="Times New Roman" w:hAnsi="Times New Roman" w:eastAsia="仿宋_GB2312"/>
          <w:sz w:val="32"/>
          <w:szCs w:val="32"/>
          <w:lang w:val="en-US" w:eastAsia="zh-CN"/>
        </w:rPr>
        <w:t>严格控制在预算范围内</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0.62</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172.22%</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疫情放开后，</w:t>
      </w:r>
      <w:r>
        <w:rPr>
          <w:rFonts w:hint="eastAsia" w:ascii="Times New Roman" w:hAnsi="Times New Roman" w:eastAsia="仿宋_GB2312"/>
          <w:sz w:val="32"/>
          <w:szCs w:val="32"/>
          <w:lang w:eastAsia="zh-CN"/>
        </w:rPr>
        <w:t>认证资料申报、联系工作等</w:t>
      </w:r>
      <w:r>
        <w:rPr>
          <w:rFonts w:hint="eastAsia" w:ascii="Times New Roman" w:hAnsi="Times New Roman" w:eastAsia="仿宋_GB2312"/>
          <w:sz w:val="32"/>
          <w:szCs w:val="32"/>
        </w:rPr>
        <w:t>发生的接待</w:t>
      </w:r>
      <w:r>
        <w:rPr>
          <w:rFonts w:hint="eastAsia" w:ascii="Times New Roman" w:hAnsi="Times New Roman" w:eastAsia="仿宋_GB2312"/>
          <w:sz w:val="32"/>
          <w:szCs w:val="32"/>
          <w:lang w:val="en-US" w:eastAsia="zh-CN"/>
        </w:rPr>
        <w:t>增加</w:t>
      </w:r>
      <w:r>
        <w:rPr>
          <w:rFonts w:hint="eastAsia" w:ascii="Times New Roman" w:hAnsi="Times New Roman" w:eastAsia="仿宋_GB2312"/>
          <w:sz w:val="32"/>
          <w:szCs w:val="32"/>
        </w:rPr>
        <w:t>。其中：</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w:t>
      </w:r>
      <w:r>
        <w:rPr>
          <w:rFonts w:hint="eastAsia" w:ascii="Times New Roman" w:hAnsi="Times New Roman" w:eastAsia="仿宋_GB2312"/>
          <w:sz w:val="32"/>
          <w:szCs w:val="32"/>
          <w:lang w:val="en-US" w:eastAsia="zh-CN"/>
        </w:rPr>
        <w:t>持平。</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公务接待费支出预算为</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0.98</w:t>
      </w:r>
      <w:r>
        <w:rPr>
          <w:rFonts w:hint="eastAsia" w:ascii="Times New Roman" w:hAnsi="Times New Roman" w:eastAsia="仿宋_GB2312"/>
          <w:sz w:val="32"/>
          <w:szCs w:val="32"/>
        </w:rPr>
        <w:t>万元，完成预算的</w:t>
      </w:r>
      <w:r>
        <w:rPr>
          <w:rFonts w:hint="eastAsia" w:ascii="Times New Roman" w:hAnsi="Times New Roman" w:eastAsia="仿宋_GB2312"/>
          <w:sz w:val="32"/>
          <w:szCs w:val="32"/>
          <w:lang w:val="en-US" w:eastAsia="zh-CN"/>
        </w:rPr>
        <w:t>98</w:t>
      </w:r>
      <w:r>
        <w:rPr>
          <w:rFonts w:hint="eastAsia" w:ascii="Times New Roman" w:hAnsi="Times New Roman" w:eastAsia="仿宋_GB2312"/>
          <w:sz w:val="32"/>
          <w:szCs w:val="32"/>
        </w:rPr>
        <w:t>%，决算数小于预算数的主要原因是“三公”经费</w:t>
      </w:r>
      <w:r>
        <w:rPr>
          <w:rFonts w:hint="eastAsia" w:ascii="Times New Roman" w:hAnsi="Times New Roman" w:eastAsia="仿宋_GB2312"/>
          <w:sz w:val="32"/>
          <w:szCs w:val="32"/>
          <w:lang w:val="en-US" w:eastAsia="zh-CN"/>
        </w:rPr>
        <w:t>严格控制在预算范围内</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与上年相比增加</w:t>
      </w:r>
      <w:r>
        <w:rPr>
          <w:rFonts w:hint="eastAsia" w:ascii="Times New Roman" w:hAnsi="Times New Roman" w:eastAsia="仿宋_GB2312"/>
          <w:sz w:val="32"/>
          <w:szCs w:val="32"/>
          <w:lang w:val="en-US" w:eastAsia="zh-CN"/>
        </w:rPr>
        <w:t>0.62</w:t>
      </w:r>
      <w:r>
        <w:rPr>
          <w:rFonts w:hint="eastAsia" w:ascii="Times New Roman" w:hAnsi="Times New Roman" w:eastAsia="仿宋_GB2312"/>
          <w:sz w:val="32"/>
          <w:szCs w:val="32"/>
        </w:rPr>
        <w:t>万元，增长</w:t>
      </w:r>
      <w:r>
        <w:rPr>
          <w:rFonts w:hint="eastAsia" w:ascii="Times New Roman" w:hAnsi="Times New Roman" w:eastAsia="仿宋_GB2312"/>
          <w:sz w:val="32"/>
          <w:szCs w:val="32"/>
          <w:lang w:val="en-US" w:eastAsia="zh-CN"/>
        </w:rPr>
        <w:t>172.22%</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增长的主要原因是</w:t>
      </w:r>
      <w:r>
        <w:rPr>
          <w:rFonts w:hint="eastAsia" w:ascii="Times New Roman" w:hAnsi="Times New Roman" w:eastAsia="仿宋_GB2312"/>
          <w:sz w:val="32"/>
          <w:szCs w:val="32"/>
          <w:lang w:val="en-US" w:eastAsia="zh-CN"/>
        </w:rPr>
        <w:t>疫情放开后，</w:t>
      </w:r>
      <w:r>
        <w:rPr>
          <w:rFonts w:hint="eastAsia" w:ascii="Times New Roman" w:hAnsi="Times New Roman" w:eastAsia="仿宋_GB2312"/>
          <w:sz w:val="32"/>
          <w:szCs w:val="32"/>
          <w:lang w:eastAsia="zh-CN"/>
        </w:rPr>
        <w:t>认证资料申报、联系工作等</w:t>
      </w:r>
      <w:r>
        <w:rPr>
          <w:rFonts w:hint="eastAsia" w:ascii="Times New Roman" w:hAnsi="Times New Roman" w:eastAsia="仿宋_GB2312"/>
          <w:sz w:val="32"/>
          <w:szCs w:val="32"/>
        </w:rPr>
        <w:t>发生的接待</w:t>
      </w:r>
      <w:r>
        <w:rPr>
          <w:rFonts w:hint="eastAsia" w:ascii="Times New Roman" w:hAnsi="Times New Roman" w:eastAsia="仿宋_GB2312"/>
          <w:sz w:val="32"/>
          <w:szCs w:val="32"/>
          <w:lang w:val="en-US" w:eastAsia="zh-CN"/>
        </w:rPr>
        <w:t>增加</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Times New Roman" w:hAnsi="Times New Roman" w:eastAsia="仿宋_GB2312"/>
          <w:sz w:val="32"/>
          <w:szCs w:val="32"/>
        </w:rPr>
      </w:pPr>
      <w:r>
        <w:rPr>
          <w:rFonts w:hint="eastAsia" w:ascii="Times New Roman" w:hAnsi="Times New Roman" w:eastAsia="仿宋_GB2312"/>
          <w:sz w:val="32"/>
          <w:szCs w:val="32"/>
        </w:rPr>
        <w:t>公务用车购置费支出预算为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Times New Roman" w:hAnsi="Times New Roman" w:eastAsia="仿宋_GB2312"/>
          <w:sz w:val="32"/>
          <w:szCs w:val="32"/>
          <w:lang w:val="en-US" w:eastAsia="zh-CN"/>
        </w:rPr>
        <w:t>持平</w:t>
      </w:r>
      <w:r>
        <w:rPr>
          <w:rFonts w:hint="eastAsia" w:ascii="Times New Roman" w:hAnsi="Times New Roman" w:eastAsia="仿宋_GB2312"/>
          <w:sz w:val="32"/>
          <w:szCs w:val="32"/>
        </w:rPr>
        <w:t>。</w:t>
      </w:r>
    </w:p>
    <w:p>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ascii="Times New Roman" w:hAnsi="Times New Roman" w:eastAsia="仿宋_GB2312"/>
          <w:sz w:val="32"/>
          <w:szCs w:val="32"/>
        </w:rPr>
      </w:pPr>
      <w:r>
        <w:rPr>
          <w:rFonts w:hint="eastAsia" w:ascii="Times New Roman" w:hAnsi="Times New Roman" w:eastAsia="仿宋_GB2312"/>
          <w:sz w:val="32"/>
          <w:szCs w:val="32"/>
        </w:rPr>
        <w:t>公务用车运行维护费支出预算为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万元，与上年相比</w:t>
      </w:r>
      <w:r>
        <w:rPr>
          <w:rFonts w:hint="eastAsia" w:ascii="仿宋" w:hAnsi="仿宋" w:eastAsia="仿宋" w:cs="仿宋"/>
          <w:sz w:val="32"/>
          <w:szCs w:val="32"/>
          <w:lang w:val="en-US" w:eastAsia="zh-CN"/>
        </w:rPr>
        <w:t>持平</w:t>
      </w:r>
      <w:r>
        <w:rPr>
          <w:rFonts w:hint="eastAsia" w:ascii="仿宋" w:hAnsi="仿宋" w:eastAsia="仿宋" w:cs="仿宋"/>
          <w:sz w:val="32"/>
          <w:szCs w:val="32"/>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sz w:val="32"/>
          <w:szCs w:val="32"/>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年度“三公”经费财政拨款支出决算中，公务接待费支出决算</w:t>
      </w:r>
      <w:r>
        <w:rPr>
          <w:rFonts w:hint="eastAsia" w:ascii="Times New Roman" w:hAnsi="Times New Roman" w:eastAsia="仿宋_GB2312"/>
          <w:sz w:val="32"/>
          <w:szCs w:val="32"/>
          <w:lang w:val="en-US" w:eastAsia="zh-CN"/>
        </w:rPr>
        <w:t>0.98</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100</w:t>
      </w:r>
      <w:r>
        <w:rPr>
          <w:rFonts w:hint="eastAsia" w:ascii="Times New Roman" w:hAnsi="Times New Roman" w:eastAsia="仿宋_GB2312"/>
          <w:sz w:val="32"/>
          <w:szCs w:val="32"/>
        </w:rPr>
        <w:t>%,因公出国（境）费支出决算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%,公务用车购置费及运行维护费支出决算</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万元，占</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%。其中：</w:t>
      </w:r>
    </w:p>
    <w:p>
      <w:pPr>
        <w:pStyle w:val="14"/>
        <w:keepNext w:val="0"/>
        <w:keepLines w:val="0"/>
        <w:pageBreakBefore w:val="0"/>
        <w:numPr>
          <w:ilvl w:val="0"/>
          <w:numId w:val="3"/>
        </w:numPr>
        <w:kinsoku/>
        <w:wordWrap/>
        <w:overflowPunct/>
        <w:topLinePunct w:val="0"/>
        <w:bidi w:val="0"/>
        <w:snapToGrid/>
        <w:spacing w:line="580" w:lineRule="exact"/>
        <w:ind w:firstLine="800" w:firstLineChars="25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因公出国（境）费支出决算为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万元，全年安排因公出国（境）团组</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个，累计</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人次</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2、公务接待费支出决算为0.98万元，全年共接待来访团组14个、来宾71人次，主要是认证资料申报、联系工作等发生的接待支出。</w:t>
      </w:r>
    </w:p>
    <w:p>
      <w:pPr>
        <w:keepNext w:val="0"/>
        <w:keepLines w:val="0"/>
        <w:pageBreakBefore w:val="0"/>
        <w:kinsoku/>
        <w:wordWrap/>
        <w:overflowPunct/>
        <w:topLinePunct w:val="0"/>
        <w:bidi w:val="0"/>
        <w:snapToGrid/>
        <w:spacing w:line="580" w:lineRule="exact"/>
        <w:ind w:firstLine="640" w:firstLineChars="200"/>
        <w:textAlignment w:val="auto"/>
        <w:rPr>
          <w:rFonts w:ascii="楷体" w:hAnsi="楷体" w:eastAsia="楷体" w:cs="楷体"/>
          <w:b/>
          <w:bCs/>
          <w:i/>
          <w:kern w:val="0"/>
          <w:sz w:val="32"/>
          <w:szCs w:val="32"/>
          <w:highlight w:val="yellow"/>
        </w:rPr>
      </w:pPr>
      <w:r>
        <w:rPr>
          <w:rFonts w:hint="eastAsia" w:ascii="Times New Roman" w:hAnsi="Times New Roman" w:eastAsia="仿宋_GB2312"/>
          <w:sz w:val="32"/>
          <w:szCs w:val="32"/>
        </w:rPr>
        <w:t>3、公务用车购置费及运行维护费支出决算为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万元，其中：公务用车购置费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万元，单位本级更新公务用车</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r>
        <w:rPr>
          <w:rFonts w:hint="eastAsia" w:ascii="Times New Roman" w:hAnsi="Times New Roman" w:eastAsia="仿宋_GB2312"/>
          <w:color w:val="000000" w:themeColor="text1"/>
          <w:sz w:val="32"/>
          <w:szCs w:val="32"/>
          <w14:textFill>
            <w14:solidFill>
              <w14:schemeClr w14:val="tx1"/>
            </w14:solidFill>
          </w14:textFill>
        </w:rPr>
        <w:t>。</w:t>
      </w:r>
      <w:r>
        <w:rPr>
          <w:rFonts w:hint="eastAsia" w:ascii="Times New Roman" w:hAnsi="Times New Roman" w:eastAsia="仿宋_GB2312"/>
          <w:sz w:val="32"/>
          <w:szCs w:val="32"/>
        </w:rPr>
        <w:t>公务用车运行维护费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万元，截止202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年12月31日，我单位开支财政拨款的公务用车保有量为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辆。</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八、政府性基金预算收入支出决算情况</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theme="minorBidi"/>
          <w:color w:val="auto"/>
          <w:kern w:val="2"/>
          <w:sz w:val="32"/>
          <w:szCs w:val="32"/>
          <w:lang w:val="en-US" w:eastAsia="zh-CN" w:bidi="ar-SA"/>
        </w:rPr>
      </w:pPr>
      <w:r>
        <w:rPr>
          <w:rFonts w:hint="eastAsia" w:ascii="Times New Roman" w:hAnsi="Times New Roman" w:eastAsia="仿宋_GB2312" w:cstheme="minorBidi"/>
          <w:color w:val="auto"/>
          <w:kern w:val="2"/>
          <w:sz w:val="32"/>
          <w:szCs w:val="32"/>
          <w:lang w:val="en-US" w:eastAsia="zh-CN" w:bidi="ar-SA"/>
        </w:rPr>
        <w:t>本单位2023年无政府性基金收支</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rPr>
        <w:t>九、关于机关运行经费支出说明</w:t>
      </w:r>
    </w:p>
    <w:p>
      <w:pPr>
        <w:pStyle w:val="14"/>
        <w:keepNext w:val="0"/>
        <w:keepLines w:val="0"/>
        <w:pageBreakBefore w:val="0"/>
        <w:kinsoku/>
        <w:wordWrap/>
        <w:overflowPunct/>
        <w:topLinePunct w:val="0"/>
        <w:bidi w:val="0"/>
        <w:snapToGrid/>
        <w:spacing w:line="580" w:lineRule="exact"/>
        <w:ind w:firstLine="640" w:firstLineChars="200"/>
        <w:textAlignment w:val="auto"/>
        <w:rPr>
          <w:rFonts w:hint="eastAsia" w:ascii="Times New Roman" w:hAnsi="Times New Roman" w:eastAsia="仿宋_GB2312"/>
          <w:color w:val="auto"/>
          <w:sz w:val="32"/>
          <w:szCs w:val="32"/>
          <w:lang w:val="en-US" w:eastAsia="zh-CN"/>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年度机关运行经费支出</w:t>
      </w:r>
      <w:r>
        <w:rPr>
          <w:rFonts w:hint="eastAsia" w:ascii="Times New Roman" w:hAnsi="Times New Roman" w:eastAsia="仿宋_GB2312"/>
          <w:sz w:val="32"/>
          <w:szCs w:val="32"/>
          <w:lang w:val="en-US" w:eastAsia="zh-CN"/>
        </w:rPr>
        <w:t>49.98</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比</w:t>
      </w:r>
      <w:r>
        <w:rPr>
          <w:rFonts w:hint="eastAsia" w:ascii="Times New Roman" w:hAnsi="Times New Roman" w:eastAsia="仿宋_GB2312"/>
          <w:color w:val="auto"/>
          <w:sz w:val="32"/>
          <w:szCs w:val="32"/>
          <w:lang w:val="en-US" w:eastAsia="zh-CN"/>
        </w:rPr>
        <w:t>年初预算</w:t>
      </w:r>
      <w:r>
        <w:rPr>
          <w:rFonts w:hint="eastAsia" w:ascii="Times New Roman" w:hAnsi="Times New Roman" w:eastAsia="仿宋_GB2312"/>
          <w:sz w:val="32"/>
          <w:szCs w:val="32"/>
        </w:rPr>
        <w:t>数</w:t>
      </w:r>
      <w:r>
        <w:rPr>
          <w:rFonts w:hint="eastAsia" w:ascii="Times New Roman" w:hAnsi="Times New Roman" w:eastAsia="仿宋_GB2312"/>
          <w:sz w:val="32"/>
          <w:szCs w:val="32"/>
          <w:lang w:val="en-US" w:eastAsia="zh-CN"/>
        </w:rPr>
        <w:t>减少0.02</w:t>
      </w:r>
      <w:r>
        <w:rPr>
          <w:rFonts w:hint="eastAsia" w:ascii="Times New Roman" w:hAnsi="Times New Roman" w:eastAsia="仿宋_GB2312"/>
          <w:sz w:val="32"/>
          <w:szCs w:val="32"/>
        </w:rPr>
        <w:t xml:space="preserve"> 万元，</w:t>
      </w:r>
      <w:r>
        <w:rPr>
          <w:rFonts w:hint="eastAsia" w:ascii="Times New Roman" w:hAnsi="Times New Roman" w:eastAsia="仿宋_GB2312"/>
          <w:sz w:val="32"/>
          <w:szCs w:val="32"/>
          <w:lang w:val="en-US" w:eastAsia="zh-CN"/>
        </w:rPr>
        <w:t>减少0.04</w:t>
      </w:r>
      <w:r>
        <w:rPr>
          <w:rFonts w:hint="eastAsia" w:ascii="Times New Roman" w:hAnsi="Times New Roman" w:eastAsia="仿宋_GB2312"/>
          <w:sz w:val="32"/>
          <w:szCs w:val="32"/>
        </w:rPr>
        <w:t>%。</w:t>
      </w:r>
      <w:r>
        <w:rPr>
          <w:rFonts w:hint="eastAsia" w:ascii="Times New Roman" w:hAnsi="Times New Roman" w:eastAsia="仿宋_GB2312"/>
          <w:color w:val="auto"/>
          <w:sz w:val="32"/>
          <w:szCs w:val="32"/>
        </w:rPr>
        <w:t>主要原因是</w:t>
      </w:r>
      <w:r>
        <w:rPr>
          <w:rFonts w:hint="eastAsia" w:ascii="仿宋" w:hAnsi="仿宋" w:eastAsia="仿宋" w:cs="仿宋"/>
          <w:sz w:val="32"/>
          <w:szCs w:val="32"/>
          <w:lang w:eastAsia="zh-CN"/>
        </w:rPr>
        <w:t>厉行</w:t>
      </w:r>
      <w:r>
        <w:rPr>
          <w:rFonts w:hint="eastAsia" w:ascii="Times New Roman" w:hAnsi="Times New Roman" w:eastAsia="仿宋_GB2312"/>
          <w:sz w:val="32"/>
          <w:szCs w:val="32"/>
          <w:lang w:val="en-US" w:eastAsia="zh-CN"/>
        </w:rPr>
        <w:t>节约，机关运行经费严格控制在预算范围内</w:t>
      </w:r>
      <w:r>
        <w:rPr>
          <w:rFonts w:hint="eastAsia" w:ascii="Times New Roman" w:hAnsi="Times New Roman" w:eastAsia="仿宋_GB2312"/>
          <w:color w:val="auto"/>
          <w:sz w:val="32"/>
          <w:szCs w:val="32"/>
          <w:lang w:eastAsia="zh-CN"/>
        </w:rPr>
        <w:t>。</w:t>
      </w:r>
      <w:r>
        <w:rPr>
          <w:rFonts w:hint="eastAsia" w:ascii="Times New Roman" w:hAnsi="Times New Roman" w:eastAsia="仿宋_GB2312"/>
          <w:color w:val="auto"/>
          <w:sz w:val="32"/>
          <w:szCs w:val="32"/>
          <w:lang w:val="en-US" w:eastAsia="zh-CN"/>
        </w:rPr>
        <w:t xml:space="preserve"> </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十、一般性支出情况说明</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sz w:val="32"/>
          <w:szCs w:val="32"/>
          <w:lang w:eastAsia="zh-CN"/>
        </w:rPr>
      </w:pP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年本部门开支会议费</w:t>
      </w:r>
      <w:r>
        <w:rPr>
          <w:rFonts w:hint="eastAsia" w:ascii="Times New Roman" w:hAnsi="Times New Roman" w:eastAsia="仿宋_GB2312"/>
          <w:sz w:val="32"/>
          <w:szCs w:val="32"/>
          <w:lang w:val="en-US" w:eastAsia="zh-CN"/>
        </w:rPr>
        <w:t>4.40</w:t>
      </w:r>
      <w:r>
        <w:rPr>
          <w:rFonts w:hint="eastAsia" w:ascii="Times New Roman" w:hAnsi="Times New Roman" w:eastAsia="仿宋_GB2312"/>
          <w:sz w:val="32"/>
          <w:szCs w:val="32"/>
        </w:rPr>
        <w:t>万元，用于召开2023年全省绿色食品工作会议，人数</w:t>
      </w:r>
      <w:r>
        <w:rPr>
          <w:rFonts w:hint="eastAsia" w:ascii="Times New Roman" w:hAnsi="Times New Roman" w:eastAsia="仿宋_GB2312"/>
          <w:sz w:val="32"/>
          <w:szCs w:val="32"/>
          <w:lang w:val="en-US" w:eastAsia="zh-CN"/>
        </w:rPr>
        <w:t>65</w:t>
      </w:r>
      <w:r>
        <w:rPr>
          <w:rFonts w:hint="eastAsia" w:ascii="Times New Roman" w:hAnsi="Times New Roman" w:eastAsia="仿宋_GB2312"/>
          <w:sz w:val="32"/>
          <w:szCs w:val="32"/>
        </w:rPr>
        <w:t>人，内容为2023年全省绿色食品工作座谈；开支培训费</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w:t>
      </w:r>
      <w:r>
        <w:rPr>
          <w:rFonts w:hint="eastAsia" w:ascii="Times New Roman" w:hAnsi="Times New Roman" w:eastAsia="仿宋_GB2312"/>
          <w:sz w:val="32"/>
          <w:szCs w:val="32"/>
          <w:lang w:val="en-US" w:eastAsia="zh-CN"/>
        </w:rPr>
        <w:t>未</w:t>
      </w:r>
      <w:r>
        <w:rPr>
          <w:rFonts w:hint="eastAsia" w:ascii="Times New Roman" w:hAnsi="Times New Roman" w:eastAsia="仿宋_GB2312"/>
          <w:sz w:val="32"/>
          <w:szCs w:val="32"/>
        </w:rPr>
        <w:t>举办节庆、晚会、论坛、赛事活动</w:t>
      </w:r>
      <w:r>
        <w:rPr>
          <w:rFonts w:hint="eastAsia" w:ascii="Times New Roman" w:hAnsi="Times New Roman" w:eastAsia="仿宋_GB2312"/>
          <w:sz w:val="32"/>
          <w:szCs w:val="32"/>
          <w:lang w:eastAsia="zh-CN"/>
        </w:rPr>
        <w:t>。</w:t>
      </w:r>
    </w:p>
    <w:p>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十一、关于政府采购支出说明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rPr>
      </w:pPr>
      <w:r>
        <w:rPr>
          <w:rFonts w:hint="eastAsia" w:ascii="Times New Roman" w:hAnsi="Times New Roman" w:eastAsia="仿宋_GB2312"/>
          <w:sz w:val="32"/>
          <w:szCs w:val="32"/>
        </w:rPr>
        <w:t>本部门202</w:t>
      </w:r>
      <w:r>
        <w:rPr>
          <w:rFonts w:hint="eastAsia" w:ascii="Times New Roman" w:hAnsi="Times New Roman" w:eastAsia="仿宋_GB2312"/>
          <w:sz w:val="32"/>
          <w:szCs w:val="32"/>
          <w:lang w:val="en-US" w:eastAsia="zh-CN"/>
        </w:rPr>
        <w:t>3</w:t>
      </w:r>
      <w:r>
        <w:rPr>
          <w:rFonts w:hint="eastAsia" w:ascii="Times New Roman" w:hAnsi="Times New Roman" w:eastAsia="仿宋_GB2312"/>
          <w:sz w:val="32"/>
          <w:szCs w:val="32"/>
        </w:rPr>
        <w:t>年度政府采购支出总额</w:t>
      </w:r>
      <w:r>
        <w:rPr>
          <w:rFonts w:hint="eastAsia" w:ascii="Times New Roman" w:hAnsi="Times New Roman" w:eastAsia="仿宋_GB2312"/>
          <w:sz w:val="32"/>
          <w:szCs w:val="32"/>
          <w:lang w:val="en-US" w:eastAsia="zh-CN"/>
        </w:rPr>
        <w:t>174.80</w:t>
      </w:r>
      <w:r>
        <w:rPr>
          <w:rFonts w:hint="eastAsia" w:ascii="Times New Roman" w:hAnsi="Times New Roman" w:eastAsia="仿宋_GB2312"/>
          <w:sz w:val="32"/>
          <w:szCs w:val="32"/>
        </w:rPr>
        <w:t>万元，其中：政府采购货物支出</w:t>
      </w:r>
      <w:r>
        <w:rPr>
          <w:rFonts w:hint="eastAsia" w:ascii="Times New Roman" w:hAnsi="Times New Roman" w:eastAsia="仿宋_GB2312"/>
          <w:sz w:val="32"/>
          <w:szCs w:val="32"/>
          <w:lang w:val="en-US" w:eastAsia="zh-CN"/>
        </w:rPr>
        <w:t>4.58</w:t>
      </w:r>
      <w:r>
        <w:rPr>
          <w:rFonts w:hint="eastAsia" w:ascii="Times New Roman" w:hAnsi="Times New Roman" w:eastAsia="仿宋_GB2312"/>
          <w:sz w:val="32"/>
          <w:szCs w:val="32"/>
        </w:rPr>
        <w:t>万元、政府采购工程支出</w:t>
      </w:r>
      <w:r>
        <w:rPr>
          <w:rFonts w:hint="eastAsia" w:ascii="Times New Roman" w:hAnsi="Times New Roman" w:eastAsia="仿宋_GB2312"/>
          <w:sz w:val="32"/>
          <w:szCs w:val="32"/>
          <w:lang w:val="en-US" w:eastAsia="zh-CN"/>
        </w:rPr>
        <w:t>0</w:t>
      </w:r>
      <w:r>
        <w:rPr>
          <w:rFonts w:hint="eastAsia" w:ascii="Times New Roman" w:hAnsi="Times New Roman" w:eastAsia="仿宋_GB2312"/>
          <w:sz w:val="32"/>
          <w:szCs w:val="32"/>
        </w:rPr>
        <w:t>万元、政府采购服务支出</w:t>
      </w:r>
      <w:r>
        <w:rPr>
          <w:rFonts w:hint="eastAsia" w:ascii="Times New Roman" w:hAnsi="Times New Roman" w:eastAsia="仿宋_GB2312"/>
          <w:sz w:val="32"/>
          <w:szCs w:val="32"/>
          <w:lang w:val="en-US" w:eastAsia="zh-CN"/>
        </w:rPr>
        <w:t>170.22</w:t>
      </w:r>
      <w:r>
        <w:rPr>
          <w:rFonts w:hint="eastAsia" w:ascii="Times New Roman" w:hAnsi="Times New Roman" w:eastAsia="仿宋_GB2312"/>
          <w:sz w:val="32"/>
          <w:szCs w:val="32"/>
        </w:rPr>
        <w:t>万元。授予中小企业合同金额</w:t>
      </w:r>
      <w:r>
        <w:rPr>
          <w:rFonts w:hint="eastAsia" w:ascii="Times New Roman" w:hAnsi="Times New Roman" w:eastAsia="仿宋_GB2312"/>
          <w:sz w:val="32"/>
          <w:szCs w:val="32"/>
          <w:lang w:val="en-US" w:eastAsia="zh-CN"/>
        </w:rPr>
        <w:t>92.81</w:t>
      </w:r>
      <w:r>
        <w:rPr>
          <w:rFonts w:hint="eastAsia" w:ascii="Times New Roman" w:hAnsi="Times New Roman" w:eastAsia="仿宋_GB2312"/>
          <w:sz w:val="32"/>
          <w:szCs w:val="32"/>
        </w:rPr>
        <w:t>万元，占政府采购支出总额的</w:t>
      </w:r>
      <w:r>
        <w:rPr>
          <w:rFonts w:hint="eastAsia" w:ascii="Times New Roman" w:hAnsi="Times New Roman" w:eastAsia="仿宋_GB2312"/>
          <w:sz w:val="32"/>
          <w:szCs w:val="32"/>
          <w:lang w:val="en-US" w:eastAsia="zh-CN"/>
        </w:rPr>
        <w:t>92.81</w:t>
      </w:r>
      <w:r>
        <w:rPr>
          <w:rFonts w:hint="eastAsia" w:ascii="Times New Roman" w:hAnsi="Times New Roman" w:eastAsia="仿宋_GB2312"/>
          <w:sz w:val="32"/>
          <w:szCs w:val="32"/>
        </w:rPr>
        <w:t>%，其中：授予小微企业合同金额</w:t>
      </w:r>
      <w:r>
        <w:rPr>
          <w:rFonts w:hint="eastAsia" w:ascii="Times New Roman" w:hAnsi="Times New Roman" w:eastAsia="仿宋_GB2312"/>
          <w:sz w:val="32"/>
          <w:szCs w:val="32"/>
          <w:lang w:val="en-US" w:eastAsia="zh-CN"/>
        </w:rPr>
        <w:t>86.34</w:t>
      </w:r>
      <w:r>
        <w:rPr>
          <w:rFonts w:hint="eastAsia" w:ascii="Times New Roman" w:hAnsi="Times New Roman" w:eastAsia="仿宋_GB2312"/>
          <w:sz w:val="32"/>
          <w:szCs w:val="32"/>
        </w:rPr>
        <w:t>万元，</w:t>
      </w:r>
      <w:r>
        <w:rPr>
          <w:rFonts w:hint="eastAsia" w:ascii="Times New Roman" w:hAnsi="Times New Roman" w:eastAsia="仿宋_GB2312"/>
          <w:color w:val="auto"/>
          <w:sz w:val="32"/>
          <w:szCs w:val="32"/>
        </w:rPr>
        <w:t>占</w:t>
      </w:r>
      <w:r>
        <w:rPr>
          <w:rFonts w:hint="eastAsia" w:ascii="Times New Roman" w:hAnsi="Times New Roman" w:eastAsia="仿宋_GB2312"/>
          <w:color w:val="auto"/>
          <w:sz w:val="32"/>
          <w:szCs w:val="32"/>
          <w:lang w:eastAsia="zh-CN"/>
        </w:rPr>
        <w:t>授予中小企业合同金额</w:t>
      </w:r>
      <w:r>
        <w:rPr>
          <w:rFonts w:hint="eastAsia" w:ascii="Times New Roman" w:hAnsi="Times New Roman" w:eastAsia="仿宋_GB2312"/>
          <w:color w:val="auto"/>
          <w:sz w:val="32"/>
          <w:szCs w:val="32"/>
        </w:rPr>
        <w:t>的</w:t>
      </w:r>
      <w:r>
        <w:rPr>
          <w:rFonts w:hint="eastAsia" w:ascii="Times New Roman" w:hAnsi="Times New Roman" w:eastAsia="仿宋_GB2312"/>
          <w:color w:val="auto"/>
          <w:sz w:val="32"/>
          <w:szCs w:val="32"/>
          <w:lang w:val="en-US" w:eastAsia="zh-CN"/>
        </w:rPr>
        <w:t>93.03</w:t>
      </w:r>
      <w:r>
        <w:rPr>
          <w:rFonts w:hint="eastAsia" w:ascii="Times New Roman" w:hAnsi="Times New Roman" w:eastAsia="仿宋_GB2312"/>
          <w:color w:val="auto"/>
          <w:sz w:val="32"/>
          <w:szCs w:val="32"/>
        </w:rPr>
        <w:t>%。货物采购授予中小企业合同金额占货物支出金额的</w:t>
      </w:r>
      <w:r>
        <w:rPr>
          <w:rFonts w:hint="eastAsia" w:ascii="Times New Roman" w:hAnsi="Times New Roman" w:eastAsia="仿宋_GB2312"/>
          <w:color w:val="auto"/>
          <w:sz w:val="32"/>
          <w:szCs w:val="32"/>
          <w:lang w:val="en-US" w:eastAsia="zh-CN"/>
        </w:rPr>
        <w:t>100</w:t>
      </w:r>
      <w:r>
        <w:rPr>
          <w:rFonts w:hint="eastAsia" w:ascii="Times New Roman" w:hAnsi="Times New Roman" w:eastAsia="仿宋_GB2312"/>
          <w:color w:val="auto"/>
          <w:sz w:val="32"/>
          <w:szCs w:val="32"/>
        </w:rPr>
        <w:t>%，服务采购授予中小企业合同金额占服务支出金额的</w:t>
      </w:r>
      <w:r>
        <w:rPr>
          <w:rFonts w:hint="eastAsia" w:ascii="Times New Roman" w:hAnsi="Times New Roman" w:eastAsia="仿宋_GB2312"/>
          <w:color w:val="auto"/>
          <w:sz w:val="32"/>
          <w:szCs w:val="32"/>
          <w:lang w:val="en-US" w:eastAsia="zh-CN"/>
        </w:rPr>
        <w:t>51.83</w:t>
      </w:r>
      <w:r>
        <w:rPr>
          <w:rFonts w:hint="eastAsia" w:ascii="Times New Roman" w:hAnsi="Times New Roman" w:eastAsia="仿宋_GB2312"/>
          <w:color w:val="auto"/>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十二、关于国有资产占用情况说明</w:t>
      </w:r>
    </w:p>
    <w:p>
      <w:pPr>
        <w:pStyle w:val="14"/>
        <w:keepNext w:val="0"/>
        <w:keepLines w:val="0"/>
        <w:pageBreakBefore w:val="0"/>
        <w:kinsoku/>
        <w:wordWrap/>
        <w:overflowPunct/>
        <w:topLinePunct w:val="0"/>
        <w:bidi w:val="0"/>
        <w:snapToGrid/>
        <w:spacing w:line="580" w:lineRule="exact"/>
        <w:ind w:firstLine="640" w:firstLineChars="200"/>
        <w:textAlignment w:val="auto"/>
        <w:rPr>
          <w:rFonts w:hint="eastAsia" w:ascii="仿宋" w:hAnsi="仿宋" w:eastAsia="仿宋" w:cs="仿宋"/>
          <w:sz w:val="32"/>
          <w:szCs w:val="32"/>
        </w:rPr>
      </w:pPr>
      <w:r>
        <w:rPr>
          <w:rFonts w:hint="eastAsia" w:ascii="Times New Roman" w:hAnsi="Times New Roman" w:eastAsia="仿宋_GB2312"/>
          <w:color w:val="auto"/>
          <w:sz w:val="32"/>
          <w:szCs w:val="32"/>
        </w:rPr>
        <w:t>截至202</w:t>
      </w:r>
      <w:r>
        <w:rPr>
          <w:rFonts w:hint="eastAsia" w:ascii="Times New Roman" w:hAnsi="Times New Roman" w:eastAsia="仿宋_GB2312"/>
          <w:color w:val="auto"/>
          <w:sz w:val="32"/>
          <w:szCs w:val="32"/>
          <w:lang w:val="en-US" w:eastAsia="zh-CN"/>
        </w:rPr>
        <w:t>3</w:t>
      </w:r>
      <w:r>
        <w:rPr>
          <w:rFonts w:hint="eastAsia" w:ascii="Times New Roman" w:hAnsi="Times New Roman" w:eastAsia="仿宋_GB2312"/>
          <w:color w:val="auto"/>
          <w:sz w:val="32"/>
          <w:szCs w:val="32"/>
        </w:rPr>
        <w:t>年12月31日，</w:t>
      </w:r>
      <w:r>
        <w:rPr>
          <w:rFonts w:hint="eastAsia" w:ascii="Times New Roman" w:hAnsi="Times New Roman" w:eastAsia="仿宋_GB2312"/>
          <w:color w:val="auto"/>
          <w:sz w:val="32"/>
          <w:szCs w:val="32"/>
          <w:lang w:eastAsia="zh-CN"/>
        </w:rPr>
        <w:t>单位</w:t>
      </w:r>
      <w:r>
        <w:rPr>
          <w:rFonts w:hint="eastAsia" w:ascii="仿宋" w:hAnsi="仿宋" w:eastAsia="仿宋" w:cs="仿宋"/>
          <w:sz w:val="32"/>
          <w:szCs w:val="32"/>
        </w:rPr>
        <w:t>共有车辆</w:t>
      </w:r>
      <w:r>
        <w:rPr>
          <w:rFonts w:hint="eastAsia" w:ascii="仿宋" w:hAnsi="仿宋" w:eastAsia="仿宋" w:cs="仿宋"/>
          <w:sz w:val="32"/>
          <w:szCs w:val="32"/>
          <w:lang w:val="en-US" w:eastAsia="zh-CN"/>
        </w:rPr>
        <w:t>0</w:t>
      </w:r>
      <w:r>
        <w:rPr>
          <w:rFonts w:hint="eastAsia" w:ascii="仿宋" w:hAnsi="仿宋" w:eastAsia="仿宋" w:cs="仿宋"/>
          <w:sz w:val="32"/>
          <w:szCs w:val="32"/>
        </w:rPr>
        <w:t>辆，其中，主要领导干部用车</w:t>
      </w:r>
      <w:r>
        <w:rPr>
          <w:rFonts w:hint="eastAsia" w:ascii="仿宋" w:hAnsi="仿宋" w:eastAsia="仿宋" w:cs="仿宋"/>
          <w:sz w:val="32"/>
          <w:szCs w:val="32"/>
          <w:lang w:val="en-US" w:eastAsia="zh-CN"/>
        </w:rPr>
        <w:t>0</w:t>
      </w:r>
      <w:r>
        <w:rPr>
          <w:rFonts w:hint="eastAsia" w:ascii="仿宋" w:hAnsi="仿宋" w:eastAsia="仿宋" w:cs="仿宋"/>
          <w:sz w:val="32"/>
          <w:szCs w:val="32"/>
        </w:rPr>
        <w:t>辆，机要通信用车</w:t>
      </w:r>
      <w:r>
        <w:rPr>
          <w:rFonts w:hint="eastAsia" w:ascii="仿宋" w:hAnsi="仿宋" w:eastAsia="仿宋" w:cs="仿宋"/>
          <w:sz w:val="32"/>
          <w:szCs w:val="32"/>
          <w:lang w:val="en-US" w:eastAsia="zh-CN"/>
        </w:rPr>
        <w:t>0</w:t>
      </w:r>
      <w:r>
        <w:rPr>
          <w:rFonts w:hint="eastAsia" w:ascii="仿宋" w:hAnsi="仿宋" w:eastAsia="仿宋" w:cs="仿宋"/>
          <w:sz w:val="32"/>
          <w:szCs w:val="32"/>
        </w:rPr>
        <w:t>辆、应急保障用车</w:t>
      </w:r>
      <w:r>
        <w:rPr>
          <w:rFonts w:hint="eastAsia" w:ascii="仿宋" w:hAnsi="仿宋" w:eastAsia="仿宋" w:cs="仿宋"/>
          <w:sz w:val="32"/>
          <w:szCs w:val="32"/>
          <w:lang w:val="en-US" w:eastAsia="zh-CN"/>
        </w:rPr>
        <w:t>0</w:t>
      </w:r>
      <w:r>
        <w:rPr>
          <w:rFonts w:hint="eastAsia" w:ascii="仿宋" w:hAnsi="仿宋" w:eastAsia="仿宋" w:cs="仿宋"/>
          <w:sz w:val="32"/>
          <w:szCs w:val="32"/>
        </w:rPr>
        <w:t>辆、执法执勤用车</w:t>
      </w:r>
      <w:r>
        <w:rPr>
          <w:rFonts w:hint="eastAsia" w:ascii="仿宋" w:hAnsi="仿宋" w:eastAsia="仿宋" w:cs="仿宋"/>
          <w:sz w:val="32"/>
          <w:szCs w:val="32"/>
          <w:lang w:val="en-US" w:eastAsia="zh-CN"/>
        </w:rPr>
        <w:t>0</w:t>
      </w:r>
      <w:r>
        <w:rPr>
          <w:rFonts w:hint="eastAsia" w:ascii="仿宋" w:hAnsi="仿宋" w:eastAsia="仿宋" w:cs="仿宋"/>
          <w:sz w:val="32"/>
          <w:szCs w:val="32"/>
        </w:rPr>
        <w:t>辆、特种专业技术用车</w:t>
      </w:r>
      <w:r>
        <w:rPr>
          <w:rFonts w:hint="eastAsia" w:ascii="仿宋" w:hAnsi="仿宋" w:eastAsia="仿宋" w:cs="仿宋"/>
          <w:sz w:val="32"/>
          <w:szCs w:val="32"/>
          <w:lang w:val="en-US" w:eastAsia="zh-CN"/>
        </w:rPr>
        <w:t>0</w:t>
      </w:r>
      <w:r>
        <w:rPr>
          <w:rFonts w:hint="eastAsia" w:ascii="仿宋" w:hAnsi="仿宋" w:eastAsia="仿宋" w:cs="仿宋"/>
          <w:sz w:val="32"/>
          <w:szCs w:val="32"/>
        </w:rPr>
        <w:t>辆、其他用车</w:t>
      </w:r>
      <w:r>
        <w:rPr>
          <w:rFonts w:hint="eastAsia" w:ascii="仿宋" w:hAnsi="仿宋" w:eastAsia="仿宋" w:cs="仿宋"/>
          <w:sz w:val="32"/>
          <w:szCs w:val="32"/>
          <w:lang w:val="en-US" w:eastAsia="zh-CN"/>
        </w:rPr>
        <w:t>0</w:t>
      </w:r>
      <w:r>
        <w:rPr>
          <w:rFonts w:hint="eastAsia" w:ascii="仿宋" w:hAnsi="仿宋" w:eastAsia="仿宋" w:cs="仿宋"/>
          <w:sz w:val="32"/>
          <w:szCs w:val="32"/>
        </w:rPr>
        <w:t>辆</w:t>
      </w:r>
      <w:r>
        <w:rPr>
          <w:rFonts w:hint="eastAsia" w:ascii="仿宋" w:hAnsi="仿宋" w:eastAsia="仿宋" w:cs="仿宋"/>
          <w:sz w:val="32"/>
          <w:szCs w:val="32"/>
          <w:lang w:val="en-US" w:eastAsia="zh-CN"/>
        </w:rPr>
        <w:t>0</w:t>
      </w:r>
      <w:r>
        <w:rPr>
          <w:rFonts w:hint="eastAsia" w:ascii="仿宋" w:hAnsi="仿宋" w:eastAsia="仿宋" w:cs="仿宋"/>
          <w:sz w:val="32"/>
          <w:szCs w:val="32"/>
        </w:rPr>
        <w:t>；单位价值100万元以上专用设备</w:t>
      </w:r>
      <w:r>
        <w:rPr>
          <w:rFonts w:hint="eastAsia" w:ascii="仿宋" w:hAnsi="仿宋" w:eastAsia="仿宋" w:cs="仿宋"/>
          <w:sz w:val="32"/>
          <w:szCs w:val="32"/>
          <w:lang w:val="en-US" w:eastAsia="zh-CN"/>
        </w:rPr>
        <w:t>0</w:t>
      </w:r>
      <w:r>
        <w:rPr>
          <w:rFonts w:hint="eastAsia" w:ascii="仿宋" w:hAnsi="仿宋" w:eastAsia="仿宋" w:cs="仿宋"/>
          <w:sz w:val="32"/>
          <w:szCs w:val="32"/>
        </w:rPr>
        <w:t>台（套）。</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十三、关于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Times New Roman" w:hAnsi="Times New Roman" w:eastAsia="仿宋_GB2312"/>
          <w:color w:val="auto"/>
          <w:sz w:val="32"/>
          <w:szCs w:val="32"/>
          <w:lang w:eastAsia="zh-CN"/>
        </w:rPr>
      </w:pPr>
      <w:r>
        <w:rPr>
          <w:rFonts w:hint="eastAsia" w:ascii="Times New Roman" w:hAnsi="Times New Roman" w:eastAsia="仿宋_GB2312"/>
          <w:color w:val="auto"/>
          <w:sz w:val="32"/>
          <w:szCs w:val="32"/>
          <w:lang w:eastAsia="zh-CN"/>
        </w:rPr>
        <w:t>为加强财政支出预算绩效管理，提高财政资源配置效率和资金使用效益，根据《中共中央国务院关于全面实施预算绩效管理的意见》（中发〔2018〕34 号）、《中共湖南省委办公厅 湖南省人民政府办公厅关于全面实施预算绩效管理的实施意见》（湘办发〔2019〕10 号）和《湖南省财政厅关于印发湖南省预算支出绩效评价管理办法的通知》（湘财绩〔2020〕7号）等有关规定，按照省财政厅《关于开展2023 年度省级预算部门绩效自评和部门评价的通知》（湘财绩〔2024〕1号）要求，我</w:t>
      </w:r>
      <w:r>
        <w:rPr>
          <w:rFonts w:hint="eastAsia" w:ascii="Times New Roman" w:hAnsi="Times New Roman" w:eastAsia="仿宋_GB2312"/>
          <w:color w:val="auto"/>
          <w:sz w:val="32"/>
          <w:szCs w:val="32"/>
          <w:lang w:val="en-US" w:eastAsia="zh-CN"/>
        </w:rPr>
        <w:t>办</w:t>
      </w:r>
      <w:r>
        <w:rPr>
          <w:rFonts w:hint="eastAsia" w:ascii="Times New Roman" w:hAnsi="Times New Roman" w:eastAsia="仿宋_GB2312"/>
          <w:color w:val="auto"/>
          <w:sz w:val="32"/>
          <w:szCs w:val="32"/>
          <w:lang w:eastAsia="zh-CN"/>
        </w:rPr>
        <w:t>于2024年</w:t>
      </w:r>
      <w:r>
        <w:rPr>
          <w:rFonts w:hint="eastAsia" w:ascii="Times New Roman" w:hAnsi="Times New Roman" w:eastAsia="仿宋_GB2312"/>
          <w:color w:val="auto"/>
          <w:sz w:val="32"/>
          <w:szCs w:val="32"/>
          <w:lang w:val="en-US" w:eastAsia="zh-CN"/>
        </w:rPr>
        <w:t>4</w:t>
      </w:r>
      <w:r>
        <w:rPr>
          <w:rFonts w:hint="eastAsia" w:ascii="Times New Roman" w:hAnsi="Times New Roman" w:eastAsia="仿宋_GB2312"/>
          <w:color w:val="auto"/>
          <w:sz w:val="32"/>
          <w:szCs w:val="32"/>
          <w:lang w:eastAsia="zh-CN"/>
        </w:rPr>
        <w:t>月对 2023 年整体支出实施了预算绩效自评。</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（二）单位</w:t>
      </w:r>
      <w:bookmarkStart w:id="3" w:name="_GoBack"/>
      <w:bookmarkEnd w:id="3"/>
      <w:r>
        <w:rPr>
          <w:rFonts w:hint="eastAsia" w:ascii="楷体" w:hAnsi="楷体" w:eastAsia="楷体" w:cs="楷体"/>
          <w:b/>
          <w:bCs/>
          <w:sz w:val="32"/>
          <w:szCs w:val="32"/>
        </w:rPr>
        <w:t>整体支出绩效情况</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根据省绿办的工作职责及资金总量情况，我们设定2023年度的总体目标是：加快绿色优质农产品发展，至2023年底全省绿色有机地标农产品3800个以上，产品综合抽检合格率9</w:t>
      </w:r>
      <w:r>
        <w:rPr>
          <w:rFonts w:hint="eastAsia" w:ascii="仿宋" w:hAnsi="仿宋" w:eastAsia="仿宋"/>
          <w:sz w:val="32"/>
          <w:szCs w:val="32"/>
          <w:lang w:val="en-US" w:eastAsia="zh-CN"/>
        </w:rPr>
        <w:t>7</w:t>
      </w:r>
      <w:r>
        <w:rPr>
          <w:rFonts w:hint="eastAsia" w:ascii="仿宋" w:hAnsi="仿宋" w:eastAsia="仿宋"/>
          <w:sz w:val="32"/>
          <w:szCs w:val="32"/>
        </w:rPr>
        <w:t>%以上。</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我办围绕促进农业绿色发展，全面提升绿色有机地标农产品产业规模和产业水平的工作目标</w:t>
      </w:r>
      <w:r>
        <w:rPr>
          <w:rFonts w:ascii="仿宋" w:hAnsi="仿宋" w:eastAsia="仿宋"/>
          <w:sz w:val="32"/>
          <w:szCs w:val="32"/>
        </w:rPr>
        <w:t>，</w:t>
      </w:r>
      <w:r>
        <w:rPr>
          <w:rFonts w:hint="eastAsia" w:ascii="仿宋" w:hAnsi="仿宋" w:eastAsia="仿宋"/>
          <w:sz w:val="32"/>
          <w:szCs w:val="32"/>
        </w:rPr>
        <w:t>较好地运用部门整体支出资金，精心组织和督促落实各项工作和目标任务完成，有力地推动了全省绿色优质农产品发展，实现了速度、质量、效益的同步增长，为提高全省农产品质量安全水平，树立湖南农产品品牌形象，促进农民增收起到了积极的作用。</w:t>
      </w:r>
      <w:r>
        <w:rPr>
          <w:rFonts w:hint="eastAsia" w:ascii="仿宋" w:hAnsi="仿宋" w:eastAsia="仿宋"/>
          <w:bCs/>
          <w:sz w:val="32"/>
          <w:szCs w:val="32"/>
        </w:rPr>
        <w:t>至</w:t>
      </w:r>
      <w:r>
        <w:rPr>
          <w:rFonts w:ascii="仿宋" w:hAnsi="仿宋" w:eastAsia="仿宋"/>
          <w:sz w:val="32"/>
          <w:szCs w:val="32"/>
        </w:rPr>
        <w:t>20</w:t>
      </w:r>
      <w:r>
        <w:rPr>
          <w:rFonts w:hint="eastAsia" w:ascii="仿宋" w:hAnsi="仿宋" w:eastAsia="仿宋"/>
          <w:sz w:val="32"/>
          <w:szCs w:val="32"/>
        </w:rPr>
        <w:t>23年底，全省</w:t>
      </w:r>
      <w:r>
        <w:rPr>
          <w:rFonts w:ascii="仿宋" w:hAnsi="仿宋" w:eastAsia="仿宋"/>
          <w:sz w:val="32"/>
          <w:szCs w:val="32"/>
        </w:rPr>
        <w:t>“</w:t>
      </w:r>
      <w:r>
        <w:rPr>
          <w:rFonts w:hint="eastAsia" w:ascii="仿宋" w:hAnsi="仿宋" w:eastAsia="仿宋"/>
          <w:sz w:val="32"/>
          <w:szCs w:val="32"/>
        </w:rPr>
        <w:t>绿色食品、有机食品、地理标志农产品</w:t>
      </w:r>
      <w:r>
        <w:rPr>
          <w:rFonts w:ascii="仿宋" w:hAnsi="仿宋" w:eastAsia="仿宋"/>
          <w:sz w:val="32"/>
          <w:szCs w:val="32"/>
        </w:rPr>
        <w:t>”</w:t>
      </w:r>
      <w:r>
        <w:rPr>
          <w:rFonts w:hint="eastAsia" w:ascii="仿宋" w:hAnsi="仿宋" w:eastAsia="仿宋"/>
          <w:sz w:val="32"/>
          <w:szCs w:val="32"/>
        </w:rPr>
        <w:t>有效认证总数达3995个，比上年增长5.6%，其中绿色食品3571个，稳居国第四位，有机食品296个，居全国第三位，农产品地理标志登记128个。</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全年“三品一标”新获证产品1650个，完成年初工作目标1500个任务的</w:t>
      </w:r>
      <w:r>
        <w:rPr>
          <w:rFonts w:hint="eastAsia" w:ascii="仿宋" w:hAnsi="仿宋" w:eastAsia="仿宋"/>
          <w:sz w:val="32"/>
          <w:szCs w:val="32"/>
          <w:lang w:val="en-US" w:eastAsia="zh-CN"/>
        </w:rPr>
        <w:t>110</w:t>
      </w:r>
      <w:r>
        <w:rPr>
          <w:rFonts w:ascii="仿宋" w:hAnsi="仿宋" w:eastAsia="仿宋"/>
          <w:sz w:val="32"/>
          <w:szCs w:val="32"/>
        </w:rPr>
        <w:t>%</w:t>
      </w:r>
      <w:r>
        <w:rPr>
          <w:rFonts w:hint="eastAsia" w:ascii="仿宋" w:hAnsi="仿宋" w:eastAsia="仿宋"/>
          <w:sz w:val="32"/>
          <w:szCs w:val="32"/>
        </w:rPr>
        <w:t>。</w:t>
      </w:r>
    </w:p>
    <w:p>
      <w:pPr>
        <w:spacing w:line="640" w:lineRule="exact"/>
        <w:ind w:firstLine="640" w:firstLineChars="200"/>
        <w:rPr>
          <w:rFonts w:ascii="仿宋" w:hAnsi="仿宋" w:eastAsia="仿宋"/>
          <w:sz w:val="32"/>
          <w:szCs w:val="32"/>
        </w:rPr>
      </w:pPr>
      <w:r>
        <w:rPr>
          <w:rFonts w:hint="eastAsia" w:ascii="仿宋" w:hAnsi="仿宋" w:eastAsia="仿宋"/>
          <w:sz w:val="32"/>
          <w:szCs w:val="32"/>
        </w:rPr>
        <w:t>绿色有机地标农产品产业得到持续健康发展，绿色优质农产品总产值287.4亿元（绿色、有机），比上年增长</w:t>
      </w:r>
      <w:r>
        <w:rPr>
          <w:rFonts w:hint="eastAsia" w:ascii="仿宋" w:hAnsi="仿宋" w:eastAsia="仿宋"/>
          <w:sz w:val="32"/>
          <w:szCs w:val="32"/>
          <w:lang w:val="en-US" w:eastAsia="zh-CN"/>
        </w:rPr>
        <w:t>5.6</w:t>
      </w:r>
      <w:r>
        <w:rPr>
          <w:rFonts w:hint="eastAsia" w:ascii="仿宋" w:hAnsi="仿宋" w:eastAsia="仿宋"/>
          <w:sz w:val="32"/>
          <w:szCs w:val="32"/>
        </w:rPr>
        <w:t>%。</w:t>
      </w:r>
    </w:p>
    <w:p>
      <w:pPr>
        <w:autoSpaceDE w:val="0"/>
        <w:autoSpaceDN w:val="0"/>
        <w:adjustRightInd w:val="0"/>
        <w:spacing w:line="620" w:lineRule="exact"/>
        <w:ind w:firstLine="632"/>
        <w:rPr>
          <w:rFonts w:hint="eastAsia" w:ascii="仿宋" w:hAnsi="仿宋" w:eastAsia="仿宋"/>
          <w:sz w:val="32"/>
          <w:szCs w:val="32"/>
        </w:rPr>
      </w:pPr>
      <w:r>
        <w:rPr>
          <w:rFonts w:hint="eastAsia" w:ascii="仿宋" w:hAnsi="仿宋" w:eastAsia="仿宋"/>
          <w:sz w:val="32"/>
          <w:szCs w:val="32"/>
        </w:rPr>
        <w:t>开展绿色有机地标农产品监督抽检，抽检产品</w:t>
      </w:r>
      <w:r>
        <w:rPr>
          <w:rFonts w:hint="eastAsia" w:ascii="仿宋" w:hAnsi="仿宋" w:eastAsia="仿宋"/>
          <w:sz w:val="32"/>
          <w:szCs w:val="32"/>
          <w:lang w:val="en-US" w:eastAsia="zh-CN"/>
        </w:rPr>
        <w:t>356</w:t>
      </w:r>
      <w:r>
        <w:rPr>
          <w:rFonts w:hint="eastAsia" w:ascii="仿宋" w:hAnsi="仿宋" w:eastAsia="仿宋"/>
          <w:sz w:val="32"/>
          <w:szCs w:val="32"/>
        </w:rPr>
        <w:t>个，产品综合抽检合格率为</w:t>
      </w:r>
      <w:r>
        <w:rPr>
          <w:rFonts w:hint="eastAsia" w:ascii="仿宋" w:hAnsi="仿宋" w:eastAsia="仿宋"/>
          <w:sz w:val="32"/>
          <w:szCs w:val="32"/>
          <w:lang w:val="en-US" w:eastAsia="zh-CN"/>
        </w:rPr>
        <w:t>95.2</w:t>
      </w:r>
      <w:r>
        <w:rPr>
          <w:rFonts w:hint="eastAsia" w:ascii="仿宋" w:hAnsi="仿宋" w:eastAsia="仿宋"/>
          <w:sz w:val="32"/>
          <w:szCs w:val="32"/>
        </w:rPr>
        <w:t>%。</w:t>
      </w:r>
    </w:p>
    <w:p>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pPr>
        <w:spacing w:line="640" w:lineRule="exact"/>
        <w:ind w:firstLine="640" w:firstLineChars="200"/>
        <w:rPr>
          <w:rFonts w:hint="eastAsia" w:ascii="仿宋" w:hAnsi="仿宋" w:eastAsia="仿宋"/>
          <w:color w:val="050505"/>
          <w:sz w:val="32"/>
          <w:szCs w:val="32"/>
        </w:rPr>
      </w:pPr>
      <w:r>
        <w:rPr>
          <w:rFonts w:hint="eastAsia" w:ascii="仿宋" w:hAnsi="仿宋" w:eastAsia="仿宋"/>
          <w:color w:val="050505"/>
          <w:sz w:val="32"/>
          <w:szCs w:val="32"/>
        </w:rPr>
        <w:t xml:space="preserve"> </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是我省农产品品牌建设的重要抓手</w:t>
      </w:r>
      <w:r>
        <w:rPr>
          <w:rFonts w:hint="eastAsia" w:ascii="仿宋" w:hAnsi="仿宋" w:eastAsia="仿宋"/>
          <w:color w:val="050505"/>
          <w:sz w:val="32"/>
          <w:szCs w:val="32"/>
          <w:lang w:val="en-US" w:eastAsia="zh-CN"/>
        </w:rPr>
        <w:t>,是推进农业绿色发展的重</w:t>
      </w:r>
      <w:r>
        <w:rPr>
          <w:rFonts w:hint="eastAsia" w:ascii="仿宋" w:hAnsi="仿宋" w:eastAsia="仿宋"/>
          <w:color w:val="050505"/>
          <w:sz w:val="32"/>
          <w:szCs w:val="32"/>
        </w:rPr>
        <w:t>要指标</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我省要努力推进</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发展</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提高</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产业在全省食用农产品的覆盖率。</w:t>
      </w:r>
      <w:r>
        <w:rPr>
          <w:rFonts w:hint="eastAsia" w:ascii="仿宋" w:hAnsi="仿宋" w:eastAsia="仿宋"/>
          <w:color w:val="050505"/>
          <w:sz w:val="32"/>
          <w:szCs w:val="32"/>
          <w:lang w:val="en-US" w:eastAsia="zh-CN"/>
        </w:rPr>
        <w:t>但</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工作从前期对认证主体的培训</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再</w:t>
      </w:r>
      <w:r>
        <w:rPr>
          <w:rFonts w:hint="eastAsia" w:ascii="仿宋" w:hAnsi="仿宋" w:eastAsia="仿宋"/>
          <w:color w:val="050505"/>
          <w:sz w:val="32"/>
          <w:szCs w:val="32"/>
        </w:rPr>
        <w:t>到</w:t>
      </w:r>
      <w:r>
        <w:rPr>
          <w:rFonts w:hint="eastAsia" w:ascii="仿宋" w:hAnsi="仿宋" w:eastAsia="仿宋"/>
          <w:color w:val="050505"/>
          <w:sz w:val="32"/>
          <w:szCs w:val="32"/>
          <w:lang w:val="en-US" w:eastAsia="zh-CN"/>
        </w:rPr>
        <w:t>对</w:t>
      </w:r>
      <w:r>
        <w:rPr>
          <w:rFonts w:hint="eastAsia" w:ascii="仿宋" w:hAnsi="仿宋" w:eastAsia="仿宋"/>
          <w:color w:val="050505"/>
          <w:sz w:val="32"/>
          <w:szCs w:val="32"/>
        </w:rPr>
        <w:t>每个认证主体的现场检查，再到对认证企业的指导、监督、年检和产品抽检，工作量大，需要的专项支出较多，但我办的人平财政预算资金偏紧，只有在农业部下属的中国绿色食品发展中心和中绿华夏有机认证中心的补助资金支持下才能基本保障工作，所以我办的预算存在较大缺口。我们建议增加</w:t>
      </w:r>
      <w:r>
        <w:rPr>
          <w:rFonts w:hint="eastAsia" w:ascii="仿宋" w:hAnsi="仿宋" w:eastAsia="仿宋"/>
          <w:color w:val="050505"/>
          <w:sz w:val="32"/>
          <w:szCs w:val="32"/>
          <w:lang w:val="en-US" w:eastAsia="zh-CN"/>
        </w:rPr>
        <w:t>我办的</w:t>
      </w:r>
      <w:r>
        <w:rPr>
          <w:rFonts w:hint="eastAsia" w:ascii="仿宋" w:hAnsi="仿宋" w:eastAsia="仿宋"/>
          <w:color w:val="050505"/>
          <w:sz w:val="32"/>
          <w:szCs w:val="32"/>
        </w:rPr>
        <w:t>项目支出</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主要用于监督抽检、培训和产销对接、品牌推介</w:t>
      </w:r>
      <w:r>
        <w:rPr>
          <w:rFonts w:hint="eastAsia" w:ascii="仿宋" w:hAnsi="仿宋" w:eastAsia="仿宋"/>
          <w:color w:val="050505"/>
          <w:sz w:val="32"/>
          <w:szCs w:val="32"/>
        </w:rPr>
        <w:t>。</w:t>
      </w:r>
    </w:p>
    <w:p>
      <w:pPr>
        <w:spacing w:line="640" w:lineRule="exact"/>
        <w:ind w:firstLine="640" w:firstLineChars="200"/>
        <w:rPr>
          <w:rFonts w:hint="eastAsia" w:ascii="仿宋" w:hAnsi="仿宋" w:eastAsia="仿宋"/>
          <w:color w:val="050505"/>
          <w:sz w:val="32"/>
          <w:szCs w:val="32"/>
        </w:rPr>
      </w:pPr>
      <w:r>
        <w:rPr>
          <w:rFonts w:hint="eastAsia" w:ascii="仿宋" w:hAnsi="仿宋" w:eastAsia="仿宋"/>
          <w:color w:val="050505"/>
          <w:sz w:val="32"/>
          <w:szCs w:val="32"/>
        </w:rPr>
        <w:t>存在的第二个问题是在</w:t>
      </w:r>
      <w:r>
        <w:rPr>
          <w:rFonts w:hint="eastAsia" w:ascii="仿宋" w:hAnsi="仿宋" w:eastAsia="仿宋"/>
          <w:color w:val="050505"/>
          <w:sz w:val="32"/>
          <w:szCs w:val="32"/>
          <w:lang w:val="en-US" w:eastAsia="zh-CN"/>
        </w:rPr>
        <w:t>2022年底编制2023年</w:t>
      </w:r>
      <w:r>
        <w:rPr>
          <w:rFonts w:hint="eastAsia" w:ascii="仿宋" w:hAnsi="仿宋" w:eastAsia="仿宋"/>
          <w:color w:val="050505"/>
          <w:sz w:val="32"/>
          <w:szCs w:val="32"/>
        </w:rPr>
        <w:t>预算科目和资金时，有</w:t>
      </w:r>
      <w:r>
        <w:rPr>
          <w:rFonts w:hint="eastAsia" w:ascii="仿宋" w:hAnsi="仿宋" w:eastAsia="仿宋"/>
          <w:color w:val="050505"/>
          <w:sz w:val="32"/>
          <w:szCs w:val="32"/>
          <w:lang w:val="en-US" w:eastAsia="zh-CN"/>
        </w:rPr>
        <w:t>些方面</w:t>
      </w:r>
      <w:r>
        <w:rPr>
          <w:rFonts w:hint="eastAsia" w:ascii="仿宋" w:hAnsi="仿宋" w:eastAsia="仿宋"/>
          <w:color w:val="050505"/>
          <w:sz w:val="32"/>
          <w:szCs w:val="32"/>
        </w:rPr>
        <w:t>预测不准，实际支出与年初预算有一些差距，需要中途对预算资金进行微调</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如2022年疫情管控，差旅费支出较少，我们编制2023年预算时安排差旅费较少，但2023年疫情防控放开后，差旅费有较大增长。</w:t>
      </w:r>
      <w:r>
        <w:rPr>
          <w:rFonts w:hint="eastAsia" w:ascii="仿宋" w:hAnsi="仿宋" w:eastAsia="仿宋"/>
          <w:color w:val="050505"/>
          <w:sz w:val="32"/>
          <w:szCs w:val="32"/>
        </w:rPr>
        <w:t>我们下一步将进一步细化工作，认真测算资金使用需求，提高预算资金科目和资金量的准确率。</w:t>
      </w:r>
    </w:p>
    <w:p>
      <w:pPr>
        <w:pStyle w:val="14"/>
        <w:jc w:val="both"/>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both"/>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jc w:val="center"/>
        <w:rPr>
          <w:rFonts w:hint="eastAsia" w:ascii="方正小标宋_GBK" w:hAnsi="方正小标宋_GBK" w:eastAsia="方正小标宋_GBK" w:cs="方正小标宋_GBK"/>
          <w:color w:val="000000"/>
          <w:kern w:val="0"/>
          <w:sz w:val="70"/>
          <w:szCs w:val="70"/>
        </w:rPr>
      </w:pPr>
      <w:r>
        <w:rPr>
          <w:rFonts w:hint="eastAsia" w:ascii="方正小标宋_GBK" w:hAnsi="方正小标宋_GBK" w:eastAsia="方正小标宋_GBK" w:cs="方正小标宋_GBK"/>
          <w:color w:val="000000"/>
          <w:kern w:val="0"/>
          <w:sz w:val="70"/>
          <w:szCs w:val="70"/>
        </w:rPr>
        <w:t>名词解释</w:t>
      </w:r>
    </w:p>
    <w:p>
      <w:pPr>
        <w:widowControl/>
        <w:jc w:val="left"/>
        <w:rPr>
          <w:rFonts w:cs="黑体" w:asciiTheme="minorEastAsia" w:hAnsiTheme="minorEastAsia"/>
          <w:color w:val="000000"/>
          <w:kern w:val="0"/>
          <w:sz w:val="32"/>
          <w:szCs w:val="32"/>
        </w:rPr>
      </w:pPr>
      <w:r>
        <w:rPr>
          <w:rFonts w:hint="eastAsia" w:ascii="方正小标宋_GBK" w:hAnsi="方正小标宋_GBK" w:eastAsia="方正小标宋_GBK" w:cs="方正小标宋_GBK"/>
          <w:color w:val="000000"/>
          <w:kern w:val="0"/>
          <w:sz w:val="70"/>
          <w:szCs w:val="70"/>
        </w:rPr>
        <w:br w:type="page"/>
      </w:r>
    </w:p>
    <w:p>
      <w:pPr>
        <w:widowControl/>
        <w:spacing w:line="600" w:lineRule="exact"/>
        <w:ind w:firstLine="660"/>
        <w:rPr>
          <w:rFonts w:hint="eastAsia" w:ascii="Times New Roman" w:hAnsi="Times New Roman" w:eastAsia="仿宋_GB2312" w:cs="黑体"/>
          <w:color w:val="000000"/>
          <w:kern w:val="0"/>
          <w:sz w:val="32"/>
          <w:szCs w:val="32"/>
          <w:lang w:val="en-US" w:eastAsia="zh-CN" w:bidi="ar-SA"/>
        </w:rPr>
      </w:pPr>
      <w:r>
        <w:rPr>
          <w:rFonts w:hint="eastAsia" w:ascii="Times New Roman" w:hAnsi="Times New Roman" w:eastAsia="仿宋_GB2312" w:cs="黑体"/>
          <w:color w:val="000000"/>
          <w:kern w:val="0"/>
          <w:sz w:val="32"/>
          <w:szCs w:val="32"/>
          <w:lang w:val="en-US" w:eastAsia="zh-CN" w:bidi="ar-SA"/>
        </w:rPr>
        <w:t>一、机关运行经费：是指各部门的公用经费，包括办公及印刷费、邮电费、差旅费、会议费、福利费、日常维修费、专用资料及一般设备购置费、办公用房水电费、办公用房取暖费、办公用房物业管理费、公务用车运行维护费以及其他费用。</w:t>
      </w:r>
    </w:p>
    <w:p>
      <w:pPr>
        <w:widowControl/>
        <w:spacing w:line="600" w:lineRule="exact"/>
        <w:ind w:firstLine="660"/>
        <w:rPr>
          <w:sz w:val="72"/>
          <w:szCs w:val="72"/>
        </w:rPr>
      </w:pPr>
      <w:r>
        <w:rPr>
          <w:rFonts w:hint="eastAsia" w:ascii="Times New Roman" w:hAnsi="Times New Roman" w:eastAsia="仿宋_GB2312" w:cs="黑体"/>
          <w:color w:val="000000"/>
          <w:kern w:val="0"/>
          <w:sz w:val="32"/>
          <w:szCs w:val="32"/>
          <w:lang w:val="en-US" w:eastAsia="zh-CN" w:bidi="ar-SA"/>
        </w:rPr>
        <w:t>二、“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pStyle w:val="14"/>
        <w:jc w:val="center"/>
        <w:rPr>
          <w:sz w:val="72"/>
          <w:szCs w:val="72"/>
        </w:rPr>
      </w:pPr>
    </w:p>
    <w:p>
      <w:pPr>
        <w:rPr>
          <w:sz w:val="72"/>
          <w:szCs w:val="72"/>
        </w:rPr>
      </w:pPr>
      <w:r>
        <w:rPr>
          <w:sz w:val="72"/>
          <w:szCs w:val="72"/>
        </w:rPr>
        <w:br w:type="page"/>
      </w: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p>
    <w:p>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4"/>
        <w:jc w:val="center"/>
        <w:rPr>
          <w:rFonts w:hint="eastAsia" w:ascii="方正小标宋_GBK" w:hAnsi="方正小标宋_GBK" w:eastAsia="方正小标宋_GBK" w:cs="方正小标宋_GBK"/>
          <w:sz w:val="70"/>
          <w:szCs w:val="70"/>
        </w:rPr>
      </w:pPr>
    </w:p>
    <w:p>
      <w:pPr>
        <w:pStyle w:val="14"/>
        <w:jc w:val="center"/>
        <w:rPr>
          <w:rFonts w:hint="eastAsia" w:eastAsia="黑体"/>
          <w:sz w:val="72"/>
          <w:szCs w:val="72"/>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rPr>
          <w:sz w:val="72"/>
          <w:szCs w:val="72"/>
        </w:rPr>
      </w:pPr>
      <w:r>
        <w:rPr>
          <w:sz w:val="72"/>
          <w:szCs w:val="72"/>
        </w:rPr>
        <w:br w:type="page"/>
      </w:r>
    </w:p>
    <w:p>
      <w:pPr>
        <w:pStyle w:val="14"/>
        <w:keepNext w:val="0"/>
        <w:keepLines w:val="0"/>
        <w:pageBreakBefore w:val="0"/>
        <w:widowControl w:val="0"/>
        <w:kinsoku/>
        <w:wordWrap/>
        <w:overflowPunct/>
        <w:topLinePunct w:val="0"/>
        <w:bidi w:val="0"/>
        <w:snapToGrid/>
        <w:spacing w:line="600" w:lineRule="exact"/>
        <w:ind w:firstLine="640" w:firstLineChars="200"/>
        <w:jc w:val="left"/>
        <w:textAlignment w:val="auto"/>
        <w:rPr>
          <w:rFonts w:hint="eastAsia" w:ascii="Times New Roman" w:hAnsi="Times New Roman" w:eastAsia="仿宋_GB2312"/>
          <w:sz w:val="32"/>
          <w:szCs w:val="32"/>
          <w:lang w:val="en-US" w:eastAsia="zh-CN"/>
        </w:rPr>
      </w:pPr>
      <w:r>
        <w:rPr>
          <w:rFonts w:hint="eastAsia" w:ascii="楷体" w:hAnsi="楷体" w:eastAsia="楷体" w:cs="楷体"/>
          <w:b/>
          <w:bCs/>
          <w:sz w:val="32"/>
          <w:szCs w:val="32"/>
          <w:lang w:eastAsia="zh-CN"/>
        </w:rPr>
        <w:t>一、</w:t>
      </w:r>
      <w:r>
        <w:rPr>
          <w:rFonts w:hint="eastAsia" w:ascii="Times New Roman" w:hAnsi="Times New Roman" w:eastAsia="仿宋_GB2312"/>
          <w:sz w:val="32"/>
          <w:szCs w:val="32"/>
          <w:lang w:val="en-US" w:eastAsia="zh-CN"/>
        </w:rPr>
        <w:t>2023年度单位整体支出绩效自评报告。</w:t>
      </w:r>
    </w:p>
    <w:p>
      <w:pPr>
        <w:spacing w:line="640" w:lineRule="exact"/>
        <w:jc w:val="center"/>
        <w:rPr>
          <w:rFonts w:hint="eastAsia" w:ascii="仿宋_GB2312" w:eastAsia="仿宋_GB2312"/>
          <w:sz w:val="32"/>
          <w:szCs w:val="32"/>
        </w:rPr>
      </w:pPr>
      <w:r>
        <w:rPr>
          <w:rFonts w:hint="eastAsia" w:ascii="黑体" w:eastAsia="黑体"/>
          <w:sz w:val="44"/>
          <w:szCs w:val="44"/>
        </w:rPr>
        <w:t>202</w:t>
      </w:r>
      <w:r>
        <w:rPr>
          <w:rFonts w:hint="eastAsia" w:ascii="黑体" w:eastAsia="黑体"/>
          <w:sz w:val="44"/>
          <w:szCs w:val="44"/>
          <w:lang w:val="en-US" w:eastAsia="zh-CN"/>
        </w:rPr>
        <w:t>3</w:t>
      </w:r>
      <w:r>
        <w:rPr>
          <w:rFonts w:hint="eastAsia" w:ascii="黑体" w:eastAsia="黑体"/>
          <w:sz w:val="44"/>
          <w:szCs w:val="44"/>
        </w:rPr>
        <w:t>年度部门整体支出绩效自评报告</w:t>
      </w:r>
    </w:p>
    <w:p>
      <w:pPr>
        <w:spacing w:line="640" w:lineRule="exact"/>
        <w:jc w:val="center"/>
        <w:rPr>
          <w:rFonts w:hint="eastAsia" w:ascii="楷体_GB2312" w:eastAsia="楷体_GB2312"/>
          <w:sz w:val="32"/>
          <w:szCs w:val="32"/>
        </w:rPr>
      </w:pPr>
      <w:r>
        <w:rPr>
          <w:rFonts w:hint="eastAsia" w:ascii="楷体_GB2312" w:eastAsia="楷体_GB2312"/>
          <w:sz w:val="32"/>
          <w:szCs w:val="32"/>
        </w:rPr>
        <w:t>湖南省绿色食品办公室</w:t>
      </w:r>
    </w:p>
    <w:p>
      <w:pPr>
        <w:spacing w:line="640" w:lineRule="exact"/>
        <w:ind w:firstLine="3040" w:firstLineChars="950"/>
        <w:rPr>
          <w:rFonts w:eastAsia="黑体"/>
          <w:kern w:val="0"/>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4</w:t>
      </w:r>
      <w:r>
        <w:rPr>
          <w:rFonts w:hint="eastAsia" w:ascii="仿宋_GB2312" w:hAnsi="宋体" w:eastAsia="仿宋_GB2312"/>
          <w:sz w:val="32"/>
          <w:szCs w:val="32"/>
        </w:rPr>
        <w:t>年</w:t>
      </w:r>
      <w:r>
        <w:rPr>
          <w:rFonts w:hint="eastAsia" w:ascii="仿宋_GB2312" w:hAnsi="宋体" w:eastAsia="仿宋_GB2312"/>
          <w:sz w:val="32"/>
          <w:szCs w:val="32"/>
          <w:lang w:val="en-US" w:eastAsia="zh-CN"/>
        </w:rPr>
        <w:t>4</w:t>
      </w:r>
      <w:r>
        <w:rPr>
          <w:rFonts w:hint="eastAsia" w:ascii="仿宋_GB2312" w:hAnsi="宋体" w:eastAsia="仿宋_GB2312"/>
          <w:sz w:val="32"/>
          <w:szCs w:val="32"/>
        </w:rPr>
        <w:t>月1</w:t>
      </w:r>
      <w:r>
        <w:rPr>
          <w:rFonts w:hint="eastAsia" w:ascii="仿宋_GB2312" w:hAnsi="宋体" w:eastAsia="仿宋_GB2312"/>
          <w:sz w:val="32"/>
          <w:szCs w:val="32"/>
          <w:lang w:val="en-US" w:eastAsia="zh-CN"/>
        </w:rPr>
        <w:t>8</w:t>
      </w:r>
      <w:r>
        <w:rPr>
          <w:rFonts w:hint="eastAsia" w:ascii="仿宋_GB2312" w:hAnsi="宋体" w:eastAsia="仿宋_GB2312"/>
          <w:sz w:val="32"/>
          <w:szCs w:val="32"/>
        </w:rPr>
        <w:t>日</w:t>
      </w:r>
      <w:r>
        <w:rPr>
          <w:rFonts w:eastAsia="黑体"/>
          <w:kern w:val="0"/>
          <w:sz w:val="32"/>
          <w:szCs w:val="32"/>
        </w:rPr>
        <w:t xml:space="preserve"> </w:t>
      </w:r>
    </w:p>
    <w:p>
      <w:pPr>
        <w:spacing w:line="640" w:lineRule="exact"/>
        <w:ind w:firstLine="640" w:firstLineChars="200"/>
        <w:rPr>
          <w:rFonts w:hint="eastAsia" w:ascii="仿宋_GB2312" w:eastAsia="仿宋_GB2312"/>
          <w:sz w:val="32"/>
          <w:szCs w:val="32"/>
        </w:rPr>
      </w:pPr>
    </w:p>
    <w:p>
      <w:pPr>
        <w:spacing w:line="640" w:lineRule="exact"/>
        <w:ind w:firstLine="640" w:firstLineChars="200"/>
        <w:rPr>
          <w:rFonts w:hint="eastAsia" w:ascii="楷体" w:hAnsi="楷体" w:eastAsia="楷体"/>
          <w:b/>
          <w:sz w:val="32"/>
          <w:szCs w:val="32"/>
        </w:rPr>
      </w:pPr>
      <w:r>
        <w:rPr>
          <w:rFonts w:hint="eastAsia" w:ascii="楷体" w:hAnsi="楷体" w:eastAsia="楷体"/>
          <w:b/>
          <w:sz w:val="32"/>
          <w:szCs w:val="32"/>
        </w:rPr>
        <w:t>一、部门预算</w:t>
      </w:r>
      <w:r>
        <w:rPr>
          <w:rFonts w:hint="eastAsia" w:ascii="楷体" w:hAnsi="楷体" w:eastAsia="楷体"/>
          <w:b/>
          <w:sz w:val="32"/>
          <w:szCs w:val="32"/>
          <w:lang w:eastAsia="zh-CN"/>
        </w:rPr>
        <w:t>收</w:t>
      </w:r>
      <w:r>
        <w:rPr>
          <w:rFonts w:hint="eastAsia" w:ascii="楷体" w:hAnsi="楷体" w:eastAsia="楷体"/>
          <w:b/>
          <w:sz w:val="32"/>
          <w:szCs w:val="32"/>
        </w:rPr>
        <w:t>入及决算支出情况。</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年省绿色食品办公室年初</w:t>
      </w:r>
      <w:r>
        <w:rPr>
          <w:rFonts w:hint="eastAsia" w:ascii="仿宋" w:hAnsi="仿宋" w:eastAsia="仿宋"/>
          <w:sz w:val="32"/>
          <w:szCs w:val="32"/>
          <w:lang w:eastAsia="zh-CN"/>
        </w:rPr>
        <w:t>预</w:t>
      </w:r>
      <w:r>
        <w:rPr>
          <w:rFonts w:hint="eastAsia" w:ascii="仿宋" w:hAnsi="仿宋" w:eastAsia="仿宋"/>
          <w:color w:val="000000"/>
          <w:sz w:val="32"/>
          <w:szCs w:val="32"/>
        </w:rPr>
        <w:t>算</w:t>
      </w:r>
      <w:r>
        <w:rPr>
          <w:rFonts w:hint="eastAsia" w:ascii="仿宋" w:hAnsi="仿宋" w:eastAsia="仿宋"/>
          <w:color w:val="000000"/>
          <w:sz w:val="32"/>
          <w:szCs w:val="32"/>
          <w:lang w:eastAsia="zh-CN"/>
        </w:rPr>
        <w:t>收入数</w:t>
      </w:r>
      <w:r>
        <w:rPr>
          <w:rFonts w:hint="eastAsia" w:ascii="仿宋" w:hAnsi="仿宋" w:eastAsia="仿宋"/>
          <w:color w:val="000000"/>
          <w:sz w:val="32"/>
          <w:szCs w:val="32"/>
          <w:lang w:val="en-US" w:eastAsia="zh-CN"/>
        </w:rPr>
        <w:t>697.61</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（其中：</w:t>
      </w:r>
      <w:r>
        <w:rPr>
          <w:rFonts w:hint="eastAsia" w:ascii="仿宋" w:hAnsi="仿宋" w:eastAsia="仿宋"/>
          <w:sz w:val="32"/>
          <w:szCs w:val="32"/>
        </w:rPr>
        <w:t>其他资金收入</w:t>
      </w:r>
      <w:r>
        <w:rPr>
          <w:rFonts w:hint="eastAsia" w:ascii="仿宋" w:hAnsi="仿宋" w:eastAsia="仿宋"/>
          <w:sz w:val="32"/>
          <w:szCs w:val="32"/>
          <w:lang w:val="en-US" w:eastAsia="zh-CN"/>
        </w:rPr>
        <w:t>--</w:t>
      </w:r>
      <w:r>
        <w:rPr>
          <w:rFonts w:hint="eastAsia" w:ascii="仿宋" w:hAnsi="仿宋" w:eastAsia="仿宋"/>
          <w:sz w:val="32"/>
          <w:szCs w:val="32"/>
        </w:rPr>
        <w:t>中国绿色食品发展中心和中绿华夏有机认证中心下拨</w:t>
      </w:r>
      <w:r>
        <w:rPr>
          <w:rFonts w:hint="eastAsia" w:ascii="仿宋" w:hAnsi="仿宋" w:eastAsia="仿宋"/>
          <w:sz w:val="32"/>
          <w:szCs w:val="32"/>
          <w:lang w:eastAsia="zh-CN"/>
        </w:rPr>
        <w:t>绿色食品</w:t>
      </w:r>
      <w:r>
        <w:rPr>
          <w:rFonts w:hint="eastAsia" w:ascii="仿宋" w:hAnsi="仿宋" w:eastAsia="仿宋"/>
          <w:sz w:val="32"/>
          <w:szCs w:val="32"/>
        </w:rPr>
        <w:t>认证</w:t>
      </w:r>
      <w:r>
        <w:rPr>
          <w:rFonts w:hint="eastAsia" w:ascii="仿宋" w:hAnsi="仿宋" w:eastAsia="仿宋"/>
          <w:sz w:val="32"/>
          <w:szCs w:val="32"/>
          <w:lang w:eastAsia="zh-CN"/>
        </w:rPr>
        <w:t>等工作</w:t>
      </w:r>
      <w:r>
        <w:rPr>
          <w:rFonts w:hint="eastAsia" w:ascii="仿宋" w:hAnsi="仿宋" w:eastAsia="仿宋"/>
          <w:sz w:val="32"/>
          <w:szCs w:val="32"/>
        </w:rPr>
        <w:t>补助收入</w:t>
      </w:r>
      <w:r>
        <w:rPr>
          <w:rFonts w:hint="eastAsia" w:ascii="仿宋" w:hAnsi="仿宋" w:eastAsia="仿宋"/>
          <w:sz w:val="32"/>
          <w:szCs w:val="32"/>
          <w:lang w:val="en-US" w:eastAsia="zh-CN"/>
        </w:rPr>
        <w:t>104.78</w:t>
      </w:r>
      <w:r>
        <w:rPr>
          <w:rFonts w:hint="eastAsia" w:ascii="仿宋" w:hAnsi="仿宋" w:eastAsia="仿宋"/>
          <w:sz w:val="32"/>
          <w:szCs w:val="32"/>
        </w:rPr>
        <w:t>万元</w:t>
      </w:r>
      <w:r>
        <w:rPr>
          <w:rFonts w:hint="eastAsia" w:ascii="仿宋" w:hAnsi="仿宋" w:eastAsia="仿宋"/>
          <w:sz w:val="32"/>
          <w:szCs w:val="32"/>
          <w:lang w:eastAsia="zh-CN"/>
        </w:rPr>
        <w:t>；</w:t>
      </w:r>
      <w:r>
        <w:rPr>
          <w:rFonts w:hint="eastAsia" w:ascii="仿宋" w:hAnsi="仿宋" w:eastAsia="仿宋"/>
          <w:color w:val="000000"/>
          <w:sz w:val="32"/>
          <w:szCs w:val="32"/>
        </w:rPr>
        <w:t>追加</w:t>
      </w:r>
      <w:r>
        <w:rPr>
          <w:rFonts w:hint="eastAsia" w:ascii="仿宋" w:hAnsi="仿宋" w:eastAsia="仿宋"/>
          <w:sz w:val="32"/>
          <w:szCs w:val="32"/>
          <w:lang w:eastAsia="zh-CN"/>
        </w:rPr>
        <w:t>财政资金收入预算</w:t>
      </w:r>
      <w:r>
        <w:rPr>
          <w:rFonts w:hint="eastAsia" w:ascii="仿宋" w:hAnsi="仿宋" w:eastAsia="仿宋"/>
          <w:color w:val="000000"/>
          <w:sz w:val="32"/>
          <w:szCs w:val="32"/>
          <w:lang w:val="en-US" w:eastAsia="zh-CN"/>
        </w:rPr>
        <w:t>21.8</w:t>
      </w:r>
      <w:r>
        <w:rPr>
          <w:rFonts w:hint="eastAsia" w:ascii="仿宋" w:hAnsi="仿宋" w:eastAsia="仿宋"/>
          <w:color w:val="000000"/>
          <w:sz w:val="32"/>
          <w:szCs w:val="32"/>
        </w:rPr>
        <w:t>万元</w:t>
      </w:r>
      <w:r>
        <w:rPr>
          <w:rFonts w:hint="eastAsia" w:ascii="仿宋" w:hAnsi="仿宋" w:eastAsia="仿宋"/>
          <w:color w:val="000000"/>
          <w:sz w:val="32"/>
          <w:szCs w:val="32"/>
          <w:lang w:eastAsia="zh-CN"/>
        </w:rPr>
        <w:t>和其他资金收入年初结余预算</w:t>
      </w:r>
      <w:r>
        <w:rPr>
          <w:rFonts w:hint="eastAsia" w:ascii="仿宋" w:hAnsi="仿宋" w:eastAsia="仿宋"/>
          <w:color w:val="000000"/>
          <w:sz w:val="32"/>
          <w:szCs w:val="32"/>
          <w:lang w:val="en-US" w:eastAsia="zh-CN"/>
        </w:rPr>
        <w:t>48.55万元</w:t>
      </w:r>
      <w:r>
        <w:rPr>
          <w:rFonts w:hint="eastAsia" w:ascii="仿宋" w:hAnsi="仿宋" w:eastAsia="仿宋"/>
          <w:color w:val="000000"/>
          <w:sz w:val="32"/>
          <w:szCs w:val="32"/>
        </w:rPr>
        <w:t>，全年</w:t>
      </w:r>
      <w:r>
        <w:rPr>
          <w:rFonts w:hint="eastAsia" w:ascii="仿宋" w:hAnsi="仿宋" w:eastAsia="仿宋"/>
          <w:sz w:val="32"/>
          <w:szCs w:val="32"/>
        </w:rPr>
        <w:t>预算数</w:t>
      </w:r>
      <w:r>
        <w:rPr>
          <w:rFonts w:hint="eastAsia" w:ascii="仿宋" w:hAnsi="仿宋" w:eastAsia="仿宋"/>
          <w:sz w:val="32"/>
          <w:szCs w:val="32"/>
          <w:lang w:val="en-US" w:eastAsia="zh-CN"/>
        </w:rPr>
        <w:t>767.96</w:t>
      </w:r>
      <w:r>
        <w:rPr>
          <w:rFonts w:hint="eastAsia" w:ascii="仿宋" w:hAnsi="仿宋" w:eastAsia="仿宋"/>
          <w:sz w:val="32"/>
          <w:szCs w:val="32"/>
        </w:rPr>
        <w:t>万元。</w:t>
      </w:r>
    </w:p>
    <w:p>
      <w:pPr>
        <w:spacing w:line="640" w:lineRule="exact"/>
        <w:ind w:firstLine="640" w:firstLineChars="200"/>
        <w:rPr>
          <w:rFonts w:hint="default" w:ascii="仿宋" w:hAnsi="仿宋" w:eastAsia="仿宋"/>
          <w:sz w:val="32"/>
          <w:szCs w:val="32"/>
          <w:lang w:val="en-US"/>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年度总支出</w:t>
      </w:r>
      <w:r>
        <w:rPr>
          <w:rFonts w:hint="eastAsia" w:ascii="仿宋" w:hAnsi="仿宋" w:eastAsia="仿宋"/>
          <w:sz w:val="32"/>
          <w:szCs w:val="32"/>
          <w:lang w:val="en-US" w:eastAsia="zh-CN"/>
        </w:rPr>
        <w:t>719.29</w:t>
      </w:r>
      <w:r>
        <w:rPr>
          <w:rFonts w:hint="eastAsia" w:ascii="仿宋" w:hAnsi="仿宋" w:eastAsia="仿宋"/>
          <w:sz w:val="32"/>
          <w:szCs w:val="32"/>
        </w:rPr>
        <w:t>万元，其中基本支出</w:t>
      </w:r>
      <w:r>
        <w:rPr>
          <w:rFonts w:hint="eastAsia" w:ascii="仿宋" w:hAnsi="仿宋" w:eastAsia="仿宋"/>
          <w:sz w:val="32"/>
          <w:szCs w:val="32"/>
          <w:lang w:val="en-US" w:eastAsia="zh-CN"/>
        </w:rPr>
        <w:t>412.06</w:t>
      </w:r>
      <w:r>
        <w:rPr>
          <w:rFonts w:hint="eastAsia" w:ascii="仿宋" w:hAnsi="仿宋" w:eastAsia="仿宋"/>
          <w:sz w:val="32"/>
          <w:szCs w:val="32"/>
        </w:rPr>
        <w:t>万元，项目支</w:t>
      </w:r>
      <w:r>
        <w:rPr>
          <w:rFonts w:hint="eastAsia" w:ascii="仿宋" w:hAnsi="仿宋" w:eastAsia="仿宋"/>
          <w:sz w:val="32"/>
          <w:szCs w:val="32"/>
          <w:lang w:val="en-US" w:eastAsia="zh-CN"/>
        </w:rPr>
        <w:t>出307.23</w:t>
      </w:r>
      <w:r>
        <w:rPr>
          <w:rFonts w:hint="eastAsia" w:ascii="仿宋" w:hAnsi="仿宋" w:eastAsia="仿宋"/>
          <w:sz w:val="32"/>
          <w:szCs w:val="32"/>
        </w:rPr>
        <w:t>万元，主要用于绿色有机地标农产品管理与品牌建设</w:t>
      </w:r>
      <w:r>
        <w:rPr>
          <w:rFonts w:hint="eastAsia" w:ascii="仿宋" w:hAnsi="仿宋" w:eastAsia="仿宋"/>
          <w:sz w:val="32"/>
          <w:szCs w:val="32"/>
          <w:lang w:val="en-US" w:eastAsia="zh-CN"/>
        </w:rPr>
        <w:t>111.09万元，认证产品监督管理与抽检56.79万元，业务工作经费139.35万元。</w:t>
      </w:r>
    </w:p>
    <w:p>
      <w:pPr>
        <w:spacing w:line="640" w:lineRule="exact"/>
        <w:ind w:firstLine="640" w:firstLineChars="200"/>
        <w:rPr>
          <w:rFonts w:hint="eastAsia" w:ascii="楷体" w:hAnsi="楷体" w:eastAsia="楷体"/>
          <w:b/>
          <w:sz w:val="32"/>
          <w:szCs w:val="32"/>
        </w:rPr>
      </w:pPr>
      <w:r>
        <w:rPr>
          <w:rFonts w:hint="eastAsia" w:ascii="楷体" w:hAnsi="楷体" w:eastAsia="楷体"/>
          <w:b/>
          <w:sz w:val="32"/>
          <w:szCs w:val="32"/>
        </w:rPr>
        <w:t>二、绩效指标及实现情况</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根据省绿办的工作职责及资金总量情况，我们设定2023年度的总体目标是：加快绿色优质农产品发展，至2023年底全省绿色有机地标农产品3800个以上，产品综合抽检合格率9</w:t>
      </w:r>
      <w:r>
        <w:rPr>
          <w:rFonts w:hint="eastAsia" w:ascii="仿宋" w:hAnsi="仿宋" w:eastAsia="仿宋"/>
          <w:sz w:val="32"/>
          <w:szCs w:val="32"/>
          <w:lang w:val="en-US" w:eastAsia="zh-CN"/>
        </w:rPr>
        <w:t>7</w:t>
      </w:r>
      <w:r>
        <w:rPr>
          <w:rFonts w:hint="eastAsia" w:ascii="仿宋" w:hAnsi="仿宋" w:eastAsia="仿宋"/>
          <w:sz w:val="32"/>
          <w:szCs w:val="32"/>
        </w:rPr>
        <w:t>%以上。</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我办围绕促进农业绿色发展，全面提升绿色有机地标农产品产业规模和产业水平的工作目标</w:t>
      </w:r>
      <w:r>
        <w:rPr>
          <w:rFonts w:ascii="仿宋" w:hAnsi="仿宋" w:eastAsia="仿宋"/>
          <w:sz w:val="32"/>
          <w:szCs w:val="32"/>
        </w:rPr>
        <w:t>，</w:t>
      </w:r>
      <w:r>
        <w:rPr>
          <w:rFonts w:hint="eastAsia" w:ascii="仿宋" w:hAnsi="仿宋" w:eastAsia="仿宋"/>
          <w:sz w:val="32"/>
          <w:szCs w:val="32"/>
        </w:rPr>
        <w:t>较好地运用部门整体支出资金，精心组织和督促落实各项工作和目标任务完成，有力地推动了全省绿色优质农产品发展，实现了速度、质量、效益的同步增长，为提高全省农产品质量安全水平，树立湖南农产品品牌形象，促进农民增收起到了积极的作用。</w:t>
      </w:r>
      <w:r>
        <w:rPr>
          <w:rFonts w:hint="eastAsia" w:ascii="仿宋" w:hAnsi="仿宋" w:eastAsia="仿宋"/>
          <w:bCs/>
          <w:sz w:val="32"/>
          <w:szCs w:val="32"/>
        </w:rPr>
        <w:t>至</w:t>
      </w:r>
      <w:r>
        <w:rPr>
          <w:rFonts w:ascii="仿宋" w:hAnsi="仿宋" w:eastAsia="仿宋"/>
          <w:sz w:val="32"/>
          <w:szCs w:val="32"/>
        </w:rPr>
        <w:t>20</w:t>
      </w:r>
      <w:r>
        <w:rPr>
          <w:rFonts w:hint="eastAsia" w:ascii="仿宋" w:hAnsi="仿宋" w:eastAsia="仿宋"/>
          <w:sz w:val="32"/>
          <w:szCs w:val="32"/>
        </w:rPr>
        <w:t>23年底，全省</w:t>
      </w:r>
      <w:r>
        <w:rPr>
          <w:rFonts w:ascii="仿宋" w:hAnsi="仿宋" w:eastAsia="仿宋"/>
          <w:sz w:val="32"/>
          <w:szCs w:val="32"/>
        </w:rPr>
        <w:t>“</w:t>
      </w:r>
      <w:r>
        <w:rPr>
          <w:rFonts w:hint="eastAsia" w:ascii="仿宋" w:hAnsi="仿宋" w:eastAsia="仿宋"/>
          <w:sz w:val="32"/>
          <w:szCs w:val="32"/>
        </w:rPr>
        <w:t>绿色食品、有机食品、地理标志农产品</w:t>
      </w:r>
      <w:r>
        <w:rPr>
          <w:rFonts w:ascii="仿宋" w:hAnsi="仿宋" w:eastAsia="仿宋"/>
          <w:sz w:val="32"/>
          <w:szCs w:val="32"/>
        </w:rPr>
        <w:t>”</w:t>
      </w:r>
      <w:r>
        <w:rPr>
          <w:rFonts w:hint="eastAsia" w:ascii="仿宋" w:hAnsi="仿宋" w:eastAsia="仿宋"/>
          <w:sz w:val="32"/>
          <w:szCs w:val="32"/>
        </w:rPr>
        <w:t>有效认证总数达3995个，比上年增长5.6%，其中绿色食品3571个，稳居国第四位，有机食品296个，居全国第三位，农产品地理标志登记128个。</w:t>
      </w:r>
    </w:p>
    <w:p>
      <w:pPr>
        <w:spacing w:line="640" w:lineRule="exact"/>
        <w:ind w:firstLine="640" w:firstLineChars="200"/>
        <w:rPr>
          <w:rFonts w:hint="eastAsia" w:ascii="仿宋" w:hAnsi="仿宋" w:eastAsia="仿宋"/>
          <w:sz w:val="32"/>
          <w:szCs w:val="32"/>
        </w:rPr>
      </w:pPr>
      <w:r>
        <w:rPr>
          <w:rFonts w:hint="eastAsia" w:ascii="仿宋" w:hAnsi="仿宋" w:eastAsia="仿宋"/>
          <w:sz w:val="32"/>
          <w:szCs w:val="32"/>
        </w:rPr>
        <w:t>全年“三品一标”新获证产品1650个，完成年初工作目标1500个任务的</w:t>
      </w:r>
      <w:r>
        <w:rPr>
          <w:rFonts w:hint="eastAsia" w:ascii="仿宋" w:hAnsi="仿宋" w:eastAsia="仿宋"/>
          <w:sz w:val="32"/>
          <w:szCs w:val="32"/>
          <w:lang w:val="en-US" w:eastAsia="zh-CN"/>
        </w:rPr>
        <w:t>110</w:t>
      </w:r>
      <w:r>
        <w:rPr>
          <w:rFonts w:ascii="仿宋" w:hAnsi="仿宋" w:eastAsia="仿宋"/>
          <w:sz w:val="32"/>
          <w:szCs w:val="32"/>
        </w:rPr>
        <w:t>%</w:t>
      </w:r>
      <w:r>
        <w:rPr>
          <w:rFonts w:hint="eastAsia" w:ascii="仿宋" w:hAnsi="仿宋" w:eastAsia="仿宋"/>
          <w:sz w:val="32"/>
          <w:szCs w:val="32"/>
        </w:rPr>
        <w:t>。</w:t>
      </w:r>
    </w:p>
    <w:p>
      <w:pPr>
        <w:spacing w:line="640" w:lineRule="exact"/>
        <w:ind w:firstLine="640" w:firstLineChars="200"/>
        <w:rPr>
          <w:rFonts w:ascii="仿宋" w:hAnsi="仿宋" w:eastAsia="仿宋"/>
          <w:sz w:val="32"/>
          <w:szCs w:val="32"/>
        </w:rPr>
      </w:pPr>
      <w:r>
        <w:rPr>
          <w:rFonts w:hint="eastAsia" w:ascii="仿宋" w:hAnsi="仿宋" w:eastAsia="仿宋"/>
          <w:sz w:val="32"/>
          <w:szCs w:val="32"/>
        </w:rPr>
        <w:t>绿色有机地标农产品产业得到持续健康发展，绿色优质农产品总产值287.4亿元（绿色、有机），比上年增长</w:t>
      </w:r>
      <w:r>
        <w:rPr>
          <w:rFonts w:hint="eastAsia" w:ascii="仿宋" w:hAnsi="仿宋" w:eastAsia="仿宋"/>
          <w:sz w:val="32"/>
          <w:szCs w:val="32"/>
          <w:lang w:val="en-US" w:eastAsia="zh-CN"/>
        </w:rPr>
        <w:t>5.6</w:t>
      </w:r>
      <w:r>
        <w:rPr>
          <w:rFonts w:hint="eastAsia" w:ascii="仿宋" w:hAnsi="仿宋" w:eastAsia="仿宋"/>
          <w:sz w:val="32"/>
          <w:szCs w:val="32"/>
        </w:rPr>
        <w:t>%。</w:t>
      </w:r>
    </w:p>
    <w:p>
      <w:pPr>
        <w:autoSpaceDE w:val="0"/>
        <w:autoSpaceDN w:val="0"/>
        <w:adjustRightInd w:val="0"/>
        <w:spacing w:line="620" w:lineRule="exact"/>
        <w:ind w:firstLine="632"/>
        <w:rPr>
          <w:rFonts w:hint="eastAsia" w:ascii="仿宋" w:hAnsi="仿宋" w:eastAsia="仿宋"/>
          <w:sz w:val="32"/>
          <w:szCs w:val="32"/>
        </w:rPr>
      </w:pPr>
      <w:r>
        <w:rPr>
          <w:rFonts w:hint="eastAsia" w:ascii="仿宋" w:hAnsi="仿宋" w:eastAsia="仿宋"/>
          <w:sz w:val="32"/>
          <w:szCs w:val="32"/>
        </w:rPr>
        <w:t>开展绿色有机地标农产品监督抽检，抽检产品</w:t>
      </w:r>
      <w:r>
        <w:rPr>
          <w:rFonts w:hint="eastAsia" w:ascii="仿宋" w:hAnsi="仿宋" w:eastAsia="仿宋"/>
          <w:sz w:val="32"/>
          <w:szCs w:val="32"/>
          <w:lang w:val="en-US" w:eastAsia="zh-CN"/>
        </w:rPr>
        <w:t>356</w:t>
      </w:r>
      <w:r>
        <w:rPr>
          <w:rFonts w:hint="eastAsia" w:ascii="仿宋" w:hAnsi="仿宋" w:eastAsia="仿宋"/>
          <w:sz w:val="32"/>
          <w:szCs w:val="32"/>
        </w:rPr>
        <w:t>个，产品综合抽检合格率为</w:t>
      </w:r>
      <w:r>
        <w:rPr>
          <w:rFonts w:hint="eastAsia" w:ascii="仿宋" w:hAnsi="仿宋" w:eastAsia="仿宋"/>
          <w:sz w:val="32"/>
          <w:szCs w:val="32"/>
          <w:lang w:val="en-US" w:eastAsia="zh-CN"/>
        </w:rPr>
        <w:t>95.2</w:t>
      </w:r>
      <w:r>
        <w:rPr>
          <w:rFonts w:hint="eastAsia" w:ascii="仿宋" w:hAnsi="仿宋" w:eastAsia="仿宋"/>
          <w:sz w:val="32"/>
          <w:szCs w:val="32"/>
        </w:rPr>
        <w:t>%。</w:t>
      </w:r>
    </w:p>
    <w:p>
      <w:pPr>
        <w:spacing w:line="640" w:lineRule="exact"/>
        <w:ind w:firstLine="640" w:firstLineChars="200"/>
        <w:rPr>
          <w:rFonts w:hint="eastAsia" w:ascii="楷体" w:hAnsi="楷体" w:eastAsia="楷体"/>
          <w:b/>
          <w:sz w:val="32"/>
          <w:szCs w:val="32"/>
        </w:rPr>
      </w:pPr>
      <w:r>
        <w:rPr>
          <w:rFonts w:hint="eastAsia" w:ascii="楷体" w:hAnsi="楷体" w:eastAsia="楷体"/>
          <w:b/>
          <w:sz w:val="32"/>
          <w:szCs w:val="32"/>
        </w:rPr>
        <w:t>三、存在的主要问题及下一步改进措施</w:t>
      </w:r>
    </w:p>
    <w:p>
      <w:pPr>
        <w:spacing w:line="640" w:lineRule="exact"/>
        <w:ind w:firstLine="640" w:firstLineChars="200"/>
        <w:rPr>
          <w:rFonts w:hint="eastAsia" w:ascii="仿宋" w:hAnsi="仿宋" w:eastAsia="仿宋"/>
          <w:color w:val="050505"/>
          <w:sz w:val="32"/>
          <w:szCs w:val="32"/>
        </w:rPr>
      </w:pPr>
      <w:r>
        <w:rPr>
          <w:rFonts w:hint="eastAsia" w:ascii="仿宋" w:hAnsi="仿宋" w:eastAsia="仿宋"/>
          <w:color w:val="050505"/>
          <w:sz w:val="32"/>
          <w:szCs w:val="32"/>
        </w:rPr>
        <w:t xml:space="preserve"> </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是我省农产品品牌建设的重要抓手</w:t>
      </w:r>
      <w:r>
        <w:rPr>
          <w:rFonts w:hint="eastAsia" w:ascii="仿宋" w:hAnsi="仿宋" w:eastAsia="仿宋"/>
          <w:color w:val="050505"/>
          <w:sz w:val="32"/>
          <w:szCs w:val="32"/>
          <w:lang w:val="en-US" w:eastAsia="zh-CN"/>
        </w:rPr>
        <w:t>,是推进农业绿色发展的重</w:t>
      </w:r>
      <w:r>
        <w:rPr>
          <w:rFonts w:hint="eastAsia" w:ascii="仿宋" w:hAnsi="仿宋" w:eastAsia="仿宋"/>
          <w:color w:val="050505"/>
          <w:sz w:val="32"/>
          <w:szCs w:val="32"/>
        </w:rPr>
        <w:t>要指标</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我省要努力推进</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发展</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提高</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产业在全省食用农产品的覆盖率。</w:t>
      </w:r>
      <w:r>
        <w:rPr>
          <w:rFonts w:hint="eastAsia" w:ascii="仿宋" w:hAnsi="仿宋" w:eastAsia="仿宋"/>
          <w:color w:val="050505"/>
          <w:sz w:val="32"/>
          <w:szCs w:val="32"/>
          <w:lang w:val="en-US" w:eastAsia="zh-CN"/>
        </w:rPr>
        <w:t>但</w:t>
      </w:r>
      <w:r>
        <w:rPr>
          <w:rFonts w:hint="eastAsia" w:ascii="仿宋" w:hAnsi="仿宋" w:eastAsia="仿宋"/>
          <w:sz w:val="32"/>
          <w:szCs w:val="32"/>
          <w:lang w:val="en-US" w:eastAsia="zh-CN"/>
        </w:rPr>
        <w:t>绿色有机地标农产品</w:t>
      </w:r>
      <w:r>
        <w:rPr>
          <w:rFonts w:hint="eastAsia" w:ascii="仿宋" w:hAnsi="仿宋" w:eastAsia="仿宋"/>
          <w:color w:val="050505"/>
          <w:sz w:val="32"/>
          <w:szCs w:val="32"/>
        </w:rPr>
        <w:t>工作从前期对认证主体的培训</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再</w:t>
      </w:r>
      <w:r>
        <w:rPr>
          <w:rFonts w:hint="eastAsia" w:ascii="仿宋" w:hAnsi="仿宋" w:eastAsia="仿宋"/>
          <w:color w:val="050505"/>
          <w:sz w:val="32"/>
          <w:szCs w:val="32"/>
        </w:rPr>
        <w:t>到</w:t>
      </w:r>
      <w:r>
        <w:rPr>
          <w:rFonts w:hint="eastAsia" w:ascii="仿宋" w:hAnsi="仿宋" w:eastAsia="仿宋"/>
          <w:color w:val="050505"/>
          <w:sz w:val="32"/>
          <w:szCs w:val="32"/>
          <w:lang w:val="en-US" w:eastAsia="zh-CN"/>
        </w:rPr>
        <w:t>对</w:t>
      </w:r>
      <w:r>
        <w:rPr>
          <w:rFonts w:hint="eastAsia" w:ascii="仿宋" w:hAnsi="仿宋" w:eastAsia="仿宋"/>
          <w:color w:val="050505"/>
          <w:sz w:val="32"/>
          <w:szCs w:val="32"/>
        </w:rPr>
        <w:t>每个认证主体的现场检查，再到对认证企业的指导、监督、年检和产品抽检，工作量大，需要的专项支出较多，但我办的人平财政预算资金偏紧，只有在农业部下属的中国绿色食品发展中心和中绿华夏有机认证中心的补助资金支持下才能基本保障工作，所以我办的预算存在较大缺口。我们建议增加</w:t>
      </w:r>
      <w:r>
        <w:rPr>
          <w:rFonts w:hint="eastAsia" w:ascii="仿宋" w:hAnsi="仿宋" w:eastAsia="仿宋"/>
          <w:color w:val="050505"/>
          <w:sz w:val="32"/>
          <w:szCs w:val="32"/>
          <w:lang w:val="en-US" w:eastAsia="zh-CN"/>
        </w:rPr>
        <w:t>我办的</w:t>
      </w:r>
      <w:r>
        <w:rPr>
          <w:rFonts w:hint="eastAsia" w:ascii="仿宋" w:hAnsi="仿宋" w:eastAsia="仿宋"/>
          <w:color w:val="050505"/>
          <w:sz w:val="32"/>
          <w:szCs w:val="32"/>
        </w:rPr>
        <w:t>项目支出</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主要用于监督抽检、培训和产销对接、品牌推介</w:t>
      </w:r>
      <w:r>
        <w:rPr>
          <w:rFonts w:hint="eastAsia" w:ascii="仿宋" w:hAnsi="仿宋" w:eastAsia="仿宋"/>
          <w:color w:val="050505"/>
          <w:sz w:val="32"/>
          <w:szCs w:val="32"/>
        </w:rPr>
        <w:t>。</w:t>
      </w:r>
    </w:p>
    <w:p>
      <w:pPr>
        <w:spacing w:line="640" w:lineRule="exact"/>
        <w:ind w:firstLine="640" w:firstLineChars="200"/>
        <w:rPr>
          <w:rFonts w:hint="eastAsia" w:ascii="仿宋" w:hAnsi="仿宋" w:eastAsia="仿宋"/>
          <w:color w:val="050505"/>
          <w:sz w:val="32"/>
          <w:szCs w:val="32"/>
        </w:rPr>
      </w:pPr>
      <w:r>
        <w:rPr>
          <w:rFonts w:hint="eastAsia" w:ascii="仿宋" w:hAnsi="仿宋" w:eastAsia="仿宋"/>
          <w:color w:val="050505"/>
          <w:sz w:val="32"/>
          <w:szCs w:val="32"/>
        </w:rPr>
        <w:t>存在的第二个问题是在</w:t>
      </w:r>
      <w:r>
        <w:rPr>
          <w:rFonts w:hint="eastAsia" w:ascii="仿宋" w:hAnsi="仿宋" w:eastAsia="仿宋"/>
          <w:color w:val="050505"/>
          <w:sz w:val="32"/>
          <w:szCs w:val="32"/>
          <w:lang w:val="en-US" w:eastAsia="zh-CN"/>
        </w:rPr>
        <w:t>2022年底编制2023年</w:t>
      </w:r>
      <w:r>
        <w:rPr>
          <w:rFonts w:hint="eastAsia" w:ascii="仿宋" w:hAnsi="仿宋" w:eastAsia="仿宋"/>
          <w:color w:val="050505"/>
          <w:sz w:val="32"/>
          <w:szCs w:val="32"/>
        </w:rPr>
        <w:t>预算科目和资金时，有</w:t>
      </w:r>
      <w:r>
        <w:rPr>
          <w:rFonts w:hint="eastAsia" w:ascii="仿宋" w:hAnsi="仿宋" w:eastAsia="仿宋"/>
          <w:color w:val="050505"/>
          <w:sz w:val="32"/>
          <w:szCs w:val="32"/>
          <w:lang w:val="en-US" w:eastAsia="zh-CN"/>
        </w:rPr>
        <w:t>些方面</w:t>
      </w:r>
      <w:r>
        <w:rPr>
          <w:rFonts w:hint="eastAsia" w:ascii="仿宋" w:hAnsi="仿宋" w:eastAsia="仿宋"/>
          <w:color w:val="050505"/>
          <w:sz w:val="32"/>
          <w:szCs w:val="32"/>
        </w:rPr>
        <w:t>预测不准，实际支出与年初预算有一些差距，需要中途对预算资金进行微调</w:t>
      </w:r>
      <w:r>
        <w:rPr>
          <w:rFonts w:hint="eastAsia" w:ascii="仿宋" w:hAnsi="仿宋" w:eastAsia="仿宋"/>
          <w:color w:val="050505"/>
          <w:sz w:val="32"/>
          <w:szCs w:val="32"/>
          <w:lang w:eastAsia="zh-CN"/>
        </w:rPr>
        <w:t>，</w:t>
      </w:r>
      <w:r>
        <w:rPr>
          <w:rFonts w:hint="eastAsia" w:ascii="仿宋" w:hAnsi="仿宋" w:eastAsia="仿宋"/>
          <w:color w:val="050505"/>
          <w:sz w:val="32"/>
          <w:szCs w:val="32"/>
          <w:lang w:val="en-US" w:eastAsia="zh-CN"/>
        </w:rPr>
        <w:t>如2022年疫情管控，差旅费支出较少，我们编制2023年预算时安排差旅费较少，但2023年疫情防控放开后，差旅费有较大增长。</w:t>
      </w:r>
      <w:r>
        <w:rPr>
          <w:rFonts w:hint="eastAsia" w:ascii="仿宋" w:hAnsi="仿宋" w:eastAsia="仿宋"/>
          <w:color w:val="050505"/>
          <w:sz w:val="32"/>
          <w:szCs w:val="32"/>
        </w:rPr>
        <w:t>我们下一步将进一步细化工作，认真测算资金使用需求，提高预算资金科目和资金量的准确率。</w:t>
      </w:r>
    </w:p>
    <w:p/>
    <w:p>
      <w:pPr>
        <w:spacing w:after="120" w:afterLines="50" w:line="600" w:lineRule="exact"/>
        <w:jc w:val="center"/>
        <w:rPr>
          <w:rFonts w:hint="default" w:ascii="Times New Roman" w:hAnsi="Times New Roman" w:eastAsia="仿宋_GB2312" w:cs="Times New Roman"/>
          <w:sz w:val="24"/>
        </w:rPr>
      </w:pPr>
      <w:r>
        <w:rPr>
          <w:rFonts w:hint="default" w:ascii="Times New Roman" w:hAnsi="Times New Roman" w:eastAsia="方正小标宋_GBK" w:cs="Times New Roman"/>
          <w:sz w:val="36"/>
          <w:szCs w:val="36"/>
        </w:rPr>
        <w:t>202</w:t>
      </w:r>
      <w:r>
        <w:rPr>
          <w:rFonts w:hint="eastAsia" w:ascii="Times New Roman" w:hAnsi="Times New Roman" w:eastAsia="方正小标宋_GBK" w:cs="Times New Roman"/>
          <w:sz w:val="36"/>
          <w:szCs w:val="36"/>
          <w:lang w:val="en-US" w:eastAsia="zh-CN"/>
        </w:rPr>
        <w:t>3</w:t>
      </w:r>
      <w:r>
        <w:rPr>
          <w:rFonts w:hint="default" w:ascii="Times New Roman" w:hAnsi="Times New Roman" w:eastAsia="方正小标宋_GBK" w:cs="Times New Roman"/>
          <w:sz w:val="36"/>
          <w:szCs w:val="36"/>
        </w:rPr>
        <w:t>年</w:t>
      </w:r>
      <w:r>
        <w:rPr>
          <w:rFonts w:hint="eastAsia" w:ascii="Times New Roman" w:hAnsi="Times New Roman" w:eastAsia="方正小标宋_GBK" w:cs="Times New Roman"/>
          <w:sz w:val="36"/>
          <w:szCs w:val="36"/>
          <w:lang w:eastAsia="zh-CN"/>
        </w:rPr>
        <w:t>度</w:t>
      </w:r>
      <w:r>
        <w:rPr>
          <w:rFonts w:hint="default" w:ascii="Times New Roman" w:hAnsi="Times New Roman" w:eastAsia="方正小标宋_GBK" w:cs="Times New Roman"/>
          <w:sz w:val="36"/>
          <w:szCs w:val="36"/>
        </w:rPr>
        <w:t>部门整体支出绩效评价基础数据表</w:t>
      </w:r>
    </w:p>
    <w:tbl>
      <w:tblPr>
        <w:tblStyle w:val="8"/>
        <w:tblW w:w="9673" w:type="dxa"/>
        <w:jc w:val="center"/>
        <w:tblInd w:w="0" w:type="dxa"/>
        <w:tblLayout w:type="fixed"/>
        <w:tblCellMar>
          <w:top w:w="0" w:type="dxa"/>
          <w:left w:w="108" w:type="dxa"/>
          <w:bottom w:w="0" w:type="dxa"/>
          <w:right w:w="108" w:type="dxa"/>
        </w:tblCellMar>
      </w:tblPr>
      <w:tblGrid>
        <w:gridCol w:w="3354"/>
        <w:gridCol w:w="1189"/>
        <w:gridCol w:w="849"/>
        <w:gridCol w:w="1129"/>
        <w:gridCol w:w="1111"/>
        <w:gridCol w:w="1081"/>
        <w:gridCol w:w="960"/>
      </w:tblGrid>
      <w:tr>
        <w:tblPrEx>
          <w:tblLayout w:type="fixed"/>
          <w:tblCellMar>
            <w:top w:w="0" w:type="dxa"/>
            <w:left w:w="108" w:type="dxa"/>
            <w:bottom w:w="0" w:type="dxa"/>
            <w:right w:w="108" w:type="dxa"/>
          </w:tblCellMar>
        </w:tblPrEx>
        <w:trPr>
          <w:trHeight w:val="0" w:hRule="atLeast"/>
          <w:jc w:val="center"/>
        </w:trPr>
        <w:tc>
          <w:tcPr>
            <w:tcW w:w="33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财政供养人员情况（人）</w:t>
            </w: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编制数</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年实际在职人数</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2038"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16</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15</w:t>
            </w:r>
          </w:p>
        </w:tc>
        <w:tc>
          <w:tcPr>
            <w:tcW w:w="2041" w:type="dxa"/>
            <w:gridSpan w:val="2"/>
            <w:tcBorders>
              <w:top w:val="single" w:color="auto" w:sz="4" w:space="0"/>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100%</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经费控制情况（万元）</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2</w:t>
            </w:r>
            <w:r>
              <w:rPr>
                <w:rFonts w:hint="default" w:ascii="Times New Roman" w:hAnsi="Times New Roman" w:eastAsia="仿宋_GB2312" w:cs="Times New Roman"/>
                <w:b/>
                <w:bCs/>
                <w:sz w:val="20"/>
                <w:szCs w:val="20"/>
              </w:rPr>
              <w:t>年决算数</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年预算数</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b/>
                <w:bCs/>
                <w:sz w:val="20"/>
                <w:szCs w:val="20"/>
              </w:rPr>
            </w:pPr>
            <w:r>
              <w:rPr>
                <w:rFonts w:hint="default" w:ascii="Times New Roman" w:hAnsi="Times New Roman" w:eastAsia="仿宋_GB2312" w:cs="Times New Roman"/>
                <w:b/>
                <w:bCs/>
                <w:sz w:val="20"/>
                <w:szCs w:val="20"/>
              </w:rPr>
              <w:t>202</w:t>
            </w:r>
            <w:r>
              <w:rPr>
                <w:rFonts w:hint="eastAsia" w:ascii="Times New Roman" w:hAnsi="Times New Roman" w:eastAsia="仿宋_GB2312" w:cs="Times New Roman"/>
                <w:b/>
                <w:bCs/>
                <w:sz w:val="20"/>
                <w:szCs w:val="20"/>
                <w:lang w:val="en-US" w:eastAsia="zh-CN"/>
              </w:rPr>
              <w:t>3</w:t>
            </w:r>
            <w:r>
              <w:rPr>
                <w:rFonts w:hint="default" w:ascii="Times New Roman" w:hAnsi="Times New Roman" w:eastAsia="仿宋_GB2312" w:cs="Times New Roman"/>
                <w:b/>
                <w:bCs/>
                <w:sz w:val="20"/>
                <w:szCs w:val="20"/>
              </w:rPr>
              <w:t>年决算数</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三公经费</w:t>
            </w:r>
            <w:r>
              <w:rPr>
                <w:rFonts w:hint="eastAsia" w:ascii="Times New Roman" w:hAnsi="Times New Roman" w:eastAsia="仿宋_GB2312" w:cs="Times New Roman"/>
                <w:sz w:val="20"/>
                <w:szCs w:val="20"/>
                <w:lang w:val="en-US" w:eastAsia="zh-CN"/>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0.36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0.98</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1、公务用车购置和维护经费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其中：公车购置</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公车运行维护</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2、出国经费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0</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3、公务接待</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0.36</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0.98</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项目支出：</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261.11</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278.82</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167.88</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1、业务工作经费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141.89</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104.78</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139.34</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2、运行维护经费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3、省级专项资金（</w:t>
            </w:r>
            <w:r>
              <w:rPr>
                <w:rFonts w:hint="eastAsia" w:ascii="Times New Roman" w:hAnsi="Times New Roman" w:eastAsia="仿宋_GB2312" w:cs="Times New Roman"/>
                <w:sz w:val="20"/>
                <w:szCs w:val="20"/>
                <w:lang w:eastAsia="zh-CN"/>
              </w:rPr>
              <w:t>每</w:t>
            </w:r>
            <w:r>
              <w:rPr>
                <w:rFonts w:hint="default" w:ascii="Times New Roman" w:hAnsi="Times New Roman" w:eastAsia="仿宋_GB2312" w:cs="Times New Roman"/>
                <w:sz w:val="20"/>
                <w:szCs w:val="20"/>
              </w:rPr>
              <w:t>个专项一行）</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119.22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174.04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167.88</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农业生产发展</w:t>
            </w:r>
            <w:r>
              <w:rPr>
                <w:rFonts w:hint="default" w:ascii="Times New Roman" w:hAnsi="Times New Roman" w:eastAsia="仿宋_GB2312" w:cs="Times New Roman"/>
                <w:sz w:val="20"/>
                <w:szCs w:val="20"/>
              </w:rPr>
              <w:t>……</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119.22</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174.04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167.88</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公用经费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44.94</w:t>
            </w:r>
            <w:r>
              <w:rPr>
                <w:rFonts w:hint="default" w:ascii="Times New Roman" w:hAnsi="Times New Roman" w:eastAsia="仿宋_GB2312" w:cs="Times New Roman"/>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50</w:t>
            </w: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49.98</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其中：办公经费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0.4</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38.44</w:t>
            </w:r>
            <w:r>
              <w:rPr>
                <w:rFonts w:hint="default" w:ascii="Times New Roman" w:hAnsi="Times New Roman" w:eastAsia="仿宋_GB2312" w:cs="Times New Roman"/>
                <w:color w:val="000000"/>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38.44</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水费、电费、差旅费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3.1</w:t>
            </w:r>
            <w:r>
              <w:rPr>
                <w:rFonts w:hint="default" w:ascii="Times New Roman" w:hAnsi="Times New Roman" w:eastAsia="仿宋_GB2312" w:cs="Times New Roman"/>
                <w:color w:val="00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3.1</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3.1</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          会议费、培训费</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4.88</w:t>
            </w:r>
            <w:r>
              <w:rPr>
                <w:rFonts w:hint="default" w:ascii="Times New Roman" w:hAnsi="Times New Roman" w:eastAsia="仿宋_GB2312" w:cs="Times New Roman"/>
                <w:color w:val="000000"/>
                <w:sz w:val="20"/>
                <w:szCs w:val="20"/>
              </w:rPr>
              <w:t>　</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4.4</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4.4</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政府采购金额</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184.06</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xml:space="preserve">部门基本支出预算调整 </w:t>
            </w:r>
          </w:p>
        </w:tc>
        <w:tc>
          <w:tcPr>
            <w:tcW w:w="2038"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w:t>
            </w:r>
          </w:p>
        </w:tc>
        <w:tc>
          <w:tcPr>
            <w:tcW w:w="2240"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c>
          <w:tcPr>
            <w:tcW w:w="2041" w:type="dxa"/>
            <w:gridSpan w:val="2"/>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10.9</w:t>
            </w: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vMerge w:val="restart"/>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楼堂馆所控制情况</w:t>
            </w:r>
            <w:r>
              <w:rPr>
                <w:rFonts w:hint="default" w:ascii="Times New Roman" w:hAnsi="Times New Roman" w:eastAsia="仿宋_GB2312" w:cs="Times New Roman"/>
                <w:sz w:val="20"/>
                <w:szCs w:val="20"/>
              </w:rPr>
              <w:br w:type="textWrapping"/>
            </w:r>
            <w:r>
              <w:rPr>
                <w:rFonts w:hint="default" w:ascii="Times New Roman" w:hAnsi="Times New Roman" w:eastAsia="仿宋_GB2312" w:cs="Times New Roman"/>
                <w:sz w:val="20"/>
                <w:szCs w:val="20"/>
              </w:rPr>
              <w:t>（202</w:t>
            </w:r>
            <w:r>
              <w:rPr>
                <w:rFonts w:hint="eastAsia" w:ascii="Times New Roman" w:hAnsi="Times New Roman" w:eastAsia="仿宋_GB2312" w:cs="Times New Roman"/>
                <w:sz w:val="20"/>
                <w:szCs w:val="20"/>
                <w:lang w:val="en-US" w:eastAsia="zh-CN"/>
              </w:rPr>
              <w:t>3</w:t>
            </w:r>
            <w:r>
              <w:rPr>
                <w:rFonts w:hint="default" w:ascii="Times New Roman" w:hAnsi="Times New Roman" w:eastAsia="仿宋_GB2312" w:cs="Times New Roman"/>
                <w:sz w:val="20"/>
                <w:szCs w:val="20"/>
              </w:rPr>
              <w:t>年完工项目）</w:t>
            </w: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批复规模</w:t>
            </w:r>
            <w:r>
              <w:rPr>
                <w:rFonts w:hint="default" w:ascii="Times New Roman" w:hAnsi="Times New Roman" w:eastAsia="仿宋_GB2312" w:cs="Times New Roman"/>
                <w:bCs/>
                <w:sz w:val="20"/>
                <w:szCs w:val="20"/>
              </w:rPr>
              <w:br w:type="textWrapping"/>
            </w:r>
            <w:r>
              <w:rPr>
                <w:rFonts w:hint="default" w:ascii="Times New Roman" w:hAnsi="Times New Roman" w:eastAsia="仿宋_GB2312" w:cs="Times New Roman"/>
                <w:bCs/>
                <w:sz w:val="20"/>
                <w:szCs w:val="20"/>
              </w:rPr>
              <w:t>（</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84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实际规模（</w:t>
            </w:r>
            <w:r>
              <w:rPr>
                <w:rFonts w:hint="default" w:ascii="Times New Roman" w:hAnsi="Times New Roman" w:cs="Times New Roman"/>
                <w:bCs/>
                <w:sz w:val="20"/>
                <w:szCs w:val="20"/>
              </w:rPr>
              <w:t>㎡</w:t>
            </w:r>
            <w:r>
              <w:rPr>
                <w:rFonts w:hint="default" w:ascii="Times New Roman" w:hAnsi="Times New Roman" w:eastAsia="仿宋_GB2312" w:cs="Times New Roman"/>
                <w:bCs/>
                <w:sz w:val="20"/>
                <w:szCs w:val="20"/>
              </w:rPr>
              <w:t>）</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规模控制率</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预算投资（万元）</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实际投资（万元）</w:t>
            </w:r>
          </w:p>
        </w:tc>
        <w:tc>
          <w:tcPr>
            <w:tcW w:w="960" w:type="dxa"/>
            <w:tcBorders>
              <w:top w:val="nil"/>
              <w:left w:val="nil"/>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bCs/>
                <w:sz w:val="20"/>
                <w:szCs w:val="20"/>
              </w:rPr>
            </w:pPr>
            <w:r>
              <w:rPr>
                <w:rFonts w:hint="default" w:ascii="Times New Roman" w:hAnsi="Times New Roman" w:eastAsia="仿宋_GB2312" w:cs="Times New Roman"/>
                <w:bCs/>
                <w:sz w:val="20"/>
                <w:szCs w:val="20"/>
              </w:rPr>
              <w:t>投资概算控制率</w:t>
            </w:r>
          </w:p>
        </w:tc>
      </w:tr>
      <w:tr>
        <w:tblPrEx>
          <w:tblLayout w:type="fixed"/>
          <w:tblCellMar>
            <w:top w:w="0" w:type="dxa"/>
            <w:left w:w="108" w:type="dxa"/>
            <w:bottom w:w="0" w:type="dxa"/>
            <w:right w:w="108" w:type="dxa"/>
          </w:tblCellMar>
        </w:tblPrEx>
        <w:trPr>
          <w:trHeight w:val="0" w:hRule="atLeast"/>
          <w:jc w:val="center"/>
        </w:trPr>
        <w:tc>
          <w:tcPr>
            <w:tcW w:w="3354" w:type="dxa"/>
            <w:vMerge w:val="continue"/>
            <w:tcBorders>
              <w:top w:val="nil"/>
              <w:left w:val="single" w:color="auto" w:sz="4" w:space="0"/>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p>
        </w:tc>
        <w:tc>
          <w:tcPr>
            <w:tcW w:w="1189" w:type="dxa"/>
            <w:tcBorders>
              <w:top w:val="nil"/>
              <w:left w:val="nil"/>
              <w:bottom w:val="single" w:color="auto" w:sz="4" w:space="0"/>
              <w:right w:val="single" w:color="auto" w:sz="4" w:space="0"/>
            </w:tcBorders>
            <w:noWrap w:val="0"/>
            <w:vAlign w:val="center"/>
          </w:tcPr>
          <w:p>
            <w:pPr>
              <w:widowControl/>
              <w:spacing w:line="360" w:lineRule="exact"/>
              <w:jc w:val="center"/>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84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1129"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p>
        </w:tc>
        <w:tc>
          <w:tcPr>
            <w:tcW w:w="111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1081" w:type="dxa"/>
            <w:tcBorders>
              <w:top w:val="nil"/>
              <w:left w:val="nil"/>
              <w:bottom w:val="single" w:color="auto" w:sz="4" w:space="0"/>
              <w:right w:val="single" w:color="auto" w:sz="4" w:space="0"/>
            </w:tcBorders>
            <w:noWrap w:val="0"/>
            <w:vAlign w:val="center"/>
          </w:tcPr>
          <w:p>
            <w:pPr>
              <w:widowControl/>
              <w:spacing w:line="360" w:lineRule="exact"/>
              <w:jc w:val="left"/>
              <w:rPr>
                <w:rFonts w:hint="eastAsia" w:ascii="Times New Roman" w:hAnsi="Times New Roman" w:eastAsia="仿宋_GB2312" w:cs="Times New Roman"/>
                <w:sz w:val="20"/>
                <w:szCs w:val="20"/>
                <w:lang w:val="en-US" w:eastAsia="zh-CN"/>
              </w:rPr>
            </w:pPr>
            <w:r>
              <w:rPr>
                <w:rFonts w:hint="default" w:ascii="Times New Roman" w:hAnsi="Times New Roman" w:eastAsia="仿宋_GB2312" w:cs="Times New Roman"/>
                <w:sz w:val="20"/>
                <w:szCs w:val="20"/>
              </w:rPr>
              <w:t>　</w:t>
            </w:r>
            <w:r>
              <w:rPr>
                <w:rFonts w:hint="eastAsia" w:ascii="Times New Roman" w:hAnsi="Times New Roman" w:eastAsia="仿宋_GB2312" w:cs="Times New Roman"/>
                <w:sz w:val="20"/>
                <w:szCs w:val="20"/>
                <w:lang w:val="en-US" w:eastAsia="zh-CN"/>
              </w:rPr>
              <w:t>0</w:t>
            </w:r>
          </w:p>
        </w:tc>
        <w:tc>
          <w:tcPr>
            <w:tcW w:w="960" w:type="dxa"/>
            <w:tcBorders>
              <w:top w:val="nil"/>
              <w:left w:val="nil"/>
              <w:bottom w:val="single" w:color="auto" w:sz="4" w:space="0"/>
              <w:right w:val="single" w:color="auto" w:sz="4" w:space="0"/>
            </w:tcBorders>
            <w:noWrap w:val="0"/>
            <w:vAlign w:val="center"/>
          </w:tcPr>
          <w:p>
            <w:pPr>
              <w:widowControl/>
              <w:spacing w:line="360" w:lineRule="exact"/>
              <w:jc w:val="left"/>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　</w:t>
            </w:r>
          </w:p>
        </w:tc>
      </w:tr>
      <w:tr>
        <w:tblPrEx>
          <w:tblLayout w:type="fixed"/>
          <w:tblCellMar>
            <w:top w:w="0" w:type="dxa"/>
            <w:left w:w="108" w:type="dxa"/>
            <w:bottom w:w="0" w:type="dxa"/>
            <w:right w:w="108" w:type="dxa"/>
          </w:tblCellMar>
        </w:tblPrEx>
        <w:trPr>
          <w:trHeight w:val="0" w:hRule="atLeast"/>
          <w:jc w:val="center"/>
        </w:trPr>
        <w:tc>
          <w:tcPr>
            <w:tcW w:w="3354" w:type="dxa"/>
            <w:tcBorders>
              <w:top w:val="nil"/>
              <w:left w:val="single" w:color="auto" w:sz="4" w:space="0"/>
              <w:bottom w:val="single" w:color="auto" w:sz="4" w:space="0"/>
              <w:right w:val="single" w:color="auto"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厉行节约保障措施</w:t>
            </w:r>
          </w:p>
        </w:tc>
        <w:tc>
          <w:tcPr>
            <w:tcW w:w="6319" w:type="dxa"/>
            <w:gridSpan w:val="6"/>
            <w:tcBorders>
              <w:top w:val="single" w:color="auto" w:sz="4" w:space="0"/>
              <w:left w:val="nil"/>
              <w:bottom w:val="single" w:color="auto" w:sz="4" w:space="0"/>
              <w:right w:val="single" w:color="000000" w:sz="4" w:space="0"/>
            </w:tcBorders>
            <w:noWrap w:val="0"/>
            <w:vAlign w:val="center"/>
          </w:tcPr>
          <w:p>
            <w:pPr>
              <w:widowControl/>
              <w:spacing w:line="36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val="en-US" w:eastAsia="zh-CN"/>
              </w:rPr>
              <w:t>严格实行费用支出事前申报，事后审批制度，从严控制三公经费，控制公务用车费、办公费等。</w:t>
            </w:r>
            <w:r>
              <w:rPr>
                <w:rFonts w:hint="default" w:ascii="Times New Roman" w:hAnsi="Times New Roman" w:eastAsia="仿宋_GB2312" w:cs="Times New Roman"/>
                <w:sz w:val="20"/>
                <w:szCs w:val="20"/>
              </w:rPr>
              <w:t>　</w:t>
            </w:r>
          </w:p>
        </w:tc>
      </w:tr>
    </w:tbl>
    <w:p>
      <w:pPr>
        <w:widowControl/>
        <w:spacing w:afterLines="0" w:line="400" w:lineRule="exact"/>
        <w:jc w:val="left"/>
        <w:rPr>
          <w:rFonts w:hint="default" w:ascii="Times New Roman" w:hAnsi="Times New Roman" w:eastAsia="仿宋_GB2312" w:cs="Times New Roman"/>
          <w:sz w:val="22"/>
        </w:rPr>
      </w:pPr>
      <w:r>
        <w:rPr>
          <w:rFonts w:hint="default" w:ascii="Times New Roman" w:hAnsi="Times New Roman" w:eastAsia="仿宋_GB2312" w:cs="Times New Roman"/>
          <w:sz w:val="22"/>
        </w:rPr>
        <w:t>说明：“项目支出”需要填报基本支出以外的所有项目支出情况，“公用经费”填报基本支出中的一般商品和服务支出。</w:t>
      </w:r>
    </w:p>
    <w:p>
      <w:pPr>
        <w:widowControl/>
        <w:spacing w:afterLines="0" w:line="400" w:lineRule="exact"/>
        <w:jc w:val="left"/>
        <w:rPr>
          <w:rFonts w:hint="default" w:ascii="Times New Roman" w:hAnsi="Times New Roman" w:eastAsia="仿宋_GB2312" w:cs="Times New Roman"/>
          <w:sz w:val="22"/>
        </w:rPr>
      </w:pPr>
    </w:p>
    <w:p>
      <w:pPr>
        <w:widowControl/>
        <w:spacing w:after="0" w:afterLines="0" w:line="400" w:lineRule="exact"/>
        <w:jc w:val="left"/>
        <w:rPr>
          <w:rFonts w:hint="eastAsia" w:ascii="Times New Roman" w:hAnsi="Times New Roman" w:eastAsia="黑体" w:cs="Times New Roman"/>
          <w:sz w:val="32"/>
          <w:szCs w:val="32"/>
          <w:lang w:eastAsia="zh-CN"/>
        </w:rPr>
      </w:pPr>
      <w:r>
        <w:rPr>
          <w:rFonts w:hint="default" w:ascii="Times New Roman" w:hAnsi="Times New Roman" w:eastAsia="仿宋_GB2312" w:cs="Times New Roman"/>
          <w:sz w:val="22"/>
        </w:rPr>
        <w:t>填表人：        填报日期：          联系电话：            单位负责人签字：</w:t>
      </w:r>
      <w:r>
        <w:rPr>
          <w:rFonts w:hint="default" w:ascii="Times New Roman" w:hAnsi="Times New Roman" w:eastAsia="仿宋_GB2312" w:cs="Times New Roman"/>
          <w:sz w:val="22"/>
        </w:rPr>
        <w:br w:type="page"/>
      </w:r>
    </w:p>
    <w:p>
      <w:pPr>
        <w:widowControl/>
        <w:spacing w:after="120" w:afterLines="50"/>
        <w:jc w:val="center"/>
        <w:rPr>
          <w:rFonts w:hint="default" w:ascii="Times New Roman" w:hAnsi="Times New Roman" w:eastAsia="方正小标宋_GBK" w:cs="Times New Roman"/>
          <w:color w:val="000000"/>
          <w:sz w:val="36"/>
          <w:szCs w:val="36"/>
        </w:rPr>
      </w:pPr>
      <w:r>
        <w:rPr>
          <w:rFonts w:hint="default" w:ascii="Times New Roman" w:hAnsi="Times New Roman" w:eastAsia="方正小标宋_GBK" w:cs="Times New Roman"/>
          <w:color w:val="000000"/>
          <w:sz w:val="36"/>
          <w:szCs w:val="36"/>
        </w:rPr>
        <w:t>202</w:t>
      </w:r>
      <w:r>
        <w:rPr>
          <w:rFonts w:hint="eastAsia" w:ascii="Times New Roman" w:hAnsi="Times New Roman" w:eastAsia="方正小标宋_GBK" w:cs="Times New Roman"/>
          <w:color w:val="000000"/>
          <w:sz w:val="36"/>
          <w:szCs w:val="36"/>
          <w:lang w:val="en-US" w:eastAsia="zh-CN"/>
        </w:rPr>
        <w:t>3</w:t>
      </w:r>
      <w:r>
        <w:rPr>
          <w:rFonts w:hint="default" w:ascii="Times New Roman" w:hAnsi="Times New Roman" w:eastAsia="方正小标宋_GBK" w:cs="Times New Roman"/>
          <w:color w:val="000000"/>
          <w:sz w:val="36"/>
          <w:szCs w:val="36"/>
        </w:rPr>
        <w:t>年</w:t>
      </w:r>
      <w:r>
        <w:rPr>
          <w:rFonts w:hint="eastAsia" w:ascii="Times New Roman" w:hAnsi="Times New Roman" w:eastAsia="方正小标宋_GBK" w:cs="Times New Roman"/>
          <w:color w:val="000000"/>
          <w:sz w:val="36"/>
          <w:szCs w:val="36"/>
          <w:lang w:eastAsia="zh-CN"/>
        </w:rPr>
        <w:t>度</w:t>
      </w:r>
      <w:r>
        <w:rPr>
          <w:rFonts w:hint="default" w:ascii="Times New Roman" w:hAnsi="Times New Roman" w:eastAsia="方正小标宋_GBK" w:cs="Times New Roman"/>
          <w:color w:val="000000"/>
          <w:sz w:val="36"/>
          <w:szCs w:val="36"/>
        </w:rPr>
        <w:t>部门整体支出绩效自评表</w:t>
      </w:r>
    </w:p>
    <w:tbl>
      <w:tblPr>
        <w:tblStyle w:val="8"/>
        <w:tblW w:w="10079" w:type="dxa"/>
        <w:jc w:val="center"/>
        <w:tblInd w:w="-567" w:type="dxa"/>
        <w:tblLayout w:type="fixed"/>
        <w:tblCellMar>
          <w:top w:w="0" w:type="dxa"/>
          <w:left w:w="108" w:type="dxa"/>
          <w:bottom w:w="0" w:type="dxa"/>
          <w:right w:w="108" w:type="dxa"/>
        </w:tblCellMar>
      </w:tblPr>
      <w:tblGrid>
        <w:gridCol w:w="1080"/>
        <w:gridCol w:w="1080"/>
        <w:gridCol w:w="1034"/>
        <w:gridCol w:w="1270"/>
        <w:gridCol w:w="1221"/>
        <w:gridCol w:w="1230"/>
        <w:gridCol w:w="740"/>
        <w:gridCol w:w="630"/>
        <w:gridCol w:w="1794"/>
      </w:tblGrid>
      <w:tr>
        <w:tblPrEx>
          <w:tblLayout w:type="fixed"/>
          <w:tblCellMar>
            <w:top w:w="0" w:type="dxa"/>
            <w:left w:w="108" w:type="dxa"/>
            <w:bottom w:w="0" w:type="dxa"/>
            <w:right w:w="108" w:type="dxa"/>
          </w:tblCellMar>
        </w:tblPrEx>
        <w:trPr>
          <w:trHeight w:val="415" w:hRule="atLeast"/>
          <w:jc w:val="center"/>
        </w:trPr>
        <w:tc>
          <w:tcPr>
            <w:tcW w:w="3194"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省级预算部门</w:t>
            </w:r>
            <w:r>
              <w:rPr>
                <w:rFonts w:hint="eastAsia" w:ascii="Times New Roman" w:hAnsi="Times New Roman" w:eastAsia="仿宋_GB2312" w:cs="Times New Roman"/>
                <w:color w:val="000000"/>
                <w:sz w:val="20"/>
                <w:szCs w:val="20"/>
                <w:lang w:eastAsia="zh-CN"/>
              </w:rPr>
              <w:t>、单位</w:t>
            </w:r>
            <w:r>
              <w:rPr>
                <w:rFonts w:hint="default" w:ascii="Times New Roman" w:hAnsi="Times New Roman" w:eastAsia="仿宋_GB2312" w:cs="Times New Roman"/>
                <w:color w:val="000000"/>
                <w:sz w:val="20"/>
                <w:szCs w:val="20"/>
              </w:rPr>
              <w:t>名称</w:t>
            </w:r>
          </w:p>
        </w:tc>
        <w:tc>
          <w:tcPr>
            <w:tcW w:w="6885" w:type="dxa"/>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val="en-US" w:eastAsia="zh-CN"/>
              </w:rPr>
              <w:t>湖南省绿色食品办公室</w:t>
            </w: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415" w:hRule="atLeast"/>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年度预</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算申请</w:t>
            </w:r>
            <w:r>
              <w:rPr>
                <w:rFonts w:hint="default" w:ascii="Times New Roman" w:hAnsi="Times New Roman" w:eastAsia="仿宋_GB2312" w:cs="Times New Roman"/>
                <w:color w:val="000000"/>
                <w:sz w:val="20"/>
                <w:szCs w:val="20"/>
              </w:rPr>
              <w:br w:type="textWrapping"/>
            </w:r>
            <w:r>
              <w:rPr>
                <w:rFonts w:hint="default" w:ascii="Times New Roman" w:hAnsi="Times New Roman" w:eastAsia="仿宋_GB2312" w:cs="Times New Roman"/>
                <w:color w:val="000000"/>
                <w:sz w:val="20"/>
                <w:szCs w:val="20"/>
              </w:rPr>
              <w:t>（万元）</w:t>
            </w: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年初预算数</w:t>
            </w:r>
          </w:p>
        </w:tc>
        <w:tc>
          <w:tcPr>
            <w:tcW w:w="122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全年预算数</w:t>
            </w:r>
          </w:p>
        </w:tc>
        <w:tc>
          <w:tcPr>
            <w:tcW w:w="123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全年执行数</w:t>
            </w:r>
          </w:p>
        </w:tc>
        <w:tc>
          <w:tcPr>
            <w:tcW w:w="74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分值</w:t>
            </w:r>
          </w:p>
        </w:tc>
        <w:tc>
          <w:tcPr>
            <w:tcW w:w="63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sz w:val="20"/>
                <w:szCs w:val="20"/>
              </w:rPr>
              <w:t>执行率</w:t>
            </w:r>
          </w:p>
        </w:tc>
        <w:tc>
          <w:tcPr>
            <w:tcW w:w="179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eastAsia" w:ascii="Times New Roman" w:hAnsi="Times New Roman" w:eastAsia="仿宋_GB2312" w:cs="Times New Roman"/>
                <w:sz w:val="20"/>
                <w:szCs w:val="20"/>
                <w:lang w:eastAsia="zh-CN"/>
              </w:rPr>
              <w:t>自评</w:t>
            </w:r>
            <w:r>
              <w:rPr>
                <w:rFonts w:hint="default" w:ascii="Times New Roman" w:hAnsi="Times New Roman" w:eastAsia="仿宋_GB2312" w:cs="Times New Roman"/>
                <w:sz w:val="20"/>
                <w:szCs w:val="20"/>
              </w:rPr>
              <w:t>得分</w:t>
            </w:r>
          </w:p>
        </w:tc>
      </w:tr>
      <w:tr>
        <w:tblPrEx>
          <w:tblLayout w:type="fixed"/>
          <w:tblCellMar>
            <w:top w:w="0" w:type="dxa"/>
            <w:left w:w="108" w:type="dxa"/>
            <w:bottom w:w="0" w:type="dxa"/>
            <w:right w:w="108" w:type="dxa"/>
          </w:tblCellMar>
        </w:tblPrEx>
        <w:trPr>
          <w:trHeight w:val="355" w:hRule="atLeast"/>
          <w:jc w:val="center"/>
        </w:trPr>
        <w:tc>
          <w:tcPr>
            <w:tcW w:w="1080" w:type="dxa"/>
            <w:vMerge w:val="continue"/>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2114"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color w:val="000000"/>
                <w:sz w:val="20"/>
                <w:szCs w:val="20"/>
              </w:rPr>
              <w:t>年度资金总额</w:t>
            </w:r>
          </w:p>
        </w:tc>
        <w:tc>
          <w:tcPr>
            <w:tcW w:w="127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697.61</w:t>
            </w:r>
          </w:p>
        </w:tc>
        <w:tc>
          <w:tcPr>
            <w:tcW w:w="1221"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767.96</w:t>
            </w:r>
          </w:p>
        </w:tc>
        <w:tc>
          <w:tcPr>
            <w:tcW w:w="123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719.29</w:t>
            </w:r>
          </w:p>
        </w:tc>
        <w:tc>
          <w:tcPr>
            <w:tcW w:w="74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rPr>
            </w:pPr>
            <w:r>
              <w:rPr>
                <w:rFonts w:hint="default" w:ascii="Times New Roman" w:hAnsi="Times New Roman" w:eastAsia="仿宋_GB2312" w:cs="Times New Roman"/>
                <w:b/>
                <w:bCs/>
                <w:sz w:val="20"/>
                <w:szCs w:val="20"/>
              </w:rPr>
              <w:t>10</w:t>
            </w:r>
          </w:p>
        </w:tc>
        <w:tc>
          <w:tcPr>
            <w:tcW w:w="630"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93.66%</w:t>
            </w:r>
          </w:p>
        </w:tc>
        <w:tc>
          <w:tcPr>
            <w:tcW w:w="1794" w:type="dxa"/>
            <w:tcBorders>
              <w:top w:val="nil"/>
              <w:left w:val="nil"/>
              <w:bottom w:val="single" w:color="auto" w:sz="4" w:space="0"/>
              <w:right w:val="single" w:color="auto" w:sz="4" w:space="0"/>
            </w:tcBorders>
            <w:noWrap w:val="0"/>
            <w:vAlign w:val="center"/>
          </w:tcPr>
          <w:p>
            <w:pPr>
              <w:spacing w:line="240" w:lineRule="exact"/>
              <w:jc w:val="center"/>
              <w:rPr>
                <w:rFonts w:hint="default" w:ascii="Times New Roman" w:hAnsi="Times New Roman" w:eastAsia="仿宋_GB2312" w:cs="Times New Roman"/>
                <w:sz w:val="20"/>
                <w:szCs w:val="20"/>
                <w:lang w:val="en-US" w:eastAsia="zh-CN"/>
              </w:rPr>
            </w:pPr>
            <w:r>
              <w:rPr>
                <w:rFonts w:hint="eastAsia" w:ascii="Times New Roman" w:hAnsi="Times New Roman" w:eastAsia="仿宋_GB2312" w:cs="Times New Roman"/>
                <w:sz w:val="20"/>
                <w:szCs w:val="20"/>
                <w:lang w:val="en-US" w:eastAsia="zh-CN"/>
              </w:rPr>
              <w:t>9.8</w:t>
            </w:r>
          </w:p>
        </w:tc>
      </w:tr>
      <w:tr>
        <w:tblPrEx>
          <w:tblLayout w:type="fixed"/>
          <w:tblCellMar>
            <w:top w:w="0" w:type="dxa"/>
            <w:left w:w="108" w:type="dxa"/>
            <w:bottom w:w="0" w:type="dxa"/>
            <w:right w:w="108" w:type="dxa"/>
          </w:tblCellMar>
        </w:tblPrEx>
        <w:trPr>
          <w:trHeight w:val="37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0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按收入性质分：</w:t>
            </w:r>
          </w:p>
        </w:tc>
        <w:tc>
          <w:tcPr>
            <w:tcW w:w="439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按支出性质分：</w:t>
            </w:r>
          </w:p>
        </w:tc>
      </w:tr>
      <w:tr>
        <w:tblPrEx>
          <w:tblLayout w:type="fixed"/>
          <w:tblCellMar>
            <w:top w:w="0" w:type="dxa"/>
            <w:left w:w="108" w:type="dxa"/>
            <w:bottom w:w="0" w:type="dxa"/>
            <w:right w:w="108" w:type="dxa"/>
          </w:tblCellMar>
        </w:tblPrEx>
        <w:trPr>
          <w:trHeight w:val="325"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0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xml:space="preserve">  其中：  一般公共预算：</w:t>
            </w:r>
            <w:r>
              <w:rPr>
                <w:rFonts w:hint="eastAsia" w:ascii="Times New Roman" w:hAnsi="Times New Roman" w:eastAsia="仿宋_GB2312" w:cs="Times New Roman"/>
                <w:color w:val="000000"/>
                <w:sz w:val="20"/>
                <w:szCs w:val="20"/>
                <w:lang w:val="en-US" w:eastAsia="zh-CN"/>
              </w:rPr>
              <w:t>592.83</w:t>
            </w:r>
          </w:p>
        </w:tc>
        <w:tc>
          <w:tcPr>
            <w:tcW w:w="439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其中：基本支出：</w:t>
            </w:r>
            <w:r>
              <w:rPr>
                <w:rFonts w:hint="eastAsia" w:ascii="Times New Roman" w:hAnsi="Times New Roman" w:eastAsia="仿宋_GB2312" w:cs="Times New Roman"/>
                <w:color w:val="000000"/>
                <w:sz w:val="20"/>
                <w:szCs w:val="20"/>
                <w:lang w:val="en-US" w:eastAsia="zh-CN"/>
              </w:rPr>
              <w:t>418.79</w:t>
            </w:r>
          </w:p>
        </w:tc>
      </w:tr>
      <w:tr>
        <w:tblPrEx>
          <w:tblLayout w:type="fixed"/>
          <w:tblCellMar>
            <w:top w:w="0" w:type="dxa"/>
            <w:left w:w="108" w:type="dxa"/>
            <w:bottom w:w="0" w:type="dxa"/>
            <w:right w:w="108" w:type="dxa"/>
          </w:tblCellMar>
        </w:tblPrEx>
        <w:trPr>
          <w:trHeight w:val="310"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05" w:type="dxa"/>
            <w:gridSpan w:val="4"/>
            <w:tcBorders>
              <w:top w:val="nil"/>
              <w:left w:val="nil"/>
              <w:bottom w:val="single" w:color="auto" w:sz="4" w:space="0"/>
              <w:right w:val="single" w:color="auto" w:sz="4" w:space="0"/>
            </w:tcBorders>
            <w:noWrap w:val="0"/>
            <w:vAlign w:val="center"/>
          </w:tcPr>
          <w:p>
            <w:pPr>
              <w:widowControl/>
              <w:spacing w:line="240" w:lineRule="exact"/>
              <w:ind w:firstLine="800" w:firstLineChars="400"/>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政府性基金拨款：</w:t>
            </w:r>
          </w:p>
        </w:tc>
        <w:tc>
          <w:tcPr>
            <w:tcW w:w="4394" w:type="dxa"/>
            <w:gridSpan w:val="4"/>
            <w:tcBorders>
              <w:top w:val="nil"/>
              <w:left w:val="nil"/>
              <w:bottom w:val="single" w:color="auto" w:sz="4" w:space="0"/>
              <w:right w:val="single" w:color="auto" w:sz="4" w:space="0"/>
            </w:tcBorders>
            <w:noWrap w:val="0"/>
            <w:vAlign w:val="center"/>
          </w:tcPr>
          <w:p>
            <w:pPr>
              <w:widowControl/>
              <w:spacing w:line="240" w:lineRule="exact"/>
              <w:ind w:firstLine="600" w:firstLineChars="3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项目支出：</w:t>
            </w:r>
            <w:r>
              <w:rPr>
                <w:rFonts w:hint="eastAsia" w:ascii="Times New Roman" w:hAnsi="Times New Roman" w:eastAsia="仿宋_GB2312" w:cs="Times New Roman"/>
                <w:color w:val="000000"/>
                <w:sz w:val="20"/>
                <w:szCs w:val="20"/>
                <w:lang w:val="en-US" w:eastAsia="zh-CN"/>
              </w:rPr>
              <w:t>278.82</w:t>
            </w:r>
          </w:p>
        </w:tc>
      </w:tr>
      <w:tr>
        <w:tblPrEx>
          <w:tblLayout w:type="fixed"/>
          <w:tblCellMar>
            <w:top w:w="0" w:type="dxa"/>
            <w:left w:w="108" w:type="dxa"/>
            <w:bottom w:w="0" w:type="dxa"/>
            <w:right w:w="108" w:type="dxa"/>
          </w:tblCellMar>
        </w:tblPrEx>
        <w:trPr>
          <w:trHeight w:val="355" w:hRule="atLeast"/>
          <w:jc w:val="center"/>
        </w:trPr>
        <w:tc>
          <w:tcPr>
            <w:tcW w:w="1080" w:type="dxa"/>
            <w:vMerge w:val="continue"/>
            <w:tcBorders>
              <w:left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05"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纳入专户管理的非税收入拨款：</w:t>
            </w:r>
          </w:p>
        </w:tc>
        <w:tc>
          <w:tcPr>
            <w:tcW w:w="439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330" w:hRule="atLeast"/>
          <w:jc w:val="center"/>
        </w:trPr>
        <w:tc>
          <w:tcPr>
            <w:tcW w:w="1080"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05" w:type="dxa"/>
            <w:gridSpan w:val="4"/>
            <w:tcBorders>
              <w:top w:val="nil"/>
              <w:left w:val="nil"/>
              <w:bottom w:val="single" w:color="auto" w:sz="4" w:space="0"/>
              <w:right w:val="single" w:color="auto" w:sz="4" w:space="0"/>
            </w:tcBorders>
            <w:noWrap w:val="0"/>
            <w:vAlign w:val="center"/>
          </w:tcPr>
          <w:p>
            <w:pPr>
              <w:widowControl/>
              <w:spacing w:line="240" w:lineRule="exact"/>
              <w:ind w:firstLine="1400" w:firstLineChars="700"/>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其他资金：</w:t>
            </w:r>
            <w:r>
              <w:rPr>
                <w:rFonts w:hint="eastAsia" w:ascii="Times New Roman" w:hAnsi="Times New Roman" w:eastAsia="仿宋_GB2312" w:cs="Times New Roman"/>
                <w:color w:val="000000"/>
                <w:sz w:val="20"/>
                <w:szCs w:val="20"/>
                <w:lang w:val="en-US" w:eastAsia="zh-CN"/>
              </w:rPr>
              <w:t>104.78</w:t>
            </w:r>
          </w:p>
        </w:tc>
        <w:tc>
          <w:tcPr>
            <w:tcW w:w="4394"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r>
      <w:tr>
        <w:tblPrEx>
          <w:tblLayout w:type="fixed"/>
          <w:tblCellMar>
            <w:top w:w="0" w:type="dxa"/>
            <w:left w:w="108" w:type="dxa"/>
            <w:bottom w:w="0" w:type="dxa"/>
            <w:right w:w="108" w:type="dxa"/>
          </w:tblCellMar>
        </w:tblPrEx>
        <w:trPr>
          <w:trHeight w:val="435" w:hRule="atLeast"/>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年度总体目标</w:t>
            </w:r>
          </w:p>
        </w:tc>
        <w:tc>
          <w:tcPr>
            <w:tcW w:w="460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预期目标</w:t>
            </w:r>
          </w:p>
        </w:tc>
        <w:tc>
          <w:tcPr>
            <w:tcW w:w="439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实际完成情况　</w:t>
            </w:r>
          </w:p>
        </w:tc>
      </w:tr>
      <w:tr>
        <w:tblPrEx>
          <w:tblLayout w:type="fixed"/>
          <w:tblCellMar>
            <w:top w:w="0" w:type="dxa"/>
            <w:left w:w="108" w:type="dxa"/>
            <w:bottom w:w="0" w:type="dxa"/>
            <w:right w:w="108" w:type="dxa"/>
          </w:tblCellMar>
        </w:tblPrEx>
        <w:trPr>
          <w:trHeight w:val="570"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p>
        </w:tc>
        <w:tc>
          <w:tcPr>
            <w:tcW w:w="4605" w:type="dxa"/>
            <w:gridSpan w:val="4"/>
            <w:tcBorders>
              <w:top w:val="single" w:color="auto" w:sz="4" w:space="0"/>
              <w:left w:val="nil"/>
              <w:bottom w:val="single" w:color="auto" w:sz="4" w:space="0"/>
              <w:right w:val="single" w:color="000000"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eastAsia"/>
                <w:sz w:val="21"/>
                <w:lang w:val="en-US" w:eastAsia="zh-CN"/>
              </w:rPr>
              <w:t>加快绿色优质农产品发展，至2023年底全省绿色有机地标农产品3800个以上</w:t>
            </w:r>
            <w:r>
              <w:rPr>
                <w:rFonts w:hint="eastAsia"/>
                <w:sz w:val="21"/>
                <w:lang w:eastAsia="zh-CN"/>
              </w:rPr>
              <w:t>，产品综合抽检合格率9</w:t>
            </w:r>
            <w:r>
              <w:rPr>
                <w:rFonts w:hint="eastAsia"/>
                <w:sz w:val="21"/>
                <w:lang w:val="en-US" w:eastAsia="zh-CN"/>
              </w:rPr>
              <w:t>7</w:t>
            </w:r>
            <w:r>
              <w:rPr>
                <w:rFonts w:hint="eastAsia"/>
                <w:sz w:val="21"/>
                <w:lang w:eastAsia="zh-CN"/>
              </w:rPr>
              <w:t>%以上。</w:t>
            </w:r>
          </w:p>
        </w:tc>
        <w:tc>
          <w:tcPr>
            <w:tcW w:w="4394"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eastAsia"/>
                <w:sz w:val="21"/>
                <w:lang w:val="en-US" w:eastAsia="zh-CN"/>
              </w:rPr>
              <w:t>加快绿色优质农产品发展，至2023年底全省绿色有机地标农产品3980个</w:t>
            </w:r>
            <w:r>
              <w:rPr>
                <w:rFonts w:hint="eastAsia"/>
                <w:sz w:val="21"/>
                <w:lang w:eastAsia="zh-CN"/>
              </w:rPr>
              <w:t>，产品综合抽检合格率98</w:t>
            </w:r>
            <w:r>
              <w:rPr>
                <w:rFonts w:hint="eastAsia"/>
                <w:sz w:val="21"/>
                <w:lang w:val="en-US" w:eastAsia="zh-CN"/>
              </w:rPr>
              <w:t>.5</w:t>
            </w:r>
            <w:r>
              <w:rPr>
                <w:rFonts w:hint="eastAsia"/>
                <w:sz w:val="21"/>
                <w:lang w:eastAsia="zh-CN"/>
              </w:rPr>
              <w:t>%。</w:t>
            </w:r>
          </w:p>
        </w:tc>
      </w:tr>
      <w:tr>
        <w:tblPrEx>
          <w:tblLayout w:type="fixed"/>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绩</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标</w:t>
            </w:r>
          </w:p>
          <w:p>
            <w:pPr>
              <w:widowControl/>
              <w:spacing w:line="240" w:lineRule="exact"/>
              <w:jc w:val="center"/>
              <w:rPr>
                <w:rFonts w:hint="default" w:ascii="Times New Roman" w:hAnsi="Times New Roman" w:eastAsia="仿宋_GB2312" w:cs="Times New Roman"/>
                <w:color w:val="000000"/>
                <w:sz w:val="20"/>
                <w:szCs w:val="20"/>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一级指标</w:t>
            </w:r>
          </w:p>
        </w:tc>
        <w:tc>
          <w:tcPr>
            <w:tcW w:w="1034"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二级指标</w:t>
            </w:r>
          </w:p>
        </w:tc>
        <w:tc>
          <w:tcPr>
            <w:tcW w:w="127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三级指标</w:t>
            </w:r>
          </w:p>
        </w:tc>
        <w:tc>
          <w:tcPr>
            <w:tcW w:w="1221"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年度指标值</w:t>
            </w:r>
          </w:p>
        </w:tc>
        <w:tc>
          <w:tcPr>
            <w:tcW w:w="1230" w:type="dxa"/>
            <w:tcBorders>
              <w:top w:val="nil"/>
              <w:left w:val="nil"/>
              <w:bottom w:val="single" w:color="auto" w:sz="4" w:space="0"/>
              <w:right w:val="single" w:color="auto" w:sz="4" w:space="0"/>
            </w:tcBorders>
            <w:noWrap w:val="0"/>
            <w:vAlign w:val="center"/>
          </w:tcPr>
          <w:p>
            <w:pPr>
              <w:widowControl/>
              <w:spacing w:line="240" w:lineRule="exac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实际完成值</w:t>
            </w:r>
          </w:p>
        </w:tc>
        <w:tc>
          <w:tcPr>
            <w:tcW w:w="7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分值</w:t>
            </w:r>
          </w:p>
        </w:tc>
        <w:tc>
          <w:tcPr>
            <w:tcW w:w="63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16"/>
                <w:szCs w:val="16"/>
                <w:lang w:eastAsia="zh-CN"/>
              </w:rPr>
              <w:t>自评</w:t>
            </w:r>
            <w:r>
              <w:rPr>
                <w:rFonts w:hint="default" w:ascii="Times New Roman" w:hAnsi="Times New Roman" w:eastAsia="仿宋_GB2312" w:cs="Times New Roman"/>
                <w:color w:val="000000"/>
                <w:sz w:val="16"/>
                <w:szCs w:val="16"/>
              </w:rPr>
              <w:t>得分</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both"/>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偏差原因分析及改进措施</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restart"/>
            <w:tcBorders>
              <w:left w:val="nil"/>
              <w:right w:val="single" w:color="auto" w:sz="4" w:space="0"/>
            </w:tcBorders>
            <w:noWrap w:val="0"/>
            <w:vAlign w:val="center"/>
          </w:tcPr>
          <w:p>
            <w:pPr>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数量指标</w:t>
            </w:r>
          </w:p>
        </w:tc>
        <w:tc>
          <w:tcPr>
            <w:tcW w:w="1270"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绿色食品、有机农产品认证总数</w:t>
            </w:r>
          </w:p>
        </w:tc>
        <w:tc>
          <w:tcPr>
            <w:tcW w:w="1221"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val="en-US" w:eastAsia="zh-CN"/>
              </w:rPr>
              <w:t>3800</w:t>
            </w:r>
            <w:r>
              <w:rPr>
                <w:rFonts w:hint="eastAsia"/>
                <w:sz w:val="19"/>
                <w:lang w:eastAsia="zh-CN"/>
              </w:rPr>
              <w:t>个</w:t>
            </w:r>
          </w:p>
        </w:tc>
        <w:tc>
          <w:tcPr>
            <w:tcW w:w="12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3980</w:t>
            </w:r>
          </w:p>
        </w:tc>
        <w:tc>
          <w:tcPr>
            <w:tcW w:w="74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left"/>
              <w:rPr>
                <w:rFonts w:hint="eastAsia"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vMerge w:val="continue"/>
            <w:tcBorders>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p>
        </w:tc>
        <w:tc>
          <w:tcPr>
            <w:tcW w:w="1270"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新获证绿色食品、有机农产品数</w:t>
            </w:r>
          </w:p>
        </w:tc>
        <w:tc>
          <w:tcPr>
            <w:tcW w:w="1221"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val="en-US" w:eastAsia="zh-CN"/>
              </w:rPr>
              <w:t>1500</w:t>
            </w:r>
            <w:r>
              <w:rPr>
                <w:rFonts w:hint="eastAsia"/>
                <w:sz w:val="19"/>
                <w:lang w:eastAsia="zh-CN"/>
              </w:rPr>
              <w:t>个</w:t>
            </w:r>
          </w:p>
        </w:tc>
        <w:tc>
          <w:tcPr>
            <w:tcW w:w="12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1650</w:t>
            </w:r>
          </w:p>
        </w:tc>
        <w:tc>
          <w:tcPr>
            <w:tcW w:w="74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20</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质量指标</w:t>
            </w:r>
          </w:p>
        </w:tc>
        <w:tc>
          <w:tcPr>
            <w:tcW w:w="1270"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ascii="Times New Roman" w:hAnsi="Times New Roman" w:eastAsia="仿宋_GB2312" w:cs="Times New Roman"/>
                <w:color w:val="000000"/>
                <w:sz w:val="20"/>
                <w:szCs w:val="20"/>
                <w:lang w:eastAsia="zh-CN"/>
              </w:rPr>
              <w:t>产品综合抽检合格率</w:t>
            </w:r>
          </w:p>
        </w:tc>
        <w:tc>
          <w:tcPr>
            <w:tcW w:w="1221" w:type="dxa"/>
            <w:tcBorders>
              <w:top w:val="nil"/>
              <w:left w:val="nil"/>
              <w:bottom w:val="single" w:color="auto" w:sz="4" w:space="0"/>
              <w:right w:val="single" w:color="auto" w:sz="4" w:space="0"/>
            </w:tcBorders>
            <w:noWrap w:val="0"/>
            <w:vAlign w:val="top"/>
          </w:tcPr>
          <w:p>
            <w:pPr>
              <w:spacing w:beforeLines="0" w:afterLines="0" w:line="225" w:lineRule="exact"/>
              <w:jc w:val="center"/>
              <w:rPr>
                <w:rFonts w:hint="default" w:ascii="Times New Roman" w:hAnsi="Times New Roman" w:eastAsia="仿宋_GB2312" w:cs="Times New Roman"/>
                <w:color w:val="000000"/>
                <w:sz w:val="20"/>
                <w:szCs w:val="20"/>
              </w:rPr>
            </w:pPr>
            <w:r>
              <w:rPr>
                <w:rFonts w:hint="eastAsia"/>
                <w:sz w:val="19"/>
                <w:lang w:eastAsia="zh-CN"/>
              </w:rPr>
              <w:t>9</w:t>
            </w:r>
            <w:r>
              <w:rPr>
                <w:rFonts w:hint="eastAsia"/>
                <w:sz w:val="19"/>
                <w:lang w:val="en-US" w:eastAsia="zh-CN"/>
              </w:rPr>
              <w:t>7</w:t>
            </w:r>
            <w:r>
              <w:rPr>
                <w:rFonts w:hint="eastAsia"/>
                <w:sz w:val="19"/>
                <w:lang w:eastAsia="zh-CN"/>
              </w:rPr>
              <w:t>%</w:t>
            </w:r>
          </w:p>
        </w:tc>
        <w:tc>
          <w:tcPr>
            <w:tcW w:w="12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95.2%</w:t>
            </w:r>
          </w:p>
        </w:tc>
        <w:tc>
          <w:tcPr>
            <w:tcW w:w="7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20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18</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原因：少数企业重认证轻质量管控。改进措施：严把认证关和证后监管，提高产品抽检合格率。</w:t>
            </w:r>
          </w:p>
        </w:tc>
      </w:tr>
      <w:tr>
        <w:tblPrEx>
          <w:tblLayout w:type="fixed"/>
          <w:tblCellMar>
            <w:top w:w="0" w:type="dxa"/>
            <w:left w:w="108" w:type="dxa"/>
            <w:bottom w:w="0" w:type="dxa"/>
            <w:right w:w="108" w:type="dxa"/>
          </w:tblCellMar>
        </w:tblPrEx>
        <w:trPr>
          <w:trHeight w:val="53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时效指标</w:t>
            </w:r>
          </w:p>
        </w:tc>
        <w:tc>
          <w:tcPr>
            <w:tcW w:w="1270"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完成时间</w:t>
            </w:r>
          </w:p>
        </w:tc>
        <w:tc>
          <w:tcPr>
            <w:tcW w:w="1221"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1年内</w:t>
            </w:r>
          </w:p>
        </w:tc>
        <w:tc>
          <w:tcPr>
            <w:tcW w:w="12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1年内</w:t>
            </w:r>
          </w:p>
        </w:tc>
        <w:tc>
          <w:tcPr>
            <w:tcW w:w="74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restart"/>
            <w:tcBorders>
              <w:top w:val="single" w:color="auto" w:sz="4" w:space="0"/>
              <w:left w:val="nil"/>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效益指标</w:t>
            </w:r>
          </w:p>
          <w:p>
            <w:pPr>
              <w:widowControl/>
              <w:spacing w:line="240" w:lineRule="exact"/>
              <w:jc w:val="left"/>
              <w:rPr>
                <w:rFonts w:hint="default" w:ascii="Times New Roman" w:hAnsi="Times New Roman" w:eastAsia="仿宋_GB2312" w:cs="Times New Roman"/>
                <w:color w:val="000000"/>
                <w:sz w:val="20"/>
                <w:szCs w:val="20"/>
              </w:rPr>
            </w:pP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（30分）</w:t>
            </w:r>
          </w:p>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经济效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top"/>
          </w:tcPr>
          <w:p>
            <w:pPr>
              <w:spacing w:beforeLines="0" w:afterLines="0" w:line="224" w:lineRule="exact"/>
              <w:rPr>
                <w:rFonts w:hint="default" w:ascii="Times New Roman" w:hAnsi="Times New Roman" w:eastAsia="仿宋_GB2312" w:cs="Times New Roman"/>
                <w:color w:val="000000"/>
                <w:sz w:val="20"/>
                <w:szCs w:val="20"/>
              </w:rPr>
            </w:pPr>
            <w:r>
              <w:rPr>
                <w:rFonts w:hint="eastAsia"/>
                <w:sz w:val="19"/>
                <w:lang w:eastAsia="zh-CN"/>
              </w:rPr>
              <w:t>绿色有机农产品总产值增长</w:t>
            </w:r>
          </w:p>
        </w:tc>
        <w:tc>
          <w:tcPr>
            <w:tcW w:w="1221" w:type="dxa"/>
            <w:tcBorders>
              <w:top w:val="nil"/>
              <w:left w:val="nil"/>
              <w:bottom w:val="single" w:color="auto" w:sz="4" w:space="0"/>
              <w:right w:val="single" w:color="auto" w:sz="4" w:space="0"/>
            </w:tcBorders>
            <w:noWrap w:val="0"/>
            <w:vAlign w:val="top"/>
          </w:tcPr>
          <w:p>
            <w:pPr>
              <w:spacing w:beforeLines="0" w:afterLines="0" w:line="224" w:lineRule="exact"/>
              <w:rPr>
                <w:rFonts w:hint="default" w:ascii="Times New Roman" w:hAnsi="Times New Roman" w:eastAsia="仿宋_GB2312" w:cs="Times New Roman"/>
                <w:color w:val="000000"/>
                <w:sz w:val="20"/>
                <w:szCs w:val="20"/>
              </w:rPr>
            </w:pPr>
            <w:r>
              <w:rPr>
                <w:rFonts w:hint="eastAsia"/>
                <w:sz w:val="19"/>
                <w:lang w:eastAsia="zh-CN"/>
              </w:rPr>
              <w:t>5%以上</w:t>
            </w:r>
          </w:p>
        </w:tc>
        <w:tc>
          <w:tcPr>
            <w:tcW w:w="12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5.6%</w:t>
            </w:r>
          </w:p>
        </w:tc>
        <w:tc>
          <w:tcPr>
            <w:tcW w:w="74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vMerge w:val="continue"/>
            <w:tcBorders>
              <w:left w:val="nil"/>
              <w:bottom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社会效</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益指标</w:t>
            </w:r>
          </w:p>
        </w:tc>
        <w:tc>
          <w:tcPr>
            <w:tcW w:w="1270"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农药化肥使用</w:t>
            </w:r>
          </w:p>
        </w:tc>
        <w:tc>
          <w:tcPr>
            <w:tcW w:w="1221"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明显减少</w:t>
            </w:r>
          </w:p>
        </w:tc>
        <w:tc>
          <w:tcPr>
            <w:tcW w:w="12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明显减少</w:t>
            </w:r>
          </w:p>
        </w:tc>
        <w:tc>
          <w:tcPr>
            <w:tcW w:w="74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850" w:hRule="atLeast"/>
          <w:jc w:val="center"/>
        </w:trPr>
        <w:tc>
          <w:tcPr>
            <w:tcW w:w="1080" w:type="dxa"/>
            <w:vMerge w:val="continue"/>
            <w:tcBorders>
              <w:left w:val="single" w:color="auto" w:sz="4" w:space="0"/>
              <w:right w:val="single" w:color="auto" w:sz="4" w:space="0"/>
            </w:tcBorders>
            <w:noWrap w:val="0"/>
            <w:vAlign w:val="center"/>
          </w:tcPr>
          <w:p>
            <w:pPr>
              <w:spacing w:line="240" w:lineRule="exact"/>
              <w:jc w:val="left"/>
              <w:rPr>
                <w:rFonts w:hint="default" w:ascii="Times New Roman" w:hAnsi="Times New Roman" w:eastAsia="仿宋_GB2312" w:cs="Times New Roman"/>
                <w:color w:val="000000"/>
                <w:sz w:val="20"/>
                <w:szCs w:val="20"/>
              </w:rPr>
            </w:pPr>
          </w:p>
        </w:tc>
        <w:tc>
          <w:tcPr>
            <w:tcW w:w="1080" w:type="dxa"/>
            <w:tcBorders>
              <w:top w:val="single" w:color="auto" w:sz="4" w:space="0"/>
              <w:left w:val="nil"/>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满意度</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指标</w:t>
            </w:r>
          </w:p>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（10分）</w:t>
            </w:r>
          </w:p>
        </w:tc>
        <w:tc>
          <w:tcPr>
            <w:tcW w:w="1034"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服务对象满意度指标</w:t>
            </w:r>
          </w:p>
        </w:tc>
        <w:tc>
          <w:tcPr>
            <w:tcW w:w="1270"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绿色有机农产品申报企业满意率</w:t>
            </w:r>
          </w:p>
        </w:tc>
        <w:tc>
          <w:tcPr>
            <w:tcW w:w="1221" w:type="dxa"/>
            <w:tcBorders>
              <w:top w:val="nil"/>
              <w:left w:val="nil"/>
              <w:bottom w:val="single" w:color="auto" w:sz="4" w:space="0"/>
              <w:right w:val="single" w:color="auto" w:sz="4" w:space="0"/>
            </w:tcBorders>
            <w:noWrap w:val="0"/>
            <w:vAlign w:val="top"/>
          </w:tcPr>
          <w:p>
            <w:pPr>
              <w:spacing w:beforeLines="0" w:afterLines="0" w:line="225" w:lineRule="exact"/>
              <w:rPr>
                <w:rFonts w:hint="default" w:ascii="Times New Roman" w:hAnsi="Times New Roman" w:eastAsia="仿宋_GB2312" w:cs="Times New Roman"/>
                <w:color w:val="000000"/>
                <w:sz w:val="20"/>
                <w:szCs w:val="20"/>
              </w:rPr>
            </w:pPr>
            <w:r>
              <w:rPr>
                <w:rFonts w:hint="eastAsia"/>
                <w:sz w:val="19"/>
                <w:lang w:eastAsia="zh-CN"/>
              </w:rPr>
              <w:t>95%以上</w:t>
            </w:r>
          </w:p>
        </w:tc>
        <w:tc>
          <w:tcPr>
            <w:tcW w:w="12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99%</w:t>
            </w:r>
          </w:p>
        </w:tc>
        <w:tc>
          <w:tcPr>
            <w:tcW w:w="74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lang w:val="en-US" w:eastAsia="zh-CN"/>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r>
              <w:rPr>
                <w:rFonts w:hint="eastAsia" w:ascii="Times New Roman" w:hAnsi="Times New Roman" w:eastAsia="仿宋_GB2312" w:cs="Times New Roman"/>
                <w:color w:val="000000"/>
                <w:sz w:val="20"/>
                <w:szCs w:val="20"/>
                <w:lang w:val="en-US" w:eastAsia="zh-CN"/>
              </w:rPr>
              <w:t>10</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r>
        <w:tblPrEx>
          <w:tblLayout w:type="fixed"/>
          <w:tblCellMar>
            <w:top w:w="0" w:type="dxa"/>
            <w:left w:w="108" w:type="dxa"/>
            <w:bottom w:w="0" w:type="dxa"/>
            <w:right w:w="108" w:type="dxa"/>
          </w:tblCellMar>
        </w:tblPrEx>
        <w:trPr>
          <w:trHeight w:val="700" w:hRule="atLeast"/>
          <w:jc w:val="center"/>
        </w:trPr>
        <w:tc>
          <w:tcPr>
            <w:tcW w:w="6915" w:type="dxa"/>
            <w:gridSpan w:val="6"/>
            <w:tcBorders>
              <w:top w:val="single" w:color="auto" w:sz="4" w:space="0"/>
              <w:left w:val="single" w:color="auto" w:sz="4" w:space="0"/>
              <w:bottom w:val="single" w:color="auto" w:sz="4" w:space="0"/>
              <w:right w:val="single" w:color="000000"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总分</w:t>
            </w:r>
          </w:p>
        </w:tc>
        <w:tc>
          <w:tcPr>
            <w:tcW w:w="74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100</w:t>
            </w:r>
          </w:p>
        </w:tc>
        <w:tc>
          <w:tcPr>
            <w:tcW w:w="630" w:type="dxa"/>
            <w:tcBorders>
              <w:top w:val="nil"/>
              <w:left w:val="nil"/>
              <w:bottom w:val="single" w:color="auto" w:sz="4" w:space="0"/>
              <w:right w:val="single" w:color="auto" w:sz="4" w:space="0"/>
            </w:tcBorders>
            <w:noWrap w:val="0"/>
            <w:vAlign w:val="center"/>
          </w:tcPr>
          <w:p>
            <w:pPr>
              <w:widowControl/>
              <w:spacing w:line="240" w:lineRule="exact"/>
              <w:jc w:val="center"/>
              <w:rPr>
                <w:rFonts w:hint="default" w:ascii="Times New Roman" w:hAnsi="Times New Roman" w:eastAsia="仿宋_GB2312" w:cs="Times New Roman"/>
                <w:color w:val="000000"/>
                <w:sz w:val="20"/>
                <w:szCs w:val="20"/>
                <w:lang w:val="en-US" w:eastAsia="zh-CN"/>
              </w:rPr>
            </w:pPr>
            <w:r>
              <w:rPr>
                <w:rFonts w:hint="eastAsia" w:ascii="Times New Roman" w:hAnsi="Times New Roman" w:eastAsia="仿宋_GB2312" w:cs="Times New Roman"/>
                <w:color w:val="000000"/>
                <w:sz w:val="20"/>
                <w:szCs w:val="20"/>
                <w:lang w:val="en-US" w:eastAsia="zh-CN"/>
              </w:rPr>
              <w:t>98</w:t>
            </w:r>
          </w:p>
        </w:tc>
        <w:tc>
          <w:tcPr>
            <w:tcW w:w="1794" w:type="dxa"/>
            <w:tcBorders>
              <w:top w:val="nil"/>
              <w:left w:val="nil"/>
              <w:bottom w:val="single" w:color="auto" w:sz="4" w:space="0"/>
              <w:right w:val="single" w:color="auto" w:sz="4" w:space="0"/>
            </w:tcBorders>
            <w:noWrap w:val="0"/>
            <w:vAlign w:val="center"/>
          </w:tcPr>
          <w:p>
            <w:pPr>
              <w:widowControl/>
              <w:spacing w:line="240" w:lineRule="exact"/>
              <w:jc w:val="left"/>
              <w:rPr>
                <w:rFonts w:hint="default" w:ascii="Times New Roman" w:hAnsi="Times New Roman" w:eastAsia="仿宋_GB2312" w:cs="Times New Roman"/>
                <w:color w:val="000000"/>
                <w:sz w:val="20"/>
                <w:szCs w:val="20"/>
              </w:rPr>
            </w:pPr>
            <w:r>
              <w:rPr>
                <w:rFonts w:hint="default" w:ascii="Times New Roman" w:hAnsi="Times New Roman" w:eastAsia="仿宋_GB2312" w:cs="Times New Roman"/>
                <w:color w:val="000000"/>
                <w:sz w:val="20"/>
                <w:szCs w:val="20"/>
              </w:rPr>
              <w:t>　</w:t>
            </w:r>
          </w:p>
        </w:tc>
      </w:tr>
    </w:tbl>
    <w:tbl>
      <w:tblPr>
        <w:tblStyle w:val="9"/>
        <w:tblpPr w:leftFromText="180" w:rightFromText="180" w:vertAnchor="text" w:tblpX="10425" w:tblpY="-4368"/>
        <w:tblOverlap w:val="never"/>
        <w:tblW w:w="1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 w:hRule="atLeast"/>
        </w:trPr>
        <w:tc>
          <w:tcPr>
            <w:tcW w:w="1410" w:type="dxa"/>
            <w:noWrap w:val="0"/>
            <w:vAlign w:val="top"/>
          </w:tcPr>
          <w:p>
            <w:pPr>
              <w:widowControl/>
              <w:adjustRightInd/>
              <w:snapToGrid/>
              <w:spacing w:line="240" w:lineRule="auto"/>
              <w:jc w:val="left"/>
              <w:rPr>
                <w:kern w:val="0"/>
                <w:sz w:val="22"/>
                <w:szCs w:val="22"/>
                <w:vertAlign w:val="baseline"/>
              </w:rPr>
            </w:pPr>
          </w:p>
        </w:tc>
      </w:tr>
    </w:tbl>
    <w:p>
      <w:pPr>
        <w:widowControl/>
        <w:adjustRightInd/>
        <w:snapToGrid/>
        <w:spacing w:line="240" w:lineRule="auto"/>
        <w:ind w:firstLine="0" w:firstLineChars="0"/>
        <w:jc w:val="left"/>
        <w:rPr>
          <w:kern w:val="0"/>
          <w:sz w:val="22"/>
          <w:szCs w:val="22"/>
        </w:rPr>
      </w:pPr>
      <w:r>
        <w:rPr>
          <w:kern w:val="0"/>
          <w:sz w:val="22"/>
          <w:szCs w:val="22"/>
        </w:rPr>
        <w:t>说明：本表由农业农村厅部门本级和直属单位填写，市、县农业农村局不需填写。</w:t>
      </w:r>
    </w:p>
    <w:p>
      <w:pPr>
        <w:pStyle w:val="14"/>
        <w:keepNext w:val="0"/>
        <w:keepLines w:val="0"/>
        <w:pageBreakBefore w:val="0"/>
        <w:widowControl w:val="0"/>
        <w:kinsoku/>
        <w:wordWrap/>
        <w:overflowPunct/>
        <w:topLinePunct w:val="0"/>
        <w:bidi w:val="0"/>
        <w:snapToGrid/>
        <w:spacing w:line="600" w:lineRule="exact"/>
        <w:ind w:firstLine="440" w:firstLineChars="200"/>
        <w:jc w:val="left"/>
        <w:textAlignment w:val="auto"/>
        <w:rPr>
          <w:rFonts w:hint="eastAsia" w:ascii="Times New Roman" w:hAnsi="Times New Roman" w:eastAsia="仿宋_GB2312"/>
          <w:sz w:val="32"/>
          <w:szCs w:val="32"/>
          <w:lang w:val="en-US" w:eastAsia="zh-CN"/>
        </w:rPr>
      </w:pPr>
      <w:r>
        <w:rPr>
          <w:rFonts w:hint="default" w:ascii="Times New Roman" w:hAnsi="Times New Roman" w:eastAsia="仿宋_GB2312" w:cs="Times New Roman"/>
          <w:sz w:val="22"/>
          <w:szCs w:val="22"/>
        </w:rPr>
        <w:t xml:space="preserve">填表人：      填报日期：         联系电话：     </w:t>
      </w:r>
      <w:r>
        <w:rPr>
          <w:rFonts w:hint="eastAsia" w:ascii="Times New Roman" w:hAnsi="Times New Roman" w:eastAsia="仿宋_GB2312" w:cs="Times New Roman"/>
          <w:sz w:val="22"/>
          <w:szCs w:val="22"/>
          <w:lang w:val="en-US" w:eastAsia="zh-CN"/>
        </w:rPr>
        <w:t xml:space="preserve">           </w:t>
      </w:r>
      <w:r>
        <w:rPr>
          <w:rFonts w:hint="default" w:ascii="Times New Roman" w:hAnsi="Times New Roman" w:eastAsia="仿宋_GB2312" w:cs="Times New Roman"/>
          <w:sz w:val="22"/>
          <w:szCs w:val="22"/>
        </w:rPr>
        <w:t>单位负责人签字：</w:t>
      </w:r>
      <w:r>
        <w:rPr>
          <w:rFonts w:hint="default" w:ascii="Times New Roman" w:hAnsi="Times New Roman" w:eastAsia="仿宋_GB2312" w:cs="Times New Roman"/>
          <w:sz w:val="22"/>
          <w:szCs w:val="22"/>
        </w:rPr>
        <w:br w:type="page"/>
      </w:r>
    </w:p>
    <w:p>
      <w:pPr>
        <w:pStyle w:val="14"/>
        <w:jc w:val="center"/>
        <w:rPr>
          <w:sz w:val="72"/>
          <w:szCs w:val="72"/>
        </w:rPr>
      </w:pPr>
    </w:p>
    <w:p>
      <w:pPr>
        <w:pStyle w:val="14"/>
        <w:jc w:val="center"/>
        <w:rPr>
          <w:sz w:val="72"/>
          <w:szCs w:val="72"/>
        </w:rPr>
      </w:pPr>
    </w:p>
    <w:p>
      <w:pPr>
        <w:jc w:val="left"/>
        <w:rPr>
          <w:rFonts w:cs="黑体" w:asciiTheme="minorEastAsia" w:hAnsiTheme="minorEastAsia"/>
          <w:color w:val="000000"/>
          <w:kern w:val="0"/>
          <w:sz w:val="32"/>
          <w:szCs w:val="32"/>
        </w:rPr>
      </w:pP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1F31B9"/>
    <w:multiLevelType w:val="singleLevel"/>
    <w:tmpl w:val="121F31B9"/>
    <w:lvl w:ilvl="0" w:tentative="0">
      <w:start w:val="1"/>
      <w:numFmt w:val="decimal"/>
      <w:suff w:val="nothing"/>
      <w:lvlText w:val="%1、"/>
      <w:lvlJc w:val="left"/>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436E81A"/>
    <w:multiLevelType w:val="singleLevel"/>
    <w:tmpl w:val="4436E81A"/>
    <w:lvl w:ilvl="0" w:tentative="0">
      <w:start w:val="7"/>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4734021"/>
    <w:rsid w:val="08A01F28"/>
    <w:rsid w:val="0AF052A0"/>
    <w:rsid w:val="13312554"/>
    <w:rsid w:val="13513CE7"/>
    <w:rsid w:val="16EB2F9E"/>
    <w:rsid w:val="19097C7A"/>
    <w:rsid w:val="1BAF0572"/>
    <w:rsid w:val="1BEE0491"/>
    <w:rsid w:val="1C131001"/>
    <w:rsid w:val="1D97DEFF"/>
    <w:rsid w:val="1DFF72E5"/>
    <w:rsid w:val="1E603EF5"/>
    <w:rsid w:val="1EFC6F07"/>
    <w:rsid w:val="2734158F"/>
    <w:rsid w:val="2FDF85B8"/>
    <w:rsid w:val="2FFFEE04"/>
    <w:rsid w:val="31990EA4"/>
    <w:rsid w:val="34DF85B0"/>
    <w:rsid w:val="38DF59B6"/>
    <w:rsid w:val="39A33D43"/>
    <w:rsid w:val="3B8F36BC"/>
    <w:rsid w:val="432321D1"/>
    <w:rsid w:val="45D0396B"/>
    <w:rsid w:val="48B6013D"/>
    <w:rsid w:val="491FF225"/>
    <w:rsid w:val="4D3867BC"/>
    <w:rsid w:val="4FFD214C"/>
    <w:rsid w:val="50635F42"/>
    <w:rsid w:val="565448F8"/>
    <w:rsid w:val="5777D4F5"/>
    <w:rsid w:val="59DD8326"/>
    <w:rsid w:val="5CFB25B0"/>
    <w:rsid w:val="5DEF592A"/>
    <w:rsid w:val="5FC6BB1E"/>
    <w:rsid w:val="5FF720F1"/>
    <w:rsid w:val="67FF5C0B"/>
    <w:rsid w:val="6AFD6690"/>
    <w:rsid w:val="6D705248"/>
    <w:rsid w:val="6EFC0924"/>
    <w:rsid w:val="6FB74722"/>
    <w:rsid w:val="6FEF8B7E"/>
    <w:rsid w:val="71A6591B"/>
    <w:rsid w:val="72855BDF"/>
    <w:rsid w:val="737D59BA"/>
    <w:rsid w:val="77C37683"/>
    <w:rsid w:val="79291718"/>
    <w:rsid w:val="79FF515B"/>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6"/>
    <w:semiHidden/>
    <w:unhideWhenUsed/>
    <w:qFormat/>
    <w:uiPriority w:val="99"/>
    <w:rPr>
      <w:sz w:val="18"/>
      <w:szCs w:val="18"/>
    </w:rPr>
  </w:style>
  <w:style w:type="paragraph" w:styleId="6">
    <w:name w:val="footer"/>
    <w:basedOn w:val="1"/>
    <w:link w:val="13"/>
    <w:unhideWhenUsed/>
    <w:qFormat/>
    <w:uiPriority w:val="99"/>
    <w:pPr>
      <w:tabs>
        <w:tab w:val="center" w:pos="4153"/>
        <w:tab w:val="right" w:pos="8306"/>
      </w:tabs>
      <w:snapToGrid w:val="0"/>
      <w:jc w:val="left"/>
    </w:pPr>
    <w:rPr>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page number"/>
    <w:basedOn w:val="10"/>
    <w:qFormat/>
    <w:uiPriority w:val="0"/>
  </w:style>
  <w:style w:type="character" w:customStyle="1" w:styleId="12">
    <w:name w:val="页眉 Char"/>
    <w:basedOn w:val="10"/>
    <w:link w:val="7"/>
    <w:qFormat/>
    <w:uiPriority w:val="99"/>
    <w:rPr>
      <w:sz w:val="18"/>
      <w:szCs w:val="18"/>
    </w:rPr>
  </w:style>
  <w:style w:type="character" w:customStyle="1" w:styleId="13">
    <w:name w:val="页脚 Char"/>
    <w:basedOn w:val="10"/>
    <w:link w:val="6"/>
    <w:qFormat/>
    <w:uiPriority w:val="99"/>
    <w:rPr>
      <w:sz w:val="18"/>
      <w:szCs w:val="18"/>
    </w:rPr>
  </w:style>
  <w:style w:type="paragraph" w:customStyle="1" w:styleId="14">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0"/>
    <w:link w:val="5"/>
    <w:semiHidden/>
    <w:qFormat/>
    <w:uiPriority w:val="99"/>
    <w:rPr>
      <w:sz w:val="18"/>
      <w:szCs w:val="18"/>
    </w:rPr>
  </w:style>
  <w:style w:type="character" w:customStyle="1" w:styleId="17">
    <w:name w:val="font01"/>
    <w:basedOn w:val="10"/>
    <w:qFormat/>
    <w:uiPriority w:val="0"/>
    <w:rPr>
      <w:rFonts w:hint="eastAsia" w:ascii="宋体" w:hAnsi="宋体" w:eastAsia="宋体" w:cs="宋体"/>
      <w:color w:val="000000"/>
      <w:sz w:val="22"/>
      <w:szCs w:val="22"/>
      <w:u w:val="none"/>
    </w:rPr>
  </w:style>
  <w:style w:type="character" w:customStyle="1" w:styleId="18">
    <w:name w:val="font21"/>
    <w:basedOn w:val="10"/>
    <w:qFormat/>
    <w:uiPriority w:val="0"/>
    <w:rPr>
      <w:rFonts w:hint="eastAsia" w:ascii="宋体" w:hAnsi="宋体" w:eastAsia="宋体" w:cs="宋体"/>
      <w:color w:val="000000"/>
      <w:sz w:val="24"/>
      <w:szCs w:val="24"/>
      <w:u w:val="none"/>
    </w:rPr>
  </w:style>
  <w:style w:type="character" w:customStyle="1" w:styleId="19">
    <w:name w:val="font1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24</Pages>
  <Words>1347</Words>
  <Characters>7679</Characters>
  <Lines>63</Lines>
  <Paragraphs>18</Paragraphs>
  <TotalTime>0</TotalTime>
  <ScaleCrop>false</ScaleCrop>
  <LinksUpToDate>false</LinksUpToDate>
  <CharactersWithSpaces>9008</CharactersWithSpaces>
  <Application>WPS Office_11.8.6.8556_F1E327BC-269C-435d-A152-05C5408002CA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lenovo</cp:lastModifiedBy>
  <cp:lastPrinted>2024-08-08T10:20:00Z</cp:lastPrinted>
  <dcterms:modified xsi:type="dcterms:W3CDTF">2024-09-06T07:16:05Z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2052-11.8.6.8556</vt:lpwstr>
  </property>
</Properties>
</file>