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湖南省种子质量检测中心</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湖南省种子质量检测中心</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5"/>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湖南省种子质量检测中心</w:t>
      </w:r>
    </w:p>
    <w:p>
      <w:pPr>
        <w:pStyle w:val="15"/>
        <w:jc w:val="center"/>
        <w:rPr>
          <w:rFonts w:hint="eastAsia" w:ascii="方正小标宋_GBK" w:hAnsi="方正小标宋_GBK" w:eastAsia="方正小标宋_GBK" w:cs="方正小标宋_GBK"/>
          <w:sz w:val="84"/>
          <w:szCs w:val="84"/>
        </w:rPr>
      </w:pPr>
      <w:bookmarkStart w:id="5" w:name="_GoBack"/>
      <w:bookmarkEnd w:id="5"/>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一是承担农业农村部和省农业农村厅下达的农作物种子质量监督抽查的检验工作；二是负责农作物种子检验技术的研究和创新；三是接受司法、公安、工商等部门的委托，检验农作物种子质量，承担农作物种子纯度种植鉴定和组织种子质量纠纷田间现场鉴定工作；四是接受种子生产经营单位和个人的委托，检验农作物种子质量；六是负责培训种子检验技术人员。</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snapToGrid w:val="0"/>
        <w:spacing w:line="520" w:lineRule="exact"/>
        <w:ind w:firstLine="640" w:firstLineChars="200"/>
        <w:rPr>
          <w:rFonts w:hint="eastAsia" w:ascii="仿宋" w:hAnsi="仿宋" w:eastAsia="仿宋"/>
          <w:color w:val="auto"/>
          <w:sz w:val="32"/>
          <w:szCs w:val="32"/>
          <w:lang w:val="en-US" w:eastAsia="zh-CN"/>
        </w:rPr>
      </w:pPr>
      <w:r>
        <w:rPr>
          <w:rFonts w:hint="eastAsia" w:ascii="Times New Roman" w:hAnsi="Times New Roman" w:eastAsia="仿宋_GB2312" w:cs="仿宋_GB2312"/>
          <w:bCs/>
          <w:kern w:val="0"/>
          <w:sz w:val="32"/>
          <w:szCs w:val="32"/>
        </w:rPr>
        <w:t>（一）内设机构设置。</w:t>
      </w:r>
      <w:r>
        <w:rPr>
          <w:rFonts w:hint="eastAsia" w:ascii="仿宋" w:hAnsi="仿宋" w:eastAsia="仿宋"/>
          <w:color w:val="auto"/>
          <w:sz w:val="32"/>
          <w:szCs w:val="32"/>
          <w:lang w:val="en-US" w:eastAsia="zh-CN"/>
        </w:rPr>
        <w:t>湖南省种子质量检测中心内设机构包括：</w:t>
      </w:r>
      <w:r>
        <w:rPr>
          <w:rFonts w:hint="eastAsia" w:ascii="仿宋_GB2312" w:hAnsi="黑体" w:eastAsia="仿宋_GB2312" w:cs="Times New Roman"/>
          <w:color w:val="auto"/>
          <w:kern w:val="2"/>
          <w:sz w:val="32"/>
          <w:szCs w:val="32"/>
          <w:lang w:val="en-US" w:eastAsia="zh-CN" w:bidi="ar-SA"/>
        </w:rPr>
        <w:t>业务科、综合财务科、检验科3个内部机构。</w:t>
      </w:r>
    </w:p>
    <w:p>
      <w:pPr>
        <w:widowControl/>
        <w:spacing w:line="600" w:lineRule="exact"/>
        <w:ind w:firstLine="640" w:firstLineChars="200"/>
        <w:rPr>
          <w:rFonts w:ascii="仿宋_GB2312" w:eastAsia="仿宋_GB2312" w:hAnsiTheme="minorEastAsia"/>
          <w:sz w:val="28"/>
          <w:szCs w:val="32"/>
        </w:rPr>
      </w:pPr>
      <w:r>
        <w:rPr>
          <w:rFonts w:hint="eastAsia" w:ascii="Times New Roman" w:hAnsi="Times New Roman" w:eastAsia="仿宋_GB2312" w:cs="仿宋_GB2312"/>
          <w:bCs/>
          <w:kern w:val="0"/>
          <w:sz w:val="32"/>
          <w:szCs w:val="32"/>
        </w:rPr>
        <w:t>（二）决算单位构成。</w:t>
      </w:r>
      <w:r>
        <w:rPr>
          <w:rFonts w:hint="eastAsia" w:ascii="仿宋" w:hAnsi="仿宋" w:eastAsia="仿宋"/>
          <w:color w:val="auto"/>
          <w:sz w:val="32"/>
          <w:szCs w:val="32"/>
          <w:lang w:val="en-US" w:eastAsia="zh-CN"/>
        </w:rPr>
        <w:t>湖南省种子质量检测中心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color w:val="auto"/>
          <w:sz w:val="32"/>
          <w:szCs w:val="32"/>
          <w:lang w:val="en-US" w:eastAsia="zh-CN"/>
        </w:rPr>
        <w:t>湖南省种子质量检测中心</w:t>
      </w:r>
      <w:r>
        <w:rPr>
          <w:rFonts w:hint="eastAsia" w:ascii="Times New Roman" w:hAnsi="Times New Roman" w:eastAsia="仿宋_GB2312" w:cs="仿宋_GB2312"/>
          <w:bCs/>
          <w:kern w:val="0"/>
          <w:sz w:val="32"/>
          <w:szCs w:val="32"/>
        </w:rPr>
        <w:t>本级</w:t>
      </w:r>
    </w:p>
    <w:p>
      <w:pPr>
        <w:jc w:val="center"/>
        <w:rPr>
          <w:rFonts w:ascii="黑体" w:hAnsi="黑体" w:eastAsia="黑体"/>
          <w:sz w:val="28"/>
          <w:szCs w:val="28"/>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ind w:left="435" w:leftChars="207" w:firstLine="201" w:firstLineChars="63"/>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tbl>
      <w:tblPr>
        <w:tblStyle w:val="11"/>
        <w:tblW w:w="147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848"/>
        <w:gridCol w:w="630"/>
        <w:gridCol w:w="931"/>
        <w:gridCol w:w="4547"/>
        <w:gridCol w:w="630"/>
        <w:gridCol w:w="32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4792" w:type="dxa"/>
            <w:gridSpan w:val="6"/>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84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3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3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4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3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20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848"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部门：湖南省种子质量检测中心</w:t>
            </w:r>
          </w:p>
        </w:tc>
        <w:tc>
          <w:tcPr>
            <w:tcW w:w="63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3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4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3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20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40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83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697.67</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697.67</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200.00</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897.67</w:t>
            </w:r>
          </w:p>
        </w:tc>
        <w:tc>
          <w:tcPr>
            <w:tcW w:w="45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32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897.67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792"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792"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ind w:left="435" w:leftChars="207" w:firstLine="201" w:firstLineChars="63"/>
        <w:jc w:val="left"/>
        <w:rPr>
          <w:rFonts w:ascii="Times New Roman" w:hAnsi="Times New Roman" w:eastAsia="黑体" w:cs="Times New Roman"/>
          <w:bCs/>
          <w:kern w:val="0"/>
          <w:sz w:val="32"/>
          <w:szCs w:val="32"/>
        </w:rPr>
        <w:sectPr>
          <w:pgSz w:w="16838" w:h="11906" w:orient="landscape"/>
          <w:pgMar w:top="720" w:right="720" w:bottom="720" w:left="720" w:header="851" w:footer="992" w:gutter="0"/>
          <w:cols w:space="425" w:num="1"/>
          <w:docGrid w:type="lines" w:linePitch="312" w:charSpace="0"/>
        </w:sectPr>
      </w:pPr>
    </w:p>
    <w:tbl>
      <w:tblPr>
        <w:tblStyle w:val="11"/>
        <w:tblW w:w="155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502"/>
        <w:gridCol w:w="3868"/>
        <w:gridCol w:w="1649"/>
        <w:gridCol w:w="1649"/>
        <w:gridCol w:w="1493"/>
        <w:gridCol w:w="1493"/>
        <w:gridCol w:w="1493"/>
        <w:gridCol w:w="1493"/>
        <w:gridCol w:w="1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587"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0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86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4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49"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9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1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6547"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部门：湖南省种子质量检测中心</w:t>
            </w:r>
          </w:p>
        </w:tc>
        <w:tc>
          <w:tcPr>
            <w:tcW w:w="1649"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9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1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9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9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49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49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49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4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8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8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8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9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89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697.67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697.67</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665.77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665.77</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665.77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665.77</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88.96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88.96</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211.01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211.01</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2130110</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执法监管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337.80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3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8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587"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pStyle w:val="10"/>
        <w:sectPr>
          <w:pgSz w:w="16838" w:h="11906" w:orient="landscape"/>
          <w:pgMar w:top="720" w:right="720" w:bottom="720" w:left="720" w:header="851" w:footer="992" w:gutter="0"/>
          <w:cols w:space="425" w:num="1"/>
          <w:docGrid w:type="lines" w:linePitch="312" w:charSpace="0"/>
        </w:sectPr>
      </w:pPr>
    </w:p>
    <w:tbl>
      <w:tblPr>
        <w:tblStyle w:val="11"/>
        <w:tblW w:w="153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524"/>
        <w:gridCol w:w="4826"/>
        <w:gridCol w:w="1592"/>
        <w:gridCol w:w="1592"/>
        <w:gridCol w:w="1592"/>
        <w:gridCol w:w="1441"/>
        <w:gridCol w:w="1441"/>
        <w:gridCol w:w="1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359"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8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9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9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92"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2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7470"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部门：湖南省种子质量检测中心</w:t>
            </w:r>
          </w:p>
        </w:tc>
        <w:tc>
          <w:tcPr>
            <w:tcW w:w="159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92"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4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2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87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5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5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8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8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87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8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87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884.10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323.20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560.90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ind w:left="638" w:leftChars="0" w:hanging="638" w:hangingChars="29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852.20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291.30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560.90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852.20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291.30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560.90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85.51</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85.51</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205.79</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205.79</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2130110</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执法监管</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532.90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532.90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8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5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359"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pStyle w:val="2"/>
      </w:pPr>
    </w:p>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pStyle w:val="10"/>
        <w:rPr>
          <w:rFonts w:ascii="Times New Roman" w:hAnsi="Times New Roman" w:eastAsia="方正小标宋_GBK" w:cs="Times New Roman"/>
          <w:color w:val="000000"/>
          <w:kern w:val="0"/>
          <w:sz w:val="36"/>
          <w:szCs w:val="21"/>
        </w:rPr>
      </w:pPr>
    </w:p>
    <w:p>
      <w:pPr>
        <w:pStyle w:val="2"/>
        <w:rPr>
          <w:rFonts w:ascii="Times New Roman" w:hAnsi="Times New Roman" w:eastAsia="方正小标宋_GBK" w:cs="Times New Roman"/>
          <w:color w:val="000000"/>
          <w:kern w:val="0"/>
          <w:sz w:val="36"/>
          <w:szCs w:val="21"/>
        </w:rPr>
      </w:pPr>
    </w:p>
    <w:tbl>
      <w:tblPr>
        <w:tblStyle w:val="11"/>
        <w:tblW w:w="155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158"/>
        <w:gridCol w:w="480"/>
        <w:gridCol w:w="1394"/>
        <w:gridCol w:w="3855"/>
        <w:gridCol w:w="480"/>
        <w:gridCol w:w="854"/>
        <w:gridCol w:w="1394"/>
        <w:gridCol w:w="1256"/>
        <w:gridCol w:w="1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548"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1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8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9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85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8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54"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9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7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6032" w:type="dxa"/>
            <w:gridSpan w:val="3"/>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部门：湖南省种子质量检测中心</w:t>
            </w:r>
          </w:p>
        </w:tc>
        <w:tc>
          <w:tcPr>
            <w:tcW w:w="385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8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54"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9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7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0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516"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415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9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5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9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6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4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697.67</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852.20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852.20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697.67</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884.10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884.10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200.00</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13.57</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13.57</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200.00</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897.67</w:t>
            </w:r>
          </w:p>
        </w:tc>
        <w:tc>
          <w:tcPr>
            <w:tcW w:w="38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897.67</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897.67</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871"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677"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bl>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pStyle w:val="10"/>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rPr>
          <w:rFonts w:ascii="Times New Roman" w:hAnsi="Times New Roman" w:eastAsia="方正小标宋_GBK" w:cs="Times New Roman"/>
          <w:kern w:val="0"/>
          <w:sz w:val="36"/>
          <w:szCs w:val="36"/>
        </w:rPr>
      </w:pPr>
    </w:p>
    <w:p>
      <w:pPr>
        <w:pStyle w:val="10"/>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rPr>
          <w:rFonts w:ascii="Times New Roman" w:hAnsi="Times New Roman" w:eastAsia="方正小标宋_GBK" w:cs="Times New Roman"/>
          <w:kern w:val="0"/>
          <w:sz w:val="36"/>
          <w:szCs w:val="36"/>
        </w:rPr>
      </w:pPr>
    </w:p>
    <w:p>
      <w:pPr>
        <w:pStyle w:val="10"/>
        <w:rPr>
          <w:rFonts w:ascii="Times New Roman" w:hAnsi="Times New Roman" w:eastAsia="方正小标宋_GBK" w:cs="Times New Roman"/>
          <w:kern w:val="0"/>
          <w:sz w:val="36"/>
          <w:szCs w:val="36"/>
        </w:rPr>
      </w:pPr>
    </w:p>
    <w:p>
      <w:pPr>
        <w:pStyle w:val="2"/>
        <w:rPr>
          <w:rFonts w:ascii="Times New Roman" w:hAnsi="Times New Roman" w:eastAsia="方正小标宋_GBK" w:cs="Times New Roman"/>
          <w:kern w:val="0"/>
          <w:sz w:val="36"/>
          <w:szCs w:val="36"/>
        </w:rPr>
      </w:pPr>
    </w:p>
    <w:p>
      <w:pPr>
        <w:rPr>
          <w:rFonts w:ascii="Times New Roman" w:hAnsi="Times New Roman" w:eastAsia="方正小标宋_GBK" w:cs="Times New Roman"/>
          <w:kern w:val="0"/>
          <w:sz w:val="36"/>
          <w:szCs w:val="36"/>
        </w:rPr>
      </w:pPr>
    </w:p>
    <w:tbl>
      <w:tblPr>
        <w:tblStyle w:val="11"/>
        <w:tblW w:w="11794" w:type="dxa"/>
        <w:tblInd w:w="11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670"/>
        <w:gridCol w:w="4789"/>
        <w:gridCol w:w="1860"/>
        <w:gridCol w:w="1860"/>
        <w:gridCol w:w="20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1794"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7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78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6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08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7847"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部门：湖南省种子质量检测中心</w:t>
            </w:r>
          </w:p>
        </w:tc>
        <w:tc>
          <w:tcPr>
            <w:tcW w:w="18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08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9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80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78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8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1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9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9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884.10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323.20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560.90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852.20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291.30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852.20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291.30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85.51</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85.51</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205.79</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205.79</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2130110</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执法监管</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532.90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532.90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18.10</w:t>
            </w:r>
          </w:p>
        </w:tc>
        <w:tc>
          <w:tcPr>
            <w:tcW w:w="2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794"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pStyle w:val="10"/>
      </w:pPr>
    </w:p>
    <w:p>
      <w:pPr>
        <w:widowControl/>
        <w:jc w:val="center"/>
        <w:rPr>
          <w:rFonts w:ascii="Times New Roman" w:hAnsi="Times New Roman" w:eastAsia="方正小标宋_GBK" w:cs="Times New Roman"/>
          <w:kern w:val="0"/>
          <w:sz w:val="36"/>
          <w:szCs w:val="36"/>
        </w:rPr>
      </w:pPr>
      <w:r>
        <w:drawing>
          <wp:inline distT="0" distB="0" distL="114300" distR="114300">
            <wp:extent cx="9774555" cy="5904230"/>
            <wp:effectExtent l="0" t="0" r="444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9774555" cy="5904230"/>
                    </a:xfrm>
                    <a:prstGeom prst="rect">
                      <a:avLst/>
                    </a:prstGeom>
                    <a:noFill/>
                    <a:ln>
                      <a:noFill/>
                    </a:ln>
                  </pic:spPr>
                </pic:pic>
              </a:graphicData>
            </a:graphic>
          </wp:inline>
        </w:drawing>
      </w:r>
    </w:p>
    <w:bookmarkEnd w:id="1"/>
    <w:p>
      <w:pPr>
        <w:widowControl/>
        <w:jc w:val="left"/>
        <w:rPr>
          <w:rFonts w:ascii="Times New Roman" w:hAnsi="Times New Roman" w:eastAsia="仿宋_GB2312" w:cs="Times New Roman"/>
          <w:bCs/>
          <w:kern w:val="0"/>
          <w:szCs w:val="21"/>
        </w:rPr>
      </w:pPr>
    </w:p>
    <w:tbl>
      <w:tblPr>
        <w:tblStyle w:val="11"/>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widowControl/>
              <w:jc w:val="left"/>
              <w:rPr>
                <w:rFonts w:hint="eastAsia" w:ascii="华文中宋" w:hAnsi="华文中宋" w:eastAsia="华文中宋" w:cs="华文中宋"/>
                <w:i w:val="0"/>
                <w:color w:val="000000"/>
                <w:kern w:val="0"/>
                <w:sz w:val="32"/>
                <w:szCs w:val="32"/>
                <w:u w:val="none"/>
                <w:lang w:val="en-US" w:eastAsia="zh-CN" w:bidi="ar"/>
              </w:rPr>
            </w:pPr>
            <w:r>
              <w:rPr>
                <w:rFonts w:ascii="Times New Roman" w:hAnsi="Times New Roman" w:eastAsia="仿宋_GB2312" w:cs="Times New Roman"/>
                <w:bCs/>
                <w:kern w:val="0"/>
                <w:szCs w:val="21"/>
              </w:rPr>
              <w:br w:type="page"/>
            </w: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部门：湖南省种子质量检测中心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8"/>
                <w:lang w:val="en-US" w:eastAsia="zh-CN" w:bidi="ar"/>
              </w:rPr>
              <w:t xml:space="preserve">   </w:t>
            </w:r>
            <w:r>
              <w:rPr>
                <w:rStyle w:val="19"/>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11"/>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部门：湖南省种子质量检测中心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20"/>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11"/>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部门：湖南省种子质量检测中心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5"/>
        <w:rPr>
          <w:sz w:val="72"/>
          <w:szCs w:val="72"/>
        </w:rPr>
      </w:pPr>
    </w:p>
    <w:p>
      <w:pPr>
        <w:pStyle w:val="15"/>
        <w:rPr>
          <w:sz w:val="72"/>
          <w:szCs w:val="72"/>
        </w:rPr>
      </w:pPr>
    </w:p>
    <w:p>
      <w:pPr>
        <w:pStyle w:val="15"/>
        <w:rPr>
          <w:sz w:val="72"/>
          <w:szCs w:val="72"/>
        </w:rPr>
      </w:pPr>
    </w:p>
    <w:p>
      <w:pPr>
        <w:pStyle w:val="15"/>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897.67</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196.85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28.09</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上年结转结余增加。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697.67</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697.67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884.10</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323.20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36.56</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560.90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63.44</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897.67</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196.85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28.09</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上年结转结余增加。</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884.10</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431.11</w:t>
      </w:r>
      <w:r>
        <w:rPr>
          <w:rFonts w:hint="eastAsia" w:ascii="Times New Roman" w:hAnsi="Times New Roman" w:eastAsia="仿宋_GB2312"/>
          <w:sz w:val="32"/>
          <w:szCs w:val="32"/>
        </w:rPr>
        <w:t>元，增长</w:t>
      </w:r>
      <w:r>
        <w:rPr>
          <w:rFonts w:hint="eastAsia" w:ascii="Times New Roman" w:hAnsi="Times New Roman" w:eastAsia="仿宋_GB2312"/>
          <w:sz w:val="32"/>
          <w:szCs w:val="32"/>
          <w:lang w:val="en-US" w:eastAsia="zh-CN"/>
        </w:rPr>
        <w:t>95.17</w:t>
      </w:r>
      <w:r>
        <w:rPr>
          <w:rFonts w:hint="eastAsia" w:ascii="Times New Roman" w:hAnsi="Times New Roman" w:eastAsia="仿宋_GB2312"/>
          <w:sz w:val="32"/>
          <w:szCs w:val="32"/>
        </w:rPr>
        <w:t>%，主要是因为品种真实性检测平台升级</w:t>
      </w:r>
      <w:r>
        <w:rPr>
          <w:rFonts w:hint="eastAsia" w:ascii="Times New Roman" w:hAnsi="Times New Roman" w:eastAsia="仿宋_GB2312"/>
          <w:sz w:val="32"/>
          <w:szCs w:val="32"/>
          <w:lang w:val="en-US" w:eastAsia="zh-CN"/>
        </w:rPr>
        <w:t>等项目支出增加。</w:t>
      </w:r>
    </w:p>
    <w:p>
      <w:pPr>
        <w:pStyle w:val="15"/>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884.10</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13.80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1.56</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852.20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96.39</w:t>
      </w:r>
      <w:r>
        <w:rPr>
          <w:rFonts w:hint="eastAsia" w:ascii="Times New Roman" w:hAnsi="Times New Roman" w:eastAsia="仿宋_GB2312"/>
          <w:sz w:val="32"/>
          <w:szCs w:val="32"/>
        </w:rPr>
        <w:t>%;住房保障（类）支出</w:t>
      </w:r>
      <w:r>
        <w:rPr>
          <w:rFonts w:hint="eastAsia" w:ascii="Times New Roman" w:hAnsi="Times New Roman" w:eastAsia="仿宋_GB2312"/>
          <w:sz w:val="32"/>
          <w:szCs w:val="32"/>
          <w:lang w:val="en-US" w:eastAsia="zh-CN"/>
        </w:rPr>
        <w:t>18.10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2.05</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798.71</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884.10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13.80</w:t>
      </w:r>
      <w:r>
        <w:rPr>
          <w:rFonts w:hint="eastAsia" w:ascii="Times New Roman" w:hAnsi="Times New Roman" w:eastAsia="仿宋_GB2312"/>
          <w:sz w:val="32"/>
          <w:szCs w:val="32"/>
        </w:rPr>
        <w:t>万元，支出决算</w:t>
      </w:r>
      <w:r>
        <w:rPr>
          <w:rFonts w:hint="eastAsia" w:ascii="Times New Roman" w:hAnsi="Times New Roman" w:eastAsia="仿宋_GB2312"/>
          <w:sz w:val="32"/>
          <w:szCs w:val="32"/>
          <w:lang w:val="en-US" w:eastAsia="zh-CN"/>
        </w:rPr>
        <w:t>13.80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2、农林水（类）农业农村（款）</w:t>
      </w:r>
      <w:r>
        <w:rPr>
          <w:rFonts w:hint="eastAsia" w:ascii="Times New Roman" w:hAnsi="Times New Roman" w:eastAsia="仿宋_GB2312"/>
          <w:sz w:val="32"/>
          <w:szCs w:val="32"/>
          <w:lang w:val="en-US" w:eastAsia="zh-CN"/>
        </w:rPr>
        <w:t>行政</w:t>
      </w:r>
      <w:r>
        <w:rPr>
          <w:rFonts w:hint="eastAsia" w:ascii="Times New Roman" w:hAnsi="Times New Roman" w:eastAsia="仿宋_GB2312"/>
          <w:sz w:val="32"/>
          <w:szCs w:val="32"/>
        </w:rPr>
        <w:t>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85.51</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年中追加人员经费。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农林水（类）农业农村（款）事业运行（项）。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211.01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205.79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97.53</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人员经费年末有结余。</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、农林水（类）农业农村（款）科技转化与推广服务（项）。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18.00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18.00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、农林水（类）农业农村（款）农产品质量安全（项）。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10.00</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年中追加省级农作物、畜禽种业安全监管项目资金。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、农林水（类）农业农村（款）执法监管（项）。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537.80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532.90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99.09</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品种真实性检测平台升级项目质保金因质保期未到未支付。</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、住房保障（类）住房改革支出（款）住房公积金（项）。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18.10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18.10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年度财政拨款基本支出323.2万元，其中：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297.45</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92.03</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主要包括基本工资、津贴补贴、伙食补助费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绩效工资</w:t>
      </w:r>
      <w:r>
        <w:rPr>
          <w:rFonts w:hint="eastAsia" w:ascii="Times New Roman" w:hAnsi="Times New Roman" w:eastAsia="仿宋_GB2312"/>
          <w:sz w:val="32"/>
          <w:szCs w:val="32"/>
          <w:lang w:eastAsia="zh-CN"/>
        </w:rPr>
        <w:t>、机关事业单位基本养老保险缴费、职工基本医疗保险缴费、其他社会保障缴费、住房公积金、抚恤金、生活补助、奖励金</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b w:val="0"/>
          <w:bCs w:val="0"/>
          <w:sz w:val="32"/>
          <w:szCs w:val="32"/>
          <w:lang w:val="en-US" w:eastAsia="zh-CN"/>
        </w:rPr>
        <w:t>25.75</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7.97</w:t>
      </w:r>
      <w:r>
        <w:rPr>
          <w:rFonts w:hint="eastAsia" w:ascii="Times New Roman" w:hAnsi="Times New Roman" w:eastAsia="仿宋_GB2312"/>
          <w:sz w:val="32"/>
          <w:szCs w:val="32"/>
        </w:rPr>
        <w:t>%，主要包括办公费、</w:t>
      </w:r>
      <w:r>
        <w:rPr>
          <w:rFonts w:hint="eastAsia" w:ascii="Times New Roman" w:hAnsi="Times New Roman" w:eastAsia="仿宋_GB2312"/>
          <w:sz w:val="32"/>
          <w:szCs w:val="32"/>
          <w:lang w:val="en-US" w:eastAsia="zh-CN"/>
        </w:rPr>
        <w:t>电费、邮电费、差旅费、工会经费、福利费、其他交通费用等</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0.04</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单位控制</w:t>
      </w:r>
      <w:r>
        <w:rPr>
          <w:rFonts w:hint="eastAsia" w:ascii="Times New Roman" w:hAnsi="Times New Roman" w:eastAsia="仿宋_GB2312"/>
          <w:sz w:val="32"/>
          <w:szCs w:val="32"/>
        </w:rPr>
        <w:t>“三公”经费</w:t>
      </w:r>
      <w:r>
        <w:rPr>
          <w:rFonts w:hint="eastAsia" w:ascii="Times New Roman" w:hAnsi="Times New Roman" w:eastAsia="仿宋_GB2312"/>
          <w:sz w:val="32"/>
          <w:szCs w:val="32"/>
          <w:lang w:val="en-US" w:eastAsia="zh-CN"/>
        </w:rPr>
        <w:t>开支在预算范围内，</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0.04</w:t>
      </w:r>
      <w:r>
        <w:rPr>
          <w:rFonts w:hint="eastAsia" w:ascii="Times New Roman" w:hAnsi="Times New Roman" w:eastAsia="仿宋_GB2312"/>
          <w:sz w:val="32"/>
          <w:szCs w:val="32"/>
        </w:rPr>
        <w:t>万元，增长的主要原因是</w:t>
      </w:r>
      <w:r>
        <w:rPr>
          <w:rFonts w:hint="eastAsia" w:ascii="Times New Roman" w:hAnsi="Times New Roman" w:eastAsia="仿宋_GB2312"/>
          <w:sz w:val="32"/>
          <w:szCs w:val="32"/>
          <w:lang w:val="en-US" w:eastAsia="zh-CN"/>
        </w:rPr>
        <w:t>上年未开支公务接待费用，本年因业务开展需要有公务接待开支</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0.04</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单位控制</w:t>
      </w:r>
      <w:r>
        <w:rPr>
          <w:rFonts w:hint="eastAsia" w:ascii="Times New Roman" w:hAnsi="Times New Roman" w:eastAsia="仿宋_GB2312"/>
          <w:sz w:val="32"/>
          <w:szCs w:val="32"/>
        </w:rPr>
        <w:t>“三公”经费</w:t>
      </w:r>
      <w:r>
        <w:rPr>
          <w:rFonts w:hint="eastAsia" w:ascii="Times New Roman" w:hAnsi="Times New Roman" w:eastAsia="仿宋_GB2312"/>
          <w:sz w:val="32"/>
          <w:szCs w:val="32"/>
          <w:lang w:val="en-US" w:eastAsia="zh-CN"/>
        </w:rPr>
        <w:t>开支在预算范围内，</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0.04</w:t>
      </w:r>
      <w:r>
        <w:rPr>
          <w:rFonts w:hint="eastAsia" w:ascii="Times New Roman" w:hAnsi="Times New Roman" w:eastAsia="仿宋_GB2312"/>
          <w:sz w:val="32"/>
          <w:szCs w:val="32"/>
        </w:rPr>
        <w:t>万元，增长的主要原因是</w:t>
      </w:r>
      <w:r>
        <w:rPr>
          <w:rFonts w:hint="eastAsia" w:ascii="Times New Roman" w:hAnsi="Times New Roman" w:eastAsia="仿宋_GB2312"/>
          <w:sz w:val="32"/>
          <w:szCs w:val="32"/>
          <w:lang w:val="en-US" w:eastAsia="zh-CN"/>
        </w:rPr>
        <w:t>上年未开支公务接待费用，本年因业务开展需要有公务接待开支</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年度“三公”经费财政拨款支出决算中，公务接待费支出决算</w:t>
      </w:r>
      <w:r>
        <w:rPr>
          <w:rFonts w:hint="eastAsia" w:ascii="Times New Roman" w:hAnsi="Times New Roman" w:eastAsia="仿宋_GB2312"/>
          <w:color w:val="auto"/>
          <w:sz w:val="32"/>
          <w:szCs w:val="32"/>
          <w:lang w:val="en-US" w:eastAsia="zh-CN"/>
        </w:rPr>
        <w:t>0.04</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占100%，</w:t>
      </w:r>
      <w:r>
        <w:rPr>
          <w:rFonts w:hint="eastAsia" w:ascii="Times New Roman" w:hAnsi="Times New Roman" w:eastAsia="仿宋_GB2312"/>
          <w:color w:val="auto"/>
          <w:sz w:val="32"/>
          <w:szCs w:val="32"/>
        </w:rPr>
        <w:t>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占0%，</w:t>
      </w:r>
      <w:r>
        <w:rPr>
          <w:rFonts w:hint="eastAsia" w:ascii="Times New Roman" w:hAnsi="Times New Roman" w:eastAsia="仿宋_GB2312"/>
          <w:color w:val="auto"/>
          <w:sz w:val="32"/>
          <w:szCs w:val="32"/>
        </w:rPr>
        <w:t>公务用车购置费及运行维护费支出决算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占0%</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0.04</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主要</w:t>
      </w:r>
      <w:r>
        <w:rPr>
          <w:rFonts w:hint="eastAsia" w:ascii="Times New Roman" w:hAnsi="Times New Roman" w:eastAsia="仿宋_GB2312"/>
          <w:sz w:val="32"/>
          <w:szCs w:val="32"/>
        </w:rPr>
        <w:t>主要是</w:t>
      </w:r>
      <w:r>
        <w:rPr>
          <w:rFonts w:hint="eastAsia" w:ascii="Times New Roman" w:hAnsi="Times New Roman" w:eastAsia="仿宋_GB2312"/>
          <w:sz w:val="32"/>
          <w:szCs w:val="32"/>
          <w:lang w:val="en-US" w:eastAsia="zh-CN"/>
        </w:rPr>
        <w:t>市州业务咨询</w:t>
      </w:r>
      <w:r>
        <w:rPr>
          <w:rFonts w:hint="eastAsia" w:ascii="Times New Roman" w:hAnsi="Times New Roman" w:eastAsia="仿宋_GB2312"/>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本</w:t>
      </w:r>
      <w:r>
        <w:rPr>
          <w:rFonts w:hint="eastAsia" w:ascii="Times New Roman" w:hAnsi="Times New Roman" w:eastAsia="仿宋_GB2312"/>
          <w:sz w:val="32"/>
          <w:szCs w:val="32"/>
        </w:rPr>
        <w:t>单位更新公务用车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5"/>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cstheme="minorBidi"/>
          <w:color w:val="auto"/>
          <w:kern w:val="2"/>
          <w:sz w:val="32"/>
          <w:szCs w:val="32"/>
          <w:lang w:val="en-US" w:eastAsia="zh-CN" w:bidi="ar-SA"/>
        </w:rPr>
        <w:t>本单位无政府性基金收支。</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2.84</w:t>
      </w:r>
      <w:r>
        <w:rPr>
          <w:rFonts w:hint="eastAsia" w:ascii="Times New Roman" w:hAnsi="Times New Roman" w:eastAsia="仿宋_GB2312"/>
          <w:sz w:val="32"/>
          <w:szCs w:val="32"/>
        </w:rPr>
        <w:t>万元，用于开展事业单位工作人员培训，检验技术和人事工资培训，人数</w:t>
      </w: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rPr>
        <w:t>人，内容为单位工作人员培训，检验技术和人事工资培训；</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楷体" w:hAnsi="楷体" w:eastAsia="仿宋_GB2312" w:cs="楷体"/>
          <w:b/>
          <w:bCs/>
          <w:i/>
          <w:color w:val="auto"/>
          <w:kern w:val="0"/>
          <w:sz w:val="32"/>
          <w:szCs w:val="32"/>
          <w:lang w:val="en-US" w:eastAsia="zh-CN" w:bidi="ar-SA"/>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298.00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298.00</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298.00</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298.00</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年12月31日，单位共有车辆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中心</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Times New Roman" w:hAnsi="Times New Roman" w:eastAsia="仿宋_GB2312"/>
          <w:sz w:val="32"/>
          <w:szCs w:val="32"/>
          <w:lang w:val="en-US" w:eastAsia="zh-CN"/>
        </w:rPr>
        <w:t>运行成本</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2023年度基本支出预算331.87万元，基本支出决算数为323.20万元。其中人员经费297.45万元、日常公用经费25.75万元。本年基本支出结余8.67万元。</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2、管理效率</w:t>
      </w:r>
    </w:p>
    <w:p>
      <w:pPr>
        <w:pStyle w:val="22"/>
        <w:keepNext w:val="0"/>
        <w:keepLines w:val="0"/>
        <w:pageBreakBefore w:val="0"/>
        <w:kinsoku/>
        <w:wordWrap/>
        <w:overflowPunct/>
        <w:topLinePunct w:val="0"/>
        <w:bidi w:val="0"/>
        <w:spacing w:line="360" w:lineRule="auto"/>
        <w:textAlignment w:val="auto"/>
        <w:outlineLvl w:val="2"/>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（1）完成</w:t>
      </w:r>
      <w:r>
        <w:rPr>
          <w:rFonts w:hint="default" w:ascii="仿宋" w:hAnsi="仿宋" w:eastAsia="仿宋" w:cs="仿宋"/>
          <w:b w:val="0"/>
          <w:bCs w:val="0"/>
          <w:sz w:val="32"/>
          <w:szCs w:val="32"/>
        </w:rPr>
        <w:t>202</w:t>
      </w:r>
      <w:r>
        <w:rPr>
          <w:rFonts w:hint="eastAsia" w:ascii="仿宋" w:hAnsi="仿宋" w:eastAsia="仿宋" w:cs="仿宋"/>
          <w:b w:val="0"/>
          <w:bCs w:val="0"/>
          <w:sz w:val="32"/>
          <w:szCs w:val="32"/>
          <w:lang w:val="en-US" w:eastAsia="zh-CN"/>
        </w:rPr>
        <w:t>2</w:t>
      </w:r>
      <w:r>
        <w:rPr>
          <w:rFonts w:hint="default" w:ascii="仿宋" w:hAnsi="仿宋" w:eastAsia="仿宋" w:cs="仿宋"/>
          <w:b w:val="0"/>
          <w:bCs w:val="0"/>
          <w:sz w:val="32"/>
          <w:szCs w:val="32"/>
        </w:rPr>
        <w:t>-202</w:t>
      </w:r>
      <w:r>
        <w:rPr>
          <w:rFonts w:hint="eastAsia" w:ascii="仿宋" w:hAnsi="仿宋" w:eastAsia="仿宋" w:cs="仿宋"/>
          <w:b w:val="0"/>
          <w:bCs w:val="0"/>
          <w:sz w:val="32"/>
          <w:szCs w:val="32"/>
          <w:lang w:val="en-US" w:eastAsia="zh-CN"/>
        </w:rPr>
        <w:t>3</w:t>
      </w:r>
      <w:r>
        <w:rPr>
          <w:rFonts w:hint="default" w:ascii="仿宋" w:hAnsi="仿宋" w:eastAsia="仿宋" w:cs="仿宋"/>
          <w:b w:val="0"/>
          <w:bCs w:val="0"/>
          <w:sz w:val="32"/>
          <w:szCs w:val="32"/>
        </w:rPr>
        <w:t>年度海南纯度种植鉴定</w:t>
      </w:r>
      <w:r>
        <w:rPr>
          <w:rFonts w:hint="eastAsia" w:ascii="仿宋" w:hAnsi="仿宋" w:eastAsia="仿宋" w:cs="仿宋"/>
          <w:b w:val="0"/>
          <w:bCs w:val="0"/>
          <w:sz w:val="32"/>
          <w:szCs w:val="32"/>
        </w:rPr>
        <w:t>样品1439个，其中基地定期检查样品965个</w:t>
      </w:r>
      <w:r>
        <w:rPr>
          <w:rFonts w:hint="eastAsia" w:ascii="仿宋" w:hAnsi="仿宋" w:eastAsia="仿宋" w:cs="仿宋"/>
          <w:b w:val="0"/>
          <w:bCs w:val="0"/>
          <w:sz w:val="32"/>
          <w:szCs w:val="32"/>
          <w:lang w:eastAsia="zh-CN"/>
        </w:rPr>
        <w:t>。</w:t>
      </w:r>
    </w:p>
    <w:p>
      <w:pPr>
        <w:pStyle w:val="22"/>
        <w:keepNext w:val="0"/>
        <w:keepLines w:val="0"/>
        <w:pageBreakBefore w:val="0"/>
        <w:kinsoku/>
        <w:wordWrap/>
        <w:overflowPunct/>
        <w:topLinePunct w:val="0"/>
        <w:bidi w:val="0"/>
        <w:spacing w:line="360" w:lineRule="auto"/>
        <w:textAlignment w:val="auto"/>
        <w:outlineLvl w:val="2"/>
        <w:rPr>
          <w:rFonts w:hint="eastAsia" w:ascii="仿宋" w:hAnsi="仿宋" w:eastAsia="仿宋"/>
          <w:b w:val="0"/>
          <w:bCs w:val="0"/>
          <w:sz w:val="32"/>
          <w:szCs w:val="32"/>
          <w:lang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按照湖南省农业农村厅办公室《关于开展2022年度冬季农作物种子生产经营企业监督检查的通知》的要求，</w:t>
      </w:r>
      <w:r>
        <w:rPr>
          <w:rFonts w:hint="eastAsia" w:ascii="仿宋" w:hAnsi="仿宋" w:eastAsia="仿宋"/>
          <w:b w:val="0"/>
          <w:bCs w:val="0"/>
          <w:sz w:val="32"/>
          <w:szCs w:val="32"/>
        </w:rPr>
        <w:t>做好2022年冬季农作物种子企业监督抽查种子检验相关工作，共完成全省42家企业的300个样品的抽样，其中水稻295个，玉米5个； 完成了300个样品发芽率和品种纯度检测、213个样品真实性、300个转基因成分检测和送检工作，发芽率298个合格、品种纯度检测297个合格、转基因成分检测结果全部合格、其中发芽率不合格样品2个，品种纯度不合格样品3个，品种真实性不合格样品7个</w:t>
      </w:r>
      <w:r>
        <w:rPr>
          <w:rFonts w:hint="eastAsia" w:ascii="仿宋" w:hAnsi="仿宋" w:eastAsia="仿宋"/>
          <w:b w:val="0"/>
          <w:bCs w:val="0"/>
          <w:sz w:val="32"/>
          <w:szCs w:val="32"/>
          <w:lang w:eastAsia="zh-CN"/>
        </w:rPr>
        <w:t>。</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3）</w:t>
      </w:r>
      <w:r>
        <w:rPr>
          <w:rFonts w:hint="eastAsia" w:ascii="仿宋" w:hAnsi="仿宋" w:eastAsia="仿宋"/>
          <w:sz w:val="32"/>
          <w:szCs w:val="32"/>
        </w:rPr>
        <w:t>按照《湖南省种子管理服务站关于做好2022年秋季农作物种子市场专项检查工作的通知》的要求，完成了秋季种子市场抽查65个油菜样品田间纯度种植鉴定。其中2个样品不合格，结果已通知企业并上报给省种子管理服务站。</w:t>
      </w:r>
    </w:p>
    <w:p>
      <w:pPr>
        <w:pStyle w:val="15"/>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履职效能</w:t>
      </w:r>
    </w:p>
    <w:p>
      <w:pPr>
        <w:spacing w:line="64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rPr>
        <w:t>全力做好臻两优8612种子质量监管、检验和指导调研工作</w:t>
      </w:r>
      <w:r>
        <w:rPr>
          <w:rFonts w:hint="eastAsia" w:ascii="仿宋" w:hAnsi="仿宋" w:eastAsia="仿宋"/>
          <w:sz w:val="32"/>
          <w:szCs w:val="32"/>
          <w:lang w:eastAsia="zh-CN"/>
        </w:rPr>
        <w:t>。</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2-5月，根据省农业农村厅关于臻两优8612的推广质量监管要求，我中心派出骨干力量联合有关地市州检验人员按照厅种业管理处的安排，四次赴海南在湖南亚华种业有限公司臻两优8612制种基地（海南）对臻两优8612的隔离、田间落粒谷、花期进行了田间检验，在田间抽取了33个代制商的种子样品分别用于转基因成分和品种真实性检测；5月中下旬在湖南亚华种业有限公司的加工仓库（益阳），对127.8万公斤臻两优8612在加工流水线上不分昼夜抽取种子样品52个开展发芽率检测。中心人员加班加点完成了臻两优8612的发芽率、品种真实性和转基因成分的检测和送检任务；经检测，臻两优8612种子结果全部合格。</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4月-10月，中心按照省农业农村厅安排，三次共派5人次参加臻两优8612的推广调研和核查工作，圆满完成任务并向厅种业管理处提交了工作报告。</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经过全中心和有关地市州检验骨干力量的共同努力，2023年推广的107万亩臻两优8612种子发芽率和品种纯度的质量全部合格，确保了该品种的用种安全。</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（2）</w:t>
      </w:r>
      <w:r>
        <w:rPr>
          <w:rFonts w:hint="default" w:ascii="仿宋" w:hAnsi="仿宋" w:eastAsia="仿宋"/>
          <w:sz w:val="32"/>
          <w:szCs w:val="32"/>
          <w:lang w:val="en-US" w:eastAsia="zh-CN"/>
        </w:rPr>
        <w:t>完成2023年农业农村部的能力验证样品的检验</w:t>
      </w:r>
      <w:r>
        <w:rPr>
          <w:rFonts w:hint="eastAsia" w:ascii="仿宋" w:hAnsi="仿宋" w:eastAsia="仿宋"/>
          <w:sz w:val="32"/>
          <w:szCs w:val="32"/>
          <w:lang w:val="en-US" w:eastAsia="zh-CN"/>
        </w:rPr>
        <w:t>。</w:t>
      </w:r>
      <w:r>
        <w:rPr>
          <w:rFonts w:hint="eastAsia" w:ascii="仿宋" w:hAnsi="仿宋" w:eastAsia="仿宋"/>
          <w:sz w:val="32"/>
          <w:szCs w:val="32"/>
        </w:rPr>
        <w:t>确保中心检验质量和水平不断保持和提升，2023年4月，中心完成农业农村部安排的10个水稻品种真实性检测和3个水稻样品发芽率的能力验证任务；2023年10月全国农技中心下发了结果，全部为A（优秀）。</w:t>
      </w:r>
    </w:p>
    <w:p>
      <w:pPr>
        <w:pStyle w:val="15"/>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完成了2023年度救灾备荒种子检测任务</w:t>
      </w:r>
      <w:r>
        <w:rPr>
          <w:rFonts w:hint="eastAsia" w:ascii="仿宋" w:hAnsi="仿宋" w:eastAsia="仿宋"/>
          <w:sz w:val="32"/>
          <w:szCs w:val="32"/>
          <w:lang w:eastAsia="zh-CN"/>
        </w:rPr>
        <w:t>。</w:t>
      </w:r>
      <w:r>
        <w:rPr>
          <w:rFonts w:hint="eastAsia" w:ascii="仿宋" w:hAnsi="仿宋" w:eastAsia="仿宋"/>
          <w:sz w:val="32"/>
          <w:szCs w:val="32"/>
        </w:rPr>
        <w:t>本次国家救灾备荒储备种子入库检查分三个组同时对11家种子企业开展检查抽查，完成数量国家救灾种子50万公斤26个样品检测、国家备荒种子130万公斤62个样品检测、省级救灾备荒种子365万公斤167个样品检测，及时将结果报送厅种业管理处和抄送省农作物救灾储备中心（其中国家备荒种子1个样品品种真实性不合格、国家救灾种子6个样品品种纯度不合格、省级救灾备荒种子31个样品品种纯度不合格）。</w:t>
      </w:r>
    </w:p>
    <w:p>
      <w:pPr>
        <w:pStyle w:val="15"/>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default" w:ascii="仿宋" w:hAnsi="仿宋" w:eastAsia="仿宋" w:cs="仿宋"/>
          <w:sz w:val="32"/>
          <w:szCs w:val="32"/>
        </w:rPr>
        <w:t>完成2024年度省级救灾备荒种子生产检查</w:t>
      </w:r>
      <w:r>
        <w:rPr>
          <w:rFonts w:hint="eastAsia" w:ascii="仿宋" w:hAnsi="仿宋" w:eastAsia="仿宋" w:cs="仿宋"/>
          <w:sz w:val="32"/>
          <w:szCs w:val="32"/>
          <w:lang w:eastAsia="zh-CN"/>
        </w:rPr>
        <w:t>。</w:t>
      </w:r>
      <w:r>
        <w:rPr>
          <w:rFonts w:hint="eastAsia" w:ascii="仿宋" w:hAnsi="仿宋" w:eastAsia="仿宋" w:cs="仿宋"/>
          <w:sz w:val="32"/>
          <w:szCs w:val="32"/>
        </w:rPr>
        <w:t>按照厅办公室《关于开展2024年度省级救灾备荒储备种子生产检查的通知》的要求，中心派员4人参加了2024年度省级救灾备荒储备种子生产检查，圆满完成工作任务，按照要求上报工作报告至厅种业管理处。</w:t>
      </w:r>
    </w:p>
    <w:p>
      <w:pPr>
        <w:spacing w:line="6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w:t>
      </w:r>
      <w:r>
        <w:rPr>
          <w:rFonts w:hint="default" w:ascii="仿宋" w:hAnsi="仿宋" w:eastAsia="仿宋" w:cs="仿宋"/>
          <w:kern w:val="2"/>
          <w:sz w:val="32"/>
          <w:szCs w:val="32"/>
          <w:lang w:val="en-US" w:eastAsia="zh-CN" w:bidi="ar-SA"/>
        </w:rPr>
        <w:t>开展早稻集中育秧及粮食生产调研指导</w:t>
      </w:r>
      <w:r>
        <w:rPr>
          <w:rFonts w:hint="eastAsia" w:ascii="仿宋" w:hAnsi="仿宋" w:eastAsia="仿宋" w:cs="仿宋"/>
          <w:kern w:val="2"/>
          <w:sz w:val="32"/>
          <w:szCs w:val="32"/>
          <w:lang w:val="en-US" w:eastAsia="zh-CN" w:bidi="ar-SA"/>
        </w:rPr>
        <w:t>。按照《湖南省农业农村厅关于做好早稻集中育秧调研指导工作的通知》的要求，中心克服一切困难派出肖颖、高友丽等6名同志赴道县、浏阳市等5县开展早稻集中育秧及粮食生产调研指导工作。</w:t>
      </w:r>
    </w:p>
    <w:p>
      <w:pPr>
        <w:adjustRightInd w:val="0"/>
        <w:snapToGrid w:val="0"/>
        <w:spacing w:line="600" w:lineRule="exact"/>
        <w:ind w:firstLine="640" w:firstLineChars="200"/>
        <w:rPr>
          <w:rFonts w:hint="eastAsia" w:ascii="仿宋" w:hAnsi="仿宋" w:eastAsia="仿宋"/>
          <w:color w:val="000000"/>
          <w:sz w:val="32"/>
          <w:szCs w:val="32"/>
        </w:rPr>
      </w:pPr>
      <w:r>
        <w:rPr>
          <w:rFonts w:hint="eastAsia" w:ascii="仿宋" w:hAnsi="仿宋" w:eastAsia="仿宋" w:cs="仿宋"/>
          <w:kern w:val="2"/>
          <w:sz w:val="32"/>
          <w:szCs w:val="32"/>
          <w:lang w:val="en-US" w:eastAsia="zh-CN" w:bidi="ar-SA"/>
        </w:rPr>
        <w:t>（3）</w:t>
      </w:r>
      <w:r>
        <w:rPr>
          <w:rFonts w:hint="default" w:ascii="仿宋" w:hAnsi="仿宋" w:eastAsia="仿宋" w:cs="仿宋"/>
          <w:kern w:val="2"/>
          <w:sz w:val="32"/>
          <w:szCs w:val="32"/>
          <w:lang w:val="en-US" w:eastAsia="zh-CN" w:bidi="ar-SA"/>
        </w:rPr>
        <w:t>联合</w:t>
      </w:r>
      <w:r>
        <w:rPr>
          <w:rFonts w:hint="eastAsia" w:ascii="仿宋" w:hAnsi="仿宋" w:eastAsia="仿宋" w:cs="仿宋"/>
          <w:kern w:val="2"/>
          <w:sz w:val="32"/>
          <w:szCs w:val="32"/>
          <w:lang w:val="en-US" w:eastAsia="zh-CN" w:bidi="ar-SA"/>
        </w:rPr>
        <w:t>企业</w:t>
      </w:r>
      <w:r>
        <w:rPr>
          <w:rFonts w:hint="default" w:ascii="仿宋" w:hAnsi="仿宋" w:eastAsia="仿宋" w:cs="仿宋"/>
          <w:kern w:val="2"/>
          <w:sz w:val="32"/>
          <w:szCs w:val="32"/>
          <w:lang w:val="en-US" w:eastAsia="zh-CN" w:bidi="ar-SA"/>
        </w:rPr>
        <w:t>起草编制</w:t>
      </w:r>
      <w:r>
        <w:rPr>
          <w:rFonts w:hint="eastAsia" w:ascii="仿宋" w:hAnsi="仿宋" w:eastAsia="仿宋" w:cs="仿宋"/>
          <w:kern w:val="2"/>
          <w:sz w:val="32"/>
          <w:szCs w:val="32"/>
          <w:lang w:val="en-US" w:eastAsia="zh-CN" w:bidi="ar-SA"/>
        </w:rPr>
        <w:t>关于</w:t>
      </w:r>
      <w:r>
        <w:rPr>
          <w:rFonts w:hint="default" w:ascii="仿宋" w:hAnsi="仿宋" w:eastAsia="仿宋" w:cs="仿宋"/>
          <w:kern w:val="2"/>
          <w:sz w:val="32"/>
          <w:szCs w:val="32"/>
          <w:lang w:val="en-US" w:eastAsia="zh-CN" w:bidi="ar-SA"/>
        </w:rPr>
        <w:t>油菜</w:t>
      </w:r>
      <w:r>
        <w:rPr>
          <w:rFonts w:hint="eastAsia" w:ascii="仿宋" w:hAnsi="仿宋" w:eastAsia="仿宋" w:cs="仿宋"/>
          <w:kern w:val="2"/>
          <w:sz w:val="32"/>
          <w:szCs w:val="32"/>
          <w:lang w:val="en-US" w:eastAsia="zh-CN" w:bidi="ar-SA"/>
        </w:rPr>
        <w:t>的</w:t>
      </w:r>
      <w:r>
        <w:rPr>
          <w:rFonts w:hint="default" w:ascii="仿宋" w:hAnsi="仿宋" w:eastAsia="仿宋" w:cs="仿宋"/>
          <w:kern w:val="2"/>
          <w:sz w:val="32"/>
          <w:szCs w:val="32"/>
          <w:lang w:val="en-US" w:eastAsia="zh-CN" w:bidi="ar-SA"/>
        </w:rPr>
        <w:t>行业标准</w:t>
      </w:r>
      <w:r>
        <w:rPr>
          <w:rFonts w:hint="eastAsia" w:ascii="仿宋" w:hAnsi="仿宋" w:eastAsia="仿宋" w:cs="仿宋"/>
          <w:kern w:val="2"/>
          <w:sz w:val="32"/>
          <w:szCs w:val="32"/>
          <w:lang w:val="en-US" w:eastAsia="zh-CN" w:bidi="ar-SA"/>
        </w:rPr>
        <w:t>。按照全国农技中心的安排，中心联合湖南亚华种业有限公司起草编制了全国行业标</w:t>
      </w:r>
      <w:r>
        <w:rPr>
          <w:rFonts w:hint="eastAsia" w:ascii="仿宋" w:hAnsi="仿宋" w:eastAsia="仿宋"/>
          <w:color w:val="000000"/>
          <w:sz w:val="32"/>
          <w:szCs w:val="32"/>
        </w:rPr>
        <w:t>准《农作物品种纯度田间小区种植鉴定技术规程 油菜》，已将起草的行业标准上报全国农作物种子标准技术委员会。</w:t>
      </w:r>
    </w:p>
    <w:p>
      <w:pPr>
        <w:pStyle w:val="15"/>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服务对象满意度</w:t>
      </w:r>
    </w:p>
    <w:p>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default" w:ascii="仿宋_GB2312" w:hAnsi="仿宋_GB2312" w:eastAsia="仿宋_GB2312" w:cs="仿宋_GB2312"/>
          <w:b w:val="0"/>
          <w:bCs w:val="0"/>
          <w:color w:val="auto"/>
          <w:kern w:val="2"/>
          <w:sz w:val="32"/>
          <w:szCs w:val="32"/>
          <w:highlight w:val="none"/>
          <w:lang w:val="en-US" w:eastAsia="zh-CN" w:bidi="ar-SA"/>
        </w:rPr>
        <w:t>社会公众或服务对象的满意程度</w:t>
      </w:r>
      <w:r>
        <w:rPr>
          <w:rFonts w:hint="eastAsia" w:ascii="仿宋_GB2312" w:hAnsi="仿宋_GB2312" w:eastAsia="仿宋_GB2312" w:cs="仿宋_GB2312"/>
          <w:b w:val="0"/>
          <w:bCs w:val="0"/>
          <w:color w:val="auto"/>
          <w:kern w:val="2"/>
          <w:sz w:val="32"/>
          <w:szCs w:val="32"/>
          <w:highlight w:val="none"/>
          <w:lang w:val="en-US" w:eastAsia="zh-CN" w:bidi="ar-SA"/>
        </w:rPr>
        <w:t>95%。</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存在的问题：种子质量检测样品数量呈逐年大幅增加的趋势，省级财政从2020年开始将常年预算种子检验和检测专项经费缩减了20%，2023年海南陵水纯度种植鉴定基地的生产资料和农工费用成倍上涨、臻两优8612种子的质量监管、检验和调研指导、中心仪器的老化和省级标准样品的库容不足等，种子质量检测的相关经费缺口越来越大，若按照2023年工作量，2024年种子质量检测经费缺口约100万元左右。</w:t>
      </w:r>
    </w:p>
    <w:p>
      <w:pPr>
        <w:pStyle w:val="2"/>
        <w:pageBreakBefore w:val="0"/>
        <w:kinsoku/>
        <w:wordWrap/>
        <w:overflowPunct/>
        <w:topLinePunct w:val="0"/>
        <w:bidi w:val="0"/>
        <w:spacing w:line="360" w:lineRule="auto"/>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2、改进措施：</w:t>
      </w:r>
      <w:r>
        <w:rPr>
          <w:rFonts w:hint="eastAsia" w:ascii="仿宋_GB2312" w:hAnsi="仿宋_GB2312" w:eastAsia="仿宋_GB2312" w:cs="仿宋_GB2312"/>
          <w:kern w:val="2"/>
          <w:sz w:val="32"/>
          <w:szCs w:val="32"/>
          <w:lang w:val="en-US" w:eastAsia="zh-CN" w:bidi="ar-SA"/>
        </w:rPr>
        <w:t>提高</w:t>
      </w:r>
      <w:r>
        <w:rPr>
          <w:rFonts w:hint="default" w:ascii="仿宋_GB2312" w:hAnsi="仿宋_GB2312" w:eastAsia="仿宋_GB2312" w:cs="仿宋_GB2312"/>
          <w:kern w:val="2"/>
          <w:sz w:val="32"/>
          <w:szCs w:val="32"/>
          <w:lang w:val="en-US" w:eastAsia="zh-CN" w:bidi="ar-SA"/>
        </w:rPr>
        <w:t>预算编制水平，合理地、精准地、科学的编制预算</w:t>
      </w:r>
      <w:r>
        <w:rPr>
          <w:rFonts w:hint="eastAsia" w:ascii="仿宋_GB2312" w:hAnsi="仿宋_GB2312" w:eastAsia="仿宋_GB2312" w:cs="仿宋_GB2312"/>
          <w:kern w:val="2"/>
          <w:sz w:val="32"/>
          <w:szCs w:val="32"/>
          <w:lang w:val="en-US" w:eastAsia="zh-CN" w:bidi="ar-SA"/>
        </w:rPr>
        <w:t>；同时申请财政资金支持，在种子检验和检测专项资金上请求省农业农村厅给予大力支持。</w:t>
      </w:r>
    </w:p>
    <w:p>
      <w:pPr>
        <w:pStyle w:val="15"/>
        <w:jc w:val="both"/>
        <w:rPr>
          <w:sz w:val="72"/>
          <w:szCs w:val="72"/>
        </w:rPr>
      </w:pPr>
    </w:p>
    <w:p>
      <w:pPr>
        <w:pStyle w:val="15"/>
        <w:jc w:val="center"/>
        <w:rPr>
          <w:sz w:val="72"/>
          <w:szCs w:val="72"/>
        </w:rPr>
      </w:pPr>
    </w:p>
    <w:p>
      <w:pPr>
        <w:pStyle w:val="15"/>
        <w:jc w:val="center"/>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5"/>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rPr>
          <w:sz w:val="72"/>
          <w:szCs w:val="72"/>
        </w:rPr>
      </w:pPr>
      <w:r>
        <w:rPr>
          <w:sz w:val="72"/>
          <w:szCs w:val="72"/>
        </w:rPr>
        <w:br w:type="page"/>
      </w: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4"/>
        <w:pageBreakBefore w:val="0"/>
        <w:kinsoku/>
        <w:wordWrap/>
        <w:overflowPunct/>
        <w:topLinePunct w:val="0"/>
        <w:bidi w:val="0"/>
        <w:spacing w:line="360" w:lineRule="auto"/>
        <w:textAlignment w:val="auto"/>
        <w:rPr>
          <w:rFonts w:hint="eastAsia"/>
          <w:spacing w:val="-8"/>
          <w:lang w:val="en-US" w:eastAsia="zh-CN"/>
        </w:rPr>
      </w:pPr>
      <w:r>
        <w:rPr>
          <w:rFonts w:hint="eastAsia"/>
          <w:spacing w:val="-8"/>
          <w:lang w:val="en-US" w:eastAsia="zh-CN"/>
        </w:rPr>
        <w:t>2023</w:t>
      </w:r>
      <w:r>
        <w:rPr>
          <w:spacing w:val="-8"/>
        </w:rPr>
        <w:t>年度</w:t>
      </w:r>
      <w:r>
        <w:rPr>
          <w:rFonts w:hint="eastAsia"/>
          <w:spacing w:val="-8"/>
          <w:lang w:val="en-US" w:eastAsia="zh-CN"/>
        </w:rPr>
        <w:t>湖南</w:t>
      </w:r>
      <w:r>
        <w:rPr>
          <w:rFonts w:hint="default"/>
          <w:spacing w:val="-8"/>
          <w:lang w:val="en-US" w:eastAsia="zh-CN"/>
        </w:rPr>
        <w:t>省</w:t>
      </w:r>
      <w:r>
        <w:rPr>
          <w:rFonts w:hint="eastAsia"/>
          <w:spacing w:val="-8"/>
          <w:lang w:val="en-US" w:eastAsia="zh-CN"/>
        </w:rPr>
        <w:t>种子质量检测中心</w:t>
      </w:r>
    </w:p>
    <w:p>
      <w:pPr>
        <w:pStyle w:val="4"/>
        <w:pageBreakBefore w:val="0"/>
        <w:kinsoku/>
        <w:wordWrap/>
        <w:overflowPunct/>
        <w:topLinePunct w:val="0"/>
        <w:bidi w:val="0"/>
        <w:spacing w:line="360" w:lineRule="auto"/>
        <w:textAlignment w:val="auto"/>
        <w:rPr>
          <w:spacing w:val="-8"/>
        </w:rPr>
      </w:pPr>
      <w:r>
        <w:rPr>
          <w:spacing w:val="-8"/>
        </w:rPr>
        <w:t>整体支出绩效自评报告</w:t>
      </w:r>
    </w:p>
    <w:p>
      <w:pPr>
        <w:pStyle w:val="5"/>
        <w:pageBreakBefore w:val="0"/>
        <w:kinsoku/>
        <w:wordWrap/>
        <w:overflowPunct/>
        <w:topLinePunct w:val="0"/>
        <w:bidi w:val="0"/>
        <w:spacing w:line="360" w:lineRule="auto"/>
        <w:ind w:firstLine="640"/>
        <w:textAlignment w:val="auto"/>
      </w:pPr>
    </w:p>
    <w:p>
      <w:pPr>
        <w:pStyle w:val="5"/>
        <w:pageBreakBefore w:val="0"/>
        <w:numPr>
          <w:ilvl w:val="0"/>
          <w:numId w:val="3"/>
        </w:numPr>
        <w:kinsoku/>
        <w:wordWrap/>
        <w:overflowPunct/>
        <w:topLinePunct w:val="0"/>
        <w:bidi w:val="0"/>
        <w:spacing w:line="360" w:lineRule="auto"/>
        <w:ind w:firstLine="640"/>
        <w:textAlignment w:val="auto"/>
        <w:rPr>
          <w:rFonts w:hint="eastAsia" w:ascii="华文细黑" w:hAnsi="华文细黑" w:eastAsia="华文细黑" w:cs="华文细黑"/>
          <w:sz w:val="32"/>
          <w:szCs w:val="32"/>
        </w:rPr>
      </w:pPr>
      <w:r>
        <w:rPr>
          <w:rFonts w:hint="eastAsia" w:ascii="华文细黑" w:hAnsi="华文细黑" w:eastAsia="华文细黑" w:cs="华文细黑"/>
          <w:sz w:val="32"/>
          <w:szCs w:val="32"/>
        </w:rPr>
        <w:t>单位基本情况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1.主要职能。</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承担农业农村部和省农业农村厅下达的农作物种子质量监督抽查的检验工作；二是负责农作物种子检验技术的研究和创新；三是接受司法、公安、工商等部门的委托，检验农作物种子质量，承担农作物种子纯度种植鉴定和组织种子质量纠纷田间现场鉴定工作；四是接受种子生产经营单位和个人的委托，检验农作物种子质量；六是负责培训种子检验技术人员。</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2．人员情况，中心编制10人，现有在编在职人员10人。</w:t>
      </w:r>
    </w:p>
    <w:p>
      <w:pPr>
        <w:pStyle w:val="5"/>
        <w:pageBreakBefore w:val="0"/>
        <w:kinsoku/>
        <w:wordWrap/>
        <w:overflowPunct/>
        <w:topLinePunct w:val="0"/>
        <w:bidi w:val="0"/>
        <w:spacing w:line="360" w:lineRule="auto"/>
        <w:ind w:firstLine="640"/>
        <w:textAlignment w:val="auto"/>
        <w:rPr>
          <w:rFonts w:hint="eastAsia" w:ascii="华文细黑" w:hAnsi="华文细黑" w:eastAsia="华文细黑" w:cs="华文细黑"/>
          <w:sz w:val="32"/>
          <w:szCs w:val="32"/>
        </w:rPr>
      </w:pPr>
      <w:r>
        <w:rPr>
          <w:rFonts w:hint="eastAsia" w:ascii="华文细黑" w:hAnsi="华文细黑" w:eastAsia="华文细黑" w:cs="华文细黑"/>
          <w:sz w:val="32"/>
          <w:szCs w:val="32"/>
        </w:rPr>
        <w:t>二、一般公共预算支出情况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2023年度基本支出预算331.87万元，基本支出决算数为323.20万元。其中人员经费297.45万元、日常公用经费25.75万元。本年基本支出结余8.67万元。</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（二）项目支出情况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2023年度项目支出年初结余200万元，全年项目支出预算数为565.80万元。</w:t>
      </w:r>
    </w:p>
    <w:p>
      <w:pPr>
        <w:pageBreakBefore w:val="0"/>
        <w:kinsoku/>
        <w:wordWrap/>
        <w:overflowPunct/>
        <w:topLinePunct w:val="0"/>
        <w:bidi w:val="0"/>
        <w:spacing w:line="360" w:lineRule="auto"/>
        <w:ind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项目支出决算数为560.90万元，年末结余4.90元。其中业务工作专项532.90万元，主要用于</w:t>
      </w:r>
      <w:r>
        <w:rPr>
          <w:rFonts w:hint="default" w:ascii="仿宋_GB2312" w:hAnsi="仿宋_GB2312" w:eastAsia="仿宋_GB2312" w:cs="仿宋_GB2312"/>
          <w:sz w:val="32"/>
          <w:szCs w:val="32"/>
          <w:lang w:val="en-US" w:eastAsia="zh-CN"/>
        </w:rPr>
        <w:t>农作物种子检验</w:t>
      </w:r>
      <w:r>
        <w:rPr>
          <w:rFonts w:hint="eastAsia" w:ascii="仿宋_GB2312" w:hAnsi="仿宋_GB2312" w:eastAsia="仿宋_GB2312" w:cs="仿宋_GB2312"/>
          <w:sz w:val="32"/>
          <w:szCs w:val="32"/>
          <w:lang w:val="en-US" w:eastAsia="zh-CN"/>
        </w:rPr>
        <w:t>检测、</w:t>
      </w:r>
      <w:r>
        <w:rPr>
          <w:rFonts w:hint="default" w:ascii="仿宋_GB2312" w:hAnsi="仿宋_GB2312" w:eastAsia="仿宋_GB2312" w:cs="仿宋_GB2312"/>
          <w:sz w:val="32"/>
          <w:szCs w:val="32"/>
          <w:lang w:val="en-US" w:eastAsia="zh-CN"/>
        </w:rPr>
        <w:t>品种真实性检测平台升级</w:t>
      </w:r>
      <w:r>
        <w:rPr>
          <w:rFonts w:hint="eastAsia" w:ascii="仿宋_GB2312" w:hAnsi="仿宋_GB2312" w:eastAsia="仿宋_GB2312" w:cs="仿宋_GB2312"/>
          <w:sz w:val="32"/>
          <w:szCs w:val="32"/>
          <w:lang w:val="en-US" w:eastAsia="zh-CN"/>
        </w:rPr>
        <w:t>方面的支出；省级专项28.00万元，其中18万元用于早稻集中育秧经费支出，10万元为重要农产品稳产保供(市县)项目，主要是省级农作物、畜禽种业安全监管资金。</w:t>
      </w:r>
    </w:p>
    <w:p>
      <w:pPr>
        <w:pStyle w:val="5"/>
        <w:pageBreakBefore w:val="0"/>
        <w:kinsoku/>
        <w:wordWrap/>
        <w:overflowPunct/>
        <w:topLinePunct w:val="0"/>
        <w:bidi w:val="0"/>
        <w:spacing w:line="360" w:lineRule="auto"/>
        <w:ind w:firstLine="640"/>
        <w:textAlignment w:val="auto"/>
        <w:rPr>
          <w:rFonts w:hint="eastAsia" w:ascii="华文细黑" w:hAnsi="华文细黑" w:eastAsia="华文细黑" w:cs="华文细黑"/>
          <w:sz w:val="32"/>
          <w:szCs w:val="32"/>
        </w:rPr>
      </w:pPr>
      <w:r>
        <w:rPr>
          <w:rFonts w:hint="eastAsia" w:ascii="华文细黑" w:hAnsi="华文细黑" w:eastAsia="华文细黑" w:cs="华文细黑"/>
          <w:sz w:val="32"/>
          <w:szCs w:val="32"/>
        </w:rPr>
        <w:t>三、部门整体支出绩效情况</w:t>
      </w:r>
    </w:p>
    <w:p>
      <w:pPr>
        <w:keepNext w:val="0"/>
        <w:keepLines w:val="0"/>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 w:hAnsi="仿宋" w:eastAsia="仿宋"/>
          <w:sz w:val="32"/>
          <w:szCs w:val="32"/>
        </w:rPr>
        <w:t>我中心在厅党组、厅种业管理处和省种子管理服务站的正确领导下, 按照制定的工作计划和目标，2023年认真扎实地完成了每一项</w:t>
      </w:r>
      <w:r>
        <w:rPr>
          <w:rFonts w:hint="eastAsia" w:ascii="仿宋" w:hAnsi="仿宋" w:eastAsia="仿宋"/>
          <w:sz w:val="32"/>
          <w:szCs w:val="32"/>
          <w:lang w:val="en-US" w:eastAsia="zh-CN"/>
        </w:rPr>
        <w:t>市场监管</w:t>
      </w:r>
      <w:r>
        <w:rPr>
          <w:rFonts w:hint="eastAsia" w:ascii="仿宋" w:hAnsi="仿宋" w:eastAsia="仿宋"/>
          <w:sz w:val="32"/>
          <w:szCs w:val="32"/>
        </w:rPr>
        <w:t>检测工作任务。</w:t>
      </w:r>
      <w:r>
        <w:rPr>
          <w:rFonts w:hint="eastAsia" w:ascii="仿宋_GB2312" w:hAnsi="仿宋_GB2312" w:eastAsia="仿宋_GB2312" w:cs="仿宋_GB2312"/>
          <w:color w:val="auto"/>
          <w:sz w:val="32"/>
          <w:szCs w:val="32"/>
          <w:lang w:val="en-US" w:eastAsia="zh-CN"/>
        </w:rPr>
        <w:t>根据《湖南省财政厅关于开展2023年度部门整体支出绩效自评工作的通知》相关规定，在基础数据分析及处理的基础上，良种引进示范中心2023年度部门整体支出绩效评价综合得分为99.85分，其</w:t>
      </w:r>
      <w:r>
        <w:rPr>
          <w:rFonts w:hint="eastAsia" w:ascii="仿宋_GB2312" w:hAnsi="仿宋_GB2312" w:eastAsia="仿宋_GB2312" w:cs="仿宋_GB2312"/>
          <w:color w:val="auto"/>
          <w:sz w:val="32"/>
          <w:szCs w:val="32"/>
          <w:highlight w:val="none"/>
          <w:lang w:val="en-US" w:eastAsia="zh-CN"/>
        </w:rPr>
        <w:t>中预算执行率得分9.85分、产出指标类得分50分、效益指标类得分30分、满意度指标得分10分。主要绩效情况如下：</w:t>
      </w:r>
    </w:p>
    <w:p>
      <w:pPr>
        <w:pStyle w:val="21"/>
        <w:keepNext w:val="0"/>
        <w:keepLines w:val="0"/>
        <w:pageBreakBefore w:val="0"/>
        <w:widowControl w:val="0"/>
        <w:numPr>
          <w:ilvl w:val="0"/>
          <w:numId w:val="4"/>
        </w:numPr>
        <w:kinsoku/>
        <w:wordWrap/>
        <w:overflowPunct/>
        <w:topLinePunct w:val="0"/>
        <w:autoSpaceDE/>
        <w:autoSpaceDN/>
        <w:bidi w:val="0"/>
        <w:spacing w:line="360" w:lineRule="auto"/>
        <w:textAlignment w:val="auto"/>
        <w:outlineLvl w:val="1"/>
        <w:rPr>
          <w:rFonts w:hint="eastAsia" w:ascii="华文楷体" w:hAnsi="华文楷体" w:eastAsia="华文楷体" w:cs="华文楷体"/>
          <w:b/>
          <w:bCs/>
          <w:color w:val="auto"/>
          <w:sz w:val="32"/>
          <w:szCs w:val="32"/>
          <w:highlight w:val="none"/>
        </w:rPr>
      </w:pPr>
      <w:bookmarkStart w:id="2" w:name="_Toc15543"/>
      <w:r>
        <w:rPr>
          <w:rFonts w:hint="eastAsia" w:ascii="华文楷体" w:hAnsi="华文楷体" w:eastAsia="华文楷体" w:cs="华文楷体"/>
          <w:b/>
          <w:bCs/>
          <w:color w:val="auto"/>
          <w:sz w:val="32"/>
          <w:szCs w:val="32"/>
          <w:highlight w:val="none"/>
        </w:rPr>
        <w:t>预算执行情况</w:t>
      </w:r>
      <w:bookmarkEnd w:id="2"/>
    </w:p>
    <w:p>
      <w:pPr>
        <w:pStyle w:val="21"/>
        <w:keepNext w:val="0"/>
        <w:keepLines w:val="0"/>
        <w:pageBreakBefore w:val="0"/>
        <w:widowControl w:val="0"/>
        <w:numPr>
          <w:ilvl w:val="0"/>
          <w:numId w:val="0"/>
        </w:numPr>
        <w:kinsoku/>
        <w:wordWrap/>
        <w:overflowPunct/>
        <w:topLinePunct w:val="0"/>
        <w:autoSpaceDE/>
        <w:autoSpaceDN/>
        <w:bidi w:val="0"/>
        <w:spacing w:line="360" w:lineRule="auto"/>
        <w:ind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2023年全年预算数897.67万元，决算数884.10万元，预算执行率98.48%。故该指标得分为9.85分。</w:t>
      </w:r>
    </w:p>
    <w:p>
      <w:pPr>
        <w:pStyle w:val="21"/>
        <w:keepNext w:val="0"/>
        <w:keepLines w:val="0"/>
        <w:pageBreakBefore w:val="0"/>
        <w:widowControl w:val="0"/>
        <w:kinsoku/>
        <w:wordWrap/>
        <w:overflowPunct/>
        <w:topLinePunct w:val="0"/>
        <w:autoSpaceDE/>
        <w:autoSpaceDN/>
        <w:bidi w:val="0"/>
        <w:spacing w:line="360" w:lineRule="auto"/>
        <w:textAlignment w:val="auto"/>
        <w:outlineLvl w:val="1"/>
        <w:rPr>
          <w:rFonts w:hint="eastAsia" w:ascii="华文楷体" w:hAnsi="华文楷体" w:eastAsia="华文楷体" w:cs="华文楷体"/>
          <w:b/>
          <w:bCs/>
          <w:color w:val="auto"/>
          <w:sz w:val="32"/>
          <w:szCs w:val="32"/>
          <w:highlight w:val="none"/>
        </w:rPr>
      </w:pPr>
      <w:bookmarkStart w:id="3" w:name="_Toc30959"/>
      <w:r>
        <w:rPr>
          <w:rFonts w:hint="eastAsia" w:ascii="华文楷体" w:hAnsi="华文楷体" w:eastAsia="华文楷体" w:cs="华文楷体"/>
          <w:b/>
          <w:bCs/>
          <w:color w:val="auto"/>
          <w:sz w:val="32"/>
          <w:szCs w:val="32"/>
          <w:highlight w:val="none"/>
        </w:rPr>
        <w:t>（二）产出指标绩效情况</w:t>
      </w:r>
      <w:bookmarkEnd w:id="3"/>
    </w:p>
    <w:p>
      <w:pPr>
        <w:pStyle w:val="22"/>
        <w:keepNext w:val="0"/>
        <w:keepLines w:val="0"/>
        <w:pageBreakBefore w:val="0"/>
        <w:kinsoku/>
        <w:wordWrap/>
        <w:overflowPunct/>
        <w:topLinePunct w:val="0"/>
        <w:bidi w:val="0"/>
        <w:spacing w:line="360" w:lineRule="auto"/>
        <w:textAlignment w:val="auto"/>
        <w:outlineLvl w:val="2"/>
        <w:rPr>
          <w:rFonts w:hint="eastAsia" w:ascii="仿宋_GB2312" w:hAnsi="仿宋_GB2312" w:eastAsia="仿宋_GB2312" w:cs="仿宋_GB2312"/>
          <w:b w:val="0"/>
          <w:bCs w:val="0"/>
          <w:color w:val="auto"/>
          <w:kern w:val="2"/>
          <w:sz w:val="32"/>
          <w:szCs w:val="32"/>
          <w:highlight w:val="none"/>
          <w:lang w:val="en-US" w:eastAsia="zh-CN" w:bidi="ar-SA"/>
        </w:rPr>
      </w:pPr>
      <w:bookmarkStart w:id="4" w:name="_Toc6959"/>
      <w:r>
        <w:rPr>
          <w:rFonts w:hint="eastAsia" w:ascii="仿宋_GB2312" w:hAnsi="仿宋_GB2312" w:eastAsia="仿宋_GB2312" w:cs="仿宋_GB2312"/>
          <w:b w:val="0"/>
          <w:bCs w:val="0"/>
          <w:color w:val="auto"/>
          <w:kern w:val="2"/>
          <w:sz w:val="32"/>
          <w:szCs w:val="32"/>
          <w:highlight w:val="none"/>
          <w:lang w:val="en-US" w:eastAsia="zh-CN" w:bidi="ar-SA"/>
        </w:rPr>
        <w:t>1、数量指标</w:t>
      </w:r>
      <w:bookmarkEnd w:id="4"/>
    </w:p>
    <w:p>
      <w:pPr>
        <w:pStyle w:val="22"/>
        <w:keepNext w:val="0"/>
        <w:keepLines w:val="0"/>
        <w:pageBreakBefore w:val="0"/>
        <w:kinsoku/>
        <w:wordWrap/>
        <w:overflowPunct/>
        <w:topLinePunct w:val="0"/>
        <w:bidi w:val="0"/>
        <w:spacing w:line="360" w:lineRule="auto"/>
        <w:textAlignment w:val="auto"/>
        <w:outlineLvl w:val="2"/>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（1）完成</w:t>
      </w:r>
      <w:r>
        <w:rPr>
          <w:rFonts w:hint="default" w:ascii="仿宋" w:hAnsi="仿宋" w:eastAsia="仿宋" w:cs="仿宋"/>
          <w:b w:val="0"/>
          <w:bCs w:val="0"/>
          <w:sz w:val="32"/>
          <w:szCs w:val="32"/>
        </w:rPr>
        <w:t>202</w:t>
      </w:r>
      <w:r>
        <w:rPr>
          <w:rFonts w:hint="eastAsia" w:ascii="仿宋" w:hAnsi="仿宋" w:eastAsia="仿宋" w:cs="仿宋"/>
          <w:b w:val="0"/>
          <w:bCs w:val="0"/>
          <w:sz w:val="32"/>
          <w:szCs w:val="32"/>
          <w:lang w:val="en-US" w:eastAsia="zh-CN"/>
        </w:rPr>
        <w:t>2</w:t>
      </w:r>
      <w:r>
        <w:rPr>
          <w:rFonts w:hint="default" w:ascii="仿宋" w:hAnsi="仿宋" w:eastAsia="仿宋" w:cs="仿宋"/>
          <w:b w:val="0"/>
          <w:bCs w:val="0"/>
          <w:sz w:val="32"/>
          <w:szCs w:val="32"/>
        </w:rPr>
        <w:t>-202</w:t>
      </w:r>
      <w:r>
        <w:rPr>
          <w:rFonts w:hint="eastAsia" w:ascii="仿宋" w:hAnsi="仿宋" w:eastAsia="仿宋" w:cs="仿宋"/>
          <w:b w:val="0"/>
          <w:bCs w:val="0"/>
          <w:sz w:val="32"/>
          <w:szCs w:val="32"/>
          <w:lang w:val="en-US" w:eastAsia="zh-CN"/>
        </w:rPr>
        <w:t>3</w:t>
      </w:r>
      <w:r>
        <w:rPr>
          <w:rFonts w:hint="default" w:ascii="仿宋" w:hAnsi="仿宋" w:eastAsia="仿宋" w:cs="仿宋"/>
          <w:b w:val="0"/>
          <w:bCs w:val="0"/>
          <w:sz w:val="32"/>
          <w:szCs w:val="32"/>
        </w:rPr>
        <w:t>年度海南纯度种植鉴定</w:t>
      </w:r>
      <w:r>
        <w:rPr>
          <w:rFonts w:hint="eastAsia" w:ascii="仿宋" w:hAnsi="仿宋" w:eastAsia="仿宋" w:cs="仿宋"/>
          <w:b w:val="0"/>
          <w:bCs w:val="0"/>
          <w:sz w:val="32"/>
          <w:szCs w:val="32"/>
        </w:rPr>
        <w:t>样品1439个，其中基地定期检查样品965个</w:t>
      </w:r>
      <w:r>
        <w:rPr>
          <w:rFonts w:hint="eastAsia" w:ascii="仿宋" w:hAnsi="仿宋" w:eastAsia="仿宋" w:cs="仿宋"/>
          <w:b w:val="0"/>
          <w:bCs w:val="0"/>
          <w:sz w:val="32"/>
          <w:szCs w:val="32"/>
          <w:lang w:eastAsia="zh-CN"/>
        </w:rPr>
        <w:t>。</w:t>
      </w:r>
    </w:p>
    <w:p>
      <w:pPr>
        <w:pStyle w:val="22"/>
        <w:keepNext w:val="0"/>
        <w:keepLines w:val="0"/>
        <w:pageBreakBefore w:val="0"/>
        <w:kinsoku/>
        <w:wordWrap/>
        <w:overflowPunct/>
        <w:topLinePunct w:val="0"/>
        <w:bidi w:val="0"/>
        <w:spacing w:line="360" w:lineRule="auto"/>
        <w:textAlignment w:val="auto"/>
        <w:outlineLvl w:val="2"/>
        <w:rPr>
          <w:rFonts w:hint="eastAsia" w:ascii="仿宋" w:hAnsi="仿宋" w:eastAsia="仿宋"/>
          <w:b w:val="0"/>
          <w:bCs w:val="0"/>
          <w:sz w:val="32"/>
          <w:szCs w:val="32"/>
          <w:lang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按照湖南省农业农村厅办公室《关于开展2022年度冬季农作物种子生产经营企业监督检查的通知》的要求，</w:t>
      </w:r>
      <w:r>
        <w:rPr>
          <w:rFonts w:hint="eastAsia" w:ascii="仿宋" w:hAnsi="仿宋" w:eastAsia="仿宋"/>
          <w:b w:val="0"/>
          <w:bCs w:val="0"/>
          <w:sz w:val="32"/>
          <w:szCs w:val="32"/>
        </w:rPr>
        <w:t>做好2022年冬季农作物种子企业监督抽查种子检验相关工作，共完成全省42家企业的300个样品的抽样，其中水稻295个，玉米5个； 完成了300个样品发芽率和品种纯度检测、213个样品真实性、300个转基因成分检测和送检工作，发芽率298个合格、品种纯度检测297个合格、转基因成分检测结果全部合格、其中发芽率不合格样品2个，品种纯度不合格样品3个，品种真实性不合格样品7个</w:t>
      </w:r>
      <w:r>
        <w:rPr>
          <w:rFonts w:hint="eastAsia" w:ascii="仿宋" w:hAnsi="仿宋" w:eastAsia="仿宋"/>
          <w:b w:val="0"/>
          <w:bCs w:val="0"/>
          <w:sz w:val="32"/>
          <w:szCs w:val="32"/>
          <w:lang w:eastAsia="zh-CN"/>
        </w:rPr>
        <w:t>。</w:t>
      </w:r>
    </w:p>
    <w:p>
      <w:pPr>
        <w:spacing w:line="640" w:lineRule="exact"/>
        <w:ind w:firstLine="640" w:firstLineChars="200"/>
        <w:rPr>
          <w:rFonts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3）</w:t>
      </w:r>
      <w:r>
        <w:rPr>
          <w:rFonts w:hint="eastAsia" w:ascii="仿宋" w:hAnsi="仿宋" w:eastAsia="仿宋"/>
          <w:sz w:val="32"/>
          <w:szCs w:val="32"/>
        </w:rPr>
        <w:t>按照《湖南省种子管理服务站关于做好2022年秋季农作物种子市场专项检查工作的通知》的要求，完成了秋季种子市场抽查65个油菜样品田间纯度种植鉴定。其中2个样品不合格，结果已通知企业并上报给省种子管理服务站。</w:t>
      </w:r>
    </w:p>
    <w:p>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2、质量指标</w:t>
      </w:r>
    </w:p>
    <w:p>
      <w:pPr>
        <w:spacing w:line="64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rPr>
        <w:t>全力做好臻两优8612种子质量监管、检验和指导调研工作</w:t>
      </w:r>
      <w:r>
        <w:rPr>
          <w:rFonts w:hint="eastAsia" w:ascii="仿宋" w:hAnsi="仿宋" w:eastAsia="仿宋"/>
          <w:sz w:val="32"/>
          <w:szCs w:val="32"/>
          <w:lang w:eastAsia="zh-CN"/>
        </w:rPr>
        <w:t>。</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2-5月，根据省农业农村厅关于臻两优8612的推广质量监管要求，我中心派出骨干力量联合有关地市州检验人员按照厅种业管理处的安排，四次赴海南在湖南亚华种业有限公司臻两优8612制种基地（海南）对臻两优8612的隔离、田间落粒谷、花期进行了田间检验，在田间抽取了33个代制商的种子样品分别用于转基因成分和品种真实性检测；5月中下旬在湖南亚华种业有限公司的加工仓库（益阳），对127.8万公斤臻两优8612在加工流水线上不分昼夜抽取种子样品52个开展发芽率检测。中心人员加班加点完成了臻两优8612的发芽率、品种真实性和转基因成分的检测和送检任务；经检测，臻两优8612种子结果全部合格。</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4月-10月，中心按照省农业农村厅安排，三次共派5人次参加臻两优8612的推广调研和核查工作，圆满完成任务并向厅种业管理处提交了工作报告。</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经过全中心和有关地市州检验骨干力量的共同努力，2023年推广的107万亩臻两优8612种子发芽率和品种纯度的质量全部合格，确保了该品种的用种安全。</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（2）</w:t>
      </w:r>
      <w:r>
        <w:rPr>
          <w:rFonts w:hint="default" w:ascii="仿宋" w:hAnsi="仿宋" w:eastAsia="仿宋"/>
          <w:sz w:val="32"/>
          <w:szCs w:val="32"/>
          <w:lang w:val="en-US" w:eastAsia="zh-CN"/>
        </w:rPr>
        <w:t>完成2023年农业农村部的能力验证样品的检验</w:t>
      </w:r>
      <w:r>
        <w:rPr>
          <w:rFonts w:hint="eastAsia" w:ascii="仿宋" w:hAnsi="仿宋" w:eastAsia="仿宋"/>
          <w:sz w:val="32"/>
          <w:szCs w:val="32"/>
          <w:lang w:val="en-US" w:eastAsia="zh-CN"/>
        </w:rPr>
        <w:t>。</w:t>
      </w:r>
      <w:r>
        <w:rPr>
          <w:rFonts w:hint="eastAsia" w:ascii="仿宋" w:hAnsi="仿宋" w:eastAsia="仿宋"/>
          <w:sz w:val="32"/>
          <w:szCs w:val="32"/>
        </w:rPr>
        <w:t>确保中心检验质量和水平不断保持和提升，2023年4月，中心完成农业农村部安排的10个水稻品种真实性检测和3个水稻样品发芽率的能力验证任务；2023年10月全国农技中心下发了结果，全部为A（优秀）。</w:t>
      </w:r>
    </w:p>
    <w:p>
      <w:pPr>
        <w:pStyle w:val="2"/>
        <w:pageBreakBefore w:val="0"/>
        <w:numPr>
          <w:ilvl w:val="0"/>
          <w:numId w:val="5"/>
        </w:numPr>
        <w:kinsoku/>
        <w:wordWrap/>
        <w:overflowPunct/>
        <w:topLinePunct w:val="0"/>
        <w:bidi w:val="0"/>
        <w:spacing w:line="360" w:lineRule="auto"/>
        <w:ind w:left="640" w:leftChars="0" w:firstLine="0" w:firstLineChars="0"/>
        <w:textAlignment w:val="auto"/>
        <w:rPr>
          <w:rFonts w:hint="eastAsia" w:ascii="仿宋" w:hAnsi="仿宋" w:eastAsia="仿宋" w:cs="Times New Roman"/>
          <w:color w:val="000000"/>
          <w:kern w:val="2"/>
          <w:sz w:val="32"/>
          <w:szCs w:val="32"/>
          <w:lang w:val="en-US" w:eastAsia="zh-CN" w:bidi="ar-SA"/>
        </w:rPr>
      </w:pPr>
      <w:r>
        <w:rPr>
          <w:rFonts w:hint="eastAsia" w:ascii="仿宋" w:hAnsi="仿宋" w:eastAsia="仿宋" w:cs="Times New Roman"/>
          <w:color w:val="000000"/>
          <w:kern w:val="2"/>
          <w:sz w:val="32"/>
          <w:szCs w:val="32"/>
          <w:lang w:val="en-US" w:eastAsia="zh-CN" w:bidi="ar-SA"/>
        </w:rPr>
        <w:t>时效指标</w:t>
      </w:r>
    </w:p>
    <w:p>
      <w:pPr>
        <w:spacing w:line="600" w:lineRule="exact"/>
        <w:ind w:firstLine="640" w:firstLineChars="200"/>
        <w:rPr>
          <w:rFonts w:hint="eastAsia" w:ascii="仿宋" w:hAnsi="仿宋" w:eastAsia="仿宋"/>
          <w:sz w:val="32"/>
          <w:szCs w:val="32"/>
          <w:lang w:eastAsia="zh-CN"/>
        </w:rPr>
      </w:pPr>
      <w:r>
        <w:rPr>
          <w:rFonts w:hint="eastAsia" w:ascii="仿宋" w:hAnsi="仿宋" w:eastAsia="仿宋" w:cs="Times New Roman"/>
          <w:color w:val="000000"/>
          <w:kern w:val="2"/>
          <w:sz w:val="32"/>
          <w:szCs w:val="32"/>
          <w:lang w:val="en-US" w:eastAsia="zh-CN" w:bidi="ar-SA"/>
        </w:rPr>
        <w:t>（1）完成</w:t>
      </w:r>
      <w:r>
        <w:rPr>
          <w:rFonts w:hint="default" w:ascii="仿宋" w:hAnsi="仿宋" w:eastAsia="仿宋" w:cs="Times New Roman"/>
          <w:color w:val="000000"/>
          <w:kern w:val="2"/>
          <w:sz w:val="32"/>
          <w:szCs w:val="32"/>
          <w:lang w:val="en-US" w:eastAsia="zh-CN" w:bidi="ar-SA"/>
        </w:rPr>
        <w:t>2023年农作物种子春季市场专项检查</w:t>
      </w:r>
      <w:r>
        <w:rPr>
          <w:rFonts w:hint="eastAsia" w:ascii="仿宋" w:hAnsi="仿宋" w:eastAsia="仿宋" w:cs="Times New Roman"/>
          <w:color w:val="000000"/>
          <w:kern w:val="2"/>
          <w:sz w:val="32"/>
          <w:szCs w:val="32"/>
          <w:lang w:val="en-US" w:eastAsia="zh-CN" w:bidi="ar-SA"/>
        </w:rPr>
        <w:t>。根据湖南省农业农村厅办公室《关于开展2023年全省春季农作物种子市场检查的通知&gt;》的文件要求，抽取了水稻种子样品241个、玉米种子样品54个、大豆种子样品5个，已完成全部样品的发</w:t>
      </w:r>
      <w:r>
        <w:rPr>
          <w:rFonts w:hint="eastAsia" w:ascii="仿宋" w:hAnsi="仿宋" w:eastAsia="仿宋"/>
          <w:sz w:val="32"/>
          <w:szCs w:val="32"/>
        </w:rPr>
        <w:t>芽率、品种纯度、转基因成分检测、和品种真实检测，结果已上报省种子管理服务站（其中3个样品发芽率不合格，10个样品品种真实性不合格，10个样品品种纯度不合格）。</w:t>
      </w:r>
    </w:p>
    <w:p>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2）</w:t>
      </w:r>
      <w:r>
        <w:rPr>
          <w:rFonts w:hint="default" w:ascii="仿宋" w:hAnsi="仿宋" w:eastAsia="仿宋"/>
          <w:sz w:val="32"/>
          <w:szCs w:val="32"/>
        </w:rPr>
        <w:t>做好2023年秋季农作物种子市场检查</w:t>
      </w:r>
      <w:r>
        <w:rPr>
          <w:rFonts w:hint="eastAsia" w:ascii="仿宋" w:hAnsi="仿宋" w:eastAsia="仿宋"/>
          <w:sz w:val="32"/>
          <w:szCs w:val="32"/>
          <w:lang w:eastAsia="zh-CN"/>
        </w:rPr>
        <w:t>。</w:t>
      </w:r>
      <w:r>
        <w:rPr>
          <w:rFonts w:hint="eastAsia" w:ascii="仿宋" w:hAnsi="仿宋" w:eastAsia="仿宋"/>
          <w:sz w:val="32"/>
          <w:szCs w:val="32"/>
        </w:rPr>
        <w:t>按照农业农村厅的要求，中心做好2023年秋季农作物种子市场检查的样品的收集、检验和送检，共送检114个油菜样品开展转基因检测，样品结果全部合格；114个油菜样品的纯度种植鉴定正在开展中。</w:t>
      </w:r>
    </w:p>
    <w:p>
      <w:pPr>
        <w:spacing w:line="600" w:lineRule="exact"/>
        <w:ind w:firstLine="640" w:firstLineChars="200"/>
        <w:rPr>
          <w:rFonts w:hint="default"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3）及时上报各项检测结果。</w:t>
      </w:r>
    </w:p>
    <w:p>
      <w:pPr>
        <w:pStyle w:val="21"/>
        <w:keepNext w:val="0"/>
        <w:keepLines w:val="0"/>
        <w:pageBreakBefore w:val="0"/>
        <w:widowControl w:val="0"/>
        <w:kinsoku/>
        <w:wordWrap/>
        <w:overflowPunct/>
        <w:topLinePunct w:val="0"/>
        <w:autoSpaceDE/>
        <w:autoSpaceDN/>
        <w:bidi w:val="0"/>
        <w:spacing w:line="360" w:lineRule="auto"/>
        <w:textAlignment w:val="auto"/>
        <w:outlineLvl w:val="1"/>
        <w:rPr>
          <w:rFonts w:hint="eastAsia" w:ascii="华文楷体" w:hAnsi="华文楷体" w:eastAsia="华文楷体" w:cs="华文楷体"/>
          <w:b/>
          <w:bCs/>
          <w:color w:val="auto"/>
          <w:sz w:val="32"/>
          <w:szCs w:val="32"/>
          <w:highlight w:val="none"/>
        </w:rPr>
      </w:pPr>
      <w:r>
        <w:rPr>
          <w:rFonts w:hint="eastAsia" w:ascii="华文楷体" w:hAnsi="华文楷体" w:eastAsia="华文楷体" w:cs="华文楷体"/>
          <w:b/>
          <w:bCs/>
          <w:color w:val="auto"/>
          <w:sz w:val="32"/>
          <w:szCs w:val="32"/>
          <w:highlight w:val="none"/>
        </w:rPr>
        <w:t>（</w:t>
      </w:r>
      <w:r>
        <w:rPr>
          <w:rFonts w:hint="eastAsia" w:ascii="华文楷体" w:hAnsi="华文楷体" w:eastAsia="华文楷体" w:cs="华文楷体"/>
          <w:b/>
          <w:bCs/>
          <w:color w:val="auto"/>
          <w:sz w:val="32"/>
          <w:szCs w:val="32"/>
          <w:highlight w:val="none"/>
          <w:lang w:val="en-US" w:eastAsia="zh-CN"/>
        </w:rPr>
        <w:t>三</w:t>
      </w:r>
      <w:r>
        <w:rPr>
          <w:rFonts w:hint="eastAsia" w:ascii="华文楷体" w:hAnsi="华文楷体" w:eastAsia="华文楷体" w:cs="华文楷体"/>
          <w:b/>
          <w:bCs/>
          <w:color w:val="auto"/>
          <w:sz w:val="32"/>
          <w:szCs w:val="32"/>
          <w:highlight w:val="none"/>
        </w:rPr>
        <w:t>）</w:t>
      </w:r>
      <w:r>
        <w:rPr>
          <w:rFonts w:hint="eastAsia" w:ascii="华文楷体" w:hAnsi="华文楷体" w:eastAsia="华文楷体" w:cs="华文楷体"/>
          <w:b/>
          <w:bCs/>
          <w:color w:val="auto"/>
          <w:sz w:val="32"/>
          <w:szCs w:val="32"/>
          <w:highlight w:val="none"/>
          <w:lang w:val="en-US" w:eastAsia="zh-CN"/>
        </w:rPr>
        <w:t>效益</w:t>
      </w:r>
      <w:r>
        <w:rPr>
          <w:rFonts w:hint="eastAsia" w:ascii="华文楷体" w:hAnsi="华文楷体" w:eastAsia="华文楷体" w:cs="华文楷体"/>
          <w:b/>
          <w:bCs/>
          <w:color w:val="auto"/>
          <w:sz w:val="32"/>
          <w:szCs w:val="32"/>
          <w:highlight w:val="none"/>
        </w:rPr>
        <w:t>指标绩效情况</w:t>
      </w:r>
    </w:p>
    <w:p>
      <w:pPr>
        <w:pStyle w:val="2"/>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1、社会效益指标</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完成了2023年度救灾备荒种子检测任务</w:t>
      </w:r>
      <w:r>
        <w:rPr>
          <w:rFonts w:hint="eastAsia" w:ascii="仿宋" w:hAnsi="仿宋" w:eastAsia="仿宋"/>
          <w:sz w:val="32"/>
          <w:szCs w:val="32"/>
          <w:lang w:eastAsia="zh-CN"/>
        </w:rPr>
        <w:t>。</w:t>
      </w:r>
      <w:r>
        <w:rPr>
          <w:rFonts w:hint="eastAsia" w:ascii="仿宋" w:hAnsi="仿宋" w:eastAsia="仿宋"/>
          <w:sz w:val="32"/>
          <w:szCs w:val="32"/>
        </w:rPr>
        <w:t>本次国家救灾备荒储备种子入库检查分三个组同时对11家种子企业开展检查抽查，完成数量国家救灾种子50万公斤26个样品检测、国家备荒种子130万公斤62个样品检测、省级救灾备荒种子365万公斤167个样品检测，及时将结果报送厅种业管理处和抄送省农作物救灾储备中心（其中国家备荒种子1个样品品种真实性不合格、国家救灾种子6个样品品种纯度不合格、省级救灾备荒种子31个样品品种纯度不合格）。</w:t>
      </w:r>
    </w:p>
    <w:p>
      <w:pPr>
        <w:pStyle w:val="2"/>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2、生态效益指标</w:t>
      </w:r>
    </w:p>
    <w:p>
      <w:pPr>
        <w:spacing w:line="640" w:lineRule="exact"/>
        <w:ind w:firstLine="640" w:firstLineChars="200"/>
        <w:rPr>
          <w:rFonts w:hint="eastAsia" w:ascii="仿宋" w:hAnsi="仿宋" w:eastAsia="仿宋"/>
          <w:sz w:val="32"/>
          <w:szCs w:val="32"/>
        </w:rPr>
      </w:pPr>
      <w:r>
        <w:rPr>
          <w:rFonts w:hint="default" w:ascii="仿宋" w:hAnsi="仿宋" w:eastAsia="仿宋"/>
          <w:sz w:val="32"/>
          <w:szCs w:val="32"/>
        </w:rPr>
        <w:t>做好试验环节样品转基因检测和品种真实性检测</w:t>
      </w:r>
      <w:r>
        <w:rPr>
          <w:rFonts w:hint="eastAsia" w:ascii="仿宋" w:hAnsi="仿宋" w:eastAsia="仿宋"/>
          <w:sz w:val="32"/>
          <w:szCs w:val="32"/>
          <w:lang w:eastAsia="zh-CN"/>
        </w:rPr>
        <w:t>。</w:t>
      </w:r>
      <w:r>
        <w:rPr>
          <w:rFonts w:hint="eastAsia" w:ascii="仿宋" w:hAnsi="仿宋" w:eastAsia="仿宋"/>
          <w:sz w:val="32"/>
          <w:szCs w:val="32"/>
        </w:rPr>
        <w:t>按照《湖南省农业农村厅关于印发&lt;湖南省2022年农作物种子市场监管方案&gt;的通知》要求和站里的安排，中心安排了玉米26个，水稻123个品种真实性和转基因检测工作,早稻和玉米的转基因结果已报送省种子管理服务站。7个水稻品种，1个玉米品种的品种真实性不符合要求，结果已上报省种子管理服务站；对潇湘联合体、湘种联合体试验环节的品种试验</w:t>
      </w:r>
      <w:r>
        <w:rPr>
          <w:rFonts w:hint="eastAsia" w:ascii="仿宋" w:hAnsi="仿宋" w:eastAsia="仿宋" w:cs="仿宋"/>
          <w:sz w:val="32"/>
          <w:szCs w:val="32"/>
        </w:rPr>
        <w:t>抽取了水稻转基因样品44个，利用抗虫转基因试纸条现场检测育繁推一体化企业试验环节样品12个，全部合格，结果上报至省种子管理服务站。</w:t>
      </w:r>
    </w:p>
    <w:p>
      <w:pPr>
        <w:pStyle w:val="2"/>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3、可持续影响指标</w:t>
      </w:r>
    </w:p>
    <w:p>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default" w:ascii="仿宋" w:hAnsi="仿宋" w:eastAsia="仿宋" w:cs="仿宋"/>
          <w:sz w:val="32"/>
          <w:szCs w:val="32"/>
        </w:rPr>
        <w:t>完成2024年度省级救灾备荒种子生产检查</w:t>
      </w:r>
      <w:r>
        <w:rPr>
          <w:rFonts w:hint="eastAsia" w:ascii="仿宋" w:hAnsi="仿宋" w:eastAsia="仿宋" w:cs="仿宋"/>
          <w:sz w:val="32"/>
          <w:szCs w:val="32"/>
          <w:lang w:eastAsia="zh-CN"/>
        </w:rPr>
        <w:t>。</w:t>
      </w:r>
      <w:r>
        <w:rPr>
          <w:rFonts w:hint="eastAsia" w:ascii="仿宋" w:hAnsi="仿宋" w:eastAsia="仿宋" w:cs="仿宋"/>
          <w:sz w:val="32"/>
          <w:szCs w:val="32"/>
        </w:rPr>
        <w:t>按照厅办公室《关于开展2024年度省级救灾备荒储备种子生产检查的通知》的要求，中心派员4人参加了2024年度省级救灾备荒储备种子生产检查，圆满完成工作任务，按照要求上报工作报告至厅种业管理处。</w:t>
      </w:r>
    </w:p>
    <w:p>
      <w:pPr>
        <w:spacing w:line="6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w:t>
      </w:r>
      <w:r>
        <w:rPr>
          <w:rFonts w:hint="default" w:ascii="仿宋" w:hAnsi="仿宋" w:eastAsia="仿宋" w:cs="仿宋"/>
          <w:kern w:val="2"/>
          <w:sz w:val="32"/>
          <w:szCs w:val="32"/>
          <w:lang w:val="en-US" w:eastAsia="zh-CN" w:bidi="ar-SA"/>
        </w:rPr>
        <w:t>开展早稻集中育秧及粮食生产调研指导</w:t>
      </w:r>
      <w:r>
        <w:rPr>
          <w:rFonts w:hint="eastAsia" w:ascii="仿宋" w:hAnsi="仿宋" w:eastAsia="仿宋" w:cs="仿宋"/>
          <w:kern w:val="2"/>
          <w:sz w:val="32"/>
          <w:szCs w:val="32"/>
          <w:lang w:val="en-US" w:eastAsia="zh-CN" w:bidi="ar-SA"/>
        </w:rPr>
        <w:t>。按照《湖南省农业农村厅关于做好早稻集中育秧调研指导工作的通知》的要求，中心克服一切困难派出肖颖、高友丽等6名同志赴道县、浏阳市等5县开展早稻集中育秧及粮食生产调研指导工作。</w:t>
      </w:r>
    </w:p>
    <w:p>
      <w:pPr>
        <w:adjustRightInd w:val="0"/>
        <w:snapToGrid w:val="0"/>
        <w:spacing w:line="600" w:lineRule="exact"/>
        <w:ind w:firstLine="640" w:firstLineChars="200"/>
        <w:rPr>
          <w:rFonts w:hint="eastAsia" w:ascii="仿宋" w:hAnsi="仿宋" w:eastAsia="仿宋"/>
          <w:color w:val="000000"/>
          <w:sz w:val="32"/>
          <w:szCs w:val="32"/>
        </w:rPr>
      </w:pPr>
      <w:r>
        <w:rPr>
          <w:rFonts w:hint="eastAsia" w:ascii="仿宋" w:hAnsi="仿宋" w:eastAsia="仿宋" w:cs="仿宋"/>
          <w:kern w:val="2"/>
          <w:sz w:val="32"/>
          <w:szCs w:val="32"/>
          <w:lang w:val="en-US" w:eastAsia="zh-CN" w:bidi="ar-SA"/>
        </w:rPr>
        <w:t>（3）</w:t>
      </w:r>
      <w:r>
        <w:rPr>
          <w:rFonts w:hint="default" w:ascii="仿宋" w:hAnsi="仿宋" w:eastAsia="仿宋" w:cs="仿宋"/>
          <w:kern w:val="2"/>
          <w:sz w:val="32"/>
          <w:szCs w:val="32"/>
          <w:lang w:val="en-US" w:eastAsia="zh-CN" w:bidi="ar-SA"/>
        </w:rPr>
        <w:t>联合</w:t>
      </w:r>
      <w:r>
        <w:rPr>
          <w:rFonts w:hint="eastAsia" w:ascii="仿宋" w:hAnsi="仿宋" w:eastAsia="仿宋" w:cs="仿宋"/>
          <w:kern w:val="2"/>
          <w:sz w:val="32"/>
          <w:szCs w:val="32"/>
          <w:lang w:val="en-US" w:eastAsia="zh-CN" w:bidi="ar-SA"/>
        </w:rPr>
        <w:t>企业</w:t>
      </w:r>
      <w:r>
        <w:rPr>
          <w:rFonts w:hint="default" w:ascii="仿宋" w:hAnsi="仿宋" w:eastAsia="仿宋" w:cs="仿宋"/>
          <w:kern w:val="2"/>
          <w:sz w:val="32"/>
          <w:szCs w:val="32"/>
          <w:lang w:val="en-US" w:eastAsia="zh-CN" w:bidi="ar-SA"/>
        </w:rPr>
        <w:t>起草编制</w:t>
      </w:r>
      <w:r>
        <w:rPr>
          <w:rFonts w:hint="eastAsia" w:ascii="仿宋" w:hAnsi="仿宋" w:eastAsia="仿宋" w:cs="仿宋"/>
          <w:kern w:val="2"/>
          <w:sz w:val="32"/>
          <w:szCs w:val="32"/>
          <w:lang w:val="en-US" w:eastAsia="zh-CN" w:bidi="ar-SA"/>
        </w:rPr>
        <w:t>关于</w:t>
      </w:r>
      <w:r>
        <w:rPr>
          <w:rFonts w:hint="default" w:ascii="仿宋" w:hAnsi="仿宋" w:eastAsia="仿宋" w:cs="仿宋"/>
          <w:kern w:val="2"/>
          <w:sz w:val="32"/>
          <w:szCs w:val="32"/>
          <w:lang w:val="en-US" w:eastAsia="zh-CN" w:bidi="ar-SA"/>
        </w:rPr>
        <w:t>油菜</w:t>
      </w:r>
      <w:r>
        <w:rPr>
          <w:rFonts w:hint="eastAsia" w:ascii="仿宋" w:hAnsi="仿宋" w:eastAsia="仿宋" w:cs="仿宋"/>
          <w:kern w:val="2"/>
          <w:sz w:val="32"/>
          <w:szCs w:val="32"/>
          <w:lang w:val="en-US" w:eastAsia="zh-CN" w:bidi="ar-SA"/>
        </w:rPr>
        <w:t>的</w:t>
      </w:r>
      <w:r>
        <w:rPr>
          <w:rFonts w:hint="default" w:ascii="仿宋" w:hAnsi="仿宋" w:eastAsia="仿宋" w:cs="仿宋"/>
          <w:kern w:val="2"/>
          <w:sz w:val="32"/>
          <w:szCs w:val="32"/>
          <w:lang w:val="en-US" w:eastAsia="zh-CN" w:bidi="ar-SA"/>
        </w:rPr>
        <w:t>行业标准</w:t>
      </w:r>
      <w:r>
        <w:rPr>
          <w:rFonts w:hint="eastAsia" w:ascii="仿宋" w:hAnsi="仿宋" w:eastAsia="仿宋" w:cs="仿宋"/>
          <w:kern w:val="2"/>
          <w:sz w:val="32"/>
          <w:szCs w:val="32"/>
          <w:lang w:val="en-US" w:eastAsia="zh-CN" w:bidi="ar-SA"/>
        </w:rPr>
        <w:t>。按照全国农技中心的安排，中心联合湖南亚华种业有限公司起草编制了全国行业标</w:t>
      </w:r>
      <w:r>
        <w:rPr>
          <w:rFonts w:hint="eastAsia" w:ascii="仿宋" w:hAnsi="仿宋" w:eastAsia="仿宋"/>
          <w:color w:val="000000"/>
          <w:sz w:val="32"/>
          <w:szCs w:val="32"/>
        </w:rPr>
        <w:t>准《农作物品种纯度田间小区种植鉴定技术规程 油菜》，已将起草的行业标准上报全国农作物种子标准技术委员会。</w:t>
      </w:r>
    </w:p>
    <w:p>
      <w:pPr>
        <w:pStyle w:val="2"/>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（四）满意度指标绩效情况</w:t>
      </w:r>
    </w:p>
    <w:p>
      <w:pPr>
        <w:pStyle w:val="2"/>
        <w:pageBreakBefore w:val="0"/>
        <w:numPr>
          <w:ilvl w:val="0"/>
          <w:numId w:val="0"/>
        </w:numPr>
        <w:kinsoku/>
        <w:wordWrap/>
        <w:overflowPunct/>
        <w:topLinePunct w:val="0"/>
        <w:bidi w:val="0"/>
        <w:spacing w:line="360" w:lineRule="auto"/>
        <w:ind w:firstLine="640" w:firstLineChars="200"/>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default" w:ascii="仿宋_GB2312" w:hAnsi="仿宋_GB2312" w:eastAsia="仿宋_GB2312" w:cs="仿宋_GB2312"/>
          <w:b w:val="0"/>
          <w:bCs w:val="0"/>
          <w:color w:val="auto"/>
          <w:kern w:val="2"/>
          <w:sz w:val="32"/>
          <w:szCs w:val="32"/>
          <w:highlight w:val="none"/>
          <w:lang w:val="en-US" w:eastAsia="zh-CN" w:bidi="ar-SA"/>
        </w:rPr>
        <w:t>社会公众或服务对象的满意程度</w:t>
      </w:r>
      <w:r>
        <w:rPr>
          <w:rFonts w:hint="eastAsia" w:ascii="仿宋_GB2312" w:hAnsi="仿宋_GB2312" w:eastAsia="仿宋_GB2312" w:cs="仿宋_GB2312"/>
          <w:b w:val="0"/>
          <w:bCs w:val="0"/>
          <w:color w:val="auto"/>
          <w:kern w:val="2"/>
          <w:sz w:val="32"/>
          <w:szCs w:val="32"/>
          <w:highlight w:val="none"/>
          <w:lang w:val="en-US" w:eastAsia="zh-CN" w:bidi="ar-SA"/>
        </w:rPr>
        <w:t>95%。</w:t>
      </w:r>
    </w:p>
    <w:p>
      <w:pPr>
        <w:pStyle w:val="5"/>
        <w:pageBreakBefore w:val="0"/>
        <w:kinsoku/>
        <w:wordWrap/>
        <w:overflowPunct/>
        <w:topLinePunct w:val="0"/>
        <w:bidi w:val="0"/>
        <w:spacing w:line="360" w:lineRule="auto"/>
        <w:ind w:firstLine="640"/>
        <w:textAlignment w:val="auto"/>
        <w:rPr>
          <w:rFonts w:hint="eastAsia" w:ascii="华文细黑" w:hAnsi="华文细黑" w:eastAsia="华文细黑" w:cs="华文细黑"/>
          <w:sz w:val="32"/>
          <w:szCs w:val="32"/>
        </w:rPr>
      </w:pPr>
      <w:r>
        <w:rPr>
          <w:rFonts w:hint="eastAsia" w:ascii="华文细黑" w:hAnsi="华文细黑" w:eastAsia="华文细黑" w:cs="华文细黑"/>
          <w:sz w:val="32"/>
          <w:szCs w:val="32"/>
        </w:rPr>
        <w:t>四、存在的问题及原因分析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存在的问题：种子质量检测样品数量呈逐年大幅增加的趋势，省级财政从2020年开始将常年预算种子检验和检测专项经费缩减了20%，2023年海南陵水纯度种植鉴定基地的生产资料和农工费用成倍上涨、臻两优8612种子的质量监管、检验和调研指导、中心仪器的老化和省级标准样品的库容不足等，种子质量检测的相关经费缺口越来越大，若按照2023年工作量，2024年种子质量检测经费缺口约100万元左右。</w:t>
      </w:r>
    </w:p>
    <w:p>
      <w:pPr>
        <w:pStyle w:val="2"/>
        <w:pageBreakBefore w:val="0"/>
        <w:kinsoku/>
        <w:wordWrap/>
        <w:overflowPunct/>
        <w:topLinePunct w:val="0"/>
        <w:bidi w:val="0"/>
        <w:spacing w:line="360" w:lineRule="auto"/>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2、改进措施：</w:t>
      </w:r>
      <w:r>
        <w:rPr>
          <w:rFonts w:hint="eastAsia" w:ascii="仿宋_GB2312" w:hAnsi="仿宋_GB2312" w:eastAsia="仿宋_GB2312" w:cs="仿宋_GB2312"/>
          <w:kern w:val="2"/>
          <w:sz w:val="32"/>
          <w:szCs w:val="32"/>
          <w:lang w:val="en-US" w:eastAsia="zh-CN" w:bidi="ar-SA"/>
        </w:rPr>
        <w:t>提高</w:t>
      </w:r>
      <w:r>
        <w:rPr>
          <w:rFonts w:hint="default" w:ascii="仿宋_GB2312" w:hAnsi="仿宋_GB2312" w:eastAsia="仿宋_GB2312" w:cs="仿宋_GB2312"/>
          <w:kern w:val="2"/>
          <w:sz w:val="32"/>
          <w:szCs w:val="32"/>
          <w:lang w:val="en-US" w:eastAsia="zh-CN" w:bidi="ar-SA"/>
        </w:rPr>
        <w:t>预算编制水平，合理地、精准地、科学的编制预算</w:t>
      </w:r>
      <w:r>
        <w:rPr>
          <w:rFonts w:hint="eastAsia" w:ascii="仿宋_GB2312" w:hAnsi="仿宋_GB2312" w:eastAsia="仿宋_GB2312" w:cs="仿宋_GB2312"/>
          <w:kern w:val="2"/>
          <w:sz w:val="32"/>
          <w:szCs w:val="32"/>
          <w:lang w:val="en-US" w:eastAsia="zh-CN" w:bidi="ar-SA"/>
        </w:rPr>
        <w:t>；同时申请财政资金支持，在种子检验和检测专项资金上请求省农业农村厅给予大力支持。</w:t>
      </w:r>
    </w:p>
    <w:p>
      <w:pPr>
        <w:pStyle w:val="2"/>
        <w:pageBreakBefore w:val="0"/>
        <w:kinsoku/>
        <w:wordWrap/>
        <w:overflowPunct/>
        <w:topLinePunct w:val="0"/>
        <w:bidi w:val="0"/>
        <w:spacing w:line="360" w:lineRule="auto"/>
        <w:textAlignment w:val="auto"/>
        <w:rPr>
          <w:rFonts w:hint="eastAsia" w:ascii="仿宋_GB2312" w:hAnsi="仿宋_GB2312" w:eastAsia="仿宋_GB2312" w:cs="仿宋_GB2312"/>
          <w:kern w:val="2"/>
          <w:sz w:val="32"/>
          <w:szCs w:val="32"/>
          <w:lang w:val="en-US" w:eastAsia="zh-CN" w:bidi="ar-SA"/>
        </w:rPr>
      </w:pPr>
    </w:p>
    <w:p>
      <w:pPr>
        <w:pStyle w:val="2"/>
        <w:pageBreakBefore w:val="0"/>
        <w:kinsoku/>
        <w:wordWrap/>
        <w:overflowPunct/>
        <w:topLinePunct w:val="0"/>
        <w:bidi w:val="0"/>
        <w:spacing w:line="360" w:lineRule="auto"/>
        <w:textAlignment w:val="auto"/>
        <w:rPr>
          <w:rFonts w:hint="default" w:ascii="仿宋_GB2312" w:hAnsi="仿宋_GB2312" w:eastAsia="仿宋_GB2312" w:cs="仿宋_GB2312"/>
          <w:kern w:val="2"/>
          <w:sz w:val="32"/>
          <w:szCs w:val="32"/>
          <w:lang w:val="en-US" w:eastAsia="zh-CN" w:bidi="ar-SA"/>
        </w:rPr>
      </w:pPr>
    </w:p>
    <w:p>
      <w:pPr>
        <w:pStyle w:val="2"/>
        <w:pageBreakBefore w:val="0"/>
        <w:kinsoku/>
        <w:wordWrap/>
        <w:overflowPunct/>
        <w:topLinePunct w:val="0"/>
        <w:bidi w:val="0"/>
        <w:spacing w:line="360" w:lineRule="auto"/>
        <w:textAlignment w:val="auto"/>
        <w:rPr>
          <w:rFonts w:hint="default" w:ascii="仿宋_GB2312" w:hAnsi="仿宋_GB2312" w:eastAsia="仿宋_GB2312" w:cs="仿宋_GB2312"/>
          <w:kern w:val="2"/>
          <w:sz w:val="32"/>
          <w:szCs w:val="32"/>
          <w:lang w:val="en-US" w:eastAsia="zh-CN" w:bidi="ar-SA"/>
        </w:rPr>
      </w:pPr>
    </w:p>
    <w:p>
      <w:pPr>
        <w:rPr>
          <w:rFonts w:hint="default" w:ascii="仿宋_GB2312" w:hAnsi="仿宋_GB2312" w:eastAsia="仿宋_GB2312" w:cs="仿宋_GB2312"/>
          <w:kern w:val="2"/>
          <w:sz w:val="32"/>
          <w:szCs w:val="32"/>
          <w:lang w:val="en-US" w:eastAsia="zh-CN" w:bidi="ar-SA"/>
        </w:rPr>
      </w:pPr>
    </w:p>
    <w:p>
      <w:pPr>
        <w:pStyle w:val="2"/>
        <w:rPr>
          <w:rFonts w:hint="default" w:ascii="仿宋_GB2312" w:hAnsi="仿宋_GB2312" w:eastAsia="仿宋_GB2312" w:cs="仿宋_GB2312"/>
          <w:kern w:val="2"/>
          <w:sz w:val="32"/>
          <w:szCs w:val="32"/>
          <w:lang w:val="en-US" w:eastAsia="zh-CN" w:bidi="ar-SA"/>
        </w:rPr>
      </w:pPr>
    </w:p>
    <w:p>
      <w:pPr>
        <w:rPr>
          <w:rFonts w:hint="default" w:ascii="仿宋_GB2312" w:hAnsi="仿宋_GB2312" w:eastAsia="仿宋_GB2312" w:cs="仿宋_GB2312"/>
          <w:kern w:val="2"/>
          <w:sz w:val="32"/>
          <w:szCs w:val="32"/>
          <w:lang w:val="en-US" w:eastAsia="zh-CN" w:bidi="ar-SA"/>
        </w:rPr>
      </w:pPr>
    </w:p>
    <w:p>
      <w:pPr>
        <w:pStyle w:val="2"/>
        <w:rPr>
          <w:rFonts w:hint="default" w:ascii="仿宋_GB2312" w:hAnsi="仿宋_GB2312" w:eastAsia="仿宋_GB2312" w:cs="仿宋_GB2312"/>
          <w:kern w:val="2"/>
          <w:sz w:val="32"/>
          <w:szCs w:val="32"/>
          <w:lang w:val="en-US" w:eastAsia="zh-CN" w:bidi="ar-SA"/>
        </w:rPr>
      </w:pPr>
    </w:p>
    <w:p>
      <w:pPr>
        <w:rPr>
          <w:rFonts w:hint="default" w:ascii="仿宋_GB2312" w:hAnsi="仿宋_GB2312" w:eastAsia="仿宋_GB2312" w:cs="仿宋_GB2312"/>
          <w:kern w:val="2"/>
          <w:sz w:val="32"/>
          <w:szCs w:val="32"/>
          <w:lang w:val="en-US" w:eastAsia="zh-CN" w:bidi="ar-SA"/>
        </w:rPr>
      </w:pPr>
    </w:p>
    <w:p>
      <w:pPr>
        <w:pStyle w:val="2"/>
        <w:rPr>
          <w:rFonts w:hint="default" w:ascii="仿宋_GB2312" w:hAnsi="仿宋_GB2312" w:eastAsia="仿宋_GB2312" w:cs="仿宋_GB2312"/>
          <w:kern w:val="2"/>
          <w:sz w:val="32"/>
          <w:szCs w:val="32"/>
          <w:lang w:val="en-US" w:eastAsia="zh-CN" w:bidi="ar-SA"/>
        </w:rPr>
      </w:pPr>
    </w:p>
    <w:p>
      <w:pPr>
        <w:rPr>
          <w:rFonts w:hint="default" w:ascii="仿宋_GB2312" w:hAnsi="仿宋_GB2312" w:eastAsia="仿宋_GB2312" w:cs="仿宋_GB2312"/>
          <w:kern w:val="2"/>
          <w:sz w:val="32"/>
          <w:szCs w:val="32"/>
          <w:lang w:val="en-US" w:eastAsia="zh-CN" w:bidi="ar-SA"/>
        </w:rPr>
      </w:pPr>
    </w:p>
    <w:p>
      <w:pPr>
        <w:pStyle w:val="2"/>
        <w:rPr>
          <w:rFonts w:hint="default" w:ascii="仿宋_GB2312" w:hAnsi="仿宋_GB2312" w:eastAsia="仿宋_GB2312" w:cs="仿宋_GB2312"/>
          <w:kern w:val="2"/>
          <w:sz w:val="32"/>
          <w:szCs w:val="32"/>
          <w:lang w:val="en-US" w:eastAsia="zh-CN" w:bidi="ar-SA"/>
        </w:rPr>
      </w:pPr>
    </w:p>
    <w:p>
      <w:pPr>
        <w:rPr>
          <w:rFonts w:hint="default" w:ascii="仿宋_GB2312" w:hAnsi="仿宋_GB2312" w:eastAsia="仿宋_GB2312" w:cs="仿宋_GB2312"/>
          <w:kern w:val="2"/>
          <w:sz w:val="32"/>
          <w:szCs w:val="32"/>
          <w:lang w:val="en-US" w:eastAsia="zh-CN" w:bidi="ar-SA"/>
        </w:rPr>
      </w:pPr>
    </w:p>
    <w:p>
      <w:pPr>
        <w:pStyle w:val="2"/>
        <w:rPr>
          <w:rFonts w:hint="default" w:ascii="仿宋_GB2312" w:hAnsi="仿宋_GB2312" w:eastAsia="仿宋_GB2312" w:cs="仿宋_GB2312"/>
          <w:kern w:val="2"/>
          <w:sz w:val="32"/>
          <w:szCs w:val="32"/>
          <w:lang w:val="en-US" w:eastAsia="zh-CN" w:bidi="ar-SA"/>
        </w:rPr>
      </w:pPr>
    </w:p>
    <w:p>
      <w:pPr>
        <w:rPr>
          <w:rFonts w:hint="default" w:ascii="仿宋_GB2312" w:hAnsi="仿宋_GB2312" w:eastAsia="仿宋_GB2312" w:cs="仿宋_GB2312"/>
          <w:kern w:val="2"/>
          <w:sz w:val="32"/>
          <w:szCs w:val="32"/>
          <w:lang w:val="en-US" w:eastAsia="zh-CN" w:bidi="ar-SA"/>
        </w:rPr>
      </w:pPr>
    </w:p>
    <w:p>
      <w:pPr>
        <w:pStyle w:val="2"/>
        <w:rPr>
          <w:rFonts w:hint="default" w:ascii="仿宋_GB2312" w:hAnsi="仿宋_GB2312" w:eastAsia="仿宋_GB2312" w:cs="仿宋_GB2312"/>
          <w:kern w:val="2"/>
          <w:sz w:val="32"/>
          <w:szCs w:val="32"/>
          <w:lang w:val="en-US" w:eastAsia="zh-CN" w:bidi="ar-SA"/>
        </w:rPr>
      </w:pPr>
    </w:p>
    <w:p>
      <w:pPr>
        <w:rPr>
          <w:rFonts w:hint="default"/>
          <w:lang w:val="en-US" w:eastAsia="zh-CN"/>
        </w:rPr>
      </w:pPr>
    </w:p>
    <w:p>
      <w:pPr>
        <w:pStyle w:val="2"/>
        <w:pageBreakBefore w:val="0"/>
        <w:kinsoku/>
        <w:wordWrap/>
        <w:overflowPunct/>
        <w:topLinePunct w:val="0"/>
        <w:bidi w:val="0"/>
        <w:spacing w:line="360" w:lineRule="auto"/>
        <w:textAlignment w:val="auto"/>
        <w:rPr>
          <w:rFonts w:hint="default" w:ascii="仿宋_GB2312" w:hAnsi="仿宋_GB2312" w:eastAsia="仿宋_GB2312" w:cs="仿宋_GB2312"/>
          <w:kern w:val="2"/>
          <w:sz w:val="32"/>
          <w:szCs w:val="32"/>
          <w:lang w:val="en-US" w:eastAsia="zh-CN" w:bidi="ar-SA"/>
        </w:rPr>
      </w:pPr>
    </w:p>
    <w:p>
      <w:pPr>
        <w:pStyle w:val="2"/>
        <w:pageBreakBefore w:val="0"/>
        <w:kinsoku/>
        <w:wordWrap/>
        <w:overflowPunct/>
        <w:topLinePunct w:val="0"/>
        <w:bidi w:val="0"/>
        <w:spacing w:line="360" w:lineRule="auto"/>
        <w:textAlignment w:val="auto"/>
        <w:rPr>
          <w:rFonts w:hint="default" w:ascii="仿宋_GB2312" w:hAnsi="仿宋_GB2312" w:eastAsia="仿宋_GB2312" w:cs="仿宋_GB2312"/>
          <w:kern w:val="2"/>
          <w:sz w:val="32"/>
          <w:szCs w:val="32"/>
          <w:lang w:val="en-US" w:eastAsia="zh-CN" w:bidi="ar-SA"/>
        </w:rPr>
      </w:pPr>
    </w:p>
    <w:p>
      <w:pPr>
        <w:pStyle w:val="2"/>
        <w:pageBreakBefore w:val="0"/>
        <w:kinsoku/>
        <w:wordWrap/>
        <w:overflowPunct/>
        <w:topLinePunct w:val="0"/>
        <w:bidi w:val="0"/>
        <w:spacing w:line="360" w:lineRule="auto"/>
        <w:textAlignment w:val="auto"/>
        <w:rPr>
          <w:rFonts w:hint="default" w:ascii="仿宋_GB2312" w:hAnsi="仿宋_GB2312" w:eastAsia="仿宋_GB2312" w:cs="仿宋_GB2312"/>
          <w:kern w:val="2"/>
          <w:sz w:val="32"/>
          <w:szCs w:val="32"/>
          <w:lang w:val="en-US" w:eastAsia="zh-CN" w:bidi="ar-SA"/>
        </w:rPr>
      </w:pPr>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11"/>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100%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0.04</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0.04</w:t>
            </w: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140.83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565.80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560.90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140.83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537.80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532.90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3、省级专项资金（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28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28</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现代农业发展</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18</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重要农产品稳产保供(市县)</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w:t>
            </w: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20.4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26.1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25.75</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1.33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3.35</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1.2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0.57</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0.06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298</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投资概算控制率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0" w:afterLines="0" w:line="400" w:lineRule="exact"/>
        <w:jc w:val="left"/>
        <w:rPr>
          <w:rFonts w:hint="eastAsia" w:ascii="Times New Roman" w:hAnsi="Times New Roman" w:eastAsia="黑体" w:cs="Times New Roman"/>
          <w:sz w:val="32"/>
          <w:szCs w:val="32"/>
          <w:lang w:eastAsia="zh-CN"/>
        </w:rPr>
      </w:pPr>
      <w:r>
        <w:rPr>
          <w:rFonts w:hint="default" w:ascii="Times New Roman" w:hAnsi="Times New Roman" w:eastAsia="仿宋_GB2312" w:cs="Times New Roman"/>
          <w:sz w:val="22"/>
        </w:rPr>
        <w:br w:type="page"/>
      </w: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1"/>
        <w:tblW w:w="10079" w:type="dxa"/>
        <w:jc w:val="center"/>
        <w:tblInd w:w="0" w:type="dxa"/>
        <w:tblLayout w:type="fixed"/>
        <w:tblCellMar>
          <w:top w:w="0" w:type="dxa"/>
          <w:left w:w="108" w:type="dxa"/>
          <w:bottom w:w="0" w:type="dxa"/>
          <w:right w:w="108" w:type="dxa"/>
        </w:tblCellMar>
      </w:tblPr>
      <w:tblGrid>
        <w:gridCol w:w="1056"/>
        <w:gridCol w:w="1056"/>
        <w:gridCol w:w="1002"/>
        <w:gridCol w:w="1779"/>
        <w:gridCol w:w="1274"/>
        <w:gridCol w:w="1498"/>
        <w:gridCol w:w="754"/>
        <w:gridCol w:w="833"/>
        <w:gridCol w:w="827"/>
      </w:tblGrid>
      <w:tr>
        <w:tblPrEx>
          <w:tblLayout w:type="fixed"/>
          <w:tblCellMar>
            <w:top w:w="0" w:type="dxa"/>
            <w:left w:w="108" w:type="dxa"/>
            <w:bottom w:w="0" w:type="dxa"/>
            <w:right w:w="108" w:type="dxa"/>
          </w:tblCellMar>
        </w:tblPrEx>
        <w:trPr>
          <w:jc w:val="center"/>
        </w:trPr>
        <w:tc>
          <w:tcPr>
            <w:tcW w:w="311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6965"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湖南省种子质量检测中心</w:t>
            </w: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058"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77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27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49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75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3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82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1056"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58"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77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798.71</w:t>
            </w:r>
          </w:p>
        </w:tc>
        <w:tc>
          <w:tcPr>
            <w:tcW w:w="127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897.67</w:t>
            </w:r>
          </w:p>
        </w:tc>
        <w:tc>
          <w:tcPr>
            <w:tcW w:w="149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884.1</w:t>
            </w:r>
          </w:p>
        </w:tc>
        <w:tc>
          <w:tcPr>
            <w:tcW w:w="75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3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98.49%</w:t>
            </w:r>
          </w:p>
        </w:tc>
        <w:tc>
          <w:tcPr>
            <w:tcW w:w="82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9.85</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1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391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1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lang w:val="en-US" w:eastAsia="zh-CN"/>
              </w:rPr>
              <w:t>8</w:t>
            </w:r>
            <w:r>
              <w:rPr>
                <w:rFonts w:hint="default" w:ascii="Times New Roman" w:hAnsi="Times New Roman" w:eastAsia="仿宋_GB2312" w:cs="Times New Roman"/>
                <w:color w:val="000000"/>
                <w:sz w:val="20"/>
                <w:szCs w:val="20"/>
              </w:rPr>
              <w:t>97.67</w:t>
            </w:r>
          </w:p>
        </w:tc>
        <w:tc>
          <w:tcPr>
            <w:tcW w:w="391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其中：基本支出：323.2</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11"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3912"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项目支出：560.9</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1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391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11"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其他资金：</w:t>
            </w:r>
          </w:p>
        </w:tc>
        <w:tc>
          <w:tcPr>
            <w:tcW w:w="391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5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5111"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3912"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5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11" w:type="dxa"/>
            <w:gridSpan w:val="4"/>
            <w:tcBorders>
              <w:top w:val="single" w:color="auto" w:sz="4" w:space="0"/>
              <w:left w:val="nil"/>
              <w:bottom w:val="single" w:color="auto" w:sz="4" w:space="0"/>
              <w:right w:val="single" w:color="000000" w:sz="4" w:space="0"/>
            </w:tcBorders>
            <w:noWrap w:val="0"/>
            <w:vAlign w:val="center"/>
          </w:tcPr>
          <w:p>
            <w:pPr>
              <w:widowControl/>
              <w:numPr>
                <w:ilvl w:val="0"/>
                <w:numId w:val="0"/>
              </w:numPr>
              <w:spacing w:line="240" w:lineRule="exact"/>
              <w:ind w:firstLine="400" w:firstLineChars="200"/>
              <w:jc w:val="both"/>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全力做好市场监管的检验检测工作</w:t>
            </w:r>
            <w:r>
              <w:rPr>
                <w:rFonts w:hint="eastAsia" w:ascii="Times New Roman" w:hAnsi="Times New Roman" w:eastAsia="仿宋_GB2312" w:cs="Times New Roman"/>
                <w:color w:val="000000"/>
                <w:sz w:val="20"/>
                <w:szCs w:val="20"/>
                <w:lang w:eastAsia="zh-CN"/>
              </w:rPr>
              <w:t>，做好农业农村部和省农业农村厅安排的有关检测工作，做好农业农村部和省农业农村厅安排的其它工作</w:t>
            </w:r>
            <w:r>
              <w:rPr>
                <w:rFonts w:hint="eastAsia" w:ascii="Times New Roman" w:hAnsi="Times New Roman" w:eastAsia="仿宋_GB2312" w:cs="Times New Roman"/>
                <w:color w:val="000000"/>
                <w:sz w:val="20"/>
                <w:szCs w:val="20"/>
                <w:lang w:val="en-US" w:eastAsia="zh-CN"/>
              </w:rPr>
              <w:t>等。</w:t>
            </w:r>
          </w:p>
        </w:tc>
        <w:tc>
          <w:tcPr>
            <w:tcW w:w="3912"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完成了2022-2023年度海南纯度种植鉴定工作</w:t>
            </w:r>
            <w:r>
              <w:rPr>
                <w:rFonts w:hint="eastAsia" w:ascii="Times New Roman" w:hAnsi="Times New Roman" w:eastAsia="仿宋_GB2312" w:cs="Times New Roman"/>
                <w:color w:val="000000"/>
                <w:sz w:val="20"/>
                <w:szCs w:val="20"/>
                <w:lang w:eastAsia="zh-CN"/>
              </w:rPr>
              <w:t>；全力做好臻两优8612种子质量监管、检验和指导调研工作；</w:t>
            </w:r>
            <w:r>
              <w:rPr>
                <w:rFonts w:hint="eastAsia" w:ascii="Times New Roman" w:hAnsi="Times New Roman" w:eastAsia="仿宋_GB2312" w:cs="Times New Roman"/>
                <w:color w:val="000000"/>
                <w:sz w:val="20"/>
                <w:szCs w:val="20"/>
                <w:lang w:val="en-US" w:eastAsia="zh-CN"/>
              </w:rPr>
              <w:t>完成</w:t>
            </w:r>
            <w:r>
              <w:rPr>
                <w:rFonts w:hint="default" w:ascii="Times New Roman" w:hAnsi="Times New Roman" w:eastAsia="仿宋_GB2312" w:cs="Times New Roman"/>
                <w:color w:val="000000"/>
                <w:sz w:val="20"/>
                <w:szCs w:val="20"/>
              </w:rPr>
              <w:t>2023年农作物种子春季</w:t>
            </w:r>
            <w:r>
              <w:rPr>
                <w:rFonts w:hint="eastAsia" w:ascii="Times New Roman" w:hAnsi="Times New Roman" w:eastAsia="仿宋_GB2312" w:cs="Times New Roman"/>
                <w:color w:val="000000"/>
                <w:sz w:val="20"/>
                <w:szCs w:val="20"/>
                <w:lang w:eastAsia="zh-CN"/>
              </w:rPr>
              <w:t>、</w:t>
            </w:r>
            <w:r>
              <w:rPr>
                <w:rFonts w:hint="eastAsia" w:ascii="Times New Roman" w:hAnsi="Times New Roman" w:eastAsia="仿宋_GB2312" w:cs="Times New Roman"/>
                <w:color w:val="000000"/>
                <w:sz w:val="20"/>
                <w:szCs w:val="20"/>
                <w:lang w:val="en-US" w:eastAsia="zh-CN"/>
              </w:rPr>
              <w:t>秋季</w:t>
            </w:r>
            <w:r>
              <w:rPr>
                <w:rFonts w:hint="default" w:ascii="Times New Roman" w:hAnsi="Times New Roman" w:eastAsia="仿宋_GB2312" w:cs="Times New Roman"/>
                <w:color w:val="000000"/>
                <w:sz w:val="20"/>
                <w:szCs w:val="20"/>
              </w:rPr>
              <w:t>市场专项检查</w:t>
            </w:r>
            <w:r>
              <w:rPr>
                <w:rFonts w:hint="eastAsia" w:ascii="Times New Roman" w:hAnsi="Times New Roman" w:eastAsia="仿宋_GB2312" w:cs="Times New Roman"/>
                <w:color w:val="000000"/>
                <w:sz w:val="20"/>
                <w:szCs w:val="20"/>
                <w:lang w:eastAsia="zh-CN"/>
              </w:rPr>
              <w:t>；完成了2023年度救灾备荒种子检测任务，</w:t>
            </w:r>
            <w:r>
              <w:rPr>
                <w:rFonts w:hint="eastAsia" w:ascii="Times New Roman" w:hAnsi="Times New Roman" w:eastAsia="仿宋_GB2312" w:cs="Times New Roman"/>
                <w:color w:val="000000"/>
                <w:sz w:val="20"/>
                <w:szCs w:val="20"/>
                <w:lang w:val="en-US" w:eastAsia="zh-CN"/>
              </w:rPr>
              <w:t>及时上报各项检测结果等。</w:t>
            </w:r>
          </w:p>
        </w:tc>
      </w:tr>
      <w:tr>
        <w:tblPrEx>
          <w:tblLayout w:type="fixed"/>
          <w:tblCellMar>
            <w:top w:w="0" w:type="dxa"/>
            <w:left w:w="108" w:type="dxa"/>
            <w:bottom w:w="0" w:type="dxa"/>
            <w:right w:w="108" w:type="dxa"/>
          </w:tblCellMar>
        </w:tblPrEx>
        <w:trPr>
          <w:jc w:val="center"/>
        </w:trPr>
        <w:tc>
          <w:tcPr>
            <w:tcW w:w="105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5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00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77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498"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7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3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827"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002"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完成</w:t>
            </w:r>
            <w:r>
              <w:rPr>
                <w:rFonts w:hint="default" w:ascii="Times New Roman" w:hAnsi="Times New Roman" w:eastAsia="仿宋_GB2312" w:cs="Times New Roman"/>
                <w:color w:val="000000"/>
                <w:sz w:val="20"/>
                <w:szCs w:val="20"/>
              </w:rPr>
              <w:t>202</w:t>
            </w:r>
            <w:r>
              <w:rPr>
                <w:rFonts w:hint="eastAsia" w:ascii="Times New Roman" w:hAnsi="Times New Roman" w:eastAsia="仿宋_GB2312" w:cs="Times New Roman"/>
                <w:color w:val="000000"/>
                <w:sz w:val="20"/>
                <w:szCs w:val="20"/>
                <w:lang w:val="en-US" w:eastAsia="zh-CN"/>
              </w:rPr>
              <w:t>2</w:t>
            </w:r>
            <w:r>
              <w:rPr>
                <w:rFonts w:hint="default" w:ascii="Times New Roman" w:hAnsi="Times New Roman" w:eastAsia="仿宋_GB2312" w:cs="Times New Roman"/>
                <w:color w:val="000000"/>
                <w:sz w:val="20"/>
                <w:szCs w:val="20"/>
              </w:rPr>
              <w:t>-202</w:t>
            </w:r>
            <w:r>
              <w:rPr>
                <w:rFonts w:hint="eastAsia" w:ascii="Times New Roman" w:hAnsi="Times New Roman" w:eastAsia="仿宋_GB2312" w:cs="Times New Roman"/>
                <w:color w:val="000000"/>
                <w:sz w:val="20"/>
                <w:szCs w:val="20"/>
                <w:lang w:val="en-US" w:eastAsia="zh-CN"/>
              </w:rPr>
              <w:t>3</w:t>
            </w:r>
            <w:r>
              <w:rPr>
                <w:rFonts w:hint="default" w:ascii="Times New Roman" w:hAnsi="Times New Roman" w:eastAsia="仿宋_GB2312" w:cs="Times New Roman"/>
                <w:color w:val="000000"/>
                <w:sz w:val="20"/>
                <w:szCs w:val="20"/>
              </w:rPr>
              <w:t>年度海南纯度种植鉴定工作</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≥1000个　</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1439个</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做好202</w:t>
            </w:r>
            <w:r>
              <w:rPr>
                <w:rFonts w:hint="eastAsia" w:ascii="Times New Roman" w:hAnsi="Times New Roman" w:eastAsia="仿宋_GB2312" w:cs="Times New Roman"/>
                <w:color w:val="000000"/>
                <w:sz w:val="20"/>
                <w:szCs w:val="20"/>
                <w:lang w:val="en-US" w:eastAsia="zh-CN"/>
              </w:rPr>
              <w:t>2</w:t>
            </w:r>
            <w:r>
              <w:rPr>
                <w:rFonts w:hint="default" w:ascii="Times New Roman" w:hAnsi="Times New Roman" w:eastAsia="仿宋_GB2312" w:cs="Times New Roman"/>
                <w:color w:val="000000"/>
                <w:sz w:val="20"/>
                <w:szCs w:val="20"/>
              </w:rPr>
              <w:t>年冬季农作物种子企业监督抽查</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lang w:val="en-US" w:eastAsia="zh-CN"/>
              </w:rPr>
              <w:t>3</w:t>
            </w:r>
            <w:r>
              <w:rPr>
                <w:rFonts w:hint="default" w:ascii="Times New Roman" w:hAnsi="Times New Roman" w:eastAsia="仿宋_GB2312" w:cs="Times New Roman"/>
                <w:color w:val="000000"/>
                <w:sz w:val="20"/>
                <w:szCs w:val="20"/>
              </w:rPr>
              <w:t>00个</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42家企业的300个样品</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完成</w:t>
            </w:r>
            <w:r>
              <w:rPr>
                <w:rFonts w:hint="default" w:ascii="Times New Roman" w:hAnsi="Times New Roman" w:eastAsia="仿宋_GB2312" w:cs="Times New Roman"/>
                <w:color w:val="000000"/>
                <w:sz w:val="20"/>
                <w:szCs w:val="20"/>
              </w:rPr>
              <w:t>2022年秋季种子市场抽查鉴定工作</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lang w:val="en-US" w:eastAsia="zh-CN"/>
              </w:rPr>
              <w:t>60</w:t>
            </w:r>
            <w:r>
              <w:rPr>
                <w:rFonts w:hint="default" w:ascii="Times New Roman" w:hAnsi="Times New Roman" w:eastAsia="仿宋_GB2312" w:cs="Times New Roman"/>
                <w:color w:val="000000"/>
                <w:sz w:val="20"/>
                <w:szCs w:val="20"/>
              </w:rPr>
              <w:t>个</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完成65个油菜样品田间纯度种植鉴定</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top w:val="single" w:color="auto" w:sz="4" w:space="0"/>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做好臻两优8612种子质量监管</w:t>
            </w:r>
            <w:r>
              <w:rPr>
                <w:rFonts w:hint="eastAsia" w:ascii="Times New Roman" w:hAnsi="Times New Roman" w:eastAsia="仿宋_GB2312" w:cs="Times New Roman"/>
                <w:color w:val="000000"/>
                <w:sz w:val="20"/>
                <w:szCs w:val="20"/>
                <w:lang w:eastAsia="zh-CN"/>
              </w:rPr>
              <w:t>、</w:t>
            </w:r>
            <w:r>
              <w:rPr>
                <w:rFonts w:hint="eastAsia" w:ascii="Times New Roman" w:hAnsi="Times New Roman" w:eastAsia="仿宋_GB2312" w:cs="Times New Roman"/>
                <w:color w:val="000000"/>
                <w:sz w:val="20"/>
                <w:szCs w:val="20"/>
                <w:lang w:val="en-US" w:eastAsia="zh-CN"/>
              </w:rPr>
              <w:t>检验工作</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已完成</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981"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kern w:val="2"/>
                <w:sz w:val="20"/>
                <w:szCs w:val="20"/>
                <w:lang w:val="en-US" w:eastAsia="zh-CN" w:bidi="ar-SA"/>
              </w:rPr>
              <w:t>完成2023年农业农村部的能力验证样品的检验</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优秀</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kern w:val="2"/>
                <w:sz w:val="20"/>
                <w:szCs w:val="20"/>
                <w:lang w:val="en-US" w:eastAsia="zh-CN" w:bidi="ar-SA"/>
              </w:rPr>
              <w:t>能力验证结果全部为优秀</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完成</w:t>
            </w:r>
            <w:r>
              <w:rPr>
                <w:rFonts w:hint="default" w:ascii="Times New Roman" w:hAnsi="Times New Roman" w:eastAsia="仿宋_GB2312" w:cs="Times New Roman"/>
                <w:color w:val="000000"/>
                <w:sz w:val="20"/>
                <w:szCs w:val="20"/>
              </w:rPr>
              <w:t>2023年农作物种子春季市场专项检查</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完成</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已完成</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做好2023年秋季农作物种子市场检查</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val="en-US" w:eastAsia="zh-CN"/>
              </w:rPr>
              <w:t>完成</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已完成</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及时上报各项检测结果</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完成</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已完成</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00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r>
              <w:rPr>
                <w:rFonts w:hint="eastAsia" w:ascii="Times New Roman" w:hAnsi="Times New Roman" w:eastAsia="仿宋_GB2312" w:cs="Times New Roman"/>
                <w:color w:val="000000"/>
                <w:sz w:val="20"/>
                <w:szCs w:val="20"/>
                <w:lang w:val="en-US" w:eastAsia="zh-CN"/>
              </w:rPr>
              <w:t>2023年</w:t>
            </w:r>
            <w:r>
              <w:rPr>
                <w:rFonts w:hint="default" w:ascii="Times New Roman" w:hAnsi="Times New Roman" w:eastAsia="仿宋_GB2312" w:cs="Times New Roman"/>
                <w:color w:val="000000"/>
                <w:sz w:val="20"/>
                <w:szCs w:val="20"/>
              </w:rPr>
              <w:t>国家救灾种子样品检测</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完成</w:t>
            </w:r>
            <w:r>
              <w:rPr>
                <w:rFonts w:hint="default" w:ascii="Times New Roman" w:hAnsi="Times New Roman" w:eastAsia="仿宋_GB2312" w:cs="Times New Roman"/>
                <w:color w:val="000000"/>
                <w:sz w:val="20"/>
                <w:szCs w:val="20"/>
              </w:rPr>
              <w:t>50万公斤26个样品检测</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r>
              <w:rPr>
                <w:rFonts w:hint="eastAsia" w:ascii="Times New Roman" w:hAnsi="Times New Roman" w:eastAsia="仿宋_GB2312" w:cs="Times New Roman"/>
                <w:color w:val="000000"/>
                <w:sz w:val="20"/>
                <w:szCs w:val="20"/>
                <w:lang w:val="en-US" w:eastAsia="zh-CN"/>
              </w:rPr>
              <w:t>2023年</w:t>
            </w:r>
            <w:r>
              <w:rPr>
                <w:rFonts w:hint="default" w:ascii="Times New Roman" w:hAnsi="Times New Roman" w:eastAsia="仿宋_GB2312" w:cs="Times New Roman"/>
                <w:color w:val="000000"/>
                <w:sz w:val="20"/>
                <w:szCs w:val="20"/>
              </w:rPr>
              <w:t>国家备荒种子样品检测</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完成130万公斤62个样品检测</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779" w:type="dxa"/>
            <w:tcBorders>
              <w:top w:val="nil"/>
              <w:left w:val="nil"/>
              <w:bottom w:val="single" w:color="auto" w:sz="4" w:space="0"/>
              <w:right w:val="single" w:color="auto" w:sz="4" w:space="0"/>
            </w:tcBorders>
            <w:noWrap w:val="0"/>
            <w:vAlign w:val="center"/>
          </w:tcPr>
          <w:p>
            <w:pPr>
              <w:widowControl/>
              <w:tabs>
                <w:tab w:val="left" w:pos="485"/>
              </w:tabs>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r>
              <w:rPr>
                <w:rFonts w:hint="eastAsia" w:ascii="Times New Roman" w:hAnsi="Times New Roman" w:eastAsia="仿宋_GB2312" w:cs="Times New Roman"/>
                <w:color w:val="000000"/>
                <w:sz w:val="20"/>
                <w:szCs w:val="20"/>
                <w:lang w:val="en-US" w:eastAsia="zh-CN"/>
              </w:rPr>
              <w:t>2023年</w:t>
            </w:r>
            <w:r>
              <w:rPr>
                <w:rFonts w:hint="default" w:ascii="Times New Roman" w:hAnsi="Times New Roman" w:eastAsia="仿宋_GB2312" w:cs="Times New Roman"/>
                <w:color w:val="000000"/>
                <w:sz w:val="20"/>
                <w:szCs w:val="20"/>
              </w:rPr>
              <w:t>省级救灾备荒种子样品检测</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完成365万公斤167个样品检测</w:t>
            </w:r>
          </w:p>
        </w:tc>
        <w:tc>
          <w:tcPr>
            <w:tcW w:w="754"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w:t>
            </w:r>
          </w:p>
        </w:tc>
        <w:tc>
          <w:tcPr>
            <w:tcW w:w="833"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3</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top w:val="single" w:color="auto" w:sz="4" w:space="0"/>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生态效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做好试验环节样品转基因检测和品种真实性检测</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已</w:t>
            </w:r>
            <w:r>
              <w:rPr>
                <w:rFonts w:hint="default" w:ascii="Times New Roman" w:hAnsi="Times New Roman" w:eastAsia="仿宋_GB2312" w:cs="Times New Roman"/>
                <w:color w:val="000000"/>
                <w:sz w:val="20"/>
                <w:szCs w:val="20"/>
              </w:rPr>
              <w:t>完成</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90" w:hRule="atLeast"/>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02"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77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完成2024年度省级救灾备荒种子生产检查</w:t>
            </w:r>
          </w:p>
        </w:tc>
        <w:tc>
          <w:tcPr>
            <w:tcW w:w="12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p>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已</w:t>
            </w:r>
            <w:r>
              <w:rPr>
                <w:rFonts w:hint="default" w:ascii="Times New Roman" w:hAnsi="Times New Roman" w:eastAsia="仿宋_GB2312" w:cs="Times New Roman"/>
                <w:color w:val="000000"/>
                <w:sz w:val="20"/>
                <w:szCs w:val="20"/>
              </w:rPr>
              <w:t>完成</w:t>
            </w:r>
          </w:p>
        </w:tc>
        <w:tc>
          <w:tcPr>
            <w:tcW w:w="75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3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02"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779"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开展早稻集中育秧及粮食生产调研指导</w:t>
            </w:r>
          </w:p>
        </w:tc>
        <w:tc>
          <w:tcPr>
            <w:tcW w:w="1274"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w:t>
            </w:r>
          </w:p>
        </w:tc>
        <w:tc>
          <w:tcPr>
            <w:tcW w:w="1498"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赴道县、浏阳市等5县开展</w:t>
            </w:r>
            <w:r>
              <w:rPr>
                <w:rFonts w:hint="eastAsia" w:ascii="Times New Roman" w:hAnsi="Times New Roman" w:eastAsia="仿宋_GB2312" w:cs="Times New Roman"/>
                <w:color w:val="000000"/>
                <w:sz w:val="20"/>
                <w:szCs w:val="20"/>
                <w:lang w:val="en-US" w:eastAsia="zh-CN"/>
              </w:rPr>
              <w:t>工作</w:t>
            </w:r>
          </w:p>
        </w:tc>
        <w:tc>
          <w:tcPr>
            <w:tcW w:w="754"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83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827"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02"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联合</w:t>
            </w:r>
            <w:r>
              <w:rPr>
                <w:rFonts w:hint="eastAsia" w:ascii="Times New Roman" w:hAnsi="Times New Roman" w:eastAsia="仿宋_GB2312" w:cs="Times New Roman"/>
                <w:color w:val="000000"/>
                <w:sz w:val="20"/>
                <w:szCs w:val="20"/>
                <w:lang w:val="en-US" w:eastAsia="zh-CN"/>
              </w:rPr>
              <w:t>企业</w:t>
            </w:r>
            <w:r>
              <w:rPr>
                <w:rFonts w:hint="default" w:ascii="Times New Roman" w:hAnsi="Times New Roman" w:eastAsia="仿宋_GB2312" w:cs="Times New Roman"/>
                <w:color w:val="000000"/>
                <w:sz w:val="20"/>
                <w:szCs w:val="20"/>
              </w:rPr>
              <w:t>起草编制</w:t>
            </w:r>
            <w:r>
              <w:rPr>
                <w:rFonts w:hint="eastAsia" w:ascii="Times New Roman" w:hAnsi="Times New Roman" w:eastAsia="仿宋_GB2312" w:cs="Times New Roman"/>
                <w:color w:val="000000"/>
                <w:sz w:val="20"/>
                <w:szCs w:val="20"/>
                <w:lang w:val="en-US" w:eastAsia="zh-CN"/>
              </w:rPr>
              <w:t>关于</w:t>
            </w:r>
            <w:r>
              <w:rPr>
                <w:rFonts w:hint="default" w:ascii="Times New Roman" w:hAnsi="Times New Roman" w:eastAsia="仿宋_GB2312" w:cs="Times New Roman"/>
                <w:color w:val="000000"/>
                <w:sz w:val="20"/>
                <w:szCs w:val="20"/>
              </w:rPr>
              <w:t>油菜</w:t>
            </w:r>
            <w:r>
              <w:rPr>
                <w:rFonts w:hint="eastAsia" w:ascii="Times New Roman" w:hAnsi="Times New Roman" w:eastAsia="仿宋_GB2312" w:cs="Times New Roman"/>
                <w:color w:val="000000"/>
                <w:sz w:val="20"/>
                <w:szCs w:val="20"/>
                <w:lang w:val="en-US" w:eastAsia="zh-CN"/>
              </w:rPr>
              <w:t>的</w:t>
            </w:r>
            <w:r>
              <w:rPr>
                <w:rFonts w:hint="default" w:ascii="Times New Roman" w:hAnsi="Times New Roman" w:eastAsia="仿宋_GB2312" w:cs="Times New Roman"/>
                <w:color w:val="000000"/>
                <w:sz w:val="20"/>
                <w:szCs w:val="20"/>
              </w:rPr>
              <w:t>行业标准</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起草编制</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起草</w:t>
            </w:r>
            <w:r>
              <w:rPr>
                <w:rFonts w:hint="default" w:ascii="Times New Roman" w:hAnsi="Times New Roman" w:eastAsia="仿宋_GB2312" w:cs="Times New Roman"/>
                <w:color w:val="000000"/>
                <w:sz w:val="20"/>
                <w:szCs w:val="20"/>
              </w:rPr>
              <w:t>《农作物品种纯度田间小区种植鉴定技术规程 油菜》</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610"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56"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002"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77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社会公众或服务对象的满意程度</w:t>
            </w:r>
          </w:p>
        </w:tc>
        <w:tc>
          <w:tcPr>
            <w:tcW w:w="127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90%以上</w:t>
            </w:r>
          </w:p>
        </w:tc>
        <w:tc>
          <w:tcPr>
            <w:tcW w:w="149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95%</w:t>
            </w:r>
          </w:p>
        </w:tc>
        <w:tc>
          <w:tcPr>
            <w:tcW w:w="75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7665"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75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3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99.85</w:t>
            </w:r>
          </w:p>
        </w:tc>
        <w:tc>
          <w:tcPr>
            <w:tcW w:w="82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Pr>
        <w:widowControl/>
        <w:adjustRightInd/>
        <w:snapToGrid/>
        <w:spacing w:line="240" w:lineRule="auto"/>
        <w:ind w:firstLine="0" w:firstLineChars="0"/>
        <w:jc w:val="left"/>
        <w:rPr>
          <w:kern w:val="0"/>
          <w:sz w:val="22"/>
          <w:szCs w:val="22"/>
        </w:rPr>
      </w:pPr>
      <w:r>
        <w:rPr>
          <w:kern w:val="0"/>
          <w:sz w:val="22"/>
          <w:szCs w:val="22"/>
        </w:rPr>
        <w:t>说明：本表由农业农村厅部门本级和直属单位填写，市、县农业农村局不需填写。</w:t>
      </w:r>
    </w:p>
    <w:p/>
    <w:p/>
    <w:p/>
    <w:p/>
    <w:p/>
    <w:p/>
    <w:p/>
    <w:p/>
    <w:p/>
    <w:p/>
    <w:p/>
    <w:p>
      <w:pPr>
        <w:pStyle w:val="2"/>
        <w:pageBreakBefore w:val="0"/>
        <w:kinsoku/>
        <w:wordWrap/>
        <w:overflowPunct/>
        <w:topLinePunct w:val="0"/>
        <w:bidi w:val="0"/>
        <w:spacing w:line="360" w:lineRule="auto"/>
        <w:textAlignment w:val="auto"/>
        <w:rPr>
          <w:rFonts w:hint="default" w:ascii="仿宋_GB2312" w:hAnsi="仿宋_GB2312" w:eastAsia="仿宋_GB2312" w:cs="仿宋_GB2312"/>
          <w:kern w:val="2"/>
          <w:sz w:val="32"/>
          <w:szCs w:val="32"/>
          <w:lang w:val="en-US" w:eastAsia="zh-CN" w:bidi="ar-SA"/>
        </w:rPr>
      </w:pPr>
    </w:p>
    <w:p>
      <w:pPr>
        <w:pStyle w:val="2"/>
        <w:pageBreakBefore w:val="0"/>
        <w:kinsoku/>
        <w:wordWrap/>
        <w:overflowPunct/>
        <w:topLinePunct w:val="0"/>
        <w:bidi w:val="0"/>
        <w:spacing w:line="360" w:lineRule="auto"/>
        <w:textAlignment w:val="auto"/>
        <w:rPr>
          <w:rFonts w:hint="default" w:ascii="仿宋_GB2312" w:hAnsi="仿宋_GB2312" w:eastAsia="仿宋_GB2312" w:cs="仿宋_GB2312"/>
          <w:kern w:val="2"/>
          <w:sz w:val="32"/>
          <w:szCs w:val="32"/>
          <w:lang w:val="en-US" w:eastAsia="zh-CN" w:bidi="ar-SA"/>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jc w:val="center"/>
        <w:rPr>
          <w:sz w:val="72"/>
          <w:szCs w:val="72"/>
        </w:rPr>
      </w:pPr>
    </w:p>
    <w:p>
      <w:pPr>
        <w:pStyle w:val="15"/>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2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F6ED3"/>
    <w:multiLevelType w:val="singleLevel"/>
    <w:tmpl w:val="8A8F6ED3"/>
    <w:lvl w:ilvl="0" w:tentative="0">
      <w:start w:val="1"/>
      <w:numFmt w:val="chineseCounting"/>
      <w:suff w:val="nothing"/>
      <w:lvlText w:val="（%1）"/>
      <w:lvlJc w:val="left"/>
      <w:rPr>
        <w:rFonts w:hint="eastAsia"/>
      </w:rPr>
    </w:lvl>
  </w:abstractNum>
  <w:abstractNum w:abstractNumId="1">
    <w:nsid w:val="EA29D4C1"/>
    <w:multiLevelType w:val="singleLevel"/>
    <w:tmpl w:val="EA29D4C1"/>
    <w:lvl w:ilvl="0" w:tentative="0">
      <w:start w:val="3"/>
      <w:numFmt w:val="decimal"/>
      <w:suff w:val="nothing"/>
      <w:lvlText w:val="%1、"/>
      <w:lvlJc w:val="left"/>
    </w:lvl>
  </w:abstractNum>
  <w:abstractNum w:abstractNumId="2">
    <w:nsid w:val="EE6560A1"/>
    <w:multiLevelType w:val="singleLevel"/>
    <w:tmpl w:val="EE6560A1"/>
    <w:lvl w:ilvl="0" w:tentative="0">
      <w:start w:val="3"/>
      <w:numFmt w:val="decimal"/>
      <w:suff w:val="nothing"/>
      <w:lvlText w:val="%1、"/>
      <w:lvlJc w:val="left"/>
      <w:pPr>
        <w:ind w:left="640" w:leftChars="0" w:firstLine="0" w:firstLineChars="0"/>
      </w:pPr>
    </w:lvl>
  </w:abstractNum>
  <w:abstractNum w:abstractNumId="3">
    <w:nsid w:val="16CB23E8"/>
    <w:multiLevelType w:val="singleLevel"/>
    <w:tmpl w:val="16CB23E8"/>
    <w:lvl w:ilvl="0" w:tentative="0">
      <w:start w:val="1"/>
      <w:numFmt w:val="chineseCounting"/>
      <w:suff w:val="nothing"/>
      <w:lvlText w:val="%1、"/>
      <w:lvlJc w:val="left"/>
      <w:rPr>
        <w:rFonts w:hint="eastAsia"/>
      </w:r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145C36"/>
    <w:rsid w:val="05777DFA"/>
    <w:rsid w:val="076C705E"/>
    <w:rsid w:val="14E074BE"/>
    <w:rsid w:val="1597730C"/>
    <w:rsid w:val="15CF44F9"/>
    <w:rsid w:val="16671AAF"/>
    <w:rsid w:val="175830D5"/>
    <w:rsid w:val="1D97DEFF"/>
    <w:rsid w:val="1DFF72E5"/>
    <w:rsid w:val="1EFC6F07"/>
    <w:rsid w:val="22FE3AA0"/>
    <w:rsid w:val="23B00E7E"/>
    <w:rsid w:val="2D364566"/>
    <w:rsid w:val="2FDF85B8"/>
    <w:rsid w:val="2FFFEE04"/>
    <w:rsid w:val="31990EA4"/>
    <w:rsid w:val="34DF85B0"/>
    <w:rsid w:val="3B8F36BC"/>
    <w:rsid w:val="3EE01950"/>
    <w:rsid w:val="491FF225"/>
    <w:rsid w:val="4AA80A8E"/>
    <w:rsid w:val="4AF018C8"/>
    <w:rsid w:val="4B2E1002"/>
    <w:rsid w:val="4D6120F7"/>
    <w:rsid w:val="4FFD214C"/>
    <w:rsid w:val="52E77CA7"/>
    <w:rsid w:val="56CD2945"/>
    <w:rsid w:val="5777D4F5"/>
    <w:rsid w:val="59DD8326"/>
    <w:rsid w:val="5C8E324A"/>
    <w:rsid w:val="5DEF592A"/>
    <w:rsid w:val="5E63494E"/>
    <w:rsid w:val="5EAA52BE"/>
    <w:rsid w:val="5FC6BB1E"/>
    <w:rsid w:val="5FF720F1"/>
    <w:rsid w:val="67FF5C0B"/>
    <w:rsid w:val="6D6004CF"/>
    <w:rsid w:val="6EFC0924"/>
    <w:rsid w:val="6FB74722"/>
    <w:rsid w:val="6FEF8B7E"/>
    <w:rsid w:val="71141D36"/>
    <w:rsid w:val="71A6591B"/>
    <w:rsid w:val="737D59BA"/>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9"/>
    <w:pPr>
      <w:keepNext/>
      <w:keepLines/>
      <w:spacing w:line="700" w:lineRule="exact"/>
      <w:ind w:firstLine="0" w:firstLineChars="0"/>
      <w:jc w:val="center"/>
      <w:outlineLvl w:val="0"/>
    </w:pPr>
    <w:rPr>
      <w:rFonts w:eastAsia="方正小标宋简体"/>
      <w:bCs/>
      <w:kern w:val="44"/>
      <w:sz w:val="44"/>
      <w:szCs w:val="44"/>
    </w:rPr>
  </w:style>
  <w:style w:type="paragraph" w:styleId="5">
    <w:name w:val="heading 2"/>
    <w:basedOn w:val="1"/>
    <w:next w:val="1"/>
    <w:qFormat/>
    <w:uiPriority w:val="0"/>
    <w:pPr>
      <w:outlineLvl w:val="1"/>
    </w:pPr>
    <w:rPr>
      <w:rFonts w:eastAsia="黑体"/>
      <w:bCs/>
      <w:szCs w:val="32"/>
    </w:rPr>
  </w:style>
  <w:style w:type="paragraph" w:styleId="6">
    <w:name w:val="heading 3"/>
    <w:basedOn w:val="1"/>
    <w:next w:val="1"/>
    <w:qFormat/>
    <w:uiPriority w:val="0"/>
    <w:pPr>
      <w:keepNext/>
      <w:keepLines/>
      <w:outlineLvl w:val="2"/>
    </w:pPr>
    <w:rPr>
      <w:rFonts w:eastAsia="黑体"/>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widowControl/>
      <w:spacing w:after="120"/>
      <w:ind w:left="420" w:leftChars="200"/>
      <w:jc w:val="left"/>
    </w:pPr>
    <w:rPr>
      <w:rFonts w:ascii="宋体" w:hAnsi="宋体" w:eastAsia="宋体" w:cs="宋体"/>
      <w:kern w:val="0"/>
      <w:sz w:val="24"/>
    </w:r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2"/>
    <w:semiHidden/>
    <w:qFormat/>
    <w:uiPriority w:val="0"/>
    <w:pPr>
      <w:snapToGrid w:val="0"/>
      <w:jc w:val="left"/>
    </w:pPr>
    <w:rPr>
      <w:sz w:val="18"/>
      <w:szCs w:val="18"/>
    </w:r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7"/>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 w:type="paragraph" w:customStyle="1" w:styleId="21">
    <w:name w:val="标题二级"/>
    <w:basedOn w:val="1"/>
    <w:qFormat/>
    <w:uiPriority w:val="0"/>
    <w:pPr>
      <w:adjustRightInd w:val="0"/>
      <w:snapToGrid w:val="0"/>
      <w:spacing w:line="560" w:lineRule="exact"/>
      <w:ind w:firstLine="643" w:firstLineChars="200"/>
    </w:pPr>
    <w:rPr>
      <w:rFonts w:ascii="楷体" w:hAnsi="楷体" w:eastAsia="楷体" w:cs="楷体"/>
      <w:b/>
      <w:bCs/>
      <w:sz w:val="32"/>
      <w:szCs w:val="32"/>
    </w:rPr>
  </w:style>
  <w:style w:type="paragraph" w:customStyle="1" w:styleId="22">
    <w:name w:val="标题三级2020"/>
    <w:basedOn w:val="1"/>
    <w:qFormat/>
    <w:uiPriority w:val="0"/>
    <w:pPr>
      <w:autoSpaceDE w:val="0"/>
      <w:autoSpaceDN w:val="0"/>
      <w:adjustRightInd w:val="0"/>
      <w:spacing w:line="580" w:lineRule="exact"/>
      <w:ind w:firstLine="640" w:firstLineChars="200"/>
      <w:outlineLvl w:val="0"/>
    </w:pPr>
    <w:rPr>
      <w:rFonts w:hint="eastAsia" w:ascii="Times New Roman" w:hAnsi="Times New Roman" w:eastAsia="仿宋_GB2312" w:cs="Times New Roman"/>
      <w:b/>
      <w:bCs/>
      <w:color w:val="010101"/>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37</Pages>
  <Words>12436</Words>
  <Characters>15164</Characters>
  <Lines>63</Lines>
  <Paragraphs>18</Paragraphs>
  <TotalTime>18</TotalTime>
  <ScaleCrop>false</ScaleCrop>
  <LinksUpToDate>false</LinksUpToDate>
  <CharactersWithSpaces>15352</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2024-09-06T06:19:00Z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6AEE0EB4D08B4879AB702449777A9377_12</vt:lpwstr>
  </property>
</Properties>
</file>