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84"/>
          <w:szCs w:val="84"/>
        </w:rPr>
      </w:pPr>
    </w:p>
    <w:p>
      <w:pPr>
        <w:pStyle w:val="12"/>
        <w:jc w:val="center"/>
        <w:rPr>
          <w:sz w:val="84"/>
          <w:szCs w:val="84"/>
        </w:rPr>
      </w:pPr>
    </w:p>
    <w:p>
      <w:pPr>
        <w:pStyle w:val="12"/>
        <w:jc w:val="center"/>
        <w:rPr>
          <w:sz w:val="84"/>
          <w:szCs w:val="84"/>
        </w:rPr>
      </w:pPr>
    </w:p>
    <w:p>
      <w:pPr>
        <w:pStyle w:val="12"/>
        <w:jc w:val="center"/>
        <w:rPr>
          <w:rFonts w:ascii="方正小标宋简体" w:hAnsi="方正小标宋_GBK" w:eastAsia="方正小标宋简体" w:cs="方正小标宋_GBK"/>
          <w:sz w:val="84"/>
          <w:szCs w:val="84"/>
        </w:rPr>
      </w:pPr>
      <w:r>
        <w:rPr>
          <w:rFonts w:hint="eastAsia" w:ascii="方正小标宋简体" w:hAnsi="方正小标宋_GBK" w:eastAsia="方正小标宋简体" w:cs="方正小标宋_GBK"/>
          <w:sz w:val="84"/>
          <w:szCs w:val="84"/>
        </w:rPr>
        <w:t>2023年度</w:t>
      </w:r>
    </w:p>
    <w:p>
      <w:pPr>
        <w:pStyle w:val="12"/>
        <w:jc w:val="center"/>
        <w:rPr>
          <w:rFonts w:ascii="方正小标宋简体" w:hAnsi="方正小标宋_GBK" w:eastAsia="方正小标宋简体" w:cs="方正小标宋_GBK"/>
          <w:sz w:val="84"/>
          <w:szCs w:val="84"/>
        </w:rPr>
      </w:pPr>
      <w:r>
        <w:rPr>
          <w:rFonts w:hint="eastAsia" w:ascii="方正小标宋简体" w:hAnsi="方正小标宋_GBK" w:eastAsia="方正小标宋简体" w:cs="方正小标宋_GBK"/>
          <w:sz w:val="84"/>
          <w:szCs w:val="84"/>
        </w:rPr>
        <w:t>湖南省种子管理服务站</w:t>
      </w:r>
      <w:r>
        <w:rPr>
          <w:rFonts w:ascii="方正小标宋简体" w:hAnsi="方正小标宋_GBK" w:eastAsia="方正小标宋简体" w:cs="方正小标宋_GBK"/>
          <w:sz w:val="84"/>
          <w:szCs w:val="84"/>
        </w:rPr>
        <w:br w:type="textWrapping"/>
      </w:r>
      <w:r>
        <w:rPr>
          <w:rFonts w:hint="eastAsia" w:ascii="方正小标宋简体" w:hAnsi="方正小标宋_GBK" w:eastAsia="方正小标宋简体" w:cs="方正小标宋_GBK"/>
          <w:sz w:val="84"/>
          <w:szCs w:val="84"/>
        </w:rPr>
        <w:t>部门决算</w:t>
      </w:r>
    </w:p>
    <w:p>
      <w:pPr>
        <w:pStyle w:val="12"/>
        <w:jc w:val="center"/>
        <w:rPr>
          <w:rFonts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00" w:lineRule="exact"/>
        <w:jc w:val="center"/>
        <w:rPr>
          <w:b/>
          <w:sz w:val="36"/>
          <w:szCs w:val="28"/>
        </w:rPr>
      </w:pPr>
      <w:r>
        <w:rPr>
          <w:rFonts w:hint="eastAsia"/>
          <w:b/>
          <w:sz w:val="36"/>
          <w:szCs w:val="28"/>
        </w:rPr>
        <w:t>目录</w:t>
      </w:r>
    </w:p>
    <w:p>
      <w:pPr>
        <w:pStyle w:val="12"/>
        <w:spacing w:line="500" w:lineRule="exact"/>
        <w:rPr>
          <w:rFonts w:hAnsi="黑体"/>
          <w:bCs/>
          <w:sz w:val="28"/>
          <w:szCs w:val="28"/>
        </w:rPr>
      </w:pPr>
      <w:r>
        <w:rPr>
          <w:rFonts w:hint="eastAsia" w:hAnsi="黑体"/>
          <w:bCs/>
          <w:sz w:val="28"/>
          <w:szCs w:val="28"/>
        </w:rPr>
        <w:t>第一部分 湖南省种子管理服务站概况</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2"/>
        <w:spacing w:line="500" w:lineRule="exact"/>
        <w:rPr>
          <w:rFonts w:hAnsi="黑体"/>
          <w:bCs/>
          <w:sz w:val="28"/>
          <w:szCs w:val="28"/>
        </w:rPr>
      </w:pPr>
      <w:r>
        <w:rPr>
          <w:rFonts w:hint="eastAsia" w:hAnsi="黑体"/>
          <w:bCs/>
          <w:sz w:val="28"/>
          <w:szCs w:val="28"/>
        </w:rPr>
        <w:t>第二部分 部门决算表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Ansi="黑体"/>
          <w:bCs/>
          <w:sz w:val="28"/>
          <w:szCs w:val="28"/>
        </w:rPr>
      </w:pPr>
      <w:r>
        <w:rPr>
          <w:rFonts w:hint="eastAsia" w:hAnsi="黑体"/>
          <w:bCs/>
          <w:sz w:val="28"/>
          <w:szCs w:val="28"/>
        </w:rPr>
        <w:t>第三部分 部门决算情况说明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2"/>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pPr>
        <w:pStyle w:val="12"/>
        <w:spacing w:line="500" w:lineRule="exact"/>
        <w:rPr>
          <w:rFonts w:hAnsi="黑体"/>
          <w:bCs/>
          <w:sz w:val="28"/>
          <w:szCs w:val="28"/>
        </w:rPr>
      </w:pPr>
      <w:r>
        <w:rPr>
          <w:rFonts w:hint="eastAsia" w:hAnsi="黑体"/>
          <w:bCs/>
          <w:sz w:val="28"/>
          <w:szCs w:val="28"/>
        </w:rPr>
        <w:t>第四部分 名词解释</w:t>
      </w:r>
    </w:p>
    <w:p>
      <w:pPr>
        <w:pStyle w:val="12"/>
        <w:spacing w:line="500" w:lineRule="exact"/>
        <w:rPr>
          <w:rFonts w:hAnsi="黑体"/>
          <w:bCs/>
          <w:sz w:val="28"/>
          <w:szCs w:val="28"/>
        </w:rPr>
      </w:pPr>
      <w:r>
        <w:rPr>
          <w:rFonts w:hint="eastAsia" w:hAnsi="黑体"/>
          <w:bCs/>
          <w:sz w:val="28"/>
          <w:szCs w:val="28"/>
        </w:rPr>
        <w:t>第五部分 附件</w:t>
      </w:r>
    </w:p>
    <w:p>
      <w:pPr>
        <w:pStyle w:val="12"/>
        <w:spacing w:line="500" w:lineRule="exact"/>
        <w:rPr>
          <w:rFonts w:hAnsi="黑体"/>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2"/>
        <w:jc w:val="center"/>
        <w:rPr>
          <w:rFonts w:ascii="方正小标宋简体" w:hAnsi="方正小标宋_GBK" w:eastAsia="方正小标宋简体" w:cs="方正小标宋_GBK"/>
          <w:sz w:val="84"/>
          <w:szCs w:val="84"/>
        </w:rPr>
      </w:pPr>
      <w:r>
        <w:rPr>
          <w:rFonts w:hint="eastAsia" w:ascii="方正小标宋简体" w:hAnsi="方正小标宋_GBK" w:eastAsia="方正小标宋简体" w:cs="方正小标宋_GBK"/>
          <w:sz w:val="84"/>
          <w:szCs w:val="84"/>
        </w:rPr>
        <w:t xml:space="preserve">第一部分 </w:t>
      </w:r>
    </w:p>
    <w:p>
      <w:pPr>
        <w:pStyle w:val="12"/>
        <w:jc w:val="center"/>
        <w:rPr>
          <w:rFonts w:ascii="方正小标宋_GBK" w:hAnsi="方正小标宋_GBK" w:eastAsia="方正小标宋_GBK" w:cs="方正小标宋_GBK"/>
          <w:sz w:val="84"/>
          <w:szCs w:val="84"/>
        </w:rPr>
      </w:pPr>
    </w:p>
    <w:p>
      <w:pPr>
        <w:pStyle w:val="12"/>
        <w:jc w:val="center"/>
        <w:rPr>
          <w:rFonts w:ascii="方正小标宋简体" w:hAnsi="方正小标宋_GBK" w:eastAsia="方正小标宋简体" w:cs="方正小标宋_GBK"/>
          <w:sz w:val="84"/>
          <w:szCs w:val="84"/>
        </w:rPr>
      </w:pPr>
      <w:r>
        <w:rPr>
          <w:rFonts w:hint="eastAsia" w:ascii="方正小标宋简体" w:hAnsi="方正小标宋_GBK" w:eastAsia="方正小标宋简体" w:cs="方正小标宋_GBK"/>
          <w:sz w:val="84"/>
          <w:szCs w:val="84"/>
        </w:rPr>
        <w:t>湖南省种子管理服务站概况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pStyle w:val="2"/>
        <w:rPr>
          <w:sz w:val="72"/>
          <w:szCs w:val="72"/>
        </w:rPr>
      </w:pPr>
    </w:p>
    <w:p>
      <w:pPr>
        <w:pStyle w:val="3"/>
      </w:pPr>
    </w:p>
    <w:p>
      <w:pPr>
        <w:pStyle w:val="13"/>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湖南省种子管理服务站是湖南省农业农村厅下属正处级事业单位（参公管理）。主要职责有：组织实施省级农作物品种区域试验、生产试验,承担省级审定农作物品种标准样品的封存、保管工作；负责省级农作物新品种展示、示范工作；负责农作物种子质量检验工作,承担种子检验员、种子质量检验机构考核的技术评价工作；承担农作物种子纯度种植鉴定和组织种子质量纠纷田间现场鉴定工作；开展种子供需形势调度和价格监测,负责种业基础信息收集和统计分析；承担救灾备荒种子储备管理的技术服务工作；承担农作物种子南繁技术服务工作；负责种子繁育、检验、加工、储藏等种业新技术的试验、示范与推广工作；承担种业技术标准的制修订工作。</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（一）内设机构设置。湖南省种子管理服务站内设机构包括：综合科、财务科、品种管理科、生产与质量科、植物新品种保护科（市场监管科）、种业信息与技术科等六个科室。</w:t>
      </w:r>
    </w:p>
    <w:p>
      <w:pPr>
        <w:widowControl/>
        <w:spacing w:line="600" w:lineRule="exac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（二）决算单位构成。湖南省种子管理服务站2023年部门决算汇总公开单位构成包括：湖南省种子管理服务站本级。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2"/>
        <w:jc w:val="center"/>
        <w:rPr>
          <w:rFonts w:ascii="方正小标宋_GBK" w:hAnsi="方正小标宋_GBK" w:eastAsia="方正小标宋_GBK" w:cs="方正小标宋_GBK"/>
          <w:sz w:val="84"/>
          <w:szCs w:val="84"/>
        </w:rPr>
      </w:pPr>
    </w:p>
    <w:p>
      <w:pPr>
        <w:pStyle w:val="12"/>
        <w:jc w:val="center"/>
        <w:rPr>
          <w:rFonts w:ascii="方正小标宋简体" w:hAnsi="方正小标宋_GBK" w:eastAsia="方正小标宋简体" w:cs="方正小标宋_GBK"/>
          <w:sz w:val="84"/>
          <w:szCs w:val="84"/>
        </w:rPr>
      </w:pPr>
      <w:r>
        <w:rPr>
          <w:rFonts w:hint="eastAsia" w:ascii="方正小标宋简体" w:hAnsi="方正小标宋_GBK" w:eastAsia="方正小标宋简体" w:cs="方正小标宋_GBK"/>
          <w:sz w:val="84"/>
          <w:szCs w:val="84"/>
        </w:rPr>
        <w:t>第二部分</w:t>
      </w:r>
    </w:p>
    <w:p>
      <w:pPr>
        <w:pStyle w:val="12"/>
        <w:jc w:val="center"/>
        <w:rPr>
          <w:rFonts w:ascii="方正小标宋简体" w:hAnsi="方正小标宋_GBK" w:eastAsia="方正小标宋简体" w:cs="方正小标宋_GBK"/>
          <w:sz w:val="84"/>
          <w:szCs w:val="84"/>
        </w:rPr>
      </w:pPr>
    </w:p>
    <w:p>
      <w:pPr>
        <w:pStyle w:val="12"/>
        <w:jc w:val="center"/>
        <w:rPr>
          <w:sz w:val="72"/>
          <w:szCs w:val="72"/>
        </w:rPr>
      </w:pPr>
      <w:r>
        <w:rPr>
          <w:rFonts w:hint="eastAsia" w:ascii="方正小标宋简体" w:hAnsi="方正小标宋_GBK" w:eastAsia="方正小标宋简体" w:cs="方正小标宋_GBK"/>
          <w:sz w:val="84"/>
          <w:szCs w:val="84"/>
        </w:rPr>
        <w:t>部门决算表</w:t>
      </w: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headerReference r:id="rId3" w:type="default"/>
          <w:pgSz w:w="11906" w:h="16838"/>
          <w:pgMar w:top="720" w:right="720" w:bottom="720" w:left="720" w:header="851" w:footer="992" w:gutter="0"/>
          <w:cols w:space="425" w:num="1"/>
          <w:docGrid w:type="lines" w:linePitch="312" w:charSpace="0"/>
        </w:sectPr>
      </w:pPr>
    </w:p>
    <w:tbl>
      <w:tblPr>
        <w:tblStyle w:val="8"/>
        <w:tblW w:w="15495" w:type="dxa"/>
        <w:tblInd w:w="0" w:type="dxa"/>
        <w:tblLayout w:type="fixed"/>
        <w:tblCellMar>
          <w:top w:w="0" w:type="dxa"/>
          <w:left w:w="108" w:type="dxa"/>
          <w:bottom w:w="0" w:type="dxa"/>
          <w:right w:w="108" w:type="dxa"/>
        </w:tblCellMar>
      </w:tblPr>
      <w:tblGrid>
        <w:gridCol w:w="5225"/>
        <w:gridCol w:w="1078"/>
        <w:gridCol w:w="1646"/>
        <w:gridCol w:w="4487"/>
        <w:gridCol w:w="648"/>
        <w:gridCol w:w="2411"/>
      </w:tblGrid>
      <w:tr>
        <w:tblPrEx>
          <w:tblLayout w:type="fixed"/>
          <w:tblCellMar>
            <w:top w:w="0" w:type="dxa"/>
            <w:left w:w="108" w:type="dxa"/>
            <w:bottom w:w="0" w:type="dxa"/>
            <w:right w:w="108" w:type="dxa"/>
          </w:tblCellMar>
        </w:tblPrEx>
        <w:trPr>
          <w:cantSplit/>
          <w:trHeight w:val="14" w:hRule="atLeast"/>
        </w:trPr>
        <w:tc>
          <w:tcPr>
            <w:tcW w:w="15495" w:type="dxa"/>
            <w:gridSpan w:val="6"/>
            <w:tcBorders>
              <w:top w:val="nil"/>
              <w:left w:val="nil"/>
              <w:bottom w:val="nil"/>
              <w:right w:val="nil"/>
            </w:tcBorders>
            <w:shd w:val="clear" w:color="000000" w:fill="FFFFFF"/>
            <w:noWrap/>
            <w:vAlign w:val="center"/>
          </w:tcPr>
          <w:p>
            <w:pPr>
              <w:jc w:val="center"/>
              <w:rPr>
                <w:rFonts w:ascii="华文中宋" w:hAnsi="华文中宋" w:eastAsia="华文中宋" w:cs="宋体"/>
                <w:sz w:val="32"/>
                <w:szCs w:val="32"/>
              </w:rPr>
            </w:pPr>
            <w:r>
              <w:rPr>
                <w:rFonts w:hint="eastAsia" w:ascii="华文中宋" w:hAnsi="华文中宋" w:eastAsia="华文中宋"/>
                <w:sz w:val="32"/>
                <w:szCs w:val="32"/>
              </w:rPr>
              <w:t>收入支出决算总表</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1078"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1646"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4487"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648"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2411" w:type="dxa"/>
            <w:tcBorders>
              <w:top w:val="nil"/>
              <w:left w:val="nil"/>
              <w:bottom w:val="nil"/>
              <w:right w:val="nil"/>
            </w:tcBorders>
            <w:shd w:val="clear" w:color="000000" w:fill="FFFFFF"/>
            <w:noWrap/>
            <w:vAlign w:val="center"/>
          </w:tcPr>
          <w:p>
            <w:pPr>
              <w:jc w:val="right"/>
              <w:rPr>
                <w:rFonts w:ascii="宋体" w:hAnsi="宋体" w:eastAsia="宋体" w:cs="宋体"/>
                <w:sz w:val="20"/>
                <w:szCs w:val="20"/>
              </w:rPr>
            </w:pPr>
            <w:r>
              <w:rPr>
                <w:rFonts w:hint="eastAsia"/>
                <w:sz w:val="20"/>
                <w:szCs w:val="20"/>
              </w:rPr>
              <w:t>公开01表</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nil"/>
              <w:bottom w:val="nil"/>
              <w:right w:val="nil"/>
            </w:tcBorders>
            <w:shd w:val="clear" w:color="000000" w:fill="FFFFFF"/>
            <w:noWrap/>
            <w:vAlign w:val="center"/>
          </w:tcPr>
          <w:p>
            <w:pPr>
              <w:rPr>
                <w:rFonts w:ascii="宋体" w:hAnsi="宋体" w:eastAsia="宋体" w:cs="宋体"/>
                <w:sz w:val="20"/>
                <w:szCs w:val="20"/>
              </w:rPr>
            </w:pPr>
            <w:r>
              <w:rPr>
                <w:rFonts w:hint="eastAsia"/>
                <w:sz w:val="20"/>
                <w:szCs w:val="20"/>
              </w:rPr>
              <w:t>部门：湖南省种子管理服务站</w:t>
            </w:r>
          </w:p>
        </w:tc>
        <w:tc>
          <w:tcPr>
            <w:tcW w:w="1078"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1646"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4487"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648" w:type="dxa"/>
            <w:tcBorders>
              <w:top w:val="nil"/>
              <w:left w:val="nil"/>
              <w:bottom w:val="nil"/>
              <w:right w:val="nil"/>
            </w:tcBorders>
            <w:shd w:val="clear" w:color="000000" w:fill="FFFFFF"/>
            <w:noWrap/>
            <w:vAlign w:val="center"/>
          </w:tcPr>
          <w:p>
            <w:pPr>
              <w:jc w:val="right"/>
              <w:rPr>
                <w:rFonts w:ascii="宋体" w:hAnsi="宋体" w:eastAsia="宋体" w:cs="宋体"/>
                <w:sz w:val="24"/>
                <w:szCs w:val="24"/>
              </w:rPr>
            </w:pPr>
            <w:r>
              <w:rPr>
                <w:rFonts w:hint="eastAsia"/>
              </w:rPr>
              <w:t>　</w:t>
            </w:r>
          </w:p>
        </w:tc>
        <w:tc>
          <w:tcPr>
            <w:tcW w:w="2411" w:type="dxa"/>
            <w:tcBorders>
              <w:top w:val="nil"/>
              <w:left w:val="nil"/>
              <w:bottom w:val="nil"/>
              <w:right w:val="nil"/>
            </w:tcBorders>
            <w:shd w:val="clear" w:color="000000" w:fill="FFFFFF"/>
            <w:noWrap/>
            <w:vAlign w:val="center"/>
          </w:tcPr>
          <w:p>
            <w:pPr>
              <w:jc w:val="right"/>
              <w:rPr>
                <w:rFonts w:ascii="宋体" w:hAnsi="宋体" w:eastAsia="宋体" w:cs="宋体"/>
                <w:sz w:val="20"/>
                <w:szCs w:val="20"/>
              </w:rPr>
            </w:pPr>
            <w:r>
              <w:rPr>
                <w:rFonts w:hint="eastAsia"/>
                <w:sz w:val="20"/>
                <w:szCs w:val="20"/>
              </w:rPr>
              <w:t>单位：万元</w:t>
            </w:r>
          </w:p>
        </w:tc>
      </w:tr>
      <w:tr>
        <w:tblPrEx>
          <w:tblLayout w:type="fixed"/>
          <w:tblCellMar>
            <w:top w:w="0" w:type="dxa"/>
            <w:left w:w="108" w:type="dxa"/>
            <w:bottom w:w="0" w:type="dxa"/>
            <w:right w:w="108" w:type="dxa"/>
          </w:tblCellMar>
        </w:tblPrEx>
        <w:trPr>
          <w:cantSplit/>
          <w:trHeight w:val="14" w:hRule="atLeast"/>
        </w:trPr>
        <w:tc>
          <w:tcPr>
            <w:tcW w:w="794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收入</w:t>
            </w:r>
          </w:p>
        </w:tc>
        <w:tc>
          <w:tcPr>
            <w:tcW w:w="7546" w:type="dxa"/>
            <w:gridSpan w:val="3"/>
            <w:tcBorders>
              <w:top w:val="single" w:color="auto" w:sz="4" w:space="0"/>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支出</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项目</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行次</w:t>
            </w:r>
          </w:p>
        </w:tc>
        <w:tc>
          <w:tcPr>
            <w:tcW w:w="1646"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决算数</w:t>
            </w:r>
          </w:p>
        </w:tc>
        <w:tc>
          <w:tcPr>
            <w:tcW w:w="4487"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项目</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行次</w:t>
            </w:r>
          </w:p>
        </w:tc>
        <w:tc>
          <w:tcPr>
            <w:tcW w:w="2411"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决算数</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栏次</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　</w:t>
            </w:r>
          </w:p>
        </w:tc>
        <w:tc>
          <w:tcPr>
            <w:tcW w:w="1646"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w:t>
            </w:r>
          </w:p>
        </w:tc>
        <w:tc>
          <w:tcPr>
            <w:tcW w:w="4487"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栏次</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　</w:t>
            </w:r>
          </w:p>
        </w:tc>
        <w:tc>
          <w:tcPr>
            <w:tcW w:w="2411"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一、一般公共预算财政拨款收入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571.83</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一、一般公共服务支出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32</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二、政府性基金预算财政拨款收入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二、外交支出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33</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三、国有资本经营预算财政拨款收入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三、国防支出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34</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四、上级补助收入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四、公共安全支出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35</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五、事业收入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五、教育支出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36</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六、经营收入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6</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六、科学技术支出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37</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七、附属单位上缴收入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7</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七、文化旅游体育与传媒支出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38</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八、其他收入</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8</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0.01</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八、社会保障和就业支出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39</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73.48</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9</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九、卫生健康支出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40</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10</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十、节能环保支出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41</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11</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十一、城乡社区支出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42</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12</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十二、农林水支出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43</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378.88</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13</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十三、交通运输支出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44</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14</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十四、资源勘探工业信息等支出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45</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15</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十五、商业服务业等支出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46</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16</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十六、金融支出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47</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17</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十七、援助其他地区支出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48</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18</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十八、自然资源海洋气象等支出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49</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19</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十九、住房保障支出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50</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22.62</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20</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二十、粮油物资储备支出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51</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21</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二十一、国有资本经营预算支出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52</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22</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二十二、灾害防治及应急管理支出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53</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23</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二十三、其他支出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54</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b/>
                <w:bCs/>
                <w:sz w:val="20"/>
                <w:szCs w:val="20"/>
              </w:rPr>
            </w:pPr>
            <w:r>
              <w:rPr>
                <w:rFonts w:hint="eastAsia"/>
                <w:b/>
                <w:bCs/>
                <w:sz w:val="20"/>
                <w:szCs w:val="20"/>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0"/>
                <w:szCs w:val="20"/>
              </w:rPr>
            </w:pPr>
            <w:r>
              <w:rPr>
                <w:rFonts w:hint="eastAsia"/>
                <w:sz w:val="20"/>
                <w:szCs w:val="20"/>
              </w:rPr>
              <w:t>24</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0"/>
                <w:szCs w:val="20"/>
              </w:rPr>
            </w:pPr>
            <w:r>
              <w:rPr>
                <w:rFonts w:hint="eastAsia"/>
                <w:sz w:val="20"/>
                <w:szCs w:val="20"/>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二十四、债务还本支出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55</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0"/>
                <w:szCs w:val="20"/>
              </w:rPr>
            </w:pPr>
            <w:r>
              <w:rPr>
                <w:rFonts w:hint="eastAsia"/>
                <w:sz w:val="20"/>
                <w:szCs w:val="20"/>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0"/>
                <w:szCs w:val="20"/>
              </w:rPr>
            </w:pPr>
            <w:r>
              <w:rPr>
                <w:rFonts w:hint="eastAsia"/>
                <w:sz w:val="20"/>
                <w:szCs w:val="20"/>
              </w:rPr>
              <w:t>25</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0"/>
                <w:szCs w:val="20"/>
              </w:rPr>
            </w:pPr>
            <w:r>
              <w:rPr>
                <w:rFonts w:hint="eastAsia"/>
                <w:sz w:val="20"/>
                <w:szCs w:val="20"/>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二十五、债务付息支出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56</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0"/>
                <w:szCs w:val="20"/>
              </w:rPr>
            </w:pPr>
            <w:r>
              <w:rPr>
                <w:rFonts w:hint="eastAsia"/>
                <w:sz w:val="20"/>
                <w:szCs w:val="20"/>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0"/>
                <w:szCs w:val="20"/>
              </w:rPr>
            </w:pPr>
            <w:r>
              <w:rPr>
                <w:rFonts w:hint="eastAsia"/>
                <w:sz w:val="20"/>
                <w:szCs w:val="20"/>
              </w:rPr>
              <w:t>26</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0"/>
                <w:szCs w:val="20"/>
              </w:rPr>
            </w:pPr>
            <w:r>
              <w:rPr>
                <w:rFonts w:hint="eastAsia"/>
                <w:sz w:val="20"/>
                <w:szCs w:val="20"/>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二十六、抗疫特别国债安排的支出</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57</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b/>
                <w:bCs/>
                <w:sz w:val="22"/>
              </w:rPr>
            </w:pPr>
            <w:r>
              <w:rPr>
                <w:rFonts w:hint="eastAsia"/>
                <w:b/>
                <w:bCs/>
                <w:sz w:val="22"/>
              </w:rPr>
              <w:t>本年收入合计</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27</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571.84</w:t>
            </w:r>
          </w:p>
        </w:tc>
        <w:tc>
          <w:tcPr>
            <w:tcW w:w="4487"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b/>
                <w:bCs/>
                <w:sz w:val="22"/>
              </w:rPr>
            </w:pPr>
            <w:r>
              <w:rPr>
                <w:rFonts w:hint="eastAsia"/>
                <w:b/>
                <w:bCs/>
                <w:sz w:val="22"/>
              </w:rPr>
              <w:t>本年支出合计</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58</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474.98</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使用非财政拨款结余和专用结余</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28</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0.00</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结余分配</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59</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0.01</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年初结转和结余</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29</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17.46</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年末结转和结余</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60</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114.32</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30</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　</w:t>
            </w:r>
          </w:p>
        </w:tc>
        <w:tc>
          <w:tcPr>
            <w:tcW w:w="4487"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61</w:t>
            </w:r>
          </w:p>
        </w:tc>
        <w:tc>
          <w:tcPr>
            <w:tcW w:w="2411" w:type="dxa"/>
            <w:tcBorders>
              <w:top w:val="nil"/>
              <w:left w:val="nil"/>
              <w:bottom w:val="single" w:color="auto" w:sz="4" w:space="0"/>
              <w:right w:val="single" w:color="auto" w:sz="4" w:space="0"/>
            </w:tcBorders>
            <w:shd w:val="clear" w:color="000000" w:fill="FFFFFF"/>
            <w:noWrap/>
            <w:vAlign w:val="center"/>
          </w:tcPr>
          <w:p>
            <w:pPr>
              <w:rPr>
                <w:rFonts w:ascii="宋体" w:hAnsi="宋体" w:eastAsia="宋体" w:cs="宋体"/>
                <w:sz w:val="22"/>
              </w:rPr>
            </w:pPr>
            <w:r>
              <w:rPr>
                <w:rFonts w:hint="eastAsia"/>
                <w:sz w:val="22"/>
              </w:rPr>
              <w:t>　</w:t>
            </w:r>
          </w:p>
        </w:tc>
      </w:tr>
      <w:tr>
        <w:tblPrEx>
          <w:tblLayout w:type="fixed"/>
          <w:tblCellMar>
            <w:top w:w="0" w:type="dxa"/>
            <w:left w:w="108" w:type="dxa"/>
            <w:bottom w:w="0" w:type="dxa"/>
            <w:right w:w="108" w:type="dxa"/>
          </w:tblCellMar>
        </w:tblPrEx>
        <w:trPr>
          <w:cantSplit/>
          <w:trHeight w:val="14" w:hRule="atLeast"/>
        </w:trPr>
        <w:tc>
          <w:tcPr>
            <w:tcW w:w="5225"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宋体" w:hAnsi="宋体" w:eastAsia="宋体" w:cs="宋体"/>
                <w:b/>
                <w:bCs/>
                <w:sz w:val="22"/>
              </w:rPr>
            </w:pPr>
            <w:r>
              <w:rPr>
                <w:rFonts w:hint="eastAsia"/>
                <w:b/>
                <w:bCs/>
                <w:sz w:val="22"/>
              </w:rPr>
              <w:t>总计</w:t>
            </w:r>
          </w:p>
        </w:tc>
        <w:tc>
          <w:tcPr>
            <w:tcW w:w="107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31</w:t>
            </w:r>
          </w:p>
        </w:tc>
        <w:tc>
          <w:tcPr>
            <w:tcW w:w="1646"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589.31</w:t>
            </w:r>
          </w:p>
        </w:tc>
        <w:tc>
          <w:tcPr>
            <w:tcW w:w="4487"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b/>
                <w:bCs/>
                <w:sz w:val="22"/>
              </w:rPr>
            </w:pPr>
            <w:r>
              <w:rPr>
                <w:rFonts w:hint="eastAsia"/>
                <w:b/>
                <w:bCs/>
                <w:sz w:val="22"/>
              </w:rPr>
              <w:t>总计</w:t>
            </w:r>
          </w:p>
        </w:tc>
        <w:tc>
          <w:tcPr>
            <w:tcW w:w="648" w:type="dxa"/>
            <w:tcBorders>
              <w:top w:val="nil"/>
              <w:left w:val="nil"/>
              <w:bottom w:val="single" w:color="auto" w:sz="4" w:space="0"/>
              <w:right w:val="single" w:color="auto" w:sz="4" w:space="0"/>
            </w:tcBorders>
            <w:shd w:val="clear" w:color="000000" w:fill="FFFFFF"/>
            <w:noWrap/>
            <w:vAlign w:val="center"/>
          </w:tcPr>
          <w:p>
            <w:pPr>
              <w:jc w:val="center"/>
              <w:rPr>
                <w:rFonts w:ascii="宋体" w:hAnsi="宋体" w:eastAsia="宋体" w:cs="宋体"/>
                <w:sz w:val="22"/>
              </w:rPr>
            </w:pPr>
            <w:r>
              <w:rPr>
                <w:rFonts w:hint="eastAsia"/>
                <w:sz w:val="22"/>
              </w:rPr>
              <w:t>62</w:t>
            </w:r>
          </w:p>
        </w:tc>
        <w:tc>
          <w:tcPr>
            <w:tcW w:w="2411" w:type="dxa"/>
            <w:tcBorders>
              <w:top w:val="nil"/>
              <w:left w:val="nil"/>
              <w:bottom w:val="single" w:color="auto" w:sz="4" w:space="0"/>
              <w:right w:val="single" w:color="auto" w:sz="4" w:space="0"/>
            </w:tcBorders>
            <w:shd w:val="clear" w:color="000000" w:fill="FFFFFF"/>
            <w:noWrap/>
            <w:vAlign w:val="center"/>
          </w:tcPr>
          <w:p>
            <w:pPr>
              <w:jc w:val="right"/>
              <w:rPr>
                <w:rFonts w:ascii="宋体" w:hAnsi="宋体" w:eastAsia="宋体" w:cs="宋体"/>
                <w:sz w:val="22"/>
              </w:rPr>
            </w:pPr>
            <w:r>
              <w:rPr>
                <w:rFonts w:hint="eastAsia"/>
                <w:sz w:val="22"/>
              </w:rPr>
              <w:t>589.31</w:t>
            </w:r>
          </w:p>
        </w:tc>
      </w:tr>
      <w:tr>
        <w:tblPrEx>
          <w:tblLayout w:type="fixed"/>
          <w:tblCellMar>
            <w:top w:w="0" w:type="dxa"/>
            <w:left w:w="108" w:type="dxa"/>
            <w:bottom w:w="0" w:type="dxa"/>
            <w:right w:w="108" w:type="dxa"/>
          </w:tblCellMar>
        </w:tblPrEx>
        <w:trPr>
          <w:cantSplit/>
          <w:trHeight w:val="14" w:hRule="atLeast"/>
        </w:trPr>
        <w:tc>
          <w:tcPr>
            <w:tcW w:w="15495" w:type="dxa"/>
            <w:gridSpan w:val="6"/>
            <w:tcBorders>
              <w:top w:val="nil"/>
              <w:left w:val="nil"/>
              <w:bottom w:val="nil"/>
              <w:right w:val="nil"/>
            </w:tcBorders>
            <w:shd w:val="clear" w:color="000000" w:fill="FFFFFF"/>
            <w:noWrap/>
            <w:vAlign w:val="center"/>
          </w:tcPr>
          <w:p>
            <w:pPr>
              <w:rPr>
                <w:rFonts w:ascii="宋体" w:hAnsi="宋体" w:eastAsia="宋体" w:cs="宋体"/>
                <w:sz w:val="22"/>
              </w:rPr>
            </w:pPr>
            <w:r>
              <w:rPr>
                <w:rFonts w:hint="eastAsia"/>
                <w:sz w:val="22"/>
              </w:rPr>
              <w:t>注：1.本表反映部门本年度的总收支和年末结转结余情况。</w:t>
            </w:r>
          </w:p>
        </w:tc>
      </w:tr>
      <w:tr>
        <w:tblPrEx>
          <w:tblLayout w:type="fixed"/>
          <w:tblCellMar>
            <w:top w:w="0" w:type="dxa"/>
            <w:left w:w="108" w:type="dxa"/>
            <w:bottom w:w="0" w:type="dxa"/>
            <w:right w:w="108" w:type="dxa"/>
          </w:tblCellMar>
        </w:tblPrEx>
        <w:trPr>
          <w:cantSplit/>
          <w:trHeight w:val="14" w:hRule="atLeast"/>
        </w:trPr>
        <w:tc>
          <w:tcPr>
            <w:tcW w:w="15495" w:type="dxa"/>
            <w:gridSpan w:val="6"/>
            <w:tcBorders>
              <w:top w:val="nil"/>
              <w:left w:val="nil"/>
              <w:bottom w:val="nil"/>
              <w:right w:val="nil"/>
            </w:tcBorders>
            <w:shd w:val="clear" w:color="000000" w:fill="FFFFFF"/>
            <w:noWrap/>
            <w:vAlign w:val="center"/>
          </w:tcPr>
          <w:p>
            <w:pPr>
              <w:rPr>
                <w:rFonts w:ascii="宋体" w:hAnsi="宋体" w:eastAsia="宋体" w:cs="宋体"/>
                <w:sz w:val="22"/>
              </w:rPr>
            </w:pPr>
            <w:r>
              <w:rPr>
                <w:rFonts w:hint="eastAsia"/>
                <w:sz w:val="22"/>
              </w:rPr>
              <w:t xml:space="preserve">    2.本套报表金额单位转换时可能存在尾数误差。</w:t>
            </w:r>
          </w:p>
        </w:tc>
      </w:tr>
    </w:tbl>
    <w:p>
      <w:r>
        <w:br w:type="page"/>
      </w:r>
    </w:p>
    <w:tbl>
      <w:tblPr>
        <w:tblStyle w:val="8"/>
        <w:tblW w:w="15614" w:type="dxa"/>
        <w:tblInd w:w="0" w:type="dxa"/>
        <w:tblLayout w:type="fixed"/>
        <w:tblCellMar>
          <w:top w:w="0" w:type="dxa"/>
          <w:left w:w="108" w:type="dxa"/>
          <w:bottom w:w="0" w:type="dxa"/>
          <w:right w:w="108" w:type="dxa"/>
        </w:tblCellMar>
      </w:tblPr>
      <w:tblGrid>
        <w:gridCol w:w="408"/>
        <w:gridCol w:w="328"/>
        <w:gridCol w:w="281"/>
        <w:gridCol w:w="174"/>
        <w:gridCol w:w="4766"/>
        <w:gridCol w:w="1642"/>
        <w:gridCol w:w="1739"/>
        <w:gridCol w:w="1294"/>
        <w:gridCol w:w="1238"/>
        <w:gridCol w:w="1187"/>
        <w:gridCol w:w="1238"/>
        <w:gridCol w:w="1319"/>
      </w:tblGrid>
      <w:tr>
        <w:tblPrEx>
          <w:tblLayout w:type="fixed"/>
          <w:tblCellMar>
            <w:top w:w="0" w:type="dxa"/>
            <w:left w:w="108" w:type="dxa"/>
            <w:bottom w:w="0" w:type="dxa"/>
            <w:right w:w="108" w:type="dxa"/>
          </w:tblCellMar>
        </w:tblPrEx>
        <w:trPr>
          <w:trHeight w:val="435" w:hRule="atLeast"/>
        </w:trPr>
        <w:tc>
          <w:tcPr>
            <w:tcW w:w="15614" w:type="dxa"/>
            <w:gridSpan w:val="12"/>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收入决算表</w:t>
            </w:r>
          </w:p>
        </w:tc>
      </w:tr>
      <w:tr>
        <w:tblPrEx>
          <w:tblLayout w:type="fixed"/>
          <w:tblCellMar>
            <w:top w:w="0" w:type="dxa"/>
            <w:left w:w="108" w:type="dxa"/>
            <w:bottom w:w="0" w:type="dxa"/>
            <w:right w:w="108" w:type="dxa"/>
          </w:tblCellMar>
        </w:tblPrEx>
        <w:trPr>
          <w:trHeight w:val="435" w:hRule="atLeast"/>
        </w:trPr>
        <w:tc>
          <w:tcPr>
            <w:tcW w:w="40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2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81"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940" w:type="dxa"/>
            <w:gridSpan w:val="2"/>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64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739"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94"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3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187"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3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1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公开02表</w:t>
            </w:r>
          </w:p>
        </w:tc>
      </w:tr>
      <w:tr>
        <w:tblPrEx>
          <w:tblLayout w:type="fixed"/>
          <w:tblCellMar>
            <w:top w:w="0" w:type="dxa"/>
            <w:left w:w="108" w:type="dxa"/>
            <w:bottom w:w="0" w:type="dxa"/>
            <w:right w:w="108" w:type="dxa"/>
          </w:tblCellMar>
        </w:tblPrEx>
        <w:trPr>
          <w:trHeight w:val="270" w:hRule="atLeast"/>
        </w:trPr>
        <w:tc>
          <w:tcPr>
            <w:tcW w:w="5957" w:type="dxa"/>
            <w:gridSpan w:val="5"/>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部门：湖南省种子管理服务站</w:t>
            </w:r>
          </w:p>
        </w:tc>
        <w:tc>
          <w:tcPr>
            <w:tcW w:w="164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739"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94"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3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187"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3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1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单位：万元</w:t>
            </w:r>
          </w:p>
        </w:tc>
      </w:tr>
      <w:tr>
        <w:tblPrEx>
          <w:tblLayout w:type="fixed"/>
          <w:tblCellMar>
            <w:top w:w="0" w:type="dxa"/>
            <w:left w:w="108" w:type="dxa"/>
            <w:bottom w:w="0" w:type="dxa"/>
            <w:right w:w="108" w:type="dxa"/>
          </w:tblCellMar>
        </w:tblPrEx>
        <w:trPr>
          <w:trHeight w:val="300" w:hRule="atLeast"/>
        </w:trPr>
        <w:tc>
          <w:tcPr>
            <w:tcW w:w="5957"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项目</w:t>
            </w:r>
          </w:p>
        </w:tc>
        <w:tc>
          <w:tcPr>
            <w:tcW w:w="164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本年收入合计</w:t>
            </w:r>
          </w:p>
        </w:tc>
        <w:tc>
          <w:tcPr>
            <w:tcW w:w="173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财政拨款收入</w:t>
            </w:r>
          </w:p>
        </w:tc>
        <w:tc>
          <w:tcPr>
            <w:tcW w:w="12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上级补助收入</w:t>
            </w:r>
          </w:p>
        </w:tc>
        <w:tc>
          <w:tcPr>
            <w:tcW w:w="123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事业收入</w:t>
            </w:r>
          </w:p>
        </w:tc>
        <w:tc>
          <w:tcPr>
            <w:tcW w:w="118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经营收入</w:t>
            </w:r>
          </w:p>
        </w:tc>
        <w:tc>
          <w:tcPr>
            <w:tcW w:w="123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附属单位上缴收入</w:t>
            </w:r>
          </w:p>
        </w:tc>
        <w:tc>
          <w:tcPr>
            <w:tcW w:w="131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其他收入</w:t>
            </w:r>
          </w:p>
        </w:tc>
      </w:tr>
      <w:tr>
        <w:tblPrEx>
          <w:tblLayout w:type="fixed"/>
          <w:tblCellMar>
            <w:top w:w="0" w:type="dxa"/>
            <w:left w:w="108" w:type="dxa"/>
            <w:bottom w:w="0" w:type="dxa"/>
            <w:right w:w="108" w:type="dxa"/>
          </w:tblCellMar>
        </w:tblPrEx>
        <w:trPr>
          <w:trHeight w:val="312" w:hRule="atLeast"/>
        </w:trPr>
        <w:tc>
          <w:tcPr>
            <w:tcW w:w="1191"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功能分类科目编码</w:t>
            </w:r>
          </w:p>
        </w:tc>
        <w:tc>
          <w:tcPr>
            <w:tcW w:w="4766"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科目名称</w:t>
            </w:r>
          </w:p>
        </w:tc>
        <w:tc>
          <w:tcPr>
            <w:tcW w:w="1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12" w:hRule="atLeast"/>
        </w:trPr>
        <w:tc>
          <w:tcPr>
            <w:tcW w:w="1191"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476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12" w:hRule="atLeast"/>
        </w:trPr>
        <w:tc>
          <w:tcPr>
            <w:tcW w:w="1191"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476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1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00" w:hRule="atLeast"/>
        </w:trPr>
        <w:tc>
          <w:tcPr>
            <w:tcW w:w="5957"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栏次</w:t>
            </w:r>
          </w:p>
        </w:tc>
        <w:tc>
          <w:tcPr>
            <w:tcW w:w="164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73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9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18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3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r>
      <w:tr>
        <w:tblPrEx>
          <w:tblLayout w:type="fixed"/>
          <w:tblCellMar>
            <w:top w:w="0" w:type="dxa"/>
            <w:left w:w="108" w:type="dxa"/>
            <w:bottom w:w="0" w:type="dxa"/>
            <w:right w:w="108" w:type="dxa"/>
          </w:tblCellMar>
        </w:tblPrEx>
        <w:trPr>
          <w:trHeight w:val="342" w:hRule="atLeast"/>
        </w:trPr>
        <w:tc>
          <w:tcPr>
            <w:tcW w:w="5957" w:type="dxa"/>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64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571.84</w:t>
            </w:r>
          </w:p>
        </w:tc>
        <w:tc>
          <w:tcPr>
            <w:tcW w:w="173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571.83</w:t>
            </w:r>
          </w:p>
        </w:tc>
        <w:tc>
          <w:tcPr>
            <w:tcW w:w="12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23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18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23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31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0.01</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208</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社会保障和就业支出</w:t>
            </w:r>
          </w:p>
        </w:tc>
        <w:tc>
          <w:tcPr>
            <w:tcW w:w="1642" w:type="dxa"/>
            <w:tcBorders>
              <w:top w:val="nil"/>
              <w:left w:val="nil"/>
              <w:bottom w:val="single" w:color="auto" w:sz="4" w:space="0"/>
              <w:right w:val="single" w:color="auto" w:sz="4" w:space="0"/>
            </w:tcBorders>
            <w:shd w:val="clear" w:color="000000" w:fill="FFFFFF"/>
            <w:noWrap/>
          </w:tcPr>
          <w:p>
            <w:pPr>
              <w:jc w:val="center"/>
            </w:pPr>
            <w:r>
              <w:t>73.60</w:t>
            </w:r>
          </w:p>
        </w:tc>
        <w:tc>
          <w:tcPr>
            <w:tcW w:w="1739" w:type="dxa"/>
            <w:tcBorders>
              <w:top w:val="nil"/>
              <w:left w:val="nil"/>
              <w:bottom w:val="single" w:color="auto" w:sz="4" w:space="0"/>
              <w:right w:val="single" w:color="auto" w:sz="4" w:space="0"/>
            </w:tcBorders>
            <w:shd w:val="clear" w:color="000000" w:fill="FFFFFF"/>
            <w:noWrap/>
          </w:tcPr>
          <w:p>
            <w:pPr>
              <w:jc w:val="center"/>
            </w:pPr>
            <w:r>
              <w:t>73.60</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20805</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行政事业单位养老支出</w:t>
            </w:r>
          </w:p>
        </w:tc>
        <w:tc>
          <w:tcPr>
            <w:tcW w:w="1642" w:type="dxa"/>
            <w:tcBorders>
              <w:top w:val="nil"/>
              <w:left w:val="nil"/>
              <w:bottom w:val="single" w:color="auto" w:sz="4" w:space="0"/>
              <w:right w:val="single" w:color="auto" w:sz="4" w:space="0"/>
            </w:tcBorders>
            <w:shd w:val="clear" w:color="000000" w:fill="FFFFFF"/>
            <w:noWrap/>
          </w:tcPr>
          <w:p>
            <w:pPr>
              <w:jc w:val="center"/>
            </w:pPr>
            <w:r>
              <w:t>52.60</w:t>
            </w:r>
          </w:p>
        </w:tc>
        <w:tc>
          <w:tcPr>
            <w:tcW w:w="1739" w:type="dxa"/>
            <w:tcBorders>
              <w:top w:val="nil"/>
              <w:left w:val="nil"/>
              <w:bottom w:val="single" w:color="auto" w:sz="4" w:space="0"/>
              <w:right w:val="single" w:color="auto" w:sz="4" w:space="0"/>
            </w:tcBorders>
            <w:shd w:val="clear" w:color="000000" w:fill="FFFFFF"/>
            <w:noWrap/>
          </w:tcPr>
          <w:p>
            <w:pPr>
              <w:jc w:val="center"/>
            </w:pPr>
            <w:r>
              <w:t>52.60</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2080505</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机关事业单位基本养老保险缴费支出</w:t>
            </w:r>
          </w:p>
        </w:tc>
        <w:tc>
          <w:tcPr>
            <w:tcW w:w="1642" w:type="dxa"/>
            <w:tcBorders>
              <w:top w:val="nil"/>
              <w:left w:val="nil"/>
              <w:bottom w:val="single" w:color="auto" w:sz="4" w:space="0"/>
              <w:right w:val="single" w:color="auto" w:sz="4" w:space="0"/>
            </w:tcBorders>
            <w:shd w:val="clear" w:color="000000" w:fill="FFFFFF"/>
            <w:noWrap/>
          </w:tcPr>
          <w:p>
            <w:pPr>
              <w:jc w:val="center"/>
            </w:pPr>
            <w:r>
              <w:t>52.60</w:t>
            </w:r>
          </w:p>
        </w:tc>
        <w:tc>
          <w:tcPr>
            <w:tcW w:w="1739" w:type="dxa"/>
            <w:tcBorders>
              <w:top w:val="nil"/>
              <w:left w:val="nil"/>
              <w:bottom w:val="single" w:color="auto" w:sz="4" w:space="0"/>
              <w:right w:val="single" w:color="auto" w:sz="4" w:space="0"/>
            </w:tcBorders>
            <w:shd w:val="clear" w:color="000000" w:fill="FFFFFF"/>
            <w:noWrap/>
          </w:tcPr>
          <w:p>
            <w:pPr>
              <w:jc w:val="center"/>
            </w:pPr>
            <w:r>
              <w:t>52.60</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20808</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抚恤</w:t>
            </w:r>
          </w:p>
        </w:tc>
        <w:tc>
          <w:tcPr>
            <w:tcW w:w="1642" w:type="dxa"/>
            <w:tcBorders>
              <w:top w:val="nil"/>
              <w:left w:val="nil"/>
              <w:bottom w:val="single" w:color="auto" w:sz="4" w:space="0"/>
              <w:right w:val="single" w:color="auto" w:sz="4" w:space="0"/>
            </w:tcBorders>
            <w:shd w:val="clear" w:color="000000" w:fill="FFFFFF"/>
            <w:noWrap/>
          </w:tcPr>
          <w:p>
            <w:pPr>
              <w:jc w:val="center"/>
            </w:pPr>
            <w:r>
              <w:t>21.00</w:t>
            </w:r>
          </w:p>
        </w:tc>
        <w:tc>
          <w:tcPr>
            <w:tcW w:w="1739" w:type="dxa"/>
            <w:tcBorders>
              <w:top w:val="nil"/>
              <w:left w:val="nil"/>
              <w:bottom w:val="single" w:color="auto" w:sz="4" w:space="0"/>
              <w:right w:val="single" w:color="auto" w:sz="4" w:space="0"/>
            </w:tcBorders>
            <w:shd w:val="clear" w:color="000000" w:fill="FFFFFF"/>
            <w:noWrap/>
          </w:tcPr>
          <w:p>
            <w:pPr>
              <w:jc w:val="center"/>
            </w:pPr>
            <w:r>
              <w:t>21.00</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2080801</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死亡抚恤</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21.00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21.00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农林水支出</w:t>
            </w:r>
          </w:p>
        </w:tc>
        <w:tc>
          <w:tcPr>
            <w:tcW w:w="1642" w:type="dxa"/>
            <w:tcBorders>
              <w:top w:val="nil"/>
              <w:left w:val="nil"/>
              <w:bottom w:val="single" w:color="auto" w:sz="4" w:space="0"/>
              <w:right w:val="single" w:color="auto" w:sz="4" w:space="0"/>
            </w:tcBorders>
            <w:shd w:val="clear" w:color="000000" w:fill="FFFFFF"/>
            <w:noWrap/>
          </w:tcPr>
          <w:p>
            <w:pPr>
              <w:jc w:val="center"/>
            </w:pPr>
            <w:r>
              <w:t>474.34</w:t>
            </w:r>
          </w:p>
        </w:tc>
        <w:tc>
          <w:tcPr>
            <w:tcW w:w="1739" w:type="dxa"/>
            <w:tcBorders>
              <w:top w:val="nil"/>
              <w:left w:val="nil"/>
              <w:bottom w:val="single" w:color="auto" w:sz="4" w:space="0"/>
              <w:right w:val="single" w:color="auto" w:sz="4" w:space="0"/>
            </w:tcBorders>
            <w:shd w:val="clear" w:color="000000" w:fill="FFFFFF"/>
            <w:noWrap/>
          </w:tcPr>
          <w:p>
            <w:pPr>
              <w:jc w:val="center"/>
            </w:pPr>
            <w:r>
              <w:t>474.33</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0.01</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21301</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农业农村</w:t>
            </w:r>
          </w:p>
        </w:tc>
        <w:tc>
          <w:tcPr>
            <w:tcW w:w="1642" w:type="dxa"/>
            <w:tcBorders>
              <w:top w:val="nil"/>
              <w:left w:val="nil"/>
              <w:bottom w:val="single" w:color="auto" w:sz="4" w:space="0"/>
              <w:right w:val="single" w:color="auto" w:sz="4" w:space="0"/>
            </w:tcBorders>
            <w:shd w:val="clear" w:color="000000" w:fill="FFFFFF"/>
            <w:noWrap/>
          </w:tcPr>
          <w:p>
            <w:pPr>
              <w:jc w:val="center"/>
            </w:pPr>
            <w:r>
              <w:t>474.34</w:t>
            </w:r>
          </w:p>
        </w:tc>
        <w:tc>
          <w:tcPr>
            <w:tcW w:w="1739" w:type="dxa"/>
            <w:tcBorders>
              <w:top w:val="nil"/>
              <w:left w:val="nil"/>
              <w:bottom w:val="single" w:color="auto" w:sz="4" w:space="0"/>
              <w:right w:val="single" w:color="auto" w:sz="4" w:space="0"/>
            </w:tcBorders>
            <w:shd w:val="clear" w:color="000000" w:fill="FFFFFF"/>
            <w:noWrap/>
          </w:tcPr>
          <w:p>
            <w:pPr>
              <w:jc w:val="center"/>
            </w:pPr>
            <w:r>
              <w:t>474.33</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0.01</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2130101</w:t>
            </w:r>
          </w:p>
        </w:tc>
        <w:tc>
          <w:tcPr>
            <w:tcW w:w="4766"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行政运行</w:t>
            </w:r>
          </w:p>
        </w:tc>
        <w:tc>
          <w:tcPr>
            <w:tcW w:w="1642" w:type="dxa"/>
            <w:tcBorders>
              <w:top w:val="nil"/>
              <w:left w:val="nil"/>
              <w:bottom w:val="single" w:color="auto" w:sz="4" w:space="0"/>
              <w:right w:val="single" w:color="auto" w:sz="4" w:space="0"/>
            </w:tcBorders>
            <w:shd w:val="clear" w:color="000000" w:fill="FFFFFF"/>
            <w:noWrap/>
          </w:tcPr>
          <w:p>
            <w:pPr>
              <w:jc w:val="center"/>
            </w:pPr>
            <w:r>
              <w:t>17.40</w:t>
            </w:r>
          </w:p>
        </w:tc>
        <w:tc>
          <w:tcPr>
            <w:tcW w:w="1739" w:type="dxa"/>
            <w:tcBorders>
              <w:top w:val="nil"/>
              <w:left w:val="nil"/>
              <w:bottom w:val="single" w:color="auto" w:sz="4" w:space="0"/>
              <w:right w:val="single" w:color="auto" w:sz="4" w:space="0"/>
            </w:tcBorders>
            <w:shd w:val="clear" w:color="000000" w:fill="FFFFFF"/>
            <w:noWrap/>
          </w:tcPr>
          <w:p>
            <w:pPr>
              <w:jc w:val="center"/>
            </w:pPr>
            <w:r>
              <w:t>17.40</w:t>
            </w:r>
          </w:p>
        </w:tc>
        <w:tc>
          <w:tcPr>
            <w:tcW w:w="1294"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187" w:type="dxa"/>
            <w:tcBorders>
              <w:top w:val="nil"/>
              <w:left w:val="nil"/>
              <w:bottom w:val="single" w:color="auto" w:sz="4" w:space="0"/>
              <w:right w:val="single" w:color="auto" w:sz="4" w:space="0"/>
            </w:tcBorders>
            <w:shd w:val="clear" w:color="000000" w:fill="FFFFFF"/>
            <w:noWrap/>
          </w:tcPr>
          <w:p>
            <w:pPr>
              <w:jc w:val="center"/>
            </w:pPr>
            <w:r>
              <w:t>0.00</w:t>
            </w:r>
          </w:p>
        </w:tc>
        <w:tc>
          <w:tcPr>
            <w:tcW w:w="1238" w:type="dxa"/>
            <w:tcBorders>
              <w:top w:val="nil"/>
              <w:left w:val="nil"/>
              <w:bottom w:val="single" w:color="auto" w:sz="4" w:space="0"/>
              <w:right w:val="single" w:color="auto" w:sz="4" w:space="0"/>
            </w:tcBorders>
            <w:shd w:val="clear" w:color="000000" w:fill="FFFFFF"/>
            <w:noWrap/>
          </w:tcPr>
          <w:p>
            <w:pPr>
              <w:jc w:val="center"/>
            </w:pPr>
            <w:r>
              <w:t>0.00</w:t>
            </w:r>
          </w:p>
        </w:tc>
        <w:tc>
          <w:tcPr>
            <w:tcW w:w="1319"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2130104</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事业运行</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305.94</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305.93</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0.01</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2130109</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农产品质量安全</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30.00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30.00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2130122</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农业生产发展</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121.00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121.00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221</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住房保障支出</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22102</w:t>
            </w:r>
          </w:p>
        </w:tc>
        <w:tc>
          <w:tcPr>
            <w:tcW w:w="4766" w:type="dxa"/>
            <w:tcBorders>
              <w:top w:val="single" w:color="auto" w:sz="4" w:space="0"/>
              <w:left w:val="nil"/>
              <w:bottom w:val="single" w:color="auto" w:sz="4" w:space="0"/>
              <w:right w:val="single" w:color="auto" w:sz="4" w:space="0"/>
            </w:tcBorders>
            <w:shd w:val="clear" w:color="000000" w:fill="FFFFFF"/>
            <w:noWrap/>
          </w:tcPr>
          <w:p>
            <w:pPr>
              <w:rPr>
                <w:rFonts w:hint="eastAsia"/>
              </w:rPr>
            </w:pPr>
            <w:r>
              <w:rPr>
                <w:rFonts w:hint="eastAsia"/>
              </w:rPr>
              <w:t>住房改革支出</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c>
          <w:tcPr>
            <w:tcW w:w="1191" w:type="dxa"/>
            <w:gridSpan w:val="4"/>
            <w:tcBorders>
              <w:top w:val="single" w:color="auto" w:sz="4" w:space="0"/>
              <w:left w:val="single" w:color="auto" w:sz="4" w:space="0"/>
              <w:bottom w:val="single" w:color="auto" w:sz="4" w:space="0"/>
              <w:right w:val="single" w:color="auto" w:sz="4" w:space="0"/>
            </w:tcBorders>
            <w:shd w:val="clear" w:color="000000" w:fill="FFFFFF"/>
            <w:noWrap/>
          </w:tcPr>
          <w:p>
            <w:r>
              <w:t>2210201</w:t>
            </w:r>
          </w:p>
        </w:tc>
        <w:tc>
          <w:tcPr>
            <w:tcW w:w="4766" w:type="dxa"/>
            <w:tcBorders>
              <w:top w:val="single" w:color="auto" w:sz="4" w:space="0"/>
              <w:left w:val="nil"/>
              <w:bottom w:val="single" w:color="auto" w:sz="4" w:space="0"/>
              <w:right w:val="single" w:color="auto" w:sz="4" w:space="0"/>
            </w:tcBorders>
            <w:shd w:val="clear" w:color="000000" w:fill="FFFFFF"/>
            <w:noWrap/>
          </w:tcPr>
          <w:p>
            <w:r>
              <w:rPr>
                <w:rFonts w:hint="eastAsia"/>
              </w:rPr>
              <w:t>住房公积金</w:t>
            </w:r>
          </w:p>
        </w:tc>
        <w:tc>
          <w:tcPr>
            <w:tcW w:w="1642"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739" w:type="dxa"/>
            <w:tcBorders>
              <w:top w:val="single" w:color="auto" w:sz="4" w:space="0"/>
              <w:left w:val="nil"/>
              <w:bottom w:val="single" w:color="auto" w:sz="4" w:space="0"/>
              <w:right w:val="single" w:color="auto" w:sz="4" w:space="0"/>
            </w:tcBorders>
            <w:shd w:val="clear" w:color="000000" w:fill="FFFFFF"/>
            <w:noWrap/>
          </w:tcPr>
          <w:p>
            <w:pPr>
              <w:jc w:val="center"/>
            </w:pPr>
            <w:r>
              <w:t>23.90</w:t>
            </w:r>
          </w:p>
        </w:tc>
        <w:tc>
          <w:tcPr>
            <w:tcW w:w="1294"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187"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238" w:type="dxa"/>
            <w:tcBorders>
              <w:top w:val="single" w:color="auto" w:sz="4" w:space="0"/>
              <w:left w:val="nil"/>
              <w:bottom w:val="single" w:color="auto" w:sz="4" w:space="0"/>
              <w:right w:val="single" w:color="auto" w:sz="4" w:space="0"/>
            </w:tcBorders>
            <w:shd w:val="clear" w:color="000000" w:fill="FFFFFF"/>
            <w:noWrap/>
          </w:tcPr>
          <w:p>
            <w:pPr>
              <w:jc w:val="center"/>
            </w:pPr>
            <w:r>
              <w:t>0.00</w:t>
            </w:r>
          </w:p>
        </w:tc>
        <w:tc>
          <w:tcPr>
            <w:tcW w:w="1319" w:type="dxa"/>
            <w:tcBorders>
              <w:top w:val="single" w:color="auto" w:sz="4" w:space="0"/>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70" w:hRule="atLeast"/>
        </w:trPr>
        <w:tc>
          <w:tcPr>
            <w:tcW w:w="15614" w:type="dxa"/>
            <w:gridSpan w:val="12"/>
            <w:tcBorders>
              <w:bottom w:val="nil"/>
            </w:tcBorders>
            <w:shd w:val="clear" w:color="000000" w:fill="FFFFFF"/>
            <w:noWrap/>
            <w:vAlign w:val="center"/>
          </w:tcPr>
          <w:p>
            <w:pPr>
              <w:jc w:val="left"/>
              <w:rPr>
                <w:rFonts w:hint="eastAsia" w:ascii="宋体" w:hAnsi="宋体" w:eastAsia="宋体" w:cs="宋体"/>
                <w:kern w:val="0"/>
                <w:sz w:val="22"/>
              </w:rPr>
            </w:pPr>
            <w:r>
              <w:rPr>
                <w:rFonts w:hint="eastAsia" w:ascii="宋体" w:hAnsi="宋体" w:eastAsia="宋体" w:cs="宋体"/>
                <w:kern w:val="0"/>
                <w:sz w:val="22"/>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tbl>
      <w:tblPr>
        <w:tblStyle w:val="8"/>
        <w:tblW w:w="15041" w:type="dxa"/>
        <w:tblInd w:w="93" w:type="dxa"/>
        <w:tblLayout w:type="fixed"/>
        <w:tblCellMar>
          <w:top w:w="0" w:type="dxa"/>
          <w:left w:w="108" w:type="dxa"/>
          <w:bottom w:w="0" w:type="dxa"/>
          <w:right w:w="108" w:type="dxa"/>
        </w:tblCellMar>
      </w:tblPr>
      <w:tblGrid>
        <w:gridCol w:w="396"/>
        <w:gridCol w:w="318"/>
        <w:gridCol w:w="272"/>
        <w:gridCol w:w="4913"/>
        <w:gridCol w:w="1672"/>
        <w:gridCol w:w="1575"/>
        <w:gridCol w:w="1429"/>
        <w:gridCol w:w="1380"/>
        <w:gridCol w:w="1352"/>
        <w:gridCol w:w="1734"/>
      </w:tblGrid>
      <w:tr>
        <w:tblPrEx>
          <w:tblLayout w:type="fixed"/>
          <w:tblCellMar>
            <w:top w:w="0" w:type="dxa"/>
            <w:left w:w="108" w:type="dxa"/>
            <w:bottom w:w="0" w:type="dxa"/>
            <w:right w:w="108" w:type="dxa"/>
          </w:tblCellMar>
        </w:tblPrEx>
        <w:trPr>
          <w:trHeight w:val="435" w:hRule="atLeast"/>
        </w:trPr>
        <w:tc>
          <w:tcPr>
            <w:tcW w:w="1504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270" w:hRule="atLeast"/>
        </w:trPr>
        <w:tc>
          <w:tcPr>
            <w:tcW w:w="39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1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7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91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67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575"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429"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80"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5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73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公开03表</w:t>
            </w:r>
          </w:p>
        </w:tc>
      </w:tr>
      <w:tr>
        <w:tblPrEx>
          <w:tblLayout w:type="fixed"/>
          <w:tblCellMar>
            <w:top w:w="0" w:type="dxa"/>
            <w:left w:w="108" w:type="dxa"/>
            <w:bottom w:w="0" w:type="dxa"/>
            <w:right w:w="108" w:type="dxa"/>
          </w:tblCellMar>
        </w:tblPrEx>
        <w:trPr>
          <w:trHeight w:val="270" w:hRule="atLeast"/>
        </w:trPr>
        <w:tc>
          <w:tcPr>
            <w:tcW w:w="5899"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部门：湖南省种子管理服务站</w:t>
            </w:r>
          </w:p>
        </w:tc>
        <w:tc>
          <w:tcPr>
            <w:tcW w:w="167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575"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429"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80"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352"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73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单位：万元</w:t>
            </w:r>
          </w:p>
        </w:tc>
      </w:tr>
      <w:tr>
        <w:tblPrEx>
          <w:tblLayout w:type="fixed"/>
          <w:tblCellMar>
            <w:top w:w="0" w:type="dxa"/>
            <w:left w:w="108" w:type="dxa"/>
            <w:bottom w:w="0" w:type="dxa"/>
            <w:right w:w="108" w:type="dxa"/>
          </w:tblCellMar>
        </w:tblPrEx>
        <w:trPr>
          <w:trHeight w:val="300" w:hRule="atLeast"/>
        </w:trPr>
        <w:tc>
          <w:tcPr>
            <w:tcW w:w="589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项目</w:t>
            </w:r>
          </w:p>
        </w:tc>
        <w:tc>
          <w:tcPr>
            <w:tcW w:w="167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本年支出合计</w:t>
            </w:r>
          </w:p>
        </w:tc>
        <w:tc>
          <w:tcPr>
            <w:tcW w:w="157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基本支出</w:t>
            </w:r>
          </w:p>
        </w:tc>
        <w:tc>
          <w:tcPr>
            <w:tcW w:w="142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项目支出</w:t>
            </w:r>
          </w:p>
        </w:tc>
        <w:tc>
          <w:tcPr>
            <w:tcW w:w="138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上缴上级支出</w:t>
            </w:r>
          </w:p>
        </w:tc>
        <w:tc>
          <w:tcPr>
            <w:tcW w:w="13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经营支出</w:t>
            </w:r>
          </w:p>
        </w:tc>
        <w:tc>
          <w:tcPr>
            <w:tcW w:w="173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对附属单位补助支出</w:t>
            </w:r>
          </w:p>
        </w:tc>
      </w:tr>
      <w:tr>
        <w:tblPrEx>
          <w:tblLayout w:type="fixed"/>
          <w:tblCellMar>
            <w:top w:w="0" w:type="dxa"/>
            <w:left w:w="108" w:type="dxa"/>
            <w:bottom w:w="0" w:type="dxa"/>
            <w:right w:w="108" w:type="dxa"/>
          </w:tblCellMar>
        </w:tblPrEx>
        <w:trPr>
          <w:trHeight w:val="312" w:hRule="atLeast"/>
        </w:trPr>
        <w:tc>
          <w:tcPr>
            <w:tcW w:w="986"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功能分类科目编码</w:t>
            </w:r>
          </w:p>
        </w:tc>
        <w:tc>
          <w:tcPr>
            <w:tcW w:w="4913"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科目名称</w:t>
            </w:r>
          </w:p>
        </w:tc>
        <w:tc>
          <w:tcPr>
            <w:tcW w:w="1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4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12" w:hRule="atLeast"/>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491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4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12" w:hRule="atLeast"/>
        </w:trPr>
        <w:tc>
          <w:tcPr>
            <w:tcW w:w="9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491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4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3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7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00" w:hRule="atLeast"/>
        </w:trPr>
        <w:tc>
          <w:tcPr>
            <w:tcW w:w="589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栏次</w:t>
            </w:r>
          </w:p>
        </w:tc>
        <w:tc>
          <w:tcPr>
            <w:tcW w:w="167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575"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42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38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352"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7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r>
      <w:tr>
        <w:tblPrEx>
          <w:tblLayout w:type="fixed"/>
          <w:tblCellMar>
            <w:top w:w="0" w:type="dxa"/>
            <w:left w:w="108" w:type="dxa"/>
            <w:bottom w:w="0" w:type="dxa"/>
            <w:right w:w="108" w:type="dxa"/>
          </w:tblCellMar>
        </w:tblPrEx>
        <w:trPr>
          <w:trHeight w:val="300" w:hRule="atLeast"/>
        </w:trPr>
        <w:tc>
          <w:tcPr>
            <w:tcW w:w="589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67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474.98</w:t>
            </w:r>
          </w:p>
        </w:tc>
        <w:tc>
          <w:tcPr>
            <w:tcW w:w="157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388.80</w:t>
            </w:r>
          </w:p>
        </w:tc>
        <w:tc>
          <w:tcPr>
            <w:tcW w:w="142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86.18</w:t>
            </w:r>
          </w:p>
        </w:tc>
        <w:tc>
          <w:tcPr>
            <w:tcW w:w="13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3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c>
          <w:tcPr>
            <w:tcW w:w="173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208</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社会保障和就业支出</w:t>
            </w:r>
          </w:p>
        </w:tc>
        <w:tc>
          <w:tcPr>
            <w:tcW w:w="1672" w:type="dxa"/>
            <w:tcBorders>
              <w:top w:val="nil"/>
              <w:left w:val="nil"/>
              <w:bottom w:val="single" w:color="auto" w:sz="4" w:space="0"/>
              <w:right w:val="single" w:color="auto" w:sz="4" w:space="0"/>
            </w:tcBorders>
            <w:shd w:val="clear" w:color="000000" w:fill="FFFFFF"/>
            <w:noWrap/>
          </w:tcPr>
          <w:p>
            <w:pPr>
              <w:jc w:val="center"/>
            </w:pPr>
            <w:r>
              <w:t>73.48</w:t>
            </w:r>
          </w:p>
        </w:tc>
        <w:tc>
          <w:tcPr>
            <w:tcW w:w="1575" w:type="dxa"/>
            <w:tcBorders>
              <w:top w:val="nil"/>
              <w:left w:val="nil"/>
              <w:bottom w:val="single" w:color="auto" w:sz="4" w:space="0"/>
              <w:right w:val="single" w:color="auto" w:sz="4" w:space="0"/>
            </w:tcBorders>
            <w:shd w:val="clear" w:color="000000" w:fill="FFFFFF"/>
            <w:noWrap/>
          </w:tcPr>
          <w:p>
            <w:pPr>
              <w:jc w:val="center"/>
            </w:pPr>
            <w:r>
              <w:t>73.48</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20805</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行政事业单位养老支出</w:t>
            </w:r>
          </w:p>
        </w:tc>
        <w:tc>
          <w:tcPr>
            <w:tcW w:w="1672" w:type="dxa"/>
            <w:tcBorders>
              <w:top w:val="nil"/>
              <w:left w:val="nil"/>
              <w:bottom w:val="single" w:color="auto" w:sz="4" w:space="0"/>
              <w:right w:val="single" w:color="auto" w:sz="4" w:space="0"/>
            </w:tcBorders>
            <w:shd w:val="clear" w:color="000000" w:fill="FFFFFF"/>
            <w:noWrap/>
          </w:tcPr>
          <w:p>
            <w:pPr>
              <w:jc w:val="center"/>
            </w:pPr>
            <w:r>
              <w:t>52.48</w:t>
            </w:r>
          </w:p>
        </w:tc>
        <w:tc>
          <w:tcPr>
            <w:tcW w:w="1575" w:type="dxa"/>
            <w:tcBorders>
              <w:top w:val="nil"/>
              <w:left w:val="nil"/>
              <w:bottom w:val="single" w:color="auto" w:sz="4" w:space="0"/>
              <w:right w:val="single" w:color="auto" w:sz="4" w:space="0"/>
            </w:tcBorders>
            <w:shd w:val="clear" w:color="000000" w:fill="FFFFFF"/>
            <w:noWrap/>
          </w:tcPr>
          <w:p>
            <w:pPr>
              <w:jc w:val="center"/>
            </w:pPr>
            <w:r>
              <w:t>52.48</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2080505</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机关事业单位基本养老保险缴费支出</w:t>
            </w:r>
          </w:p>
        </w:tc>
        <w:tc>
          <w:tcPr>
            <w:tcW w:w="1672" w:type="dxa"/>
            <w:tcBorders>
              <w:top w:val="nil"/>
              <w:left w:val="nil"/>
              <w:bottom w:val="single" w:color="auto" w:sz="4" w:space="0"/>
              <w:right w:val="single" w:color="auto" w:sz="4" w:space="0"/>
            </w:tcBorders>
            <w:shd w:val="clear" w:color="000000" w:fill="FFFFFF"/>
            <w:noWrap/>
          </w:tcPr>
          <w:p>
            <w:pPr>
              <w:jc w:val="center"/>
            </w:pPr>
            <w:r>
              <w:t>52.48</w:t>
            </w:r>
          </w:p>
        </w:tc>
        <w:tc>
          <w:tcPr>
            <w:tcW w:w="1575" w:type="dxa"/>
            <w:tcBorders>
              <w:top w:val="nil"/>
              <w:left w:val="nil"/>
              <w:bottom w:val="single" w:color="auto" w:sz="4" w:space="0"/>
              <w:right w:val="single" w:color="auto" w:sz="4" w:space="0"/>
            </w:tcBorders>
            <w:shd w:val="clear" w:color="000000" w:fill="FFFFFF"/>
            <w:noWrap/>
          </w:tcPr>
          <w:p>
            <w:pPr>
              <w:jc w:val="center"/>
            </w:pPr>
            <w:r>
              <w:t>52.48</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20808</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抚恤</w:t>
            </w:r>
          </w:p>
        </w:tc>
        <w:tc>
          <w:tcPr>
            <w:tcW w:w="1672" w:type="dxa"/>
            <w:tcBorders>
              <w:top w:val="nil"/>
              <w:left w:val="nil"/>
              <w:bottom w:val="single" w:color="auto" w:sz="4" w:space="0"/>
              <w:right w:val="single" w:color="auto" w:sz="4" w:space="0"/>
            </w:tcBorders>
            <w:shd w:val="clear" w:color="000000" w:fill="FFFFFF"/>
            <w:noWrap/>
          </w:tcPr>
          <w:p>
            <w:pPr>
              <w:jc w:val="center"/>
            </w:pPr>
            <w:r>
              <w:t>21.00</w:t>
            </w:r>
          </w:p>
        </w:tc>
        <w:tc>
          <w:tcPr>
            <w:tcW w:w="1575" w:type="dxa"/>
            <w:tcBorders>
              <w:top w:val="nil"/>
              <w:left w:val="nil"/>
              <w:bottom w:val="single" w:color="auto" w:sz="4" w:space="0"/>
              <w:right w:val="single" w:color="auto" w:sz="4" w:space="0"/>
            </w:tcBorders>
            <w:shd w:val="clear" w:color="000000" w:fill="FFFFFF"/>
            <w:noWrap/>
          </w:tcPr>
          <w:p>
            <w:pPr>
              <w:jc w:val="center"/>
            </w:pPr>
            <w:r>
              <w:t>21.00</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2080801</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死亡抚恤</w:t>
            </w:r>
          </w:p>
        </w:tc>
        <w:tc>
          <w:tcPr>
            <w:tcW w:w="1672" w:type="dxa"/>
            <w:tcBorders>
              <w:top w:val="nil"/>
              <w:left w:val="nil"/>
              <w:bottom w:val="single" w:color="auto" w:sz="4" w:space="0"/>
              <w:right w:val="single" w:color="auto" w:sz="4" w:space="0"/>
            </w:tcBorders>
            <w:shd w:val="clear" w:color="000000" w:fill="FFFFFF"/>
            <w:noWrap/>
          </w:tcPr>
          <w:p>
            <w:pPr>
              <w:jc w:val="center"/>
            </w:pPr>
            <w:r>
              <w:t>21.00</w:t>
            </w:r>
          </w:p>
        </w:tc>
        <w:tc>
          <w:tcPr>
            <w:tcW w:w="1575" w:type="dxa"/>
            <w:tcBorders>
              <w:top w:val="nil"/>
              <w:left w:val="nil"/>
              <w:bottom w:val="single" w:color="auto" w:sz="4" w:space="0"/>
              <w:right w:val="single" w:color="auto" w:sz="4" w:space="0"/>
            </w:tcBorders>
            <w:shd w:val="clear" w:color="000000" w:fill="FFFFFF"/>
            <w:noWrap/>
          </w:tcPr>
          <w:p>
            <w:pPr>
              <w:jc w:val="center"/>
            </w:pPr>
            <w:r>
              <w:t>21.00</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农林水支出</w:t>
            </w:r>
          </w:p>
        </w:tc>
        <w:tc>
          <w:tcPr>
            <w:tcW w:w="1672" w:type="dxa"/>
            <w:tcBorders>
              <w:top w:val="nil"/>
              <w:left w:val="nil"/>
              <w:bottom w:val="single" w:color="auto" w:sz="4" w:space="0"/>
              <w:right w:val="single" w:color="auto" w:sz="4" w:space="0"/>
            </w:tcBorders>
            <w:shd w:val="clear" w:color="000000" w:fill="FFFFFF"/>
            <w:noWrap/>
          </w:tcPr>
          <w:p>
            <w:pPr>
              <w:jc w:val="center"/>
            </w:pPr>
            <w:r>
              <w:t>378.88</w:t>
            </w:r>
          </w:p>
        </w:tc>
        <w:tc>
          <w:tcPr>
            <w:tcW w:w="1575" w:type="dxa"/>
            <w:tcBorders>
              <w:top w:val="nil"/>
              <w:left w:val="nil"/>
              <w:bottom w:val="single" w:color="auto" w:sz="4" w:space="0"/>
              <w:right w:val="single" w:color="auto" w:sz="4" w:space="0"/>
            </w:tcBorders>
            <w:shd w:val="clear" w:color="000000" w:fill="FFFFFF"/>
            <w:noWrap/>
          </w:tcPr>
          <w:p>
            <w:pPr>
              <w:jc w:val="center"/>
            </w:pPr>
            <w:r>
              <w:t>292.70</w:t>
            </w:r>
          </w:p>
        </w:tc>
        <w:tc>
          <w:tcPr>
            <w:tcW w:w="1429" w:type="dxa"/>
            <w:tcBorders>
              <w:top w:val="nil"/>
              <w:left w:val="nil"/>
              <w:bottom w:val="single" w:color="auto" w:sz="4" w:space="0"/>
              <w:right w:val="single" w:color="auto" w:sz="4" w:space="0"/>
            </w:tcBorders>
            <w:shd w:val="clear" w:color="000000" w:fill="FFFFFF"/>
            <w:noWrap/>
          </w:tcPr>
          <w:p>
            <w:pPr>
              <w:jc w:val="center"/>
            </w:pPr>
            <w:r>
              <w:t>86.18</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21301</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农业农村</w:t>
            </w:r>
          </w:p>
        </w:tc>
        <w:tc>
          <w:tcPr>
            <w:tcW w:w="1672" w:type="dxa"/>
            <w:tcBorders>
              <w:top w:val="nil"/>
              <w:left w:val="nil"/>
              <w:bottom w:val="single" w:color="auto" w:sz="4" w:space="0"/>
              <w:right w:val="single" w:color="auto" w:sz="4" w:space="0"/>
            </w:tcBorders>
            <w:shd w:val="clear" w:color="000000" w:fill="FFFFFF"/>
            <w:noWrap/>
          </w:tcPr>
          <w:p>
            <w:pPr>
              <w:jc w:val="center"/>
            </w:pPr>
            <w:r>
              <w:t>378.88</w:t>
            </w:r>
          </w:p>
        </w:tc>
        <w:tc>
          <w:tcPr>
            <w:tcW w:w="1575" w:type="dxa"/>
            <w:tcBorders>
              <w:top w:val="nil"/>
              <w:left w:val="nil"/>
              <w:bottom w:val="single" w:color="auto" w:sz="4" w:space="0"/>
              <w:right w:val="single" w:color="auto" w:sz="4" w:space="0"/>
            </w:tcBorders>
            <w:shd w:val="clear" w:color="000000" w:fill="FFFFFF"/>
            <w:noWrap/>
          </w:tcPr>
          <w:p>
            <w:pPr>
              <w:jc w:val="center"/>
            </w:pPr>
            <w:r>
              <w:t>292.70</w:t>
            </w:r>
          </w:p>
        </w:tc>
        <w:tc>
          <w:tcPr>
            <w:tcW w:w="1429" w:type="dxa"/>
            <w:tcBorders>
              <w:top w:val="nil"/>
              <w:left w:val="nil"/>
              <w:bottom w:val="single" w:color="auto" w:sz="4" w:space="0"/>
              <w:right w:val="single" w:color="auto" w:sz="4" w:space="0"/>
            </w:tcBorders>
            <w:shd w:val="clear" w:color="000000" w:fill="FFFFFF"/>
            <w:noWrap/>
          </w:tcPr>
          <w:p>
            <w:pPr>
              <w:jc w:val="center"/>
            </w:pPr>
            <w:r>
              <w:t>86.18</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2130101</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行政运行</w:t>
            </w:r>
          </w:p>
        </w:tc>
        <w:tc>
          <w:tcPr>
            <w:tcW w:w="1672" w:type="dxa"/>
            <w:tcBorders>
              <w:top w:val="nil"/>
              <w:left w:val="nil"/>
              <w:bottom w:val="single" w:color="auto" w:sz="4" w:space="0"/>
              <w:right w:val="single" w:color="auto" w:sz="4" w:space="0"/>
            </w:tcBorders>
            <w:shd w:val="clear" w:color="000000" w:fill="FFFFFF"/>
            <w:noWrap/>
          </w:tcPr>
          <w:p>
            <w:pPr>
              <w:jc w:val="center"/>
            </w:pPr>
            <w:r>
              <w:t>17.40</w:t>
            </w:r>
          </w:p>
        </w:tc>
        <w:tc>
          <w:tcPr>
            <w:tcW w:w="1575" w:type="dxa"/>
            <w:tcBorders>
              <w:top w:val="nil"/>
              <w:left w:val="nil"/>
              <w:bottom w:val="single" w:color="auto" w:sz="4" w:space="0"/>
              <w:right w:val="single" w:color="auto" w:sz="4" w:space="0"/>
            </w:tcBorders>
            <w:shd w:val="clear" w:color="000000" w:fill="FFFFFF"/>
            <w:noWrap/>
          </w:tcPr>
          <w:p>
            <w:pPr>
              <w:jc w:val="center"/>
            </w:pPr>
            <w:r>
              <w:t>17.40</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2130104</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事业运行</w:t>
            </w:r>
          </w:p>
        </w:tc>
        <w:tc>
          <w:tcPr>
            <w:tcW w:w="1672" w:type="dxa"/>
            <w:tcBorders>
              <w:top w:val="nil"/>
              <w:left w:val="nil"/>
              <w:bottom w:val="single" w:color="auto" w:sz="4" w:space="0"/>
              <w:right w:val="single" w:color="auto" w:sz="4" w:space="0"/>
            </w:tcBorders>
            <w:shd w:val="clear" w:color="000000" w:fill="FFFFFF"/>
            <w:noWrap/>
          </w:tcPr>
          <w:p>
            <w:pPr>
              <w:jc w:val="center"/>
            </w:pPr>
            <w:r>
              <w:t>275.30</w:t>
            </w:r>
          </w:p>
        </w:tc>
        <w:tc>
          <w:tcPr>
            <w:tcW w:w="1575" w:type="dxa"/>
            <w:tcBorders>
              <w:top w:val="nil"/>
              <w:left w:val="nil"/>
              <w:bottom w:val="single" w:color="auto" w:sz="4" w:space="0"/>
              <w:right w:val="single" w:color="auto" w:sz="4" w:space="0"/>
            </w:tcBorders>
            <w:shd w:val="clear" w:color="000000" w:fill="FFFFFF"/>
            <w:noWrap/>
          </w:tcPr>
          <w:p>
            <w:pPr>
              <w:jc w:val="center"/>
            </w:pPr>
            <w:r>
              <w:t>275.30</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2130109</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农产品质量安全</w:t>
            </w:r>
          </w:p>
        </w:tc>
        <w:tc>
          <w:tcPr>
            <w:tcW w:w="1672" w:type="dxa"/>
            <w:tcBorders>
              <w:top w:val="nil"/>
              <w:left w:val="nil"/>
              <w:bottom w:val="single" w:color="auto" w:sz="4" w:space="0"/>
              <w:right w:val="single" w:color="auto" w:sz="4" w:space="0"/>
            </w:tcBorders>
            <w:shd w:val="clear" w:color="000000" w:fill="FFFFFF"/>
            <w:noWrap/>
          </w:tcPr>
          <w:p>
            <w:pPr>
              <w:jc w:val="center"/>
            </w:pPr>
            <w:r>
              <w:t>9.24</w:t>
            </w:r>
          </w:p>
        </w:tc>
        <w:tc>
          <w:tcPr>
            <w:tcW w:w="1575" w:type="dxa"/>
            <w:tcBorders>
              <w:top w:val="nil"/>
              <w:left w:val="nil"/>
              <w:bottom w:val="single" w:color="auto" w:sz="4" w:space="0"/>
              <w:right w:val="single" w:color="auto" w:sz="4" w:space="0"/>
            </w:tcBorders>
            <w:shd w:val="clear" w:color="000000" w:fill="FFFFFF"/>
            <w:noWrap/>
          </w:tcPr>
          <w:p>
            <w:pPr>
              <w:jc w:val="center"/>
            </w:pPr>
            <w:r>
              <w:t>0.00</w:t>
            </w:r>
          </w:p>
        </w:tc>
        <w:tc>
          <w:tcPr>
            <w:tcW w:w="1429" w:type="dxa"/>
            <w:tcBorders>
              <w:top w:val="nil"/>
              <w:left w:val="nil"/>
              <w:bottom w:val="single" w:color="auto" w:sz="4" w:space="0"/>
              <w:right w:val="single" w:color="auto" w:sz="4" w:space="0"/>
            </w:tcBorders>
            <w:shd w:val="clear" w:color="000000" w:fill="FFFFFF"/>
            <w:noWrap/>
          </w:tcPr>
          <w:p>
            <w:pPr>
              <w:jc w:val="center"/>
            </w:pPr>
            <w:r>
              <w:t>9.24</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2130122</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农业生产发展</w:t>
            </w:r>
          </w:p>
        </w:tc>
        <w:tc>
          <w:tcPr>
            <w:tcW w:w="1672" w:type="dxa"/>
            <w:tcBorders>
              <w:top w:val="nil"/>
              <w:left w:val="nil"/>
              <w:bottom w:val="single" w:color="auto" w:sz="4" w:space="0"/>
              <w:right w:val="single" w:color="auto" w:sz="4" w:space="0"/>
            </w:tcBorders>
            <w:shd w:val="clear" w:color="000000" w:fill="FFFFFF"/>
            <w:noWrap/>
          </w:tcPr>
          <w:p>
            <w:pPr>
              <w:jc w:val="center"/>
            </w:pPr>
            <w:r>
              <w:t>76.94</w:t>
            </w:r>
          </w:p>
        </w:tc>
        <w:tc>
          <w:tcPr>
            <w:tcW w:w="1575" w:type="dxa"/>
            <w:tcBorders>
              <w:top w:val="nil"/>
              <w:left w:val="nil"/>
              <w:bottom w:val="single" w:color="auto" w:sz="4" w:space="0"/>
              <w:right w:val="single" w:color="auto" w:sz="4" w:space="0"/>
            </w:tcBorders>
            <w:shd w:val="clear" w:color="000000" w:fill="FFFFFF"/>
            <w:noWrap/>
          </w:tcPr>
          <w:p>
            <w:pPr>
              <w:jc w:val="center"/>
            </w:pPr>
            <w:r>
              <w:t>0.00</w:t>
            </w:r>
          </w:p>
        </w:tc>
        <w:tc>
          <w:tcPr>
            <w:tcW w:w="1429" w:type="dxa"/>
            <w:tcBorders>
              <w:top w:val="nil"/>
              <w:left w:val="nil"/>
              <w:bottom w:val="single" w:color="auto" w:sz="4" w:space="0"/>
              <w:right w:val="single" w:color="auto" w:sz="4" w:space="0"/>
            </w:tcBorders>
            <w:shd w:val="clear" w:color="000000" w:fill="FFFFFF"/>
            <w:noWrap/>
          </w:tcPr>
          <w:p>
            <w:pPr>
              <w:jc w:val="center"/>
            </w:pPr>
            <w:r>
              <w:t>76.94</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221</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住房保障支出</w:t>
            </w:r>
          </w:p>
        </w:tc>
        <w:tc>
          <w:tcPr>
            <w:tcW w:w="1672" w:type="dxa"/>
            <w:tcBorders>
              <w:top w:val="nil"/>
              <w:left w:val="nil"/>
              <w:bottom w:val="single" w:color="auto" w:sz="4" w:space="0"/>
              <w:right w:val="single" w:color="auto" w:sz="4" w:space="0"/>
            </w:tcBorders>
            <w:shd w:val="clear" w:color="000000" w:fill="FFFFFF"/>
            <w:noWrap/>
          </w:tcPr>
          <w:p>
            <w:pPr>
              <w:jc w:val="center"/>
            </w:pPr>
            <w:r>
              <w:t>22.62</w:t>
            </w:r>
          </w:p>
        </w:tc>
        <w:tc>
          <w:tcPr>
            <w:tcW w:w="1575" w:type="dxa"/>
            <w:tcBorders>
              <w:top w:val="nil"/>
              <w:left w:val="nil"/>
              <w:bottom w:val="single" w:color="auto" w:sz="4" w:space="0"/>
              <w:right w:val="single" w:color="auto" w:sz="4" w:space="0"/>
            </w:tcBorders>
            <w:shd w:val="clear" w:color="000000" w:fill="FFFFFF"/>
            <w:noWrap/>
          </w:tcPr>
          <w:p>
            <w:pPr>
              <w:jc w:val="center"/>
            </w:pPr>
            <w:r>
              <w:t>22.62</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22102</w:t>
            </w:r>
          </w:p>
        </w:tc>
        <w:tc>
          <w:tcPr>
            <w:tcW w:w="4913" w:type="dxa"/>
            <w:tcBorders>
              <w:top w:val="nil"/>
              <w:left w:val="nil"/>
              <w:bottom w:val="single" w:color="auto" w:sz="4" w:space="0"/>
              <w:right w:val="single" w:color="auto" w:sz="4" w:space="0"/>
            </w:tcBorders>
            <w:shd w:val="clear" w:color="000000" w:fill="FFFFFF"/>
            <w:noWrap/>
          </w:tcPr>
          <w:p>
            <w:pPr>
              <w:rPr>
                <w:rFonts w:hint="eastAsia"/>
              </w:rPr>
            </w:pPr>
            <w:r>
              <w:rPr>
                <w:rFonts w:hint="eastAsia"/>
              </w:rPr>
              <w:t>住房改革支出</w:t>
            </w:r>
          </w:p>
        </w:tc>
        <w:tc>
          <w:tcPr>
            <w:tcW w:w="1672" w:type="dxa"/>
            <w:tcBorders>
              <w:top w:val="nil"/>
              <w:left w:val="nil"/>
              <w:bottom w:val="single" w:color="auto" w:sz="4" w:space="0"/>
              <w:right w:val="single" w:color="auto" w:sz="4" w:space="0"/>
            </w:tcBorders>
            <w:shd w:val="clear" w:color="000000" w:fill="FFFFFF"/>
            <w:noWrap/>
          </w:tcPr>
          <w:p>
            <w:pPr>
              <w:jc w:val="center"/>
            </w:pPr>
            <w:r>
              <w:t>22.62</w:t>
            </w:r>
          </w:p>
        </w:tc>
        <w:tc>
          <w:tcPr>
            <w:tcW w:w="1575" w:type="dxa"/>
            <w:tcBorders>
              <w:top w:val="nil"/>
              <w:left w:val="nil"/>
              <w:bottom w:val="single" w:color="auto" w:sz="4" w:space="0"/>
              <w:right w:val="single" w:color="auto" w:sz="4" w:space="0"/>
            </w:tcBorders>
            <w:shd w:val="clear" w:color="000000" w:fill="FFFFFF"/>
            <w:noWrap/>
          </w:tcPr>
          <w:p>
            <w:pPr>
              <w:jc w:val="center"/>
            </w:pPr>
            <w:r>
              <w:t>22.62</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986" w:type="dxa"/>
            <w:gridSpan w:val="3"/>
            <w:tcBorders>
              <w:top w:val="single" w:color="auto" w:sz="4" w:space="0"/>
              <w:left w:val="single" w:color="auto" w:sz="4" w:space="0"/>
              <w:bottom w:val="single" w:color="auto" w:sz="4" w:space="0"/>
              <w:right w:val="single" w:color="auto" w:sz="4" w:space="0"/>
            </w:tcBorders>
            <w:shd w:val="clear" w:color="000000" w:fill="FFFFFF"/>
            <w:noWrap/>
          </w:tcPr>
          <w:p>
            <w:r>
              <w:t>2210201</w:t>
            </w:r>
          </w:p>
        </w:tc>
        <w:tc>
          <w:tcPr>
            <w:tcW w:w="4913" w:type="dxa"/>
            <w:tcBorders>
              <w:top w:val="nil"/>
              <w:left w:val="nil"/>
              <w:bottom w:val="single" w:color="auto" w:sz="4" w:space="0"/>
              <w:right w:val="single" w:color="auto" w:sz="4" w:space="0"/>
            </w:tcBorders>
            <w:shd w:val="clear" w:color="000000" w:fill="FFFFFF"/>
            <w:noWrap/>
          </w:tcPr>
          <w:p>
            <w:r>
              <w:rPr>
                <w:rFonts w:hint="eastAsia"/>
              </w:rPr>
              <w:t>住房公积金</w:t>
            </w:r>
          </w:p>
        </w:tc>
        <w:tc>
          <w:tcPr>
            <w:tcW w:w="1672" w:type="dxa"/>
            <w:tcBorders>
              <w:top w:val="nil"/>
              <w:left w:val="nil"/>
              <w:bottom w:val="single" w:color="auto" w:sz="4" w:space="0"/>
              <w:right w:val="single" w:color="auto" w:sz="4" w:space="0"/>
            </w:tcBorders>
            <w:shd w:val="clear" w:color="000000" w:fill="FFFFFF"/>
            <w:noWrap/>
          </w:tcPr>
          <w:p>
            <w:pPr>
              <w:jc w:val="center"/>
            </w:pPr>
            <w:r>
              <w:t>22.62</w:t>
            </w:r>
          </w:p>
        </w:tc>
        <w:tc>
          <w:tcPr>
            <w:tcW w:w="1575" w:type="dxa"/>
            <w:tcBorders>
              <w:top w:val="nil"/>
              <w:left w:val="nil"/>
              <w:bottom w:val="single" w:color="auto" w:sz="4" w:space="0"/>
              <w:right w:val="single" w:color="auto" w:sz="4" w:space="0"/>
            </w:tcBorders>
            <w:shd w:val="clear" w:color="000000" w:fill="FFFFFF"/>
            <w:noWrap/>
          </w:tcPr>
          <w:p>
            <w:pPr>
              <w:jc w:val="center"/>
            </w:pPr>
            <w:r>
              <w:t>22.62</w:t>
            </w:r>
          </w:p>
        </w:tc>
        <w:tc>
          <w:tcPr>
            <w:tcW w:w="1429" w:type="dxa"/>
            <w:tcBorders>
              <w:top w:val="nil"/>
              <w:left w:val="nil"/>
              <w:bottom w:val="single" w:color="auto" w:sz="4" w:space="0"/>
              <w:right w:val="single" w:color="auto" w:sz="4" w:space="0"/>
            </w:tcBorders>
            <w:shd w:val="clear" w:color="000000" w:fill="FFFFFF"/>
            <w:noWrap/>
          </w:tcPr>
          <w:p>
            <w:pPr>
              <w:jc w:val="center"/>
            </w:pPr>
            <w:r>
              <w:t>0.00</w:t>
            </w:r>
          </w:p>
        </w:tc>
        <w:tc>
          <w:tcPr>
            <w:tcW w:w="1380" w:type="dxa"/>
            <w:tcBorders>
              <w:top w:val="nil"/>
              <w:left w:val="nil"/>
              <w:bottom w:val="single" w:color="auto" w:sz="4" w:space="0"/>
              <w:right w:val="single" w:color="auto" w:sz="4" w:space="0"/>
            </w:tcBorders>
            <w:shd w:val="clear" w:color="000000" w:fill="FFFFFF"/>
            <w:noWrap/>
          </w:tcPr>
          <w:p>
            <w:pPr>
              <w:jc w:val="center"/>
            </w:pPr>
            <w:r>
              <w:t>0.00</w:t>
            </w:r>
          </w:p>
        </w:tc>
        <w:tc>
          <w:tcPr>
            <w:tcW w:w="1352" w:type="dxa"/>
            <w:tcBorders>
              <w:top w:val="nil"/>
              <w:left w:val="nil"/>
              <w:bottom w:val="single" w:color="auto" w:sz="4" w:space="0"/>
              <w:right w:val="single" w:color="auto" w:sz="4" w:space="0"/>
            </w:tcBorders>
            <w:shd w:val="clear" w:color="000000" w:fill="FFFFFF"/>
            <w:noWrap/>
          </w:tcPr>
          <w:p>
            <w:pPr>
              <w:jc w:val="center"/>
            </w:pPr>
            <w:r>
              <w:t>0.00</w:t>
            </w:r>
          </w:p>
        </w:tc>
        <w:tc>
          <w:tcPr>
            <w:tcW w:w="1734" w:type="dxa"/>
            <w:tcBorders>
              <w:top w:val="nil"/>
              <w:left w:val="nil"/>
              <w:bottom w:val="single" w:color="auto" w:sz="4" w:space="0"/>
              <w:right w:val="single" w:color="auto" w:sz="4" w:space="0"/>
            </w:tcBorders>
            <w:shd w:val="clear" w:color="000000" w:fill="FFFFFF"/>
            <w:noWrap/>
          </w:tcPr>
          <w:p>
            <w:pPr>
              <w:jc w:val="center"/>
            </w:pPr>
            <w:r>
              <w:t>0.00</w:t>
            </w:r>
          </w:p>
        </w:tc>
      </w:tr>
      <w:tr>
        <w:tblPrEx>
          <w:tblLayout w:type="fixed"/>
          <w:tblCellMar>
            <w:top w:w="0" w:type="dxa"/>
            <w:left w:w="108" w:type="dxa"/>
            <w:bottom w:w="0" w:type="dxa"/>
            <w:right w:w="108" w:type="dxa"/>
          </w:tblCellMar>
        </w:tblPrEx>
        <w:trPr>
          <w:trHeight w:val="300" w:hRule="atLeast"/>
        </w:trPr>
        <w:tc>
          <w:tcPr>
            <w:tcW w:w="15041" w:type="dxa"/>
            <w:gridSpan w:val="10"/>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注：本表反映部门本年度各项支出情况。</w:t>
            </w:r>
          </w:p>
        </w:tc>
      </w:tr>
    </w:tbl>
    <w:p>
      <w:pPr>
        <w:widowControl/>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br w:type="page"/>
      </w:r>
    </w:p>
    <w:tbl>
      <w:tblPr>
        <w:tblStyle w:val="8"/>
        <w:tblW w:w="15239" w:type="dxa"/>
        <w:tblInd w:w="93" w:type="dxa"/>
        <w:tblLayout w:type="fixed"/>
        <w:tblCellMar>
          <w:top w:w="0" w:type="dxa"/>
          <w:left w:w="108" w:type="dxa"/>
          <w:bottom w:w="0" w:type="dxa"/>
          <w:right w:w="108" w:type="dxa"/>
        </w:tblCellMar>
      </w:tblPr>
      <w:tblGrid>
        <w:gridCol w:w="3877"/>
        <w:gridCol w:w="503"/>
        <w:gridCol w:w="1164"/>
        <w:gridCol w:w="4356"/>
        <w:gridCol w:w="503"/>
        <w:gridCol w:w="876"/>
        <w:gridCol w:w="1243"/>
        <w:gridCol w:w="1098"/>
        <w:gridCol w:w="1619"/>
      </w:tblGrid>
      <w:tr>
        <w:tblPrEx>
          <w:tblLayout w:type="fixed"/>
          <w:tblCellMar>
            <w:top w:w="0" w:type="dxa"/>
            <w:left w:w="108" w:type="dxa"/>
            <w:bottom w:w="0" w:type="dxa"/>
            <w:right w:w="108" w:type="dxa"/>
          </w:tblCellMar>
        </w:tblPrEx>
        <w:trPr>
          <w:trHeight w:val="435" w:hRule="atLeast"/>
        </w:trPr>
        <w:tc>
          <w:tcPr>
            <w:tcW w:w="15239"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270" w:hRule="atLeast"/>
        </w:trPr>
        <w:tc>
          <w:tcPr>
            <w:tcW w:w="3877"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164"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87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4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9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61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公开04表</w:t>
            </w:r>
          </w:p>
        </w:tc>
      </w:tr>
      <w:tr>
        <w:tblPrEx>
          <w:tblLayout w:type="fixed"/>
          <w:tblCellMar>
            <w:top w:w="0" w:type="dxa"/>
            <w:left w:w="108" w:type="dxa"/>
            <w:bottom w:w="0" w:type="dxa"/>
            <w:right w:w="108" w:type="dxa"/>
          </w:tblCellMar>
        </w:tblPrEx>
        <w:trPr>
          <w:trHeight w:val="270" w:hRule="atLeast"/>
        </w:trPr>
        <w:tc>
          <w:tcPr>
            <w:tcW w:w="3877"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部门：湖南省种子管理服务站</w:t>
            </w:r>
          </w:p>
        </w:tc>
        <w:tc>
          <w:tcPr>
            <w:tcW w:w="50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164"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876"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43"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98"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61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单位：万元</w:t>
            </w:r>
          </w:p>
        </w:tc>
      </w:tr>
      <w:tr>
        <w:tblPrEx>
          <w:tblLayout w:type="fixed"/>
          <w:tblCellMar>
            <w:top w:w="0" w:type="dxa"/>
            <w:left w:w="108" w:type="dxa"/>
            <w:bottom w:w="0" w:type="dxa"/>
            <w:right w:w="108" w:type="dxa"/>
          </w:tblCellMar>
        </w:tblPrEx>
        <w:trPr>
          <w:trHeight w:val="300" w:hRule="atLeast"/>
        </w:trPr>
        <w:tc>
          <w:tcPr>
            <w:tcW w:w="5544"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收     入</w:t>
            </w:r>
          </w:p>
        </w:tc>
        <w:tc>
          <w:tcPr>
            <w:tcW w:w="9695"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支     出</w:t>
            </w:r>
          </w:p>
        </w:tc>
      </w:tr>
      <w:tr>
        <w:tblPrEx>
          <w:tblLayout w:type="fixed"/>
          <w:tblCellMar>
            <w:top w:w="0" w:type="dxa"/>
            <w:left w:w="108" w:type="dxa"/>
            <w:bottom w:w="0" w:type="dxa"/>
            <w:right w:w="108" w:type="dxa"/>
          </w:tblCellMar>
        </w:tblPrEx>
        <w:trPr>
          <w:trHeight w:val="312" w:hRule="atLeast"/>
        </w:trPr>
        <w:tc>
          <w:tcPr>
            <w:tcW w:w="387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w:t>
            </w:r>
          </w:p>
        </w:tc>
        <w:tc>
          <w:tcPr>
            <w:tcW w:w="50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行次</w:t>
            </w:r>
          </w:p>
        </w:tc>
        <w:tc>
          <w:tcPr>
            <w:tcW w:w="116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金额</w:t>
            </w:r>
          </w:p>
        </w:tc>
        <w:tc>
          <w:tcPr>
            <w:tcW w:w="435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项目</w:t>
            </w:r>
          </w:p>
        </w:tc>
        <w:tc>
          <w:tcPr>
            <w:tcW w:w="50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行次</w:t>
            </w:r>
          </w:p>
        </w:tc>
        <w:tc>
          <w:tcPr>
            <w:tcW w:w="876" w:type="dxa"/>
            <w:vMerge w:val="restar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合计</w:t>
            </w:r>
          </w:p>
        </w:tc>
        <w:tc>
          <w:tcPr>
            <w:tcW w:w="124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一般公共预算财政拨款</w:t>
            </w:r>
          </w:p>
        </w:tc>
        <w:tc>
          <w:tcPr>
            <w:tcW w:w="109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政府性基金预算财政拨款</w:t>
            </w:r>
          </w:p>
        </w:tc>
        <w:tc>
          <w:tcPr>
            <w:tcW w:w="16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国有资本经营预算财政拨款</w:t>
            </w:r>
          </w:p>
        </w:tc>
      </w:tr>
      <w:tr>
        <w:tblPrEx>
          <w:tblLayout w:type="fixed"/>
          <w:tblCellMar>
            <w:top w:w="0" w:type="dxa"/>
            <w:left w:w="108" w:type="dxa"/>
            <w:bottom w:w="0" w:type="dxa"/>
            <w:right w:w="108" w:type="dxa"/>
          </w:tblCellMar>
        </w:tblPrEx>
        <w:trPr>
          <w:trHeight w:val="600" w:hRule="atLeast"/>
        </w:trPr>
        <w:tc>
          <w:tcPr>
            <w:tcW w:w="38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1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43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50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24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0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6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栏次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栏次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571.83</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33</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34</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35</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36</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37</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38</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七、文化旅游体育与传媒支出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39</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八、社会保障和就业支出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40</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73.48</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73.48</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九、卫生健康支出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41</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十、节能环保支出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42</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十一、城乡社区支出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43</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十二、农林水支出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44</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378.88</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378.88</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十三、交通运输支出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45</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十四、资源勘探工业信息等支出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46</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十五、商业服务业等支出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47</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十六、金融支出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48</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十七、援助其他地区支出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49</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十八、自然资源海洋气象等支出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50</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十九、住房保障支出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51</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22.62</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22.62</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二十、粮油物资储备支出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52</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二十一、国有资本经营预算支出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53</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二十二、灾害防治及应急管理支出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54</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二十三、其他支出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55</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二十四、债务还本支出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56</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二十五、债务付息支出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57</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二十六、抗疫特别国债安排的支出</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58</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571.83</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59</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474.98</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474.98</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年初财政拨款结转和结余</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17.46</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年末财政拨款结转和结余</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60</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114.32</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114.32</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29</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17.46</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61</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30</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62</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31</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63</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Layout w:type="fixed"/>
          <w:tblCellMar>
            <w:top w:w="0" w:type="dxa"/>
            <w:left w:w="108" w:type="dxa"/>
            <w:bottom w:w="0" w:type="dxa"/>
            <w:right w:w="108" w:type="dxa"/>
          </w:tblCellMar>
        </w:tblPrEx>
        <w:trPr>
          <w:trHeight w:val="300" w:hRule="atLeast"/>
        </w:trPr>
        <w:tc>
          <w:tcPr>
            <w:tcW w:w="3877"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32</w:t>
            </w:r>
          </w:p>
        </w:tc>
        <w:tc>
          <w:tcPr>
            <w:tcW w:w="116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589.29</w:t>
            </w:r>
          </w:p>
        </w:tc>
        <w:tc>
          <w:tcPr>
            <w:tcW w:w="435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50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64</w:t>
            </w:r>
          </w:p>
        </w:tc>
        <w:tc>
          <w:tcPr>
            <w:tcW w:w="8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589.29</w:t>
            </w:r>
          </w:p>
        </w:tc>
        <w:tc>
          <w:tcPr>
            <w:tcW w:w="1243"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589.29</w:t>
            </w:r>
          </w:p>
        </w:tc>
        <w:tc>
          <w:tcPr>
            <w:tcW w:w="109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c>
          <w:tcPr>
            <w:tcW w:w="1619"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0.00</w:t>
            </w:r>
          </w:p>
        </w:tc>
      </w:tr>
      <w:tr>
        <w:tblPrEx>
          <w:tblLayout w:type="fixed"/>
          <w:tblCellMar>
            <w:top w:w="0" w:type="dxa"/>
            <w:left w:w="108" w:type="dxa"/>
            <w:bottom w:w="0" w:type="dxa"/>
            <w:right w:w="108" w:type="dxa"/>
          </w:tblCellMar>
        </w:tblPrEx>
        <w:trPr>
          <w:trHeight w:val="300" w:hRule="atLeast"/>
        </w:trPr>
        <w:tc>
          <w:tcPr>
            <w:tcW w:w="13620" w:type="dxa"/>
            <w:gridSpan w:val="8"/>
            <w:tcBorders>
              <w:top w:val="nil"/>
              <w:left w:val="nil"/>
              <w:bottom w:val="nil"/>
              <w:right w:val="nil"/>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注：本表反映部门本年度一般公共预算财政拨款、政府性基金预算财政拨款和国有资本经营预算财政拨款的总收支和年末结转结余情况。</w:t>
            </w:r>
          </w:p>
        </w:tc>
        <w:tc>
          <w:tcPr>
            <w:tcW w:w="1619" w:type="dxa"/>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r>
    </w:tbl>
    <w:p>
      <w:pPr>
        <w:widowControl/>
        <w:rPr>
          <w:rFonts w:ascii="Times New Roman" w:hAnsi="Times New Roman" w:eastAsia="方正小标宋_GBK" w:cs="Times New Roman"/>
          <w:color w:val="000000"/>
          <w:kern w:val="0"/>
          <w:sz w:val="36"/>
          <w:szCs w:val="36"/>
        </w:rPr>
      </w:pPr>
    </w:p>
    <w:p>
      <w:pPr>
        <w:widowControl/>
        <w:jc w:val="left"/>
        <w:rPr>
          <w:rFonts w:ascii="Times New Roman" w:hAnsi="Times New Roman" w:eastAsia="方正小标宋_GBK" w:cs="Times New Roman"/>
          <w:color w:val="000000"/>
          <w:kern w:val="0"/>
          <w:sz w:val="36"/>
          <w:szCs w:val="36"/>
        </w:rPr>
      </w:pPr>
      <w:r>
        <w:rPr>
          <w:rFonts w:ascii="Times New Roman" w:hAnsi="Times New Roman" w:eastAsia="方正小标宋_GBK" w:cs="Times New Roman"/>
          <w:color w:val="000000"/>
          <w:kern w:val="0"/>
          <w:sz w:val="36"/>
          <w:szCs w:val="36"/>
        </w:rPr>
        <w:br w:type="page"/>
      </w:r>
    </w:p>
    <w:p>
      <w:pPr>
        <w:widowControl/>
        <w:jc w:val="center"/>
        <w:rPr>
          <w:rFonts w:hint="eastAsia"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湖南省种子管理服务站</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8"/>
        <w:tblW w:w="14219" w:type="dxa"/>
        <w:jc w:val="center"/>
        <w:tblInd w:w="0" w:type="dxa"/>
        <w:tblLayout w:type="fixed"/>
        <w:tblCellMar>
          <w:top w:w="0" w:type="dxa"/>
          <w:left w:w="108" w:type="dxa"/>
          <w:bottom w:w="0" w:type="dxa"/>
          <w:right w:w="108" w:type="dxa"/>
        </w:tblCellMar>
      </w:tblPr>
      <w:tblGrid>
        <w:gridCol w:w="1200"/>
        <w:gridCol w:w="3740"/>
        <w:gridCol w:w="2787"/>
        <w:gridCol w:w="3492"/>
        <w:gridCol w:w="3000"/>
      </w:tblGrid>
      <w:tr>
        <w:tblPrEx>
          <w:tblLayout w:type="fixed"/>
          <w:tblCellMar>
            <w:top w:w="0" w:type="dxa"/>
            <w:left w:w="108" w:type="dxa"/>
            <w:bottom w:w="0" w:type="dxa"/>
            <w:right w:w="108" w:type="dxa"/>
          </w:tblCellMar>
        </w:tblPrEx>
        <w:trPr>
          <w:trHeight w:val="405" w:hRule="atLeast"/>
          <w:jc w:val="center"/>
        </w:trPr>
        <w:tc>
          <w:tcPr>
            <w:tcW w:w="4940"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279"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78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74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787"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74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787"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94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78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94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合计</w:t>
            </w:r>
          </w:p>
        </w:tc>
        <w:tc>
          <w:tcPr>
            <w:tcW w:w="2787" w:type="dxa"/>
            <w:tcBorders>
              <w:top w:val="nil"/>
              <w:left w:val="nil"/>
              <w:bottom w:val="single" w:color="auto" w:sz="4" w:space="0"/>
              <w:right w:val="single" w:color="auto" w:sz="4" w:space="0"/>
            </w:tcBorders>
            <w:shd w:val="clear" w:color="auto" w:fill="auto"/>
          </w:tcPr>
          <w:p>
            <w:pPr>
              <w:jc w:val="center"/>
              <w:rPr>
                <w:b/>
              </w:rPr>
            </w:pPr>
            <w:r>
              <w:rPr>
                <w:b/>
              </w:rPr>
              <w:t>474.98</w:t>
            </w:r>
          </w:p>
        </w:tc>
        <w:tc>
          <w:tcPr>
            <w:tcW w:w="3492" w:type="dxa"/>
            <w:tcBorders>
              <w:top w:val="nil"/>
              <w:left w:val="nil"/>
              <w:bottom w:val="single" w:color="auto" w:sz="4" w:space="0"/>
              <w:right w:val="single" w:color="auto" w:sz="4" w:space="0"/>
            </w:tcBorders>
            <w:shd w:val="clear" w:color="auto" w:fill="auto"/>
          </w:tcPr>
          <w:p>
            <w:pPr>
              <w:jc w:val="center"/>
              <w:rPr>
                <w:b/>
              </w:rPr>
            </w:pPr>
            <w:r>
              <w:rPr>
                <w:b/>
              </w:rPr>
              <w:t>388.80</w:t>
            </w:r>
          </w:p>
        </w:tc>
        <w:tc>
          <w:tcPr>
            <w:tcW w:w="3000" w:type="dxa"/>
            <w:tcBorders>
              <w:top w:val="nil"/>
              <w:left w:val="nil"/>
              <w:bottom w:val="single" w:color="auto" w:sz="4" w:space="0"/>
              <w:right w:val="single" w:color="auto" w:sz="8" w:space="0"/>
            </w:tcBorders>
            <w:shd w:val="clear" w:color="auto" w:fill="auto"/>
          </w:tcPr>
          <w:p>
            <w:pPr>
              <w:jc w:val="center"/>
              <w:rPr>
                <w:b/>
              </w:rPr>
            </w:pPr>
            <w:r>
              <w:rPr>
                <w:b/>
              </w:rPr>
              <w:t>86.18</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208</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社会保障和就业支出</w:t>
            </w:r>
          </w:p>
        </w:tc>
        <w:tc>
          <w:tcPr>
            <w:tcW w:w="2787" w:type="dxa"/>
            <w:tcBorders>
              <w:top w:val="nil"/>
              <w:left w:val="nil"/>
              <w:bottom w:val="single" w:color="auto" w:sz="4" w:space="0"/>
              <w:right w:val="single" w:color="auto" w:sz="4" w:space="0"/>
            </w:tcBorders>
            <w:shd w:val="clear" w:color="auto" w:fill="auto"/>
          </w:tcPr>
          <w:p>
            <w:pPr>
              <w:jc w:val="center"/>
            </w:pPr>
            <w:r>
              <w:t>73.48</w:t>
            </w:r>
          </w:p>
        </w:tc>
        <w:tc>
          <w:tcPr>
            <w:tcW w:w="3492" w:type="dxa"/>
            <w:tcBorders>
              <w:top w:val="nil"/>
              <w:left w:val="nil"/>
              <w:bottom w:val="single" w:color="auto" w:sz="4" w:space="0"/>
              <w:right w:val="single" w:color="auto" w:sz="4" w:space="0"/>
            </w:tcBorders>
            <w:shd w:val="clear" w:color="auto" w:fill="auto"/>
          </w:tcPr>
          <w:p>
            <w:pPr>
              <w:jc w:val="center"/>
            </w:pPr>
            <w:r>
              <w:t>73.48</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20805</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行政事业单位养老支出</w:t>
            </w:r>
          </w:p>
        </w:tc>
        <w:tc>
          <w:tcPr>
            <w:tcW w:w="2787" w:type="dxa"/>
            <w:tcBorders>
              <w:top w:val="nil"/>
              <w:left w:val="nil"/>
              <w:bottom w:val="single" w:color="auto" w:sz="4" w:space="0"/>
              <w:right w:val="single" w:color="auto" w:sz="4" w:space="0"/>
            </w:tcBorders>
            <w:shd w:val="clear" w:color="auto" w:fill="auto"/>
          </w:tcPr>
          <w:p>
            <w:pPr>
              <w:jc w:val="center"/>
            </w:pPr>
            <w:r>
              <w:t>52.48</w:t>
            </w:r>
          </w:p>
        </w:tc>
        <w:tc>
          <w:tcPr>
            <w:tcW w:w="3492" w:type="dxa"/>
            <w:tcBorders>
              <w:top w:val="nil"/>
              <w:left w:val="nil"/>
              <w:bottom w:val="single" w:color="auto" w:sz="4" w:space="0"/>
              <w:right w:val="single" w:color="auto" w:sz="4" w:space="0"/>
            </w:tcBorders>
            <w:shd w:val="clear" w:color="auto" w:fill="auto"/>
          </w:tcPr>
          <w:p>
            <w:pPr>
              <w:jc w:val="center"/>
            </w:pPr>
            <w:r>
              <w:t>52.48</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2080505</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机关事业单位基本养老保险缴费支出</w:t>
            </w:r>
          </w:p>
        </w:tc>
        <w:tc>
          <w:tcPr>
            <w:tcW w:w="2787" w:type="dxa"/>
            <w:tcBorders>
              <w:top w:val="nil"/>
              <w:left w:val="nil"/>
              <w:bottom w:val="single" w:color="auto" w:sz="4" w:space="0"/>
              <w:right w:val="single" w:color="auto" w:sz="4" w:space="0"/>
            </w:tcBorders>
            <w:shd w:val="clear" w:color="auto" w:fill="auto"/>
          </w:tcPr>
          <w:p>
            <w:pPr>
              <w:jc w:val="center"/>
            </w:pPr>
            <w:r>
              <w:t>52.48</w:t>
            </w:r>
          </w:p>
        </w:tc>
        <w:tc>
          <w:tcPr>
            <w:tcW w:w="3492" w:type="dxa"/>
            <w:tcBorders>
              <w:top w:val="nil"/>
              <w:left w:val="nil"/>
              <w:bottom w:val="single" w:color="auto" w:sz="4" w:space="0"/>
              <w:right w:val="single" w:color="auto" w:sz="4" w:space="0"/>
            </w:tcBorders>
            <w:shd w:val="clear" w:color="auto" w:fill="auto"/>
          </w:tcPr>
          <w:p>
            <w:pPr>
              <w:jc w:val="center"/>
            </w:pPr>
            <w:r>
              <w:t>52.48</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20808</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抚恤</w:t>
            </w:r>
          </w:p>
        </w:tc>
        <w:tc>
          <w:tcPr>
            <w:tcW w:w="2787" w:type="dxa"/>
            <w:tcBorders>
              <w:top w:val="nil"/>
              <w:left w:val="nil"/>
              <w:bottom w:val="single" w:color="auto" w:sz="4" w:space="0"/>
              <w:right w:val="single" w:color="auto" w:sz="4" w:space="0"/>
            </w:tcBorders>
            <w:shd w:val="clear" w:color="auto" w:fill="auto"/>
          </w:tcPr>
          <w:p>
            <w:pPr>
              <w:jc w:val="center"/>
            </w:pPr>
            <w:r>
              <w:t>21.00</w:t>
            </w:r>
          </w:p>
        </w:tc>
        <w:tc>
          <w:tcPr>
            <w:tcW w:w="3492" w:type="dxa"/>
            <w:tcBorders>
              <w:top w:val="nil"/>
              <w:left w:val="nil"/>
              <w:bottom w:val="single" w:color="auto" w:sz="4" w:space="0"/>
              <w:right w:val="single" w:color="auto" w:sz="4" w:space="0"/>
            </w:tcBorders>
            <w:shd w:val="clear" w:color="auto" w:fill="auto"/>
          </w:tcPr>
          <w:p>
            <w:pPr>
              <w:jc w:val="center"/>
            </w:pPr>
            <w:r>
              <w:t>21.00</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2080801</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死亡抚恤</w:t>
            </w:r>
          </w:p>
        </w:tc>
        <w:tc>
          <w:tcPr>
            <w:tcW w:w="2787" w:type="dxa"/>
            <w:tcBorders>
              <w:top w:val="nil"/>
              <w:left w:val="nil"/>
              <w:bottom w:val="single" w:color="auto" w:sz="4" w:space="0"/>
              <w:right w:val="single" w:color="auto" w:sz="4" w:space="0"/>
            </w:tcBorders>
            <w:shd w:val="clear" w:color="auto" w:fill="auto"/>
          </w:tcPr>
          <w:p>
            <w:pPr>
              <w:jc w:val="center"/>
            </w:pPr>
            <w:r>
              <w:t>21.00</w:t>
            </w:r>
          </w:p>
        </w:tc>
        <w:tc>
          <w:tcPr>
            <w:tcW w:w="3492" w:type="dxa"/>
            <w:tcBorders>
              <w:top w:val="nil"/>
              <w:left w:val="nil"/>
              <w:bottom w:val="single" w:color="auto" w:sz="4" w:space="0"/>
              <w:right w:val="single" w:color="auto" w:sz="4" w:space="0"/>
            </w:tcBorders>
            <w:shd w:val="clear" w:color="auto" w:fill="auto"/>
          </w:tcPr>
          <w:p>
            <w:pPr>
              <w:jc w:val="center"/>
            </w:pPr>
            <w:r>
              <w:t>21.00</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农林水支出</w:t>
            </w:r>
          </w:p>
        </w:tc>
        <w:tc>
          <w:tcPr>
            <w:tcW w:w="2787" w:type="dxa"/>
            <w:tcBorders>
              <w:top w:val="nil"/>
              <w:left w:val="nil"/>
              <w:bottom w:val="single" w:color="auto" w:sz="4" w:space="0"/>
              <w:right w:val="single" w:color="auto" w:sz="4" w:space="0"/>
            </w:tcBorders>
            <w:shd w:val="clear" w:color="auto" w:fill="auto"/>
          </w:tcPr>
          <w:p>
            <w:pPr>
              <w:jc w:val="center"/>
            </w:pPr>
            <w:r>
              <w:t>378.88</w:t>
            </w:r>
          </w:p>
        </w:tc>
        <w:tc>
          <w:tcPr>
            <w:tcW w:w="3492" w:type="dxa"/>
            <w:tcBorders>
              <w:top w:val="nil"/>
              <w:left w:val="nil"/>
              <w:bottom w:val="single" w:color="auto" w:sz="4" w:space="0"/>
              <w:right w:val="single" w:color="auto" w:sz="4" w:space="0"/>
            </w:tcBorders>
            <w:shd w:val="clear" w:color="auto" w:fill="auto"/>
          </w:tcPr>
          <w:p>
            <w:pPr>
              <w:jc w:val="center"/>
            </w:pPr>
            <w:r>
              <w:t>292.70</w:t>
            </w:r>
          </w:p>
        </w:tc>
        <w:tc>
          <w:tcPr>
            <w:tcW w:w="3000" w:type="dxa"/>
            <w:tcBorders>
              <w:top w:val="nil"/>
              <w:left w:val="nil"/>
              <w:bottom w:val="single" w:color="auto" w:sz="4" w:space="0"/>
              <w:right w:val="single" w:color="auto" w:sz="8" w:space="0"/>
            </w:tcBorders>
            <w:shd w:val="clear" w:color="auto" w:fill="auto"/>
          </w:tcPr>
          <w:p>
            <w:pPr>
              <w:jc w:val="center"/>
            </w:pPr>
            <w:r>
              <w:t>86.18</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21301</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农业农村</w:t>
            </w:r>
          </w:p>
        </w:tc>
        <w:tc>
          <w:tcPr>
            <w:tcW w:w="2787" w:type="dxa"/>
            <w:tcBorders>
              <w:top w:val="nil"/>
              <w:left w:val="nil"/>
              <w:bottom w:val="single" w:color="auto" w:sz="4" w:space="0"/>
              <w:right w:val="single" w:color="auto" w:sz="4" w:space="0"/>
            </w:tcBorders>
            <w:shd w:val="clear" w:color="auto" w:fill="auto"/>
          </w:tcPr>
          <w:p>
            <w:pPr>
              <w:jc w:val="center"/>
            </w:pPr>
            <w:r>
              <w:t>378.88</w:t>
            </w:r>
          </w:p>
        </w:tc>
        <w:tc>
          <w:tcPr>
            <w:tcW w:w="3492" w:type="dxa"/>
            <w:tcBorders>
              <w:top w:val="nil"/>
              <w:left w:val="nil"/>
              <w:bottom w:val="single" w:color="auto" w:sz="4" w:space="0"/>
              <w:right w:val="single" w:color="auto" w:sz="4" w:space="0"/>
            </w:tcBorders>
            <w:shd w:val="clear" w:color="auto" w:fill="auto"/>
          </w:tcPr>
          <w:p>
            <w:pPr>
              <w:jc w:val="center"/>
            </w:pPr>
            <w:r>
              <w:t>292.70</w:t>
            </w:r>
          </w:p>
        </w:tc>
        <w:tc>
          <w:tcPr>
            <w:tcW w:w="3000" w:type="dxa"/>
            <w:tcBorders>
              <w:top w:val="nil"/>
              <w:left w:val="nil"/>
              <w:bottom w:val="single" w:color="auto" w:sz="4" w:space="0"/>
              <w:right w:val="single" w:color="auto" w:sz="8" w:space="0"/>
            </w:tcBorders>
            <w:shd w:val="clear" w:color="auto" w:fill="auto"/>
          </w:tcPr>
          <w:p>
            <w:pPr>
              <w:jc w:val="center"/>
            </w:pPr>
            <w:r>
              <w:t>86.18</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2130101</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行政运行</w:t>
            </w:r>
          </w:p>
        </w:tc>
        <w:tc>
          <w:tcPr>
            <w:tcW w:w="2787" w:type="dxa"/>
            <w:tcBorders>
              <w:top w:val="nil"/>
              <w:left w:val="nil"/>
              <w:bottom w:val="single" w:color="auto" w:sz="4" w:space="0"/>
              <w:right w:val="single" w:color="auto" w:sz="4" w:space="0"/>
            </w:tcBorders>
            <w:shd w:val="clear" w:color="auto" w:fill="auto"/>
          </w:tcPr>
          <w:p>
            <w:pPr>
              <w:jc w:val="center"/>
            </w:pPr>
            <w:r>
              <w:t>17.40</w:t>
            </w:r>
          </w:p>
        </w:tc>
        <w:tc>
          <w:tcPr>
            <w:tcW w:w="3492" w:type="dxa"/>
            <w:tcBorders>
              <w:top w:val="nil"/>
              <w:left w:val="nil"/>
              <w:bottom w:val="single" w:color="auto" w:sz="4" w:space="0"/>
              <w:right w:val="single" w:color="auto" w:sz="4" w:space="0"/>
            </w:tcBorders>
            <w:shd w:val="clear" w:color="auto" w:fill="auto"/>
          </w:tcPr>
          <w:p>
            <w:pPr>
              <w:jc w:val="center"/>
            </w:pPr>
            <w:r>
              <w:t>17.40</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2130104</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事业运行</w:t>
            </w:r>
          </w:p>
        </w:tc>
        <w:tc>
          <w:tcPr>
            <w:tcW w:w="2787" w:type="dxa"/>
            <w:tcBorders>
              <w:top w:val="nil"/>
              <w:left w:val="nil"/>
              <w:bottom w:val="single" w:color="auto" w:sz="4" w:space="0"/>
              <w:right w:val="single" w:color="auto" w:sz="4" w:space="0"/>
            </w:tcBorders>
            <w:shd w:val="clear" w:color="auto" w:fill="auto"/>
          </w:tcPr>
          <w:p>
            <w:pPr>
              <w:jc w:val="center"/>
            </w:pPr>
            <w:r>
              <w:t>275.30</w:t>
            </w:r>
          </w:p>
        </w:tc>
        <w:tc>
          <w:tcPr>
            <w:tcW w:w="3492" w:type="dxa"/>
            <w:tcBorders>
              <w:top w:val="nil"/>
              <w:left w:val="nil"/>
              <w:bottom w:val="single" w:color="auto" w:sz="4" w:space="0"/>
              <w:right w:val="single" w:color="auto" w:sz="4" w:space="0"/>
            </w:tcBorders>
            <w:shd w:val="clear" w:color="auto" w:fill="auto"/>
          </w:tcPr>
          <w:p>
            <w:pPr>
              <w:jc w:val="center"/>
            </w:pPr>
            <w:r>
              <w:t>275.30</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2130109</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农产品质量安全</w:t>
            </w:r>
          </w:p>
        </w:tc>
        <w:tc>
          <w:tcPr>
            <w:tcW w:w="2787" w:type="dxa"/>
            <w:tcBorders>
              <w:top w:val="nil"/>
              <w:left w:val="nil"/>
              <w:bottom w:val="single" w:color="auto" w:sz="4" w:space="0"/>
              <w:right w:val="single" w:color="auto" w:sz="4" w:space="0"/>
            </w:tcBorders>
            <w:shd w:val="clear" w:color="auto" w:fill="auto"/>
          </w:tcPr>
          <w:p>
            <w:pPr>
              <w:jc w:val="center"/>
            </w:pPr>
            <w:r>
              <w:t>9.24</w:t>
            </w:r>
          </w:p>
        </w:tc>
        <w:tc>
          <w:tcPr>
            <w:tcW w:w="3492" w:type="dxa"/>
            <w:tcBorders>
              <w:top w:val="nil"/>
              <w:left w:val="nil"/>
              <w:bottom w:val="single" w:color="auto" w:sz="4" w:space="0"/>
              <w:right w:val="single" w:color="auto" w:sz="4" w:space="0"/>
            </w:tcBorders>
            <w:shd w:val="clear" w:color="auto" w:fill="auto"/>
          </w:tcPr>
          <w:p>
            <w:pPr>
              <w:jc w:val="center"/>
            </w:pPr>
            <w:r>
              <w:t>0.00</w:t>
            </w:r>
          </w:p>
        </w:tc>
        <w:tc>
          <w:tcPr>
            <w:tcW w:w="3000" w:type="dxa"/>
            <w:tcBorders>
              <w:top w:val="nil"/>
              <w:left w:val="nil"/>
              <w:bottom w:val="single" w:color="auto" w:sz="4" w:space="0"/>
              <w:right w:val="single" w:color="auto" w:sz="8" w:space="0"/>
            </w:tcBorders>
            <w:shd w:val="clear" w:color="auto" w:fill="auto"/>
          </w:tcPr>
          <w:p>
            <w:pPr>
              <w:jc w:val="center"/>
            </w:pPr>
            <w:r>
              <w:t>9.24</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2130122</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农业生产发展</w:t>
            </w:r>
          </w:p>
        </w:tc>
        <w:tc>
          <w:tcPr>
            <w:tcW w:w="2787" w:type="dxa"/>
            <w:tcBorders>
              <w:top w:val="nil"/>
              <w:left w:val="nil"/>
              <w:bottom w:val="single" w:color="auto" w:sz="4" w:space="0"/>
              <w:right w:val="single" w:color="auto" w:sz="4" w:space="0"/>
            </w:tcBorders>
            <w:shd w:val="clear" w:color="auto" w:fill="auto"/>
          </w:tcPr>
          <w:p>
            <w:pPr>
              <w:jc w:val="center"/>
            </w:pPr>
            <w:r>
              <w:t>76.94</w:t>
            </w:r>
          </w:p>
        </w:tc>
        <w:tc>
          <w:tcPr>
            <w:tcW w:w="3492" w:type="dxa"/>
            <w:tcBorders>
              <w:top w:val="nil"/>
              <w:left w:val="nil"/>
              <w:bottom w:val="single" w:color="auto" w:sz="4" w:space="0"/>
              <w:right w:val="single" w:color="auto" w:sz="4" w:space="0"/>
            </w:tcBorders>
            <w:shd w:val="clear" w:color="auto" w:fill="auto"/>
          </w:tcPr>
          <w:p>
            <w:pPr>
              <w:jc w:val="center"/>
            </w:pPr>
            <w:r>
              <w:t>0.00</w:t>
            </w:r>
          </w:p>
        </w:tc>
        <w:tc>
          <w:tcPr>
            <w:tcW w:w="3000" w:type="dxa"/>
            <w:tcBorders>
              <w:top w:val="nil"/>
              <w:left w:val="nil"/>
              <w:bottom w:val="single" w:color="auto" w:sz="4" w:space="0"/>
              <w:right w:val="single" w:color="auto" w:sz="8" w:space="0"/>
            </w:tcBorders>
            <w:shd w:val="clear" w:color="auto" w:fill="auto"/>
          </w:tcPr>
          <w:p>
            <w:pPr>
              <w:jc w:val="center"/>
            </w:pPr>
            <w:r>
              <w:t>76.94</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221</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住房保障支出</w:t>
            </w:r>
          </w:p>
        </w:tc>
        <w:tc>
          <w:tcPr>
            <w:tcW w:w="2787" w:type="dxa"/>
            <w:tcBorders>
              <w:top w:val="nil"/>
              <w:left w:val="nil"/>
              <w:bottom w:val="single" w:color="auto" w:sz="4" w:space="0"/>
              <w:right w:val="single" w:color="auto" w:sz="4" w:space="0"/>
            </w:tcBorders>
            <w:shd w:val="clear" w:color="auto" w:fill="auto"/>
          </w:tcPr>
          <w:p>
            <w:pPr>
              <w:jc w:val="center"/>
            </w:pPr>
            <w:r>
              <w:t>22.62</w:t>
            </w:r>
          </w:p>
        </w:tc>
        <w:tc>
          <w:tcPr>
            <w:tcW w:w="3492" w:type="dxa"/>
            <w:tcBorders>
              <w:top w:val="nil"/>
              <w:left w:val="nil"/>
              <w:bottom w:val="single" w:color="auto" w:sz="4" w:space="0"/>
              <w:right w:val="single" w:color="auto" w:sz="4" w:space="0"/>
            </w:tcBorders>
            <w:shd w:val="clear" w:color="auto" w:fill="auto"/>
          </w:tcPr>
          <w:p>
            <w:pPr>
              <w:jc w:val="center"/>
            </w:pPr>
            <w:r>
              <w:t>22.62</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tcPr>
          <w:p>
            <w:r>
              <w:t>22102</w:t>
            </w:r>
          </w:p>
        </w:tc>
        <w:tc>
          <w:tcPr>
            <w:tcW w:w="3740" w:type="dxa"/>
            <w:tcBorders>
              <w:top w:val="nil"/>
              <w:left w:val="nil"/>
              <w:bottom w:val="single" w:color="auto" w:sz="4" w:space="0"/>
              <w:right w:val="single" w:color="auto" w:sz="4" w:space="0"/>
            </w:tcBorders>
            <w:shd w:val="clear" w:color="auto" w:fill="auto"/>
          </w:tcPr>
          <w:p>
            <w:pPr>
              <w:rPr>
                <w:rFonts w:hint="eastAsia"/>
              </w:rPr>
            </w:pPr>
            <w:r>
              <w:rPr>
                <w:rFonts w:hint="eastAsia"/>
              </w:rPr>
              <w:t>住房改革支出</w:t>
            </w:r>
          </w:p>
        </w:tc>
        <w:tc>
          <w:tcPr>
            <w:tcW w:w="2787" w:type="dxa"/>
            <w:tcBorders>
              <w:top w:val="nil"/>
              <w:left w:val="nil"/>
              <w:bottom w:val="single" w:color="auto" w:sz="4" w:space="0"/>
              <w:right w:val="single" w:color="auto" w:sz="4" w:space="0"/>
            </w:tcBorders>
            <w:shd w:val="clear" w:color="auto" w:fill="auto"/>
          </w:tcPr>
          <w:p>
            <w:pPr>
              <w:jc w:val="center"/>
            </w:pPr>
            <w:r>
              <w:t>22.62</w:t>
            </w:r>
          </w:p>
        </w:tc>
        <w:tc>
          <w:tcPr>
            <w:tcW w:w="3492" w:type="dxa"/>
            <w:tcBorders>
              <w:top w:val="nil"/>
              <w:left w:val="nil"/>
              <w:bottom w:val="single" w:color="auto" w:sz="4" w:space="0"/>
              <w:right w:val="single" w:color="auto" w:sz="4" w:space="0"/>
            </w:tcBorders>
            <w:shd w:val="clear" w:color="auto" w:fill="auto"/>
          </w:tcPr>
          <w:p>
            <w:pPr>
              <w:jc w:val="center"/>
            </w:pPr>
            <w:r>
              <w:t>22.62</w:t>
            </w:r>
          </w:p>
        </w:tc>
        <w:tc>
          <w:tcPr>
            <w:tcW w:w="3000" w:type="dxa"/>
            <w:tcBorders>
              <w:top w:val="nil"/>
              <w:left w:val="nil"/>
              <w:bottom w:val="single" w:color="auto" w:sz="4"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340"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tcPr>
          <w:p>
            <w:r>
              <w:t>2210201</w:t>
            </w:r>
          </w:p>
        </w:tc>
        <w:tc>
          <w:tcPr>
            <w:tcW w:w="3740" w:type="dxa"/>
            <w:tcBorders>
              <w:top w:val="single" w:color="auto" w:sz="4" w:space="0"/>
              <w:left w:val="nil"/>
              <w:bottom w:val="single" w:color="auto" w:sz="8" w:space="0"/>
              <w:right w:val="single" w:color="auto" w:sz="4" w:space="0"/>
            </w:tcBorders>
            <w:shd w:val="clear" w:color="auto" w:fill="auto"/>
          </w:tcPr>
          <w:p>
            <w:r>
              <w:rPr>
                <w:rFonts w:hint="eastAsia"/>
              </w:rPr>
              <w:t>住房公积金</w:t>
            </w:r>
          </w:p>
        </w:tc>
        <w:tc>
          <w:tcPr>
            <w:tcW w:w="2787" w:type="dxa"/>
            <w:tcBorders>
              <w:top w:val="single" w:color="auto" w:sz="4" w:space="0"/>
              <w:left w:val="nil"/>
              <w:bottom w:val="single" w:color="auto" w:sz="8" w:space="0"/>
              <w:right w:val="single" w:color="auto" w:sz="4" w:space="0"/>
            </w:tcBorders>
            <w:shd w:val="clear" w:color="auto" w:fill="auto"/>
          </w:tcPr>
          <w:p>
            <w:pPr>
              <w:jc w:val="center"/>
            </w:pPr>
            <w:r>
              <w:t>22.62</w:t>
            </w:r>
          </w:p>
        </w:tc>
        <w:tc>
          <w:tcPr>
            <w:tcW w:w="3492" w:type="dxa"/>
            <w:tcBorders>
              <w:top w:val="single" w:color="auto" w:sz="4" w:space="0"/>
              <w:left w:val="nil"/>
              <w:bottom w:val="single" w:color="auto" w:sz="8" w:space="0"/>
              <w:right w:val="single" w:color="auto" w:sz="4" w:space="0"/>
            </w:tcBorders>
            <w:shd w:val="clear" w:color="auto" w:fill="auto"/>
          </w:tcPr>
          <w:p>
            <w:pPr>
              <w:jc w:val="center"/>
            </w:pPr>
            <w:r>
              <w:t>22.62</w:t>
            </w:r>
          </w:p>
        </w:tc>
        <w:tc>
          <w:tcPr>
            <w:tcW w:w="3000" w:type="dxa"/>
            <w:tcBorders>
              <w:top w:val="single" w:color="auto" w:sz="4" w:space="0"/>
              <w:left w:val="nil"/>
              <w:bottom w:val="single" w:color="auto" w:sz="8" w:space="0"/>
              <w:right w:val="single" w:color="auto" w:sz="8" w:space="0"/>
            </w:tcBorders>
            <w:shd w:val="clear" w:color="auto" w:fill="auto"/>
          </w:tcPr>
          <w:p>
            <w:pPr>
              <w:jc w:val="center"/>
            </w:pPr>
            <w:r>
              <w:t>0.00</w:t>
            </w:r>
          </w:p>
        </w:tc>
      </w:tr>
      <w:tr>
        <w:tblPrEx>
          <w:tblLayout w:type="fixed"/>
          <w:tblCellMar>
            <w:top w:w="0" w:type="dxa"/>
            <w:left w:w="108" w:type="dxa"/>
            <w:bottom w:w="0" w:type="dxa"/>
            <w:right w:w="108" w:type="dxa"/>
          </w:tblCellMar>
        </w:tblPrEx>
        <w:trPr>
          <w:trHeight w:val="500"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tbl>
      <w:tblPr>
        <w:tblStyle w:val="8"/>
        <w:tblW w:w="15824" w:type="dxa"/>
        <w:tblInd w:w="0" w:type="dxa"/>
        <w:tblLayout w:type="fixed"/>
        <w:tblCellMar>
          <w:top w:w="0" w:type="dxa"/>
          <w:left w:w="108" w:type="dxa"/>
          <w:bottom w:w="0" w:type="dxa"/>
          <w:right w:w="108" w:type="dxa"/>
        </w:tblCellMar>
      </w:tblPr>
      <w:tblGrid>
        <w:gridCol w:w="966"/>
        <w:gridCol w:w="239"/>
        <w:gridCol w:w="216"/>
        <w:gridCol w:w="1139"/>
        <w:gridCol w:w="1969"/>
        <w:gridCol w:w="220"/>
        <w:gridCol w:w="731"/>
        <w:gridCol w:w="1173"/>
        <w:gridCol w:w="305"/>
        <w:gridCol w:w="1919"/>
        <w:gridCol w:w="216"/>
        <w:gridCol w:w="513"/>
        <w:gridCol w:w="1235"/>
        <w:gridCol w:w="454"/>
        <w:gridCol w:w="2013"/>
        <w:gridCol w:w="1705"/>
        <w:gridCol w:w="444"/>
        <w:gridCol w:w="367"/>
      </w:tblGrid>
      <w:tr>
        <w:tblPrEx>
          <w:tblLayout w:type="fixed"/>
          <w:tblCellMar>
            <w:top w:w="0" w:type="dxa"/>
            <w:left w:w="108" w:type="dxa"/>
            <w:bottom w:w="0" w:type="dxa"/>
            <w:right w:w="108" w:type="dxa"/>
          </w:tblCellMar>
        </w:tblPrEx>
        <w:trPr>
          <w:trHeight w:val="896" w:hRule="atLeast"/>
        </w:trPr>
        <w:tc>
          <w:tcPr>
            <w:tcW w:w="1582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湖南省种子管理服务站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ind w:right="420"/>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516" w:hRule="atLeast"/>
        </w:trPr>
        <w:tc>
          <w:tcPr>
            <w:tcW w:w="142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10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7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51" w:type="dxa"/>
            <w:gridSpan w:val="2"/>
            <w:tcBorders>
              <w:top w:val="nil"/>
              <w:left w:val="nil"/>
              <w:bottom w:val="single" w:color="auto" w:sz="4" w:space="0"/>
              <w:right w:val="single" w:color="auto" w:sz="4" w:space="0"/>
            </w:tcBorders>
            <w:shd w:val="clear" w:color="auto" w:fill="auto"/>
            <w:noWrap/>
          </w:tcPr>
          <w:p>
            <w:r>
              <w:t>250.35</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729" w:type="dxa"/>
            <w:gridSpan w:val="2"/>
            <w:tcBorders>
              <w:top w:val="nil"/>
              <w:left w:val="nil"/>
              <w:bottom w:val="single" w:color="auto" w:sz="4" w:space="0"/>
              <w:right w:val="single" w:color="auto" w:sz="4" w:space="0"/>
            </w:tcBorders>
            <w:shd w:val="clear" w:color="auto" w:fill="auto"/>
            <w:noWrap/>
          </w:tcPr>
          <w:p>
            <w:r>
              <w:t>35.84</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51" w:type="dxa"/>
            <w:gridSpan w:val="2"/>
            <w:tcBorders>
              <w:top w:val="nil"/>
              <w:left w:val="nil"/>
              <w:bottom w:val="single" w:color="auto" w:sz="4" w:space="0"/>
              <w:right w:val="single" w:color="auto" w:sz="4" w:space="0"/>
            </w:tcBorders>
            <w:shd w:val="clear" w:color="auto" w:fill="auto"/>
            <w:noWrap/>
          </w:tcPr>
          <w:p>
            <w:r>
              <w:t>91.25</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729" w:type="dxa"/>
            <w:gridSpan w:val="2"/>
            <w:tcBorders>
              <w:top w:val="nil"/>
              <w:left w:val="nil"/>
              <w:bottom w:val="single" w:color="auto" w:sz="4" w:space="0"/>
              <w:right w:val="single" w:color="auto" w:sz="4" w:space="0"/>
            </w:tcBorders>
            <w:shd w:val="clear" w:color="auto" w:fill="auto"/>
            <w:noWrap/>
          </w:tcPr>
          <w:p>
            <w:r>
              <w:t>3.40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51" w:type="dxa"/>
            <w:gridSpan w:val="2"/>
            <w:tcBorders>
              <w:top w:val="nil"/>
              <w:left w:val="nil"/>
              <w:bottom w:val="single" w:color="auto" w:sz="4" w:space="0"/>
              <w:right w:val="single" w:color="auto" w:sz="4" w:space="0"/>
            </w:tcBorders>
            <w:shd w:val="clear" w:color="auto" w:fill="auto"/>
            <w:noWrap/>
          </w:tcPr>
          <w:p>
            <w:r>
              <w:t>50.38</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729" w:type="dxa"/>
            <w:gridSpan w:val="2"/>
            <w:tcBorders>
              <w:top w:val="nil"/>
              <w:left w:val="nil"/>
              <w:bottom w:val="single" w:color="auto" w:sz="4" w:space="0"/>
              <w:right w:val="single" w:color="auto" w:sz="4" w:space="0"/>
            </w:tcBorders>
            <w:shd w:val="clear" w:color="auto" w:fill="auto"/>
            <w:noWrap/>
          </w:tcPr>
          <w:p>
            <w:r>
              <w:t>0.89</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51" w:type="dxa"/>
            <w:gridSpan w:val="2"/>
            <w:tcBorders>
              <w:top w:val="nil"/>
              <w:left w:val="nil"/>
              <w:bottom w:val="single" w:color="auto" w:sz="4" w:space="0"/>
              <w:right w:val="single" w:color="auto" w:sz="4" w:space="0"/>
            </w:tcBorders>
            <w:shd w:val="clear" w:color="auto" w:fill="auto"/>
            <w:noWrap/>
          </w:tcPr>
          <w:p>
            <w:r>
              <w:t>25.89</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729" w:type="dxa"/>
            <w:gridSpan w:val="2"/>
            <w:tcBorders>
              <w:top w:val="nil"/>
              <w:left w:val="nil"/>
              <w:bottom w:val="single" w:color="auto" w:sz="4" w:space="0"/>
              <w:right w:val="single" w:color="auto" w:sz="4" w:space="0"/>
            </w:tcBorders>
            <w:shd w:val="clear" w:color="auto" w:fill="auto"/>
            <w:noWrap/>
          </w:tcPr>
          <w:p>
            <w:r>
              <w:t>0.65</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51" w:type="dxa"/>
            <w:gridSpan w:val="2"/>
            <w:tcBorders>
              <w:top w:val="nil"/>
              <w:left w:val="nil"/>
              <w:bottom w:val="single" w:color="auto" w:sz="4" w:space="0"/>
              <w:right w:val="single" w:color="auto" w:sz="4" w:space="0"/>
            </w:tcBorders>
            <w:shd w:val="clear" w:color="auto" w:fill="auto"/>
            <w:noWrap/>
          </w:tcPr>
          <w:p>
            <w:r>
              <w:t>7.72</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51" w:type="dxa"/>
            <w:gridSpan w:val="2"/>
            <w:tcBorders>
              <w:top w:val="nil"/>
              <w:left w:val="nil"/>
              <w:bottom w:val="single" w:color="auto" w:sz="4" w:space="0"/>
              <w:right w:val="single" w:color="auto" w:sz="4" w:space="0"/>
            </w:tcBorders>
            <w:shd w:val="clear" w:color="auto" w:fill="auto"/>
            <w:noWrap/>
          </w:tcPr>
          <w:p>
            <w:r>
              <w:t>18.60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729" w:type="dxa"/>
            <w:gridSpan w:val="2"/>
            <w:tcBorders>
              <w:top w:val="nil"/>
              <w:left w:val="nil"/>
              <w:bottom w:val="single" w:color="auto" w:sz="4" w:space="0"/>
              <w:right w:val="single" w:color="auto" w:sz="4" w:space="0"/>
            </w:tcBorders>
            <w:shd w:val="clear" w:color="auto" w:fill="auto"/>
            <w:noWrap/>
          </w:tcPr>
          <w:p>
            <w:r>
              <w:t>1.00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729" w:type="dxa"/>
            <w:gridSpan w:val="2"/>
            <w:tcBorders>
              <w:top w:val="nil"/>
              <w:left w:val="nil"/>
              <w:bottom w:val="single" w:color="auto" w:sz="4" w:space="0"/>
              <w:right w:val="single" w:color="auto" w:sz="4" w:space="0"/>
            </w:tcBorders>
            <w:shd w:val="clear" w:color="auto" w:fill="auto"/>
            <w:noWrap/>
          </w:tcPr>
          <w:p>
            <w:r>
              <w:t>1.41</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51" w:type="dxa"/>
            <w:gridSpan w:val="2"/>
            <w:tcBorders>
              <w:top w:val="nil"/>
              <w:left w:val="nil"/>
              <w:bottom w:val="single" w:color="auto" w:sz="4" w:space="0"/>
              <w:right w:val="single" w:color="auto" w:sz="4" w:space="0"/>
            </w:tcBorders>
            <w:shd w:val="clear" w:color="auto" w:fill="auto"/>
            <w:noWrap/>
          </w:tcPr>
          <w:p>
            <w:r>
              <w:t>14.80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51" w:type="dxa"/>
            <w:gridSpan w:val="2"/>
            <w:tcBorders>
              <w:top w:val="nil"/>
              <w:left w:val="nil"/>
              <w:bottom w:val="single" w:color="auto" w:sz="4" w:space="0"/>
              <w:right w:val="single" w:color="auto" w:sz="4" w:space="0"/>
            </w:tcBorders>
            <w:shd w:val="clear" w:color="auto" w:fill="auto"/>
            <w:noWrap/>
          </w:tcPr>
          <w:p>
            <w:r>
              <w:t>14.00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729" w:type="dxa"/>
            <w:gridSpan w:val="2"/>
            <w:tcBorders>
              <w:top w:val="nil"/>
              <w:left w:val="nil"/>
              <w:bottom w:val="single" w:color="auto" w:sz="4" w:space="0"/>
              <w:right w:val="single" w:color="auto" w:sz="4" w:space="0"/>
            </w:tcBorders>
            <w:shd w:val="clear" w:color="auto" w:fill="auto"/>
            <w:noWrap/>
          </w:tcPr>
          <w:p>
            <w:r>
              <w:t>4.33</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51" w:type="dxa"/>
            <w:gridSpan w:val="2"/>
            <w:tcBorders>
              <w:top w:val="nil"/>
              <w:left w:val="nil"/>
              <w:bottom w:val="single" w:color="auto" w:sz="4" w:space="0"/>
              <w:right w:val="single" w:color="auto" w:sz="4" w:space="0"/>
            </w:tcBorders>
            <w:shd w:val="clear" w:color="auto" w:fill="auto"/>
            <w:noWrap/>
          </w:tcPr>
          <w:p>
            <w:r>
              <w:t>5.08</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729" w:type="dxa"/>
            <w:gridSpan w:val="2"/>
            <w:tcBorders>
              <w:top w:val="nil"/>
              <w:left w:val="nil"/>
              <w:bottom w:val="single" w:color="auto" w:sz="4" w:space="0"/>
              <w:right w:val="single" w:color="auto" w:sz="4" w:space="0"/>
            </w:tcBorders>
            <w:shd w:val="clear" w:color="auto" w:fill="auto"/>
            <w:noWrap/>
          </w:tcPr>
          <w:p>
            <w:r>
              <w:t>0.54</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51" w:type="dxa"/>
            <w:gridSpan w:val="2"/>
            <w:tcBorders>
              <w:top w:val="nil"/>
              <w:left w:val="nil"/>
              <w:bottom w:val="single" w:color="auto" w:sz="4" w:space="0"/>
              <w:right w:val="single" w:color="auto" w:sz="4" w:space="0"/>
            </w:tcBorders>
            <w:shd w:val="clear" w:color="auto" w:fill="auto"/>
            <w:noWrap/>
          </w:tcPr>
          <w:p>
            <w:r>
              <w:t>22.62</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51" w:type="dxa"/>
            <w:gridSpan w:val="2"/>
            <w:tcBorders>
              <w:top w:val="nil"/>
              <w:left w:val="nil"/>
              <w:bottom w:val="single" w:color="auto" w:sz="4" w:space="0"/>
              <w:right w:val="single" w:color="auto" w:sz="4" w:space="0"/>
            </w:tcBorders>
            <w:shd w:val="clear" w:color="auto" w:fill="auto"/>
            <w:noWrap/>
          </w:tcPr>
          <w:p>
            <w:r>
              <w:t>102.61</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51" w:type="dxa"/>
            <w:gridSpan w:val="2"/>
            <w:tcBorders>
              <w:top w:val="nil"/>
              <w:left w:val="nil"/>
              <w:bottom w:val="single" w:color="auto" w:sz="4" w:space="0"/>
              <w:right w:val="single" w:color="auto" w:sz="4" w:space="0"/>
            </w:tcBorders>
            <w:shd w:val="clear" w:color="auto" w:fill="auto"/>
            <w:noWrap/>
          </w:tcPr>
          <w:p>
            <w:r>
              <w:t>80.14</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51" w:type="dxa"/>
            <w:gridSpan w:val="2"/>
            <w:tcBorders>
              <w:top w:val="nil"/>
              <w:left w:val="nil"/>
              <w:bottom w:val="single" w:color="auto" w:sz="4" w:space="0"/>
              <w:right w:val="single" w:color="auto" w:sz="4" w:space="0"/>
            </w:tcBorders>
            <w:shd w:val="clear" w:color="auto" w:fill="auto"/>
            <w:noWrap/>
          </w:tcPr>
          <w:p>
            <w:r>
              <w:t>21.00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51" w:type="dxa"/>
            <w:gridSpan w:val="2"/>
            <w:tcBorders>
              <w:top w:val="nil"/>
              <w:left w:val="nil"/>
              <w:bottom w:val="single" w:color="auto" w:sz="4" w:space="0"/>
              <w:right w:val="single" w:color="auto" w:sz="4" w:space="0"/>
            </w:tcBorders>
            <w:shd w:val="clear" w:color="auto" w:fill="auto"/>
            <w:noWrap/>
          </w:tcPr>
          <w:p>
            <w:r>
              <w:t>0.83</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729" w:type="dxa"/>
            <w:gridSpan w:val="2"/>
            <w:tcBorders>
              <w:top w:val="nil"/>
              <w:left w:val="nil"/>
              <w:bottom w:val="single" w:color="auto" w:sz="4" w:space="0"/>
              <w:right w:val="single" w:color="auto" w:sz="4" w:space="0"/>
            </w:tcBorders>
            <w:shd w:val="clear" w:color="auto" w:fill="auto"/>
            <w:noWrap/>
          </w:tcPr>
          <w:p>
            <w:r>
              <w:t>2.35</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729" w:type="dxa"/>
            <w:gridSpan w:val="2"/>
            <w:tcBorders>
              <w:top w:val="nil"/>
              <w:left w:val="nil"/>
              <w:bottom w:val="single" w:color="auto" w:sz="4" w:space="0"/>
              <w:right w:val="single" w:color="auto" w:sz="4" w:space="0"/>
            </w:tcBorders>
            <w:shd w:val="clear" w:color="auto" w:fill="auto"/>
            <w:noWrap/>
          </w:tcPr>
          <w:p>
            <w:r>
              <w:t>5.34</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51" w:type="dxa"/>
            <w:gridSpan w:val="2"/>
            <w:tcBorders>
              <w:top w:val="nil"/>
              <w:left w:val="nil"/>
              <w:bottom w:val="single" w:color="auto" w:sz="4" w:space="0"/>
              <w:right w:val="single" w:color="auto" w:sz="4" w:space="0"/>
            </w:tcBorders>
            <w:shd w:val="clear" w:color="auto" w:fill="auto"/>
            <w:noWrap/>
          </w:tcPr>
          <w:p>
            <w:r>
              <w:t>0.64</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729" w:type="dxa"/>
            <w:gridSpan w:val="2"/>
            <w:tcBorders>
              <w:top w:val="nil"/>
              <w:left w:val="nil"/>
              <w:bottom w:val="single" w:color="auto" w:sz="4" w:space="0"/>
              <w:right w:val="single" w:color="auto" w:sz="4" w:space="0"/>
            </w:tcBorders>
            <w:shd w:val="clear" w:color="auto" w:fill="auto"/>
            <w:noWrap/>
          </w:tcPr>
          <w:p>
            <w:r>
              <w:t>4.79</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ascii="宋体" w:hAnsi="宋体" w:eastAsia="宋体" w:cs="宋体"/>
                <w:color w:val="000000"/>
                <w:kern w:val="0"/>
                <w:szCs w:val="20"/>
              </w:rPr>
            </w:pPr>
          </w:p>
          <w:tbl>
            <w:tblPr>
              <w:tblStyle w:val="8"/>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资本性赠与</w:t>
                  </w:r>
                </w:p>
              </w:tc>
            </w:tr>
          </w:tbl>
          <w:p>
            <w:pPr>
              <w:widowControl/>
              <w:jc w:val="left"/>
              <w:rPr>
                <w:rFonts w:ascii="宋体" w:hAnsi="宋体" w:eastAsia="宋体" w:cs="宋体"/>
                <w:color w:val="000000"/>
                <w:kern w:val="0"/>
                <w:szCs w:val="20"/>
              </w:rPr>
            </w:pPr>
          </w:p>
          <w:tbl>
            <w:tblPr>
              <w:tblStyle w:val="8"/>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资本性赠与</w:t>
                  </w:r>
                </w:p>
              </w:tc>
            </w:tr>
          </w:tbl>
          <w:p>
            <w:pPr>
              <w:widowControl/>
              <w:jc w:val="left"/>
              <w:rPr>
                <w:rFonts w:ascii="宋体" w:hAnsi="宋体" w:eastAsia="宋体" w:cs="宋体"/>
                <w:color w:val="000000"/>
                <w:kern w:val="0"/>
                <w:szCs w:val="20"/>
              </w:rPr>
            </w:pP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39910</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729" w:type="dxa"/>
            <w:gridSpan w:val="2"/>
            <w:tcBorders>
              <w:top w:val="nil"/>
              <w:left w:val="nil"/>
              <w:bottom w:val="single" w:color="auto" w:sz="4" w:space="0"/>
              <w:right w:val="single" w:color="auto" w:sz="4" w:space="0"/>
            </w:tcBorders>
            <w:shd w:val="clear" w:color="auto" w:fill="auto"/>
            <w:noWrap/>
          </w:tcPr>
          <w:p>
            <w:r>
              <w:t>10.6</w:t>
            </w:r>
            <w:r>
              <w:rPr>
                <w:rFonts w:hint="eastAsia"/>
              </w:rPr>
              <w:t>6</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811" w:type="dxa"/>
            <w:gridSpan w:val="2"/>
            <w:tcBorders>
              <w:top w:val="nil"/>
              <w:left w:val="nil"/>
              <w:bottom w:val="single" w:color="auto" w:sz="4" w:space="0"/>
              <w:right w:val="single" w:color="auto" w:sz="4" w:space="0"/>
            </w:tcBorders>
            <w:shd w:val="clear" w:color="auto" w:fill="auto"/>
            <w:noWrap/>
          </w:tcPr>
          <w:p>
            <w:r>
              <w:t>0.00</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51" w:type="dxa"/>
            <w:gridSpan w:val="2"/>
            <w:tcBorders>
              <w:top w:val="nil"/>
              <w:left w:val="nil"/>
              <w:bottom w:val="single" w:color="auto" w:sz="4" w:space="0"/>
              <w:right w:val="single" w:color="auto" w:sz="4" w:space="0"/>
            </w:tcBorders>
            <w:shd w:val="clear" w:color="auto" w:fill="auto"/>
            <w:noWrap/>
          </w:tcPr>
          <w:p>
            <w:r>
              <w:t>0.00</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729" w:type="dxa"/>
            <w:gridSpan w:val="2"/>
            <w:tcBorders>
              <w:top w:val="nil"/>
              <w:left w:val="nil"/>
              <w:bottom w:val="single" w:color="auto" w:sz="4" w:space="0"/>
              <w:right w:val="single" w:color="auto" w:sz="4" w:space="0"/>
            </w:tcBorders>
            <w:shd w:val="clear" w:color="auto" w:fill="auto"/>
            <w:noWrap/>
          </w:tcPr>
          <w:p>
            <w:r>
              <w:t>0.00</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42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10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5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2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729" w:type="dxa"/>
            <w:gridSpan w:val="2"/>
            <w:tcBorders>
              <w:top w:val="nil"/>
              <w:left w:val="nil"/>
              <w:bottom w:val="single" w:color="auto" w:sz="4" w:space="0"/>
              <w:right w:val="single" w:color="auto" w:sz="4" w:space="0"/>
            </w:tcBorders>
            <w:shd w:val="clear" w:color="auto" w:fill="auto"/>
            <w:noWrap/>
          </w:tcPr>
          <w:p>
            <w:r>
              <w:t>0.48</w:t>
            </w:r>
          </w:p>
        </w:tc>
        <w:tc>
          <w:tcPr>
            <w:tcW w:w="123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72"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52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5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ascii="宋体" w:hAnsi="宋体" w:eastAsia="宋体" w:cs="宋体"/>
                <w:color w:val="000000"/>
                <w:kern w:val="0"/>
                <w:szCs w:val="20"/>
              </w:rPr>
              <w:t>352.9</w:t>
            </w:r>
            <w:r>
              <w:rPr>
                <w:rFonts w:hint="eastAsia" w:ascii="宋体" w:hAnsi="宋体" w:eastAsia="宋体" w:cs="宋体"/>
                <w:color w:val="000000"/>
                <w:kern w:val="0"/>
                <w:szCs w:val="20"/>
              </w:rPr>
              <w:t>5</w:t>
            </w:r>
          </w:p>
        </w:tc>
        <w:tc>
          <w:tcPr>
            <w:tcW w:w="9533"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35.84</w:t>
            </w:r>
          </w:p>
        </w:tc>
      </w:tr>
      <w:tr>
        <w:tblPrEx>
          <w:tblLayout w:type="fixed"/>
          <w:tblCellMar>
            <w:top w:w="0" w:type="dxa"/>
            <w:left w:w="108" w:type="dxa"/>
            <w:bottom w:w="0" w:type="dxa"/>
            <w:right w:w="108" w:type="dxa"/>
          </w:tblCellMar>
        </w:tblPrEx>
        <w:trPr>
          <w:trHeight w:val="284" w:hRule="exact"/>
        </w:trPr>
        <w:tc>
          <w:tcPr>
            <w:tcW w:w="1582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1"/>
          <w:wAfter w:w="367" w:type="dxa"/>
          <w:trHeight w:val="690" w:hRule="atLeast"/>
        </w:trPr>
        <w:tc>
          <w:tcPr>
            <w:tcW w:w="15457" w:type="dxa"/>
            <w:gridSpan w:val="1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lang w:bidi="ar"/>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Layout w:type="fixed"/>
          <w:tblCellMar>
            <w:top w:w="0" w:type="dxa"/>
            <w:left w:w="108" w:type="dxa"/>
            <w:bottom w:w="0" w:type="dxa"/>
            <w:right w:w="108" w:type="dxa"/>
          </w:tblCellMar>
        </w:tblPrEx>
        <w:trPr>
          <w:gridAfter w:val="1"/>
          <w:wAfter w:w="367" w:type="dxa"/>
          <w:trHeight w:val="345" w:hRule="atLeast"/>
        </w:trPr>
        <w:tc>
          <w:tcPr>
            <w:tcW w:w="96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39"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55"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89"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0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3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0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13"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公开07表</w:t>
            </w:r>
          </w:p>
        </w:tc>
      </w:tr>
      <w:tr>
        <w:tblPrEx>
          <w:tblLayout w:type="fixed"/>
          <w:tblCellMar>
            <w:top w:w="0" w:type="dxa"/>
            <w:left w:w="108" w:type="dxa"/>
            <w:bottom w:w="0" w:type="dxa"/>
            <w:right w:w="108" w:type="dxa"/>
          </w:tblCellMar>
        </w:tblPrEx>
        <w:trPr>
          <w:gridAfter w:val="1"/>
          <w:wAfter w:w="367" w:type="dxa"/>
          <w:trHeight w:val="690" w:hRule="atLeast"/>
        </w:trPr>
        <w:tc>
          <w:tcPr>
            <w:tcW w:w="4749" w:type="dxa"/>
            <w:gridSpan w:val="6"/>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lang w:bidi="ar"/>
              </w:rPr>
              <w:t>部门：湖南省种子管理服务站</w:t>
            </w:r>
          </w:p>
        </w:tc>
        <w:tc>
          <w:tcPr>
            <w:tcW w:w="220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3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0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13"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单位：万元</w:t>
            </w:r>
          </w:p>
        </w:tc>
      </w:tr>
      <w:tr>
        <w:tblPrEx>
          <w:tblLayout w:type="fixed"/>
          <w:tblCellMar>
            <w:top w:w="0" w:type="dxa"/>
            <w:left w:w="108" w:type="dxa"/>
            <w:bottom w:w="0" w:type="dxa"/>
            <w:right w:w="108" w:type="dxa"/>
          </w:tblCellMar>
        </w:tblPrEx>
        <w:trPr>
          <w:gridAfter w:val="1"/>
          <w:wAfter w:w="367" w:type="dxa"/>
          <w:trHeight w:val="459" w:hRule="atLeast"/>
        </w:trPr>
        <w:tc>
          <w:tcPr>
            <w:tcW w:w="25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项 </w:t>
            </w:r>
            <w:r>
              <w:rPr>
                <w:rStyle w:val="15"/>
                <w:rFonts w:hint="default"/>
                <w:lang w:bidi="ar"/>
              </w:rPr>
              <w:t xml:space="preserve">   </w:t>
            </w:r>
            <w:r>
              <w:rPr>
                <w:rStyle w:val="16"/>
                <w:rFonts w:hint="default"/>
                <w:lang w:bidi="ar"/>
              </w:rPr>
              <w:t>目</w:t>
            </w:r>
          </w:p>
        </w:tc>
        <w:tc>
          <w:tcPr>
            <w:tcW w:w="21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年初结转和结余</w:t>
            </w:r>
          </w:p>
        </w:tc>
        <w:tc>
          <w:tcPr>
            <w:tcW w:w="220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本年收入</w:t>
            </w:r>
          </w:p>
        </w:tc>
        <w:tc>
          <w:tcPr>
            <w:tcW w:w="63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本年支出</w:t>
            </w:r>
          </w:p>
        </w:tc>
        <w:tc>
          <w:tcPr>
            <w:tcW w:w="21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年末结转和结余</w:t>
            </w:r>
          </w:p>
        </w:tc>
      </w:tr>
      <w:tr>
        <w:tblPrEx>
          <w:tblLayout w:type="fixed"/>
          <w:tblCellMar>
            <w:top w:w="0" w:type="dxa"/>
            <w:left w:w="108" w:type="dxa"/>
            <w:bottom w:w="0" w:type="dxa"/>
            <w:right w:w="108" w:type="dxa"/>
          </w:tblCellMar>
        </w:tblPrEx>
        <w:trPr>
          <w:gridAfter w:val="1"/>
          <w:wAfter w:w="367" w:type="dxa"/>
          <w:trHeight w:val="609" w:hRule="atLeast"/>
        </w:trPr>
        <w:tc>
          <w:tcPr>
            <w:tcW w:w="12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科目代码</w:t>
            </w:r>
          </w:p>
        </w:tc>
        <w:tc>
          <w:tcPr>
            <w:tcW w:w="13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科目名称</w:t>
            </w:r>
          </w:p>
        </w:tc>
        <w:tc>
          <w:tcPr>
            <w:tcW w:w="2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小计</w:t>
            </w:r>
          </w:p>
        </w:tc>
        <w:tc>
          <w:tcPr>
            <w:tcW w:w="220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基本支出  </w:t>
            </w:r>
          </w:p>
        </w:tc>
        <w:tc>
          <w:tcPr>
            <w:tcW w:w="2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项目支出</w:t>
            </w:r>
          </w:p>
        </w:tc>
        <w:tc>
          <w:tcPr>
            <w:tcW w:w="2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40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25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6</w:t>
            </w:r>
          </w:p>
        </w:tc>
      </w:tr>
      <w:tr>
        <w:tblPrEx>
          <w:tblLayout w:type="fixed"/>
          <w:tblCellMar>
            <w:top w:w="0" w:type="dxa"/>
            <w:left w:w="108" w:type="dxa"/>
            <w:bottom w:w="0" w:type="dxa"/>
            <w:right w:w="108" w:type="dxa"/>
          </w:tblCellMar>
        </w:tblPrEx>
        <w:trPr>
          <w:gridAfter w:val="1"/>
          <w:wAfter w:w="367" w:type="dxa"/>
          <w:trHeight w:val="509" w:hRule="atLeast"/>
        </w:trPr>
        <w:tc>
          <w:tcPr>
            <w:tcW w:w="25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509" w:hRule="atLeast"/>
        </w:trPr>
        <w:tc>
          <w:tcPr>
            <w:tcW w:w="1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7" w:type="dxa"/>
          <w:trHeight w:val="725" w:hRule="atLeast"/>
        </w:trPr>
        <w:tc>
          <w:tcPr>
            <w:tcW w:w="15457" w:type="dxa"/>
            <w:gridSpan w:val="1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lang w:bidi="ar"/>
              </w:rPr>
            </w:pPr>
          </w:p>
          <w:p>
            <w:pPr>
              <w:widowControl/>
              <w:jc w:val="left"/>
              <w:textAlignment w:val="center"/>
              <w:rPr>
                <w:rFonts w:ascii="宋体" w:hAnsi="宋体" w:eastAsia="宋体" w:cs="宋体"/>
                <w:color w:val="000000"/>
                <w:kern w:val="0"/>
                <w:sz w:val="24"/>
                <w:szCs w:val="24"/>
                <w:lang w:bidi="ar"/>
              </w:rPr>
            </w:pPr>
            <w:r>
              <w:rPr>
                <w:rFonts w:hint="eastAsia" w:ascii="楷体" w:hAnsi="楷体" w:eastAsia="楷体" w:cs="楷体"/>
                <w:b/>
                <w:bCs/>
                <w:kern w:val="0"/>
                <w:sz w:val="24"/>
                <w:szCs w:val="24"/>
                <w:lang w:bidi="ar"/>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8"/>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lang w:bidi="ar"/>
              </w:rPr>
              <w:t>部门：湖南省种子管理服务站</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项 </w:t>
            </w:r>
            <w:r>
              <w:rPr>
                <w:rFonts w:hint="eastAsia" w:ascii="宋体" w:hAnsi="宋体" w:eastAsia="宋体" w:cs="宋体"/>
                <w:color w:val="000000"/>
                <w:kern w:val="0"/>
                <w:sz w:val="22"/>
                <w:lang w:bidi="ar"/>
              </w:rPr>
              <w:t xml:space="preserve">   </w:t>
            </w:r>
            <w:r>
              <w:rPr>
                <w:rStyle w:val="17"/>
                <w:rFonts w:hint="default"/>
                <w:lang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注：本表反映部门本年度国有资本经营预算财政拨款支出情况。</w:t>
            </w:r>
          </w:p>
          <w:p>
            <w:pPr>
              <w:widowControl/>
              <w:jc w:val="left"/>
              <w:textAlignment w:val="center"/>
              <w:rPr>
                <w:rFonts w:ascii="宋体" w:hAnsi="宋体" w:eastAsia="宋体" w:cs="宋体"/>
                <w:color w:val="000000"/>
                <w:kern w:val="0"/>
                <w:sz w:val="24"/>
                <w:szCs w:val="24"/>
                <w:lang w:bidi="ar"/>
              </w:rPr>
            </w:pPr>
          </w:p>
          <w:p>
            <w:pPr>
              <w:widowControl/>
              <w:jc w:val="left"/>
              <w:textAlignment w:val="center"/>
              <w:rPr>
                <w:rFonts w:ascii="宋体" w:hAnsi="宋体" w:eastAsia="宋体" w:cs="宋体"/>
                <w:color w:val="000000"/>
                <w:kern w:val="0"/>
                <w:sz w:val="24"/>
                <w:szCs w:val="24"/>
                <w:lang w:bidi="ar"/>
              </w:rPr>
            </w:pPr>
            <w:r>
              <w:rPr>
                <w:rFonts w:hint="eastAsia" w:ascii="楷体" w:hAnsi="楷体" w:eastAsia="楷体" w:cs="楷体"/>
                <w:b/>
                <w:bCs/>
                <w:kern w:val="0"/>
                <w:sz w:val="24"/>
                <w:szCs w:val="24"/>
                <w:lang w:bidi="ar"/>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8"/>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lang w:bidi="ar"/>
              </w:rPr>
              <w:t>部门：湖南省种子管理服务站</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公务用车</w:t>
            </w:r>
            <w:r>
              <w:rPr>
                <w:rFonts w:hint="eastAsia" w:ascii="宋体" w:hAnsi="宋体" w:eastAsia="宋体" w:cs="宋体"/>
                <w:color w:val="000000"/>
                <w:kern w:val="0"/>
                <w:sz w:val="22"/>
                <w:lang w:bidi="ar"/>
              </w:rPr>
              <w:br w:type="textWrapping"/>
            </w:r>
            <w:r>
              <w:rPr>
                <w:rFonts w:hint="eastAsia" w:ascii="宋体" w:hAnsi="宋体" w:eastAsia="宋体" w:cs="宋体"/>
                <w:color w:val="000000"/>
                <w:kern w:val="0"/>
                <w:sz w:val="22"/>
                <w:lang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1.20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1.20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t>0.00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567" w:footer="992" w:gutter="0"/>
          <w:cols w:space="425" w:num="1"/>
          <w:docGrid w:type="lines" w:linePitch="312" w:charSpace="0"/>
        </w:sectPr>
      </w:pP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简体" w:hAnsi="方正小标宋_GBK" w:eastAsia="方正小标宋简体" w:cs="方正小标宋_GBK"/>
          <w:sz w:val="72"/>
          <w:szCs w:val="72"/>
        </w:rPr>
      </w:pPr>
      <w:r>
        <w:rPr>
          <w:rFonts w:hint="eastAsia" w:ascii="方正小标宋简体" w:hAnsi="方正小标宋_GBK" w:eastAsia="方正小标宋简体" w:cs="方正小标宋_GBK"/>
          <w:sz w:val="72"/>
          <w:szCs w:val="72"/>
        </w:rPr>
        <w:t>第三部分</w:t>
      </w:r>
    </w:p>
    <w:p>
      <w:pPr>
        <w:pStyle w:val="12"/>
        <w:jc w:val="center"/>
        <w:rPr>
          <w:rFonts w:ascii="方正小标宋简体" w:hAnsi="方正小标宋_GBK" w:eastAsia="方正小标宋简体" w:cs="方正小标宋_GBK"/>
          <w:sz w:val="70"/>
          <w:szCs w:val="70"/>
        </w:rPr>
      </w:pPr>
    </w:p>
    <w:p>
      <w:pPr>
        <w:pStyle w:val="12"/>
        <w:ind w:left="-619" w:leftChars="-295"/>
        <w:jc w:val="center"/>
        <w:rPr>
          <w:rFonts w:ascii="方正小标宋简体" w:hAnsi="方正小标宋_GBK" w:eastAsia="方正小标宋简体" w:cs="方正小标宋_GBK"/>
          <w:sz w:val="70"/>
          <w:szCs w:val="70"/>
        </w:rPr>
      </w:pPr>
      <w:r>
        <w:rPr>
          <w:rFonts w:hint="eastAsia" w:ascii="方正小标宋简体" w:hAnsi="方正小标宋_GBK" w:eastAsia="方正小标宋简体" w:cs="方正小标宋_GBK"/>
          <w:sz w:val="70"/>
          <w:szCs w:val="70"/>
        </w:rPr>
        <w:t>2023年度部门决算情况说明</w:t>
      </w:r>
    </w:p>
    <w:p>
      <w:pPr>
        <w:widowControl/>
        <w:jc w:val="left"/>
        <w:rPr>
          <w:rFonts w:asciiTheme="minorEastAsia" w:hAnsiTheme="minorEastAsia"/>
          <w:sz w:val="32"/>
          <w:szCs w:val="32"/>
        </w:rPr>
      </w:pPr>
      <w:r>
        <w:rPr>
          <w:rFonts w:hint="eastAsia" w:ascii="方正小标宋_GBK" w:hAnsi="方正小标宋_GBK" w:eastAsia="方正小标宋_GBK" w:cs="方正小标宋_GBK"/>
          <w:sz w:val="70"/>
          <w:szCs w:val="70"/>
        </w:rPr>
        <w:br w:type="page"/>
      </w:r>
    </w:p>
    <w:p>
      <w:pPr>
        <w:pStyle w:val="12"/>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2"/>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2023年度收、支总计589.31万元。与上年相比，减少95.99万元，减少14%，主要是因为主要是因为</w:t>
      </w:r>
      <w:r>
        <w:rPr>
          <w:rFonts w:hint="eastAsia" w:ascii="Times New Roman" w:hAnsi="Times New Roman" w:eastAsia="仿宋_GB2312"/>
          <w:sz w:val="32"/>
          <w:szCs w:val="32"/>
          <w:lang w:val="en-US" w:eastAsia="zh-CN"/>
        </w:rPr>
        <w:t>人员经费减少。</w:t>
      </w:r>
    </w:p>
    <w:p>
      <w:pPr>
        <w:pStyle w:val="12"/>
        <w:spacing w:line="600" w:lineRule="exact"/>
        <w:ind w:firstLine="640" w:firstLineChars="200"/>
        <w:rPr>
          <w:rFonts w:hAnsi="黑体"/>
          <w:bCs/>
          <w:sz w:val="32"/>
          <w:szCs w:val="32"/>
        </w:rPr>
      </w:pPr>
      <w:r>
        <w:rPr>
          <w:rFonts w:hint="eastAsia" w:hAnsi="黑体"/>
          <w:bCs/>
          <w:sz w:val="32"/>
          <w:szCs w:val="32"/>
        </w:rPr>
        <w:t>二、收入决算情况说明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2023年度收入合计571.84万元，其中：财政拨款收入571.83万元，占99.998%；上级补助收入0万元，占0%；事业收入0万元，占0%；经营收入0万元，占0%；附属单位上缴收入0万元，占0%；其他收入0.01万元，占0.002%。</w:t>
      </w:r>
    </w:p>
    <w:p>
      <w:pPr>
        <w:pStyle w:val="12"/>
        <w:spacing w:line="600" w:lineRule="exact"/>
        <w:ind w:firstLine="640" w:firstLineChars="200"/>
        <w:rPr>
          <w:rFonts w:hAnsi="黑体"/>
          <w:bCs/>
          <w:sz w:val="32"/>
          <w:szCs w:val="32"/>
        </w:rPr>
      </w:pPr>
      <w:r>
        <w:rPr>
          <w:rFonts w:hint="eastAsia" w:hAnsi="黑体"/>
          <w:bCs/>
          <w:sz w:val="32"/>
          <w:szCs w:val="32"/>
        </w:rPr>
        <w:t>三、支出决算情况说明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2023年度支出合计474.98万元，其中：基本支出388.80万元，占81.86%；项目支出86.18万元，占18.14%；上缴上级支出0万元，占0%；经营支出0万元，占0%；对附属单位补助支出0万元，占0%。</w:t>
      </w:r>
    </w:p>
    <w:p>
      <w:pPr>
        <w:pStyle w:val="12"/>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2"/>
        <w:spacing w:line="600" w:lineRule="exact"/>
        <w:ind w:firstLine="640"/>
        <w:rPr>
          <w:rFonts w:ascii="Times New Roman" w:hAnsi="Times New Roman" w:eastAsia="仿宋_GB2312"/>
          <w:sz w:val="32"/>
          <w:szCs w:val="32"/>
          <w:highlight w:val="red"/>
        </w:rPr>
      </w:pPr>
      <w:r>
        <w:rPr>
          <w:rFonts w:hint="eastAsia" w:ascii="Times New Roman" w:hAnsi="Times New Roman" w:eastAsia="仿宋_GB2312"/>
          <w:sz w:val="32"/>
          <w:szCs w:val="32"/>
        </w:rPr>
        <w:t>2023年度财政拨款收、支总计589.29万元，与上年相比，减少68.32万元,减少10.39%，主要是因为</w:t>
      </w:r>
      <w:r>
        <w:rPr>
          <w:rFonts w:hint="eastAsia" w:ascii="Times New Roman" w:hAnsi="Times New Roman" w:eastAsia="仿宋_GB2312"/>
          <w:sz w:val="32"/>
          <w:szCs w:val="32"/>
          <w:lang w:val="en-US" w:eastAsia="zh-CN"/>
        </w:rPr>
        <w:t>人员经费减少。</w:t>
      </w:r>
    </w:p>
    <w:p>
      <w:pPr>
        <w:pStyle w:val="12"/>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2"/>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（一）一般公共预算财政拨款支出决算总体情况</w:t>
      </w:r>
    </w:p>
    <w:p>
      <w:pPr>
        <w:pStyle w:val="12"/>
        <w:spacing w:line="600" w:lineRule="exact"/>
        <w:ind w:firstLine="800" w:firstLineChars="250"/>
        <w:rPr>
          <w:rFonts w:ascii="Times New Roman" w:hAnsi="Times New Roman" w:eastAsia="仿宋_GB2312"/>
          <w:color w:val="auto"/>
          <w:sz w:val="32"/>
          <w:szCs w:val="32"/>
        </w:rPr>
      </w:pPr>
      <w:r>
        <w:rPr>
          <w:rFonts w:hint="eastAsia" w:ascii="Times New Roman" w:hAnsi="Times New Roman" w:eastAsia="仿宋_GB2312"/>
          <w:sz w:val="32"/>
          <w:szCs w:val="32"/>
        </w:rPr>
        <w:t>2023年度财政拨款支出474.98万元，占本年支出合计的100%，与上年相比，财政拨款支出减少149.14万元，减少23.89%，主要是因为主要是因为</w:t>
      </w:r>
      <w:r>
        <w:rPr>
          <w:rFonts w:hint="eastAsia" w:ascii="Times New Roman" w:hAnsi="Times New Roman" w:eastAsia="仿宋_GB2312"/>
          <w:sz w:val="32"/>
          <w:szCs w:val="32"/>
          <w:lang w:val="en-US" w:eastAsia="zh-CN"/>
        </w:rPr>
        <w:t>人员经费减少</w:t>
      </w:r>
      <w:r>
        <w:rPr>
          <w:rFonts w:hint="eastAsia" w:ascii="Times New Roman" w:hAnsi="Times New Roman" w:eastAsia="仿宋_GB2312"/>
          <w:color w:val="auto"/>
          <w:sz w:val="32"/>
          <w:szCs w:val="32"/>
        </w:rPr>
        <w:t>以及农业生产发展、农产品质量安全类项目收入和支出减少。</w:t>
      </w:r>
    </w:p>
    <w:p>
      <w:pPr>
        <w:pStyle w:val="12"/>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（二）一般公共预算财政拨款支出决算结构情况</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2023年度财政拨款支出</w:t>
      </w:r>
      <w:r>
        <w:rPr>
          <w:rFonts w:ascii="Times New Roman" w:hAnsi="Times New Roman" w:eastAsia="仿宋_GB2312"/>
          <w:sz w:val="32"/>
          <w:szCs w:val="32"/>
        </w:rPr>
        <w:t>474.98</w:t>
      </w:r>
      <w:r>
        <w:rPr>
          <w:rFonts w:hint="eastAsia" w:ascii="Times New Roman" w:hAnsi="Times New Roman" w:eastAsia="仿宋_GB2312"/>
          <w:sz w:val="32"/>
          <w:szCs w:val="32"/>
        </w:rPr>
        <w:t>万元，主要用于以下方面：社会保障和就业（类）支出73.48万元，占15.47%；农林水（类）支出378.88万元，占79.77%;住房保障（类）支出22.62万元，占4.76%</w:t>
      </w:r>
    </w:p>
    <w:p>
      <w:pPr>
        <w:pStyle w:val="12"/>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（三）一般公共预算财政拨款支出决算具体情况</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2023年度财政拨款支出年初预算数为541.89万元，支出决算数为474.98万元，完成年初预算的87.65%，其中：</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年初预算为52.6万元，支出决算为52.48万元，完成年初预算的99.77%；</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2、社会保障和就业（类）抚恤支出（款）死亡抚恤支出（项）。</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年初预算为0万元，支出决算为21万元，决算数大于年初预算数的主要原因是：因病去世1人，年中调整支出。</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3、农林水（类）农业农村（款）行政运行（项）。</w:t>
      </w:r>
    </w:p>
    <w:p>
      <w:pPr>
        <w:pStyle w:val="12"/>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年初预算为0万元，支出决算为17.4万元，决算数大于年初预算数的主要原因是：根据政策要求，年中追加人员经费。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4、农林水（类）农业农村（款）事业运行（项）。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年初预算为326.93万元，支出决算为275.30万元，完成年初预算的84.21%，决算数小于年初预算数的主要原因是：调整部分额度到抚恤支出，以及预算差异。</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5、农林水（类）农业农村（款）农产品质量安全（项）。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年初预算为9.24万元，支出决算为9.24万元，完成年初预算的100%；</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6、农林水（类）农业农村（款）农业生产发展（项）。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年初预算为129.22万元，支出决算为76.94万元，完成年初预算的59.54%，决算数小于年初预算数的主要原因是：项目会议及出差任务减少，部分延迟进行。</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7、住房保障（类）住房改革支出（款）住房公积金（项）。</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年初预算为23.9万元，支出决算为22.62万元，完成年初预算的94.64%，决算数小于年初预算数的主要原因是：标准及人员变动。</w:t>
      </w:r>
    </w:p>
    <w:p>
      <w:pPr>
        <w:pStyle w:val="12"/>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2023年度财政拨款基本支出388.8万元，其中：</w:t>
      </w:r>
    </w:p>
    <w:p>
      <w:pPr>
        <w:pStyle w:val="12"/>
        <w:spacing w:line="600" w:lineRule="exact"/>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352.95万元，占基本支出的90.78%,主要包括基本工资、津贴补贴、奖金、伙食补助费、机关事业单位基本养老保险缴费、住房公积金、退休费、奖励金等。</w:t>
      </w:r>
    </w:p>
    <w:p>
      <w:pPr>
        <w:pStyle w:val="12"/>
        <w:spacing w:line="600" w:lineRule="exact"/>
        <w:ind w:firstLine="643"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35.84万元，占基本支出的9.22%，主要包括办公费、印刷费、物业管理费、工会经费、福利费、其他交通费用等。</w:t>
      </w:r>
    </w:p>
    <w:p>
      <w:pPr>
        <w:pStyle w:val="12"/>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2"/>
        <w:spacing w:line="600" w:lineRule="exact"/>
        <w:ind w:firstLine="643"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“三公”经费财政拨款支出预算为1.2万元，支出决算为0万元，完成预算的0%，决算数小于预算数的主要原因是厉行节约、严格三公经费支出。与上年相比减少</w:t>
      </w:r>
      <w:r>
        <w:rPr>
          <w:rFonts w:ascii="Times New Roman" w:hAnsi="Times New Roman" w:eastAsia="仿宋_GB2312"/>
          <w:sz w:val="32"/>
          <w:szCs w:val="32"/>
        </w:rPr>
        <w:t>0.06</w:t>
      </w:r>
      <w:r>
        <w:rPr>
          <w:rFonts w:hint="eastAsia" w:ascii="Times New Roman" w:hAnsi="Times New Roman" w:eastAsia="仿宋_GB2312"/>
          <w:sz w:val="32"/>
          <w:szCs w:val="32"/>
        </w:rPr>
        <w:t>万元，减少100%,减少的主要原因是：厉行节约、严格三公经费支出。其中：</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因公出国（境）费支出预算为0万元，支出决算为0万元，与上年持平。</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公务接待费支出预算为1.2万元，支出决算为0万元，完成预算的0%，决算数小于预算数的主要原因是减少100%，减少的主要原因是：厉行节约、严格经费支出。与上年相比减少0.06万元，减少100%，减少的主要原因是：厉行节约、严格经费支出。</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公务用车购置费支出预算为0万元，支出决算为0万元，与上年持平。</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公务用车运行维护费支出预算为0万元，支出决算为0万元，与上年持平。</w:t>
      </w:r>
    </w:p>
    <w:p>
      <w:pPr>
        <w:pStyle w:val="12"/>
        <w:spacing w:line="600" w:lineRule="exact"/>
        <w:ind w:firstLine="643"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2023年度“三公”经费财政拨款支出决算中，公务接待费支出决算1.2万元，占100%,因公出国（境）费支出决算0万元，占0%,公务用车购置费及运行维护费支出决算0万元，占0%。其中：</w:t>
      </w:r>
    </w:p>
    <w:p>
      <w:pPr>
        <w:pStyle w:val="12"/>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sz w:val="32"/>
          <w:szCs w:val="32"/>
        </w:rPr>
        <w:t>1、因公出国（境）费支出决算为0万元，全年安排因公出国（境）团组0个，累计0人次。</w:t>
      </w:r>
    </w:p>
    <w:p>
      <w:pPr>
        <w:pStyle w:val="12"/>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公务用车运行维护费0万元，截止2023年12月31日，我单位开支财政拨款的公务用车保有量为0辆。</w:t>
      </w:r>
    </w:p>
    <w:p>
      <w:pPr>
        <w:pStyle w:val="12"/>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2"/>
        <w:spacing w:line="600" w:lineRule="exact"/>
        <w:rPr>
          <w:rFonts w:ascii="楷体" w:hAnsi="楷体" w:eastAsia="楷体" w:cs="楷体"/>
          <w:b/>
          <w:bCs/>
          <w:i/>
          <w:color w:val="auto"/>
          <w:sz w:val="32"/>
          <w:szCs w:val="32"/>
        </w:rPr>
      </w:pPr>
      <w:r>
        <w:rPr>
          <w:rFonts w:hint="eastAsia" w:ascii="Times New Roman" w:hAnsi="Times New Roman" w:eastAsia="仿宋_GB2312"/>
          <w:sz w:val="32"/>
          <w:szCs w:val="32"/>
        </w:rPr>
        <w:t xml:space="preserve">     本单位无政府性基金收支。</w:t>
      </w:r>
    </w:p>
    <w:p>
      <w:pPr>
        <w:pStyle w:val="12"/>
        <w:spacing w:line="600" w:lineRule="exact"/>
        <w:ind w:firstLine="643"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2"/>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本部门2023年度机关运行经费支出35.84万元，比年初预算数减少3.8万元，降低9.58%。主要原因是：厉行节约，严控机关支行经费支出。</w:t>
      </w:r>
    </w:p>
    <w:p>
      <w:pPr>
        <w:pStyle w:val="12"/>
        <w:spacing w:line="600" w:lineRule="exact"/>
        <w:ind w:firstLine="640" w:firstLineChars="200"/>
        <w:rPr>
          <w:rFonts w:hAnsi="黑体"/>
          <w:bCs/>
          <w:sz w:val="32"/>
          <w:szCs w:val="32"/>
        </w:rPr>
      </w:pPr>
      <w:r>
        <w:rPr>
          <w:rFonts w:hint="eastAsia" w:hAnsi="黑体"/>
          <w:bCs/>
          <w:sz w:val="32"/>
          <w:szCs w:val="32"/>
        </w:rPr>
        <w:t>十、一般性支出情况说明</w:t>
      </w:r>
    </w:p>
    <w:p>
      <w:pPr>
        <w:pStyle w:val="12"/>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2023年本部门开支会议费4.98万元，与全省种子管理工作相关的会议，人数223人，内容为进行全省主要农作物种子生产计划暨春季种子供需形势分析、开展种子纯度现场鉴定、进行国家玉米品种试验飞行检查会议、种业技术能力提升培训会议等，未举办节庆、晚会、论坛、赛事活动。</w:t>
      </w:r>
    </w:p>
    <w:p>
      <w:pPr>
        <w:pStyle w:val="12"/>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2"/>
        <w:spacing w:line="580" w:lineRule="exact"/>
        <w:ind w:firstLine="640" w:firstLineChars="200"/>
        <w:rPr>
          <w:rFonts w:ascii="楷体" w:hAnsi="楷体" w:eastAsia="楷体" w:cs="楷体"/>
          <w:b/>
          <w:bCs/>
          <w:i/>
          <w:color w:val="auto"/>
          <w:sz w:val="32"/>
          <w:szCs w:val="32"/>
        </w:rPr>
      </w:pPr>
      <w:r>
        <w:rPr>
          <w:rFonts w:hint="eastAsia" w:ascii="Times New Roman" w:hAnsi="Times New Roman" w:eastAsia="仿宋_GB2312"/>
          <w:sz w:val="32"/>
          <w:szCs w:val="32"/>
        </w:rPr>
        <w:t>本部门2023年度政府采购支出总额0万元，其中：政府采购货物支出0万元、政府采购工程支出0万元、政府采购服务支出0万元。授予中小企业合同金额0万元，其中：授予小微企业合同金额0万元</w:t>
      </w:r>
      <w:r>
        <w:rPr>
          <w:rFonts w:hint="eastAsia" w:ascii="Times New Roman" w:hAnsi="Times New Roman" w:eastAsia="仿宋_GB2312"/>
          <w:color w:val="auto"/>
          <w:sz w:val="32"/>
          <w:szCs w:val="32"/>
        </w:rPr>
        <w:t>。</w:t>
      </w:r>
    </w:p>
    <w:p>
      <w:pPr>
        <w:pStyle w:val="12"/>
        <w:spacing w:line="580" w:lineRule="exact"/>
        <w:ind w:firstLine="640" w:firstLineChars="200"/>
        <w:rPr>
          <w:rFonts w:hAnsi="黑体"/>
          <w:bCs/>
          <w:color w:val="auto"/>
          <w:sz w:val="32"/>
          <w:szCs w:val="32"/>
        </w:rPr>
      </w:pPr>
      <w:r>
        <w:rPr>
          <w:rFonts w:hint="eastAsia" w:hAnsi="黑体"/>
          <w:bCs/>
          <w:color w:val="auto"/>
          <w:sz w:val="32"/>
          <w:szCs w:val="32"/>
        </w:rPr>
        <w:t>十二、关于国有资产占用情况说明</w:t>
      </w:r>
    </w:p>
    <w:p>
      <w:pPr>
        <w:pStyle w:val="12"/>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2023年12月31日，单位共有车辆0辆，其中，副部（省）级及以上领导用车0辆、主要负责人用车0辆、机要通信用车0辆、应急保障用车0辆、执法执勤用车0辆、特种专业技术用车0辆、离退休干部服务用车0辆、其他用车0辆0；单位价值100万元以上设备（不含车辆）0台（套）。</w:t>
      </w:r>
    </w:p>
    <w:p>
      <w:pPr>
        <w:pStyle w:val="12"/>
        <w:spacing w:line="580" w:lineRule="exact"/>
        <w:ind w:firstLine="640" w:firstLineChars="200"/>
        <w:rPr>
          <w:rFonts w:hAnsi="黑体"/>
          <w:bCs/>
          <w:color w:val="auto"/>
          <w:sz w:val="32"/>
          <w:szCs w:val="32"/>
        </w:rPr>
      </w:pPr>
      <w:r>
        <w:rPr>
          <w:rFonts w:hint="eastAsia" w:hAnsi="黑体"/>
          <w:bCs/>
          <w:color w:val="auto"/>
          <w:sz w:val="32"/>
          <w:szCs w:val="32"/>
        </w:rPr>
        <w:t>十三、关于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pPr>
        <w:pStyle w:val="12"/>
        <w:numPr>
          <w:ilvl w:val="0"/>
          <w:numId w:val="2"/>
        </w:numPr>
        <w:spacing w:line="580" w:lineRule="exact"/>
        <w:rPr>
          <w:rFonts w:hint="eastAsia" w:ascii="楷体_GB2312" w:hAnsi="楷体" w:eastAsia="楷体_GB2312" w:cs="楷体"/>
          <w:b/>
          <w:bCs/>
          <w:sz w:val="32"/>
          <w:szCs w:val="32"/>
        </w:rPr>
      </w:pPr>
      <w:r>
        <w:rPr>
          <w:rFonts w:hint="eastAsia" w:ascii="楷体_GB2312" w:hAnsi="楷体" w:eastAsia="楷体_GB2312" w:cs="楷体"/>
          <w:b/>
          <w:bCs/>
          <w:sz w:val="32"/>
          <w:szCs w:val="32"/>
        </w:rPr>
        <w:t>绩效管理工作开展情况</w:t>
      </w:r>
    </w:p>
    <w:p>
      <w:pPr>
        <w:pStyle w:val="12"/>
        <w:spacing w:line="580" w:lineRule="exact"/>
        <w:ind w:firstLine="627" w:firstLineChars="196"/>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根据《湖南省财政厅关于开展2023年度部门整体支出绩效自评和省级专项资金部门评价工作的通知》（湘财绩〔2024〕1号）和湖南省农业农村厅《关于做好2023年度农业专项资金项目信息化管理和绩效自评工作的通知》（湘农办发〔2024〕8 号）文件要求，站领导高度重视，迅速学习文件精神，要求强化绩效意识，认真开展绩效自评工作，财务科牵头、各科室全部参与，组织对2023年度整体支出进行绩效自评。根据文件要求，绩效自评工作小组从各项数据入手抓好细节的落实，通过整理客观、全面、精准的自评数据材料，提高绩效自评质量，增加量化指标占比，通过数据评指标，提高自评质量。</w:t>
      </w:r>
    </w:p>
    <w:p>
      <w:pPr>
        <w:pStyle w:val="12"/>
        <w:spacing w:line="580" w:lineRule="exact"/>
        <w:ind w:firstLine="643" w:firstLineChars="200"/>
        <w:rPr>
          <w:rFonts w:hint="eastAsia" w:ascii="楷体_GB2312" w:hAnsi="楷体" w:eastAsia="楷体_GB2312" w:cs="楷体"/>
          <w:b/>
          <w:bCs/>
          <w:sz w:val="32"/>
          <w:szCs w:val="32"/>
        </w:rPr>
      </w:pPr>
      <w:r>
        <w:rPr>
          <w:rFonts w:hint="eastAsia" w:ascii="楷体_GB2312" w:hAnsi="楷体" w:eastAsia="楷体_GB2312" w:cs="楷体"/>
          <w:b/>
          <w:bCs/>
          <w:sz w:val="32"/>
          <w:szCs w:val="32"/>
        </w:rPr>
        <w:t>（二）单位</w:t>
      </w:r>
      <w:bookmarkStart w:id="5" w:name="_GoBack"/>
      <w:bookmarkEnd w:id="5"/>
      <w:r>
        <w:rPr>
          <w:rFonts w:hint="eastAsia" w:ascii="楷体_GB2312" w:hAnsi="楷体" w:eastAsia="楷体_GB2312" w:cs="楷体"/>
          <w:b/>
          <w:bCs/>
          <w:sz w:val="32"/>
          <w:szCs w:val="32"/>
        </w:rPr>
        <w:t>整体支出绩效情况</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1、运行成本</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三公”经费支出0万元。其中公务接待费0万元、公务用车运行维护费0万元、车辆购置费支出0万元，较年初预算1.20万元节约1.2万元，节约比为100%。2023年基本支出中水费、电费和差旅费等公用经费年初预算为39.64万元，决算数为35.84万元，节约比为9.59%。会议费和培训费年初预算为18.5万元，决算数为4.98万元，节约比为73.08%，均合理控制在预算以内。</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2、管理效率</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锚定种业振兴目标创新品种管理。服务国家需求，开展镉低积累水稻、节水抗旱稻试验。对新选育的镉低积累水稻品种开展大田验证试验，引进国内新育成的节水抗旱稻品种开展比较试验，筛选健康安全的新优品种。依据市场需要优化试验方案。在区试中增加糯稻等名特优品种，满足市场多无化的品种需求。加强对种性安全的风险排查。对参加区试的品种全部取样进行转基因和DNA指纹检测，大田安全更有保障。切实加强对品种试验过程监管，维护试验的严肃性、公正性。</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规范品种登记加强新品种保护。严格申请材料审核把关。初审前请专家对品种的特异性、一致性和稳定性严格把关，更有效地保护品种不被侵权或盗用，保护育种者合法权益。加强登记品种事后监管。对已登记品种开展符合性验证试验，排除品种潜在风险，提高种质资源利用效率。</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提升组织效能服务品种管理。推进品种登记工作更高水平开展，提升品种审定前期工作质量水平。对企业联合体试验、育繁推一体化企业自主试验均按省级试验的标准和要求进行指导检查，严格规范做好试验数据分析汇总，推动品种研发向高产、优质、安全并重发展。</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3、履职效能</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（1）以种植安全为底线严格种子质量检测</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严格市场监管提升产业发展环境。以种植安全为底线严格种子质量检测。扎实做好市场抽样检测。严防仿劣种子下田，开展品种纯度、真实性和转基因成分检测，从种子质量层面提升“口粮安全”保障水平。严格做好农业农村部委托检测。站属检测中心作为全国首批种子打假护权检测机构，近年来每年承担了全国种子市场专项检查200多个样品的鉴定与检测任务。</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（2）以四大专项行动为抓手引导行业守正创新</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加强预判及早部署市场监管活动。对全年的企业监督检查、春季市场检查、夏季生产基地巡查、秋冬市场专项检查等四大行动做出部署安排。建立省市县三级职责任务清单压实主体责任。全省部门协同、检打联动，在市场监管中严格贯彻“双随机一公开”原则，严厉打击品种侵权、未审先推等违法行为。保障生产经营、使用者的合法权益，营造守正创新的良好氛围。</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抓好种情调度为管理决策提供依据。一是全面开展种子供需形势监测与调度。下发了《关于做好2023年农作物种子夏季产供需调度相关工作的通知》，摸清种子生产面积、品种类型以及主导企业有效库存情况，调节产能布局避免盲目竞争，扎实推进种业基础信息统计分析。5月份完成了2022年度种业行业基本情况统计分析，为管理决策提供数据支持。三是加强对行业信息的分析研判与共享。对全省52个市场观察点开展定期调度，对关键数据召开专家会议进行分析，不定期向行业反馈国内外产业发展动态，供需调度、市场监测与行业统计共享共用，提升管理决策信息化水平。</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4、社会效应</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抓实储备服务保障应急用种需求。根据新《种子法》、2016版《湖南省救灾备荒储备管理办法》和2022年《湖南省救灾备荒储备管理细则》，拟定了储备管理办法修改草案，审签后正式实施。加强过程监管确保储备种子数量质量安全，确保来年应急用种安全。</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狠抓试点示范加快成果转化。一是健全试点示范网络。持续推进部省共建、省县共建展示评价基地建设，新增邵阳、衡阳2个国家级农作物品种展示评价基地，初步形成了覆盖区域广、辐射带动强的展示示范与跟踪评价体系。加强粮食主产县新优品种展示。在不同生态区6个粮食主产县新建展示示范基地，集中展示优质中晚稻、双低油菜品种，加快科研成果转化。组织现场观摩加快新优品种“进村入户”。组织种植大户、农民到田间开展 “看禾选种”，着力改善农民选种难的问题。</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5、可持续发展能力</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规范南繁管理打造示范性平台。一是及时出台《南繁工作指南》，对南繁工作政策法规、管理制度等进行全面梳理，为全省南繁工作的规范开展提供指南，园区标竿作用将逐步显现。二是加强南繁信息收集统计。及时全面准确掌握全省南繁工作基本情况，引导行业合理分配、充分利用好南繁资源。发挥技术优势协同抓好基地建设。协助组织完成了制种大县奖励政策和现代种业提升工程实施情况评估。协同推进基地监管，协同组织开展2023年农作物制种基地专项检查，对制种基地进行摸底调查，提出加强基地建设的政策建议。</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6、服务对象满意度</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我单位服务对象和社会公众满意度为90%以上。</w:t>
      </w:r>
    </w:p>
    <w:p>
      <w:pPr>
        <w:pStyle w:val="12"/>
        <w:spacing w:line="58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我单位公共财政预算支出表执行率为80.6%，项目支出执行率有待提高，项目执行率低的主要原因项目会议及出差任务减少，部分新品种试验示范及低镉品种的试验、示范与推广等工作由于工作安排和农时季节性原因延迟。</w:t>
      </w:r>
    </w:p>
    <w:p>
      <w:pPr>
        <w:pStyle w:val="12"/>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下一步改进措施：定期对预算执行情况进行分析，对执行率低的项目资金分析原因，督促项目实施部门加快项目实施进度，进一步优化相关工作方案，提高预算编制的准确性和科学性。</w:t>
      </w:r>
    </w:p>
    <w:p>
      <w:pPr>
        <w:pStyle w:val="12"/>
        <w:jc w:val="both"/>
        <w:rPr>
          <w:sz w:val="72"/>
          <w:szCs w:val="72"/>
        </w:rPr>
      </w:pPr>
    </w:p>
    <w:p>
      <w:pPr>
        <w:pStyle w:val="12"/>
        <w:jc w:val="center"/>
        <w:rPr>
          <w:sz w:val="72"/>
          <w:szCs w:val="72"/>
        </w:rPr>
      </w:pPr>
    </w:p>
    <w:p>
      <w:pPr>
        <w:pStyle w:val="12"/>
        <w:jc w:val="center"/>
        <w:rPr>
          <w:sz w:val="72"/>
          <w:szCs w:val="72"/>
        </w:rPr>
      </w:pPr>
    </w:p>
    <w:p>
      <w:pPr>
        <w:pStyle w:val="12"/>
        <w:jc w:val="both"/>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简体" w:hAnsi="方正小标宋_GBK" w:eastAsia="方正小标宋简体" w:cs="方正小标宋_GBK"/>
          <w:sz w:val="72"/>
          <w:szCs w:val="72"/>
        </w:rPr>
      </w:pPr>
      <w:r>
        <w:rPr>
          <w:rFonts w:hint="eastAsia" w:ascii="方正小标宋简体" w:hAnsi="方正小标宋_GBK" w:eastAsia="方正小标宋简体" w:cs="方正小标宋_GBK"/>
          <w:sz w:val="72"/>
          <w:szCs w:val="72"/>
        </w:rPr>
        <w:t>第四部分</w:t>
      </w:r>
    </w:p>
    <w:p>
      <w:pPr>
        <w:jc w:val="center"/>
        <w:rPr>
          <w:rFonts w:ascii="方正小标宋简体" w:hAnsi="方正小标宋_GBK" w:eastAsia="方正小标宋简体" w:cs="方正小标宋_GBK"/>
          <w:color w:val="000000"/>
          <w:kern w:val="0"/>
          <w:sz w:val="70"/>
          <w:szCs w:val="70"/>
        </w:rPr>
      </w:pPr>
    </w:p>
    <w:p>
      <w:pPr>
        <w:jc w:val="center"/>
        <w:rPr>
          <w:rFonts w:ascii="方正小标宋简体" w:hAnsi="方正小标宋_GBK" w:eastAsia="方正小标宋简体" w:cs="方正小标宋_GBK"/>
          <w:color w:val="000000"/>
          <w:kern w:val="0"/>
          <w:sz w:val="70"/>
          <w:szCs w:val="70"/>
        </w:rPr>
      </w:pPr>
      <w:r>
        <w:rPr>
          <w:rFonts w:hint="eastAsia" w:ascii="方正小标宋简体" w:hAnsi="方正小标宋_GBK" w:eastAsia="方正小标宋简体"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pStyle w:val="12"/>
        <w:spacing w:line="600" w:lineRule="exac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2"/>
        <w:spacing w:line="600" w:lineRule="exact"/>
        <w:ind w:firstLine="640" w:firstLineChars="200"/>
        <w:rPr>
          <w:rFonts w:ascii="楷体" w:hAnsi="楷体" w:eastAsia="楷体" w:cs="楷体"/>
          <w:b/>
          <w:bCs/>
          <w:i/>
          <w:color w:val="auto"/>
          <w:sz w:val="32"/>
          <w:szCs w:val="32"/>
        </w:rPr>
      </w:pPr>
      <w:r>
        <w:rPr>
          <w:rFonts w:hint="eastAsia" w:asciiTheme="minorEastAsia" w:hAnsiTheme="minorEastAsia" w:eastAsiaTheme="minorEastAsia"/>
          <w:sz w:val="32"/>
          <w:szCs w:val="32"/>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rPr>
          <w:sz w:val="72"/>
          <w:szCs w:val="72"/>
        </w:rPr>
      </w:pPr>
      <w:r>
        <w:rPr>
          <w:sz w:val="72"/>
          <w:szCs w:val="72"/>
        </w:rPr>
        <w:br w:type="page"/>
      </w:r>
    </w:p>
    <w:p>
      <w:pPr>
        <w:pStyle w:val="12"/>
        <w:jc w:val="center"/>
        <w:rPr>
          <w:rFonts w:ascii="方正小标宋_GBK" w:hAnsi="方正小标宋_GBK" w:eastAsia="方正小标宋_GBK" w:cs="方正小标宋_GBK"/>
          <w:sz w:val="72"/>
          <w:szCs w:val="72"/>
        </w:rPr>
      </w:pPr>
    </w:p>
    <w:p>
      <w:pPr>
        <w:pStyle w:val="12"/>
        <w:jc w:val="center"/>
        <w:rPr>
          <w:rFonts w:ascii="方正小标宋_GBK" w:hAnsi="方正小标宋_GBK" w:eastAsia="方正小标宋_GBK" w:cs="方正小标宋_GBK"/>
          <w:sz w:val="72"/>
          <w:szCs w:val="72"/>
        </w:rPr>
      </w:pPr>
    </w:p>
    <w:p>
      <w:pPr>
        <w:pStyle w:val="12"/>
        <w:jc w:val="center"/>
        <w:rPr>
          <w:rFonts w:ascii="方正小标宋简体" w:hAnsi="方正小标宋_GBK" w:eastAsia="方正小标宋简体" w:cs="方正小标宋_GBK"/>
          <w:sz w:val="72"/>
          <w:szCs w:val="72"/>
        </w:rPr>
      </w:pPr>
      <w:r>
        <w:rPr>
          <w:rFonts w:hint="eastAsia" w:ascii="方正小标宋简体" w:hAnsi="方正小标宋_GBK" w:eastAsia="方正小标宋简体" w:cs="方正小标宋_GBK"/>
          <w:sz w:val="72"/>
          <w:szCs w:val="72"/>
        </w:rPr>
        <w:t>第五部分</w:t>
      </w:r>
    </w:p>
    <w:p>
      <w:pPr>
        <w:pStyle w:val="12"/>
        <w:jc w:val="center"/>
        <w:rPr>
          <w:rFonts w:ascii="方正小标宋简体" w:hAnsi="方正小标宋_GBK" w:eastAsia="方正小标宋简体" w:cs="方正小标宋_GBK"/>
          <w:sz w:val="70"/>
          <w:szCs w:val="70"/>
        </w:rPr>
      </w:pPr>
    </w:p>
    <w:p>
      <w:pPr>
        <w:pStyle w:val="12"/>
        <w:jc w:val="center"/>
        <w:rPr>
          <w:rFonts w:ascii="方正小标宋简体" w:eastAsia="方正小标宋简体"/>
          <w:sz w:val="72"/>
          <w:szCs w:val="72"/>
        </w:rPr>
      </w:pPr>
      <w:r>
        <w:rPr>
          <w:rFonts w:hint="eastAsia" w:ascii="方正小标宋简体" w:hAnsi="方正小标宋_GBK" w:eastAsia="方正小标宋简体" w:cs="方正小标宋_GBK"/>
          <w:sz w:val="70"/>
          <w:szCs w:val="70"/>
        </w:rPr>
        <w:t>附 件</w:t>
      </w:r>
    </w:p>
    <w:p>
      <w:pPr>
        <w:rPr>
          <w:sz w:val="72"/>
          <w:szCs w:val="72"/>
        </w:rPr>
      </w:pPr>
      <w:r>
        <w:rPr>
          <w:sz w:val="72"/>
          <w:szCs w:val="72"/>
        </w:rPr>
        <w:br w:type="page"/>
      </w:r>
    </w:p>
    <w:p>
      <w:pPr>
        <w:pStyle w:val="12"/>
        <w:spacing w:line="600" w:lineRule="exact"/>
        <w:ind w:firstLine="643" w:firstLineChars="200"/>
        <w:rPr>
          <w:rFonts w:ascii="Times New Roman" w:hAnsi="Times New Roman" w:eastAsia="黑体"/>
          <w:sz w:val="32"/>
          <w:szCs w:val="32"/>
        </w:rPr>
      </w:pPr>
      <w:r>
        <w:rPr>
          <w:rFonts w:hint="eastAsia" w:ascii="楷体" w:hAnsi="楷体" w:eastAsia="楷体" w:cs="楷体"/>
          <w:b/>
          <w:bCs/>
          <w:sz w:val="32"/>
          <w:szCs w:val="32"/>
        </w:rPr>
        <w:t>一、</w:t>
      </w:r>
      <w:r>
        <w:rPr>
          <w:rFonts w:hint="eastAsia" w:ascii="Times New Roman" w:hAnsi="Times New Roman" w:eastAsia="仿宋_GB2312"/>
          <w:sz w:val="32"/>
          <w:szCs w:val="32"/>
        </w:rPr>
        <w:t>2023年度单位整体支出绩效自评报告。</w:t>
      </w:r>
    </w:p>
    <w:p>
      <w:pPr>
        <w:spacing w:line="600" w:lineRule="exact"/>
        <w:rPr>
          <w:rFonts w:ascii="Times New Roman" w:hAnsi="Times New Roman" w:eastAsia="黑体"/>
          <w:sz w:val="32"/>
          <w:szCs w:val="32"/>
        </w:rPr>
      </w:pPr>
    </w:p>
    <w:p>
      <w:pPr>
        <w:spacing w:line="600" w:lineRule="exact"/>
        <w:rPr>
          <w:rFonts w:ascii="Times New Roman" w:hAnsi="Times New Roman" w:eastAsia="黑体"/>
          <w:sz w:val="32"/>
          <w:szCs w:val="32"/>
        </w:rPr>
      </w:pPr>
    </w:p>
    <w:p>
      <w:pPr>
        <w:pStyle w:val="18"/>
        <w:rPr>
          <w:rFonts w:ascii="Times New Roman" w:hAnsi="Times New Roman"/>
        </w:rPr>
      </w:pPr>
    </w:p>
    <w:p>
      <w:pPr>
        <w:spacing w:line="600" w:lineRule="exact"/>
        <w:rPr>
          <w:rFonts w:ascii="Times New Roman" w:hAnsi="Times New Roman" w:eastAsia="黑体"/>
          <w:sz w:val="32"/>
          <w:szCs w:val="32"/>
        </w:rPr>
      </w:pPr>
    </w:p>
    <w:p>
      <w:pPr>
        <w:jc w:val="center"/>
        <w:rPr>
          <w:rFonts w:ascii="Times New Roman" w:hAnsi="Times New Roman" w:eastAsia="方正小标宋简体"/>
          <w:sz w:val="52"/>
          <w:szCs w:val="52"/>
        </w:rPr>
      </w:pPr>
      <w:r>
        <w:rPr>
          <w:rFonts w:ascii="Times New Roman" w:hAnsi="Times New Roman" w:eastAsia="方正小标宋简体"/>
          <w:sz w:val="52"/>
          <w:szCs w:val="52"/>
        </w:rPr>
        <w:t>2023年度湖南省</w:t>
      </w:r>
      <w:r>
        <w:rPr>
          <w:rFonts w:hint="eastAsia" w:ascii="Times New Roman" w:hAnsi="Times New Roman" w:eastAsia="方正小标宋简体"/>
          <w:sz w:val="52"/>
          <w:szCs w:val="52"/>
        </w:rPr>
        <w:t>种子管理服务站</w:t>
      </w:r>
    </w:p>
    <w:p>
      <w:pPr>
        <w:jc w:val="center"/>
        <w:rPr>
          <w:rFonts w:ascii="Times New Roman" w:hAnsi="Times New Roman" w:eastAsia="方正小标宋简体"/>
          <w:sz w:val="52"/>
          <w:szCs w:val="52"/>
        </w:rPr>
      </w:pPr>
      <w:r>
        <w:rPr>
          <w:rFonts w:ascii="Times New Roman" w:hAnsi="Times New Roman" w:eastAsia="方正小标宋简体"/>
          <w:sz w:val="52"/>
          <w:szCs w:val="52"/>
        </w:rPr>
        <w:t>整体支出绩效自评报告</w:t>
      </w:r>
    </w:p>
    <w:p>
      <w:pPr>
        <w:jc w:val="center"/>
        <w:rPr>
          <w:rFonts w:ascii="Times New Roman" w:hAnsi="Times New Roman" w:eastAsia="方正小标宋_GBK"/>
          <w:b/>
          <w:sz w:val="52"/>
          <w:szCs w:val="5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黑体"/>
          <w:sz w:val="32"/>
          <w:szCs w:val="32"/>
        </w:rPr>
      </w:pPr>
    </w:p>
    <w:p>
      <w:pPr>
        <w:rPr>
          <w:rFonts w:ascii="Times New Roman" w:hAnsi="Times New Roman" w:eastAsia="黑体"/>
          <w:sz w:val="32"/>
          <w:szCs w:val="32"/>
        </w:rPr>
      </w:pPr>
    </w:p>
    <w:p>
      <w:pPr>
        <w:pStyle w:val="18"/>
        <w:rPr>
          <w:rFonts w:ascii="Times New Roman" w:hAnsi="Times New Roman"/>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spacing w:line="600" w:lineRule="exact"/>
        <w:jc w:val="center"/>
        <w:rPr>
          <w:rFonts w:ascii="Times New Roman" w:hAnsi="Times New Roman" w:eastAsia="黑体"/>
          <w:sz w:val="32"/>
          <w:szCs w:val="32"/>
        </w:rPr>
      </w:pPr>
      <w:r>
        <w:rPr>
          <w:rFonts w:ascii="Times New Roman" w:hAnsi="Times New Roman" w:eastAsia="黑体"/>
          <w:sz w:val="32"/>
          <w:szCs w:val="32"/>
        </w:rPr>
        <w:t>湖南省</w:t>
      </w:r>
      <w:r>
        <w:rPr>
          <w:rFonts w:hint="eastAsia" w:ascii="Times New Roman" w:hAnsi="Times New Roman" w:eastAsia="黑体"/>
          <w:sz w:val="32"/>
          <w:szCs w:val="32"/>
        </w:rPr>
        <w:t>种子管理服务站</w:t>
      </w:r>
    </w:p>
    <w:p>
      <w:pPr>
        <w:jc w:val="center"/>
        <w:rPr>
          <w:rFonts w:ascii="Times New Roman" w:hAnsi="Times New Roman" w:eastAsia="黑体"/>
          <w:sz w:val="32"/>
          <w:szCs w:val="32"/>
        </w:rPr>
      </w:pPr>
    </w:p>
    <w:p>
      <w:pPr>
        <w:spacing w:line="600" w:lineRule="exact"/>
        <w:rPr>
          <w:rFonts w:ascii="Times New Roman" w:hAnsi="Times New Roman" w:eastAsia="仿宋_GB2312"/>
          <w:sz w:val="32"/>
          <w:szCs w:val="32"/>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charSpace="0"/>
        </w:sectPr>
      </w:pPr>
    </w:p>
    <w:p>
      <w:pPr>
        <w:pStyle w:val="18"/>
        <w:rPr>
          <w:rFonts w:ascii="Times New Roman" w:hAnsi="Times New Roman"/>
        </w:rPr>
      </w:pP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根据《湖南省财政厅关于开展2023年度部门整体支出绩效自评和省级专项资金部门评价工作的通知》（湘财绩〔202</w:t>
      </w:r>
      <w:r>
        <w:rPr>
          <w:rFonts w:hint="eastAsia" w:ascii="Times New Roman" w:hAnsi="Times New Roman" w:eastAsia="仿宋_GB2312"/>
          <w:sz w:val="32"/>
          <w:szCs w:val="32"/>
        </w:rPr>
        <w:t>4</w:t>
      </w:r>
      <w:r>
        <w:rPr>
          <w:rFonts w:ascii="Times New Roman" w:hAnsi="Times New Roman" w:eastAsia="仿宋_GB2312"/>
          <w:sz w:val="32"/>
          <w:szCs w:val="32"/>
        </w:rPr>
        <w:t>〕1号）</w:t>
      </w:r>
      <w:r>
        <w:rPr>
          <w:rFonts w:hint="eastAsia" w:ascii="Times New Roman" w:hAnsi="Times New Roman" w:eastAsia="仿宋_GB2312"/>
          <w:sz w:val="32"/>
          <w:szCs w:val="32"/>
        </w:rPr>
        <w:t>和湖南省农业农村厅《关于做好2023年度农业专项资金项目信息化管理和绩效自评工作的通知》（湘农办发〔2024〕8 号）</w:t>
      </w:r>
      <w:r>
        <w:rPr>
          <w:rFonts w:ascii="Times New Roman" w:hAnsi="Times New Roman" w:eastAsia="仿宋_GB2312"/>
          <w:sz w:val="32"/>
          <w:szCs w:val="32"/>
        </w:rPr>
        <w:t>文件要求，</w:t>
      </w:r>
      <w:r>
        <w:rPr>
          <w:rFonts w:hint="eastAsia" w:ascii="Times New Roman" w:hAnsi="Times New Roman" w:eastAsia="仿宋_GB2312"/>
          <w:sz w:val="32"/>
          <w:szCs w:val="32"/>
        </w:rPr>
        <w:t>我单位</w:t>
      </w:r>
      <w:r>
        <w:rPr>
          <w:rFonts w:ascii="Times New Roman" w:hAnsi="Times New Roman" w:eastAsia="仿宋_GB2312"/>
          <w:sz w:val="32"/>
          <w:szCs w:val="32"/>
        </w:rPr>
        <w:t>组织对2023年度整体支出进行绩效自评。</w:t>
      </w:r>
    </w:p>
    <w:p>
      <w:pPr>
        <w:spacing w:line="600" w:lineRule="exact"/>
        <w:ind w:firstLine="640" w:firstLineChars="200"/>
        <w:outlineLvl w:val="0"/>
        <w:rPr>
          <w:rFonts w:ascii="Times New Roman" w:hAnsi="Times New Roman" w:eastAsia="仿宋_GB2312"/>
          <w:sz w:val="32"/>
          <w:szCs w:val="32"/>
        </w:rPr>
      </w:pPr>
      <w:r>
        <w:rPr>
          <w:rFonts w:ascii="Times New Roman" w:hAnsi="Times New Roman" w:eastAsia="方正公文黑体"/>
          <w:sz w:val="32"/>
          <w:szCs w:val="32"/>
        </w:rPr>
        <w:t>一、基本情况</w:t>
      </w:r>
    </w:p>
    <w:p>
      <w:pPr>
        <w:ind w:firstLine="643" w:firstLineChars="200"/>
        <w:rPr>
          <w:rFonts w:ascii="仿宋_GB2312" w:hAnsi="仿宋_GB2312" w:eastAsia="仿宋_GB2312" w:cs="仿宋_GB2312"/>
          <w:sz w:val="32"/>
          <w:szCs w:val="32"/>
        </w:rPr>
      </w:pPr>
      <w:r>
        <w:rPr>
          <w:rFonts w:ascii="Times New Roman" w:hAnsi="Times New Roman" w:eastAsia="楷体_GB2312"/>
          <w:b/>
          <w:bCs/>
          <w:sz w:val="32"/>
          <w:szCs w:val="32"/>
        </w:rPr>
        <w:t>1</w:t>
      </w:r>
      <w:r>
        <w:rPr>
          <w:rFonts w:hint="eastAsia" w:ascii="Times New Roman" w:hAnsi="Times New Roman" w:eastAsia="楷体_GB2312"/>
          <w:b/>
          <w:bCs/>
          <w:sz w:val="32"/>
          <w:szCs w:val="32"/>
        </w:rPr>
        <w:t>.</w:t>
      </w:r>
      <w:r>
        <w:rPr>
          <w:rFonts w:ascii="Times New Roman" w:hAnsi="Times New Roman" w:eastAsia="楷体_GB2312"/>
          <w:b/>
          <w:bCs/>
          <w:sz w:val="32"/>
          <w:szCs w:val="32"/>
        </w:rPr>
        <w:t>主要职能。</w:t>
      </w:r>
      <w:r>
        <w:rPr>
          <w:rFonts w:hint="eastAsia" w:ascii="Times New Roman" w:hAnsi="Times New Roman" w:eastAsia="仿宋_GB2312"/>
          <w:sz w:val="32"/>
          <w:szCs w:val="32"/>
        </w:rPr>
        <w:t>湖南省种子管理服务站系湖南省农业农村厅二级预算单位，组织实施省级农作物品种区域试验、生产试验,承担省级审定农作物品种标准样品的封存、保管工作；负责省级农作物新品种展示、示范工作；负责农作物种子质量检验工作,承担种子检验员、种子质量检验机构考核的技术评价工作；承担农作物种子纯度种植鉴定和组织种子质量纠纷田间现场鉴定工作；开展种子供需形势调度和价格监测,负责种业基础信息收集和统计分析；承担救灾备荒种子储备管理的技术服务工作；承担农作物种子南繁技术服务工作；负责种子繁育、检验、加工、储藏等种业新技术的试验、示范与推广工作；承担种业技术标准的制修订工作；厅领导交办的其他工作。</w:t>
      </w:r>
      <w:r>
        <w:rPr>
          <w:rFonts w:hint="eastAsia" w:ascii="仿宋_GB2312" w:hAnsi="仿宋_GB2312" w:eastAsia="仿宋_GB2312" w:cs="仿宋_GB2312"/>
          <w:sz w:val="32"/>
          <w:szCs w:val="32"/>
        </w:rPr>
        <w:t>。</w:t>
      </w:r>
    </w:p>
    <w:p>
      <w:pPr>
        <w:snapToGrid w:val="0"/>
        <w:spacing w:line="600" w:lineRule="exact"/>
        <w:ind w:firstLine="643" w:firstLineChars="200"/>
        <w:rPr>
          <w:rFonts w:ascii="Times New Roman" w:hAnsi="Times New Roman" w:eastAsia="仿宋_GB2312"/>
          <w:sz w:val="32"/>
          <w:szCs w:val="32"/>
        </w:rPr>
      </w:pPr>
      <w:r>
        <w:rPr>
          <w:rFonts w:ascii="Times New Roman" w:hAnsi="Times New Roman" w:eastAsia="楷体_GB2312"/>
          <w:b/>
          <w:bCs/>
          <w:sz w:val="32"/>
          <w:szCs w:val="32"/>
        </w:rPr>
        <w:t>2</w:t>
      </w:r>
      <w:r>
        <w:rPr>
          <w:rFonts w:hint="eastAsia" w:ascii="Times New Roman" w:hAnsi="Times New Roman" w:eastAsia="楷体_GB2312"/>
          <w:b/>
          <w:bCs/>
          <w:sz w:val="32"/>
          <w:szCs w:val="32"/>
        </w:rPr>
        <w:t>.</w:t>
      </w:r>
      <w:r>
        <w:rPr>
          <w:rFonts w:hint="eastAsia"/>
        </w:rPr>
        <w:t xml:space="preserve"> </w:t>
      </w:r>
      <w:r>
        <w:rPr>
          <w:rFonts w:hint="eastAsia" w:ascii="Times New Roman" w:hAnsi="Times New Roman" w:eastAsia="楷体_GB2312"/>
          <w:b/>
          <w:bCs/>
          <w:sz w:val="32"/>
          <w:szCs w:val="32"/>
        </w:rPr>
        <w:t>内设机构设置</w:t>
      </w:r>
      <w:r>
        <w:rPr>
          <w:rFonts w:ascii="Times New Roman" w:hAnsi="Times New Roman" w:eastAsia="楷体_GB2312"/>
          <w:b/>
          <w:bCs/>
          <w:sz w:val="32"/>
          <w:szCs w:val="32"/>
        </w:rPr>
        <w:t>。</w:t>
      </w:r>
      <w:r>
        <w:rPr>
          <w:rFonts w:hint="eastAsia" w:ascii="Times New Roman" w:hAnsi="Times New Roman" w:eastAsia="仿宋_GB2312"/>
          <w:sz w:val="32"/>
          <w:szCs w:val="32"/>
        </w:rPr>
        <w:t>湖南省种子管理服务站内设机构包括：综合科、财务科、品种管理科、生产与质量科、植物新品种保护科（市场监管科）、种业信息与技术科等六个科室。</w:t>
      </w:r>
    </w:p>
    <w:p>
      <w:pPr>
        <w:spacing w:line="600" w:lineRule="exact"/>
        <w:ind w:firstLine="643" w:firstLineChars="200"/>
        <w:rPr>
          <w:rFonts w:ascii="Times New Roman" w:hAnsi="Times New Roman" w:eastAsia="仿宋_GB2312"/>
          <w:sz w:val="32"/>
          <w:szCs w:val="32"/>
        </w:rPr>
      </w:pPr>
      <w:r>
        <w:rPr>
          <w:rFonts w:ascii="Times New Roman" w:hAnsi="Times New Roman" w:eastAsia="楷体_GB2312"/>
          <w:b/>
          <w:bCs/>
          <w:sz w:val="32"/>
          <w:szCs w:val="32"/>
        </w:rPr>
        <w:t>3</w:t>
      </w:r>
      <w:r>
        <w:rPr>
          <w:rFonts w:hint="eastAsia" w:ascii="Times New Roman" w:hAnsi="Times New Roman" w:eastAsia="楷体_GB2312"/>
          <w:b/>
          <w:bCs/>
          <w:sz w:val="32"/>
          <w:szCs w:val="32"/>
        </w:rPr>
        <w:t>.</w:t>
      </w:r>
      <w:r>
        <w:rPr>
          <w:rFonts w:ascii="Times New Roman" w:hAnsi="Times New Roman" w:eastAsia="楷体_GB2312"/>
          <w:b/>
          <w:bCs/>
          <w:sz w:val="32"/>
          <w:szCs w:val="32"/>
        </w:rPr>
        <w:t>人员情况。</w:t>
      </w:r>
      <w:r>
        <w:rPr>
          <w:rFonts w:ascii="Times New Roman" w:hAnsi="Times New Roman" w:eastAsia="仿宋_GB2312"/>
          <w:sz w:val="32"/>
          <w:szCs w:val="32"/>
        </w:rPr>
        <w:t>截至2023年底，</w:t>
      </w:r>
      <w:r>
        <w:rPr>
          <w:rFonts w:hint="eastAsia" w:ascii="Times New Roman" w:hAnsi="Times New Roman" w:eastAsia="仿宋_GB2312"/>
          <w:sz w:val="32"/>
          <w:szCs w:val="32"/>
        </w:rPr>
        <w:t>省种子管理服务站实有在职人员10人，其中：参照公务员法管理事业人员13人；退休人员18人。</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二、一般公共预算支出情况</w:t>
      </w:r>
    </w:p>
    <w:p>
      <w:pPr>
        <w:pStyle w:val="13"/>
        <w:widowControl/>
        <w:spacing w:line="600" w:lineRule="exact"/>
        <w:ind w:firstLine="643"/>
        <w:outlineLvl w:val="1"/>
        <w:rPr>
          <w:rFonts w:ascii="Times New Roman" w:hAnsi="Times New Roman" w:eastAsia="楷体_GB2312"/>
          <w:b/>
          <w:bCs/>
          <w:sz w:val="32"/>
          <w:szCs w:val="32"/>
        </w:rPr>
      </w:pPr>
      <w:r>
        <w:rPr>
          <w:rFonts w:ascii="Times New Roman" w:hAnsi="Times New Roman" w:eastAsia="楷体_GB2312"/>
          <w:b/>
          <w:bCs/>
          <w:sz w:val="32"/>
          <w:szCs w:val="32"/>
        </w:rPr>
        <w:t>（一）基本支出情况</w:t>
      </w:r>
    </w:p>
    <w:p>
      <w:pPr>
        <w:spacing w:line="600" w:lineRule="exact"/>
        <w:ind w:firstLine="632" w:firstLineChars="200"/>
        <w:rPr>
          <w:rFonts w:ascii="Times New Roman" w:hAnsi="Times New Roman" w:eastAsia="仿宋_GB2312"/>
          <w:bCs/>
          <w:spacing w:val="-2"/>
          <w:sz w:val="32"/>
          <w:szCs w:val="32"/>
        </w:rPr>
      </w:pPr>
      <w:r>
        <w:rPr>
          <w:rFonts w:ascii="Times New Roman" w:hAnsi="Times New Roman" w:eastAsia="仿宋_GB2312"/>
          <w:spacing w:val="-2"/>
          <w:sz w:val="32"/>
          <w:szCs w:val="32"/>
        </w:rPr>
        <w:t>2023年</w:t>
      </w:r>
      <w:r>
        <w:rPr>
          <w:rFonts w:ascii="Times New Roman" w:hAnsi="Times New Roman" w:eastAsia="仿宋_GB2312"/>
          <w:sz w:val="32"/>
          <w:szCs w:val="32"/>
        </w:rPr>
        <w:t>基本支出预算安排为</w:t>
      </w:r>
      <w:r>
        <w:rPr>
          <w:rFonts w:ascii="Times New Roman" w:hAnsi="Times New Roman" w:eastAsia="仿宋_GB2312"/>
          <w:spacing w:val="-2"/>
          <w:sz w:val="32"/>
          <w:szCs w:val="32"/>
          <w:lang w:val="en"/>
        </w:rPr>
        <w:t>420.83</w:t>
      </w:r>
      <w:r>
        <w:rPr>
          <w:rFonts w:ascii="Times New Roman" w:hAnsi="Times New Roman" w:eastAsia="仿宋_GB2312"/>
          <w:sz w:val="32"/>
          <w:szCs w:val="32"/>
        </w:rPr>
        <w:t>万元，实际</w:t>
      </w:r>
      <w:r>
        <w:rPr>
          <w:rFonts w:ascii="Times New Roman" w:hAnsi="Times New Roman" w:eastAsia="仿宋_GB2312"/>
          <w:spacing w:val="-2"/>
          <w:sz w:val="32"/>
          <w:szCs w:val="32"/>
        </w:rPr>
        <w:t>支出</w:t>
      </w:r>
      <w:r>
        <w:rPr>
          <w:rFonts w:ascii="Times New Roman" w:hAnsi="Times New Roman" w:eastAsia="仿宋_GB2312"/>
          <w:spacing w:val="-2"/>
          <w:sz w:val="32"/>
          <w:szCs w:val="32"/>
          <w:lang w:val="en"/>
        </w:rPr>
        <w:t>388.80</w:t>
      </w:r>
      <w:r>
        <w:rPr>
          <w:rFonts w:ascii="Times New Roman" w:hAnsi="Times New Roman" w:eastAsia="仿宋_GB2312"/>
          <w:spacing w:val="-2"/>
          <w:sz w:val="32"/>
          <w:szCs w:val="32"/>
        </w:rPr>
        <w:t>万元，其中工资福利支出</w:t>
      </w:r>
      <w:r>
        <w:rPr>
          <w:rFonts w:hint="eastAsia" w:ascii="Times New Roman" w:hAnsi="Times New Roman" w:eastAsia="仿宋_GB2312"/>
          <w:spacing w:val="-2"/>
          <w:sz w:val="32"/>
          <w:szCs w:val="32"/>
          <w:lang w:val="en"/>
        </w:rPr>
        <w:t>250.35</w:t>
      </w:r>
      <w:r>
        <w:rPr>
          <w:rFonts w:ascii="Times New Roman" w:hAnsi="Times New Roman" w:eastAsia="仿宋_GB2312"/>
          <w:spacing w:val="-2"/>
          <w:sz w:val="32"/>
          <w:szCs w:val="32"/>
        </w:rPr>
        <w:t>万元，商品服务支出</w:t>
      </w:r>
      <w:r>
        <w:rPr>
          <w:rFonts w:hint="eastAsia" w:ascii="Times New Roman" w:hAnsi="Times New Roman" w:eastAsia="仿宋_GB2312"/>
          <w:spacing w:val="-2"/>
          <w:sz w:val="32"/>
          <w:szCs w:val="32"/>
          <w:lang w:val="en"/>
        </w:rPr>
        <w:t>35.84</w:t>
      </w:r>
      <w:r>
        <w:rPr>
          <w:rFonts w:ascii="Times New Roman" w:hAnsi="Times New Roman" w:eastAsia="仿宋_GB2312"/>
          <w:spacing w:val="-2"/>
          <w:sz w:val="32"/>
          <w:szCs w:val="32"/>
        </w:rPr>
        <w:t>万元，对个人和家庭的补助支出</w:t>
      </w:r>
      <w:r>
        <w:rPr>
          <w:rFonts w:hint="eastAsia" w:ascii="Times New Roman" w:hAnsi="Times New Roman" w:eastAsia="仿宋_GB2312"/>
          <w:spacing w:val="-2"/>
          <w:sz w:val="32"/>
          <w:szCs w:val="32"/>
          <w:lang w:val="en"/>
        </w:rPr>
        <w:t>102.61</w:t>
      </w:r>
      <w:r>
        <w:rPr>
          <w:rFonts w:ascii="Times New Roman" w:hAnsi="Times New Roman" w:eastAsia="仿宋_GB2312"/>
          <w:spacing w:val="-2"/>
          <w:sz w:val="32"/>
          <w:szCs w:val="32"/>
        </w:rPr>
        <w:t>万元。</w:t>
      </w:r>
      <w:r>
        <w:rPr>
          <w:rFonts w:ascii="Times New Roman" w:hAnsi="Times New Roman" w:eastAsia="仿宋_GB2312"/>
          <w:sz w:val="32"/>
          <w:szCs w:val="32"/>
        </w:rPr>
        <w:t>指标结余32.03万元</w:t>
      </w:r>
      <w:r>
        <w:rPr>
          <w:rFonts w:ascii="Times New Roman" w:hAnsi="Times New Roman" w:eastAsia="仿宋_GB2312"/>
          <w:spacing w:val="-2"/>
          <w:sz w:val="32"/>
          <w:szCs w:val="32"/>
        </w:rPr>
        <w:t>，完成预算安排的</w:t>
      </w:r>
      <w:r>
        <w:rPr>
          <w:rFonts w:ascii="Times New Roman" w:hAnsi="Times New Roman" w:eastAsia="仿宋_GB2312"/>
          <w:spacing w:val="-2"/>
          <w:sz w:val="32"/>
          <w:szCs w:val="32"/>
          <w:lang w:val="en"/>
        </w:rPr>
        <w:t>9</w:t>
      </w:r>
      <w:r>
        <w:rPr>
          <w:rFonts w:hint="eastAsia" w:ascii="Times New Roman" w:hAnsi="Times New Roman" w:eastAsia="仿宋_GB2312"/>
          <w:spacing w:val="-2"/>
          <w:sz w:val="32"/>
          <w:szCs w:val="32"/>
          <w:lang w:val="en"/>
        </w:rPr>
        <w:t>2</w:t>
      </w:r>
      <w:r>
        <w:rPr>
          <w:rFonts w:ascii="Times New Roman" w:hAnsi="Times New Roman" w:eastAsia="仿宋_GB2312"/>
          <w:spacing w:val="-2"/>
          <w:sz w:val="32"/>
          <w:szCs w:val="32"/>
          <w:lang w:val="en"/>
        </w:rPr>
        <w:t>.</w:t>
      </w:r>
      <w:r>
        <w:rPr>
          <w:rFonts w:hint="eastAsia" w:ascii="Times New Roman" w:hAnsi="Times New Roman" w:eastAsia="仿宋_GB2312"/>
          <w:spacing w:val="-2"/>
          <w:sz w:val="32"/>
          <w:szCs w:val="32"/>
          <w:lang w:val="en"/>
        </w:rPr>
        <w:t>39</w:t>
      </w:r>
      <w:r>
        <w:rPr>
          <w:rFonts w:ascii="Times New Roman" w:hAnsi="Times New Roman" w:eastAsia="仿宋_GB2312"/>
          <w:spacing w:val="-2"/>
          <w:sz w:val="32"/>
          <w:szCs w:val="32"/>
          <w:lang w:val="en"/>
        </w:rPr>
        <w:t>%</w:t>
      </w:r>
      <w:r>
        <w:rPr>
          <w:rFonts w:ascii="Times New Roman" w:hAnsi="Times New Roman" w:eastAsia="仿宋_GB2312"/>
          <w:spacing w:val="-2"/>
          <w:sz w:val="32"/>
          <w:szCs w:val="32"/>
        </w:rPr>
        <w:t>，基本支出</w:t>
      </w:r>
      <w:bookmarkStart w:id="3" w:name="OLE_LINK5"/>
      <w:bookmarkStart w:id="4" w:name="OLE_LINK4"/>
      <w:r>
        <w:rPr>
          <w:rFonts w:ascii="Times New Roman" w:hAnsi="Times New Roman" w:eastAsia="仿宋_GB2312"/>
          <w:spacing w:val="-2"/>
          <w:sz w:val="32"/>
          <w:szCs w:val="32"/>
        </w:rPr>
        <w:t>较好地控制在预算额度内。</w:t>
      </w:r>
      <w:bookmarkEnd w:id="3"/>
      <w:bookmarkEnd w:id="4"/>
    </w:p>
    <w:p>
      <w:pPr>
        <w:pStyle w:val="13"/>
        <w:widowControl/>
        <w:spacing w:line="600" w:lineRule="exact"/>
        <w:ind w:firstLine="643"/>
        <w:outlineLvl w:val="1"/>
        <w:rPr>
          <w:rFonts w:ascii="Times New Roman" w:hAnsi="Times New Roman" w:eastAsia="楷体_GB2312"/>
          <w:b/>
          <w:bCs/>
          <w:sz w:val="32"/>
          <w:szCs w:val="32"/>
        </w:rPr>
      </w:pPr>
      <w:r>
        <w:rPr>
          <w:rFonts w:ascii="Times New Roman" w:hAnsi="Times New Roman" w:eastAsia="楷体_GB2312"/>
          <w:b/>
          <w:bCs/>
          <w:sz w:val="32"/>
          <w:szCs w:val="32"/>
        </w:rPr>
        <w:t>（二）项目支出情况</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2023年项目支出预算安排168.46万元，本年项目支出数为86.18万元，其中商品和服务支出86.18万元，年末结转结余82.28万元。</w:t>
      </w:r>
      <w:r>
        <w:rPr>
          <w:rFonts w:ascii="Times New Roman" w:hAnsi="Times New Roman" w:eastAsia="仿宋_GB2312"/>
          <w:sz w:val="32"/>
          <w:szCs w:val="32"/>
        </w:rPr>
        <w:t>其中</w:t>
      </w:r>
      <w:r>
        <w:rPr>
          <w:rFonts w:hint="eastAsia" w:ascii="Times New Roman" w:hAnsi="Times New Roman" w:eastAsia="仿宋_GB2312"/>
          <w:sz w:val="32"/>
          <w:szCs w:val="32"/>
        </w:rPr>
        <w:t>：农业生产发展专项商品和服务支出76.94万元；农产品质量安全专项商品和服务支出9.24万元</w:t>
      </w:r>
      <w:r>
        <w:rPr>
          <w:rFonts w:ascii="Times New Roman" w:hAnsi="Times New Roman" w:eastAsia="仿宋_GB2312"/>
          <w:sz w:val="32"/>
          <w:szCs w:val="32"/>
        </w:rPr>
        <w:t>。</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三、政府性基金预算支出情况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四、国有资本经营预算支出情况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60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五、社会保险基金预算支出情况</w:t>
      </w:r>
    </w:p>
    <w:p>
      <w:pPr>
        <w:pStyle w:val="13"/>
        <w:widowControl/>
        <w:spacing w:line="600" w:lineRule="exact"/>
        <w:ind w:firstLine="640"/>
        <w:rPr>
          <w:rFonts w:ascii="Times New Roman" w:hAnsi="Times New Roman" w:eastAsia="仿宋_GB2312"/>
          <w:sz w:val="32"/>
          <w:szCs w:val="32"/>
        </w:rPr>
      </w:pPr>
      <w:r>
        <w:rPr>
          <w:rFonts w:ascii="Times New Roman" w:hAnsi="Times New Roman" w:eastAsia="仿宋_GB2312"/>
          <w:sz w:val="32"/>
          <w:szCs w:val="32"/>
        </w:rPr>
        <w:t>无。</w:t>
      </w:r>
    </w:p>
    <w:p>
      <w:pPr>
        <w:spacing w:line="58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六、部门整体支出绩效情况</w:t>
      </w:r>
    </w:p>
    <w:p>
      <w:pPr>
        <w:pStyle w:val="19"/>
        <w:pBdr>
          <w:bottom w:val="single" w:color="FFFFFF" w:sz="4" w:space="31"/>
        </w:pBdr>
        <w:tabs>
          <w:tab w:val="left" w:pos="1440"/>
        </w:tabs>
        <w:adjustRightInd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2023年，我站严格按照厅党组的决策部署，立足湖南农作物种业新的发展阶段，以种业技术服务为主线，助力种业振兴，引领湖南种业高质量发展，较好地完成了全年目标任务。</w:t>
      </w:r>
    </w:p>
    <w:p>
      <w:pPr>
        <w:pStyle w:val="19"/>
        <w:numPr>
          <w:ilvl w:val="0"/>
          <w:numId w:val="3"/>
        </w:numPr>
        <w:pBdr>
          <w:bottom w:val="single" w:color="FFFFFF" w:sz="4" w:space="31"/>
        </w:pBdr>
        <w:tabs>
          <w:tab w:val="left" w:pos="1440"/>
        </w:tabs>
        <w:adjustRightInd w:val="0"/>
        <w:snapToGrid w:val="0"/>
        <w:spacing w:line="580" w:lineRule="exact"/>
        <w:ind w:firstLine="643" w:firstLineChars="200"/>
        <w:outlineLvl w:val="1"/>
        <w:rPr>
          <w:rFonts w:ascii="楷体_GB2312" w:hAnsi="楷体_GB2312" w:eastAsia="楷体_GB2312" w:cs="楷体_GB2312"/>
          <w:b/>
          <w:sz w:val="32"/>
          <w:szCs w:val="32"/>
        </w:rPr>
      </w:pPr>
      <w:r>
        <w:rPr>
          <w:rFonts w:hint="eastAsia" w:ascii="楷体_GB2312" w:hAnsi="楷体_GB2312" w:eastAsia="楷体_GB2312" w:cs="楷体_GB2312"/>
          <w:b/>
          <w:sz w:val="32"/>
          <w:szCs w:val="32"/>
        </w:rPr>
        <w:t>严控运行成本</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hint="eastAsia" w:ascii="Times New Roman" w:hAnsi="Times New Roman" w:eastAsia="仿宋_GB2312"/>
          <w:sz w:val="32"/>
          <w:szCs w:val="32"/>
          <w:shd w:val="clear" w:color="auto" w:fill="FFFFFF"/>
        </w:rPr>
        <w:t>2023年“三公”经费支出0万元。其中公务接待费0万元、公务用车运行维护费0万元、车辆购置费支出0万元，较年初预算1.20万元节约1.2万元，节约比为100%。2023年基本支出中水费、电费和差旅费等公用经费年初预算为39.64万元，决算数为35.84万元，节约比为9.59%。会议费和培训费年初预算为18.5万元，决算数为4.98万元，节约比为73.08%，均合理控制在预算以内。</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kern w:val="0"/>
          <w:sz w:val="32"/>
          <w:szCs w:val="32"/>
          <w:shd w:val="clear" w:color="auto" w:fill="FFFFFF"/>
          <w:lang w:bidi="ar"/>
        </w:rPr>
      </w:pPr>
      <w:r>
        <w:rPr>
          <w:rFonts w:ascii="Times New Roman" w:hAnsi="Times New Roman" w:eastAsia="仿宋_GB2312"/>
          <w:bCs/>
          <w:sz w:val="32"/>
          <w:szCs w:val="32"/>
          <w:shd w:val="clear" w:color="auto" w:fill="FFFFFF"/>
        </w:rPr>
        <w:t>规范资产的管理。</w:t>
      </w:r>
      <w:r>
        <w:rPr>
          <w:rFonts w:ascii="Times New Roman" w:hAnsi="Times New Roman" w:eastAsia="仿宋_GB2312"/>
          <w:sz w:val="32"/>
          <w:szCs w:val="32"/>
          <w:shd w:val="clear" w:color="auto" w:fill="FFFFFF"/>
        </w:rPr>
        <w:t>定期开展资产清查。严格按照国有资产配置限额和标准，有计划有部署地做好资产预算编制和政府采购工作，</w:t>
      </w:r>
      <w:r>
        <w:rPr>
          <w:rFonts w:ascii="Times New Roman" w:hAnsi="Times New Roman" w:eastAsia="仿宋_GB2312"/>
          <w:kern w:val="0"/>
          <w:sz w:val="32"/>
          <w:szCs w:val="32"/>
          <w:shd w:val="clear" w:color="auto" w:fill="FFFFFF"/>
          <w:lang w:bidi="ar"/>
        </w:rPr>
        <w:t>及时更新资产管理系统信息，</w:t>
      </w:r>
      <w:r>
        <w:rPr>
          <w:rFonts w:ascii="Times New Roman" w:hAnsi="Times New Roman" w:eastAsia="仿宋_GB2312"/>
          <w:sz w:val="32"/>
          <w:szCs w:val="32"/>
          <w:shd w:val="clear" w:color="auto" w:fill="FFFFFF"/>
        </w:rPr>
        <w:t>做到资产账账相符、账实相符</w:t>
      </w:r>
      <w:r>
        <w:rPr>
          <w:rFonts w:hint="eastAsia" w:ascii="Times New Roman" w:hAnsi="Times New Roman" w:eastAsia="仿宋_GB2312"/>
          <w:sz w:val="32"/>
          <w:szCs w:val="32"/>
          <w:shd w:val="clear" w:color="auto" w:fill="FFFFFF"/>
        </w:rPr>
        <w:t>，</w:t>
      </w:r>
      <w:r>
        <w:rPr>
          <w:rFonts w:ascii="Times New Roman" w:hAnsi="Times New Roman" w:eastAsia="仿宋_GB2312"/>
          <w:kern w:val="0"/>
          <w:sz w:val="32"/>
          <w:szCs w:val="32"/>
          <w:shd w:val="clear" w:color="auto" w:fill="FFFFFF"/>
          <w:lang w:bidi="ar"/>
        </w:rPr>
        <w:t>全面反映实物资产情况。</w:t>
      </w:r>
    </w:p>
    <w:p>
      <w:pPr>
        <w:pStyle w:val="19"/>
        <w:numPr>
          <w:ilvl w:val="0"/>
          <w:numId w:val="3"/>
        </w:numPr>
        <w:pBdr>
          <w:bottom w:val="single" w:color="FFFFFF" w:sz="4" w:space="31"/>
        </w:pBdr>
        <w:tabs>
          <w:tab w:val="left" w:pos="1440"/>
        </w:tabs>
        <w:adjustRightInd w:val="0"/>
        <w:snapToGrid w:val="0"/>
        <w:spacing w:line="580" w:lineRule="exact"/>
        <w:ind w:firstLine="643" w:firstLineChars="200"/>
        <w:outlineLvl w:val="1"/>
        <w:rPr>
          <w:rFonts w:ascii="楷体_GB2312" w:hAnsi="楷体_GB2312" w:eastAsia="楷体_GB2312" w:cs="楷体_GB2312"/>
          <w:b/>
          <w:sz w:val="32"/>
          <w:szCs w:val="32"/>
        </w:rPr>
      </w:pPr>
      <w:r>
        <w:rPr>
          <w:rFonts w:ascii="楷体_GB2312" w:hAnsi="楷体_GB2312" w:eastAsia="楷体_GB2312" w:cs="楷体_GB2312"/>
          <w:b/>
          <w:sz w:val="32"/>
          <w:szCs w:val="32"/>
        </w:rPr>
        <w:t>管理效率高</w:t>
      </w:r>
      <w:r>
        <w:rPr>
          <w:rFonts w:hint="eastAsia" w:ascii="楷体_GB2312" w:hAnsi="楷体_GB2312" w:eastAsia="楷体_GB2312" w:cs="楷体_GB2312"/>
          <w:b/>
          <w:sz w:val="32"/>
          <w:szCs w:val="32"/>
        </w:rPr>
        <w:t>、</w:t>
      </w:r>
      <w:r>
        <w:rPr>
          <w:rFonts w:hint="eastAsia" w:ascii="Times New Roman" w:hAnsi="Times New Roman" w:eastAsia="仿宋_GB2312"/>
          <w:b/>
          <w:bCs/>
          <w:sz w:val="32"/>
          <w:szCs w:val="32"/>
        </w:rPr>
        <w:t>事业成效显著</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2023年锚定种业振兴目标创新品种管理。服务国家需求，开展镉低积累水稻、节水抗旱稻试验。对新选育的镉低积累水稻品种开展大田验证试验，引进国内新育成的节水抗旱稻品种开展比较试验，筛选健康安全的新优品种。依据市场需要优化试验方案。在区试中增加糯稻等名特优品种，满足市场多无化的品种需求。加强对种性安全的风险排查。对参加区试的品种全部取样进行转基因和DNA指纹检测，大田安全更有保障。切实加强对品种试验过程监管，维护试验的严肃性、公正性。</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规范品种登记加强新品种保护。严格申请材料审核把关。初审前请专家对品种的特异性、一致性和稳定性严格把关，更有效地保护品种不被侵权或盗用，保护育种者合法权益。加强登记品种事后监管。对已登记品种开展符合性验证试验，排除品种潜在风险，提高种质资源利用效率。</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提升组织效能服务品种管理。推进品种登记工作更高水平开展，提升品种审定前期工作质量水平。对企业联合体试验、育繁推一体化企业自主试验均按省级试验的标准和要求进行指导检查，严格规范做好试验数据分析汇总，推动品种研发向高产、优质、安全并重发展。</w:t>
      </w:r>
    </w:p>
    <w:p>
      <w:pPr>
        <w:pStyle w:val="19"/>
        <w:numPr>
          <w:ilvl w:val="0"/>
          <w:numId w:val="3"/>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Times New Roman" w:hAnsi="Times New Roman" w:eastAsia="仿宋_GB2312"/>
          <w:b/>
          <w:bCs/>
          <w:sz w:val="32"/>
          <w:szCs w:val="32"/>
        </w:rPr>
        <w:t>积极提升履职效能</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（1）以种植安全为底线严格种子质量检测</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严格市场监管提升产业发展环境。以种植安全为底线严格种子质量检测。扎实做好市场抽样检测。严防仿劣种子下田，开展品种纯度、真实性和转基因成分检测，从种子质量层面提升“口粮安全”保障水平。严格做好农业农村部委托检测。站属检测中心作为全国首批种子打假护权检测机构，近年来每年承担了全国种子市场专项检查200多个样品的鉴定与检测任务。</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（2）以四大专项行动为抓手引导行业守正创新</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加强预判及早部署市场监管活动。对全年的企业监督检查、春季市场检查、夏季生产基地巡查、秋冬市场专项检查等四大行动做出部署安排。建立省市县三级职责任务清单压实主体责任。全省部门协同、检打联动，在市场监管中严格贯彻“双随机一公开”原则，严厉打击品种侵权、未审先推等违法行为。保障生产经营、使用者的合法权益，营造守正创新的良好氛围。</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3）抓好种情调度为管理决策提供依据。一是全面开展种子供需形势监测与调度。下发了《关于做好2023年农作物种子夏季产供需调度相关工作的通知》，摸清种子生产面积、品种类型以及主导企业有效库存情况，调节产能布局避免盲目竞争，扎实推进种业基础信息统计分析。5月份完成了2022年度种业行业基本情况统计分析，为管理决策提供数据支持。三是加强对行业信息的分析研判与共享。对全省52个市场观察点开展定期调度，对关键数据召开专家会议进行分析，不定期向行业反馈国内外产业发展动态，供需调度、市场监测与行业统计共享共用，提升管理决策信息化水平。</w:t>
      </w:r>
    </w:p>
    <w:p>
      <w:pPr>
        <w:pStyle w:val="19"/>
        <w:numPr>
          <w:ilvl w:val="0"/>
          <w:numId w:val="3"/>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Times New Roman" w:hAnsi="Times New Roman" w:eastAsia="仿宋_GB2312"/>
          <w:b/>
          <w:bCs/>
          <w:sz w:val="32"/>
          <w:szCs w:val="32"/>
        </w:rPr>
        <w:t>社会效应显著</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抓实储备服务保障应急用种需求。根据新《种子法》、2016版《湖南省救灾备荒储备管理办法》和2022年《湖南省救灾备荒储备管理细则》，拟定了储备管理办法修改草案，审签后正式实施。加强过程监管确保储备种子数量质量安全，确保来年应急用种安全。</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狠抓试点示范加快成果转化。一是健全试点示范网络。持续推进部省共建、省县共建展示评价基地建设，新增邵阳、衡阳2个国家级农作物品种展示评价基地，初步形成了覆盖区域广、辐射带动强的展示示范与跟踪评价体系。加强粮食主产县新优品种展示。在不同生态区6个粮食主产县新建展示示范基地，集中展示优质中晚稻、双低油菜品种，加快科研成果转化。组织现场观摩加快新优品种“进村入户”。组织种植大户、农民到田间开展 “看禾选种”，着力改善农民选种难的问题。</w:t>
      </w:r>
    </w:p>
    <w:p>
      <w:pPr>
        <w:pStyle w:val="19"/>
        <w:numPr>
          <w:ilvl w:val="0"/>
          <w:numId w:val="3"/>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楷体_GB2312" w:hAnsi="楷体_GB2312" w:eastAsia="楷体_GB2312" w:cs="楷体_GB2312"/>
          <w:b/>
          <w:sz w:val="32"/>
          <w:szCs w:val="32"/>
        </w:rPr>
        <w:t>可持续发展能力增强</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规范南繁管理打造示范性平台。一是及时出台《南繁工作指南》，对南繁工作政策法规、管理制度等进行全面梳理，为全省南繁工作的规范开展提供指南，园区标竿作用将逐步显现。二是加强南繁信息收集统计。及时全面准确掌握全省南繁工作基本情况，引导行业合理分配、充分利用好南繁资源。发挥技术优势协同抓好基地建设。协助组织完成了制种大县奖励政策和现代种业提升工程实施情况评估。协同推进基地监管，协同组织开展2023年农作物制种基地专项检查，对制种基地进行摸底调查，提出加强基地建设的政策建议。</w:t>
      </w:r>
    </w:p>
    <w:p>
      <w:pPr>
        <w:pStyle w:val="19"/>
        <w:numPr>
          <w:ilvl w:val="0"/>
          <w:numId w:val="3"/>
        </w:numPr>
        <w:pBdr>
          <w:bottom w:val="single" w:color="FFFFFF" w:sz="4" w:space="31"/>
        </w:pBdr>
        <w:tabs>
          <w:tab w:val="left" w:pos="1440"/>
        </w:tabs>
        <w:adjustRightInd w:val="0"/>
        <w:snapToGrid w:val="0"/>
        <w:spacing w:line="580" w:lineRule="exact"/>
        <w:ind w:firstLine="643"/>
        <w:outlineLvl w:val="1"/>
        <w:rPr>
          <w:rFonts w:ascii="楷体_GB2312" w:hAnsi="楷体_GB2312" w:eastAsia="楷体_GB2312" w:cs="楷体_GB2312"/>
          <w:b/>
          <w:sz w:val="32"/>
          <w:szCs w:val="32"/>
        </w:rPr>
      </w:pPr>
      <w:r>
        <w:rPr>
          <w:rFonts w:hint="eastAsia" w:ascii="Times New Roman" w:hAnsi="Times New Roman" w:eastAsia="仿宋_GB2312"/>
          <w:b/>
          <w:bCs/>
          <w:sz w:val="32"/>
          <w:szCs w:val="32"/>
        </w:rPr>
        <w:t>服务对象满意度高</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2023年我单位服务对象满意度为90%以上。</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综上，我</w:t>
      </w:r>
      <w:r>
        <w:rPr>
          <w:rFonts w:hint="eastAsia" w:ascii="Times New Roman" w:hAnsi="Times New Roman" w:eastAsia="仿宋_GB2312"/>
          <w:bCs/>
          <w:sz w:val="32"/>
          <w:szCs w:val="32"/>
        </w:rPr>
        <w:t>站</w:t>
      </w:r>
      <w:r>
        <w:rPr>
          <w:rFonts w:ascii="Times New Roman" w:hAnsi="Times New Roman" w:eastAsia="仿宋_GB2312"/>
          <w:bCs/>
          <w:sz w:val="32"/>
          <w:szCs w:val="32"/>
        </w:rPr>
        <w:t>2023年运行成本控制得当，管理效率高，积极提升履职效能，社会效应显著，可持续发展能力增强，</w:t>
      </w:r>
      <w:r>
        <w:rPr>
          <w:rFonts w:hint="eastAsia" w:ascii="Times New Roman" w:hAnsi="Times New Roman" w:eastAsia="仿宋_GB2312"/>
          <w:bCs/>
          <w:sz w:val="32"/>
          <w:szCs w:val="32"/>
        </w:rPr>
        <w:t>服务对象</w:t>
      </w:r>
      <w:r>
        <w:rPr>
          <w:rFonts w:ascii="Times New Roman" w:hAnsi="Times New Roman" w:eastAsia="仿宋_GB2312"/>
          <w:bCs/>
          <w:sz w:val="32"/>
          <w:szCs w:val="32"/>
        </w:rPr>
        <w:t>满意度高。</w:t>
      </w:r>
      <w:r>
        <w:rPr>
          <w:rFonts w:ascii="Times New Roman" w:hAnsi="Times New Roman" w:eastAsia="仿宋_GB2312"/>
          <w:sz w:val="32"/>
          <w:szCs w:val="32"/>
        </w:rPr>
        <w:t>2023年部门整体支出绩效评价自评得分为</w:t>
      </w:r>
      <w:r>
        <w:rPr>
          <w:rFonts w:hint="eastAsia" w:ascii="Times New Roman" w:hAnsi="Times New Roman" w:eastAsia="仿宋_GB2312"/>
          <w:sz w:val="32"/>
          <w:szCs w:val="32"/>
        </w:rPr>
        <w:t>97.7</w:t>
      </w:r>
      <w:r>
        <w:rPr>
          <w:rFonts w:ascii="Times New Roman" w:hAnsi="Times New Roman" w:eastAsia="仿宋_GB2312"/>
          <w:sz w:val="32"/>
          <w:szCs w:val="32"/>
        </w:rPr>
        <w:t>分</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hint="eastAsia" w:ascii="Times New Roman" w:hAnsi="Times New Roman" w:eastAsia="方正公文黑体"/>
          <w:sz w:val="32"/>
          <w:szCs w:val="32"/>
        </w:rPr>
        <w:t>七、</w:t>
      </w:r>
      <w:r>
        <w:rPr>
          <w:rFonts w:ascii="Times New Roman" w:hAnsi="Times New Roman" w:eastAsia="方正公文黑体"/>
          <w:sz w:val="32"/>
          <w:szCs w:val="32"/>
        </w:rPr>
        <w:t>存在的问题及原因分析</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bCs/>
          <w:sz w:val="32"/>
          <w:szCs w:val="32"/>
        </w:rPr>
        <w:t>预算执行率有待继续提高。</w:t>
      </w:r>
      <w:r>
        <w:rPr>
          <w:rFonts w:hint="eastAsia" w:ascii="Times New Roman" w:hAnsi="Times New Roman" w:eastAsia="仿宋_GB2312"/>
          <w:bCs/>
          <w:sz w:val="32"/>
          <w:szCs w:val="32"/>
        </w:rPr>
        <w:t>全年预算执行率80.6%，预算执行有待进一步加强。</w:t>
      </w:r>
      <w:r>
        <w:rPr>
          <w:rFonts w:ascii="Times New Roman" w:hAnsi="Times New Roman" w:eastAsia="仿宋_GB2312"/>
          <w:sz w:val="32"/>
          <w:szCs w:val="32"/>
        </w:rPr>
        <w:t>预算执行进度落后于预算绩效目标完成情况，项目开支往往是在项目完成到一定阶段后才进行经费支出，部分项目结算进度较慢或者为跨年项目</w:t>
      </w:r>
      <w:r>
        <w:rPr>
          <w:rFonts w:hint="eastAsia" w:ascii="Times New Roman" w:hAnsi="Times New Roman" w:eastAsia="仿宋_GB2312"/>
          <w:sz w:val="32"/>
          <w:szCs w:val="32"/>
        </w:rPr>
        <w:t>，</w:t>
      </w:r>
      <w:r>
        <w:rPr>
          <w:rFonts w:ascii="Times New Roman" w:hAnsi="Times New Roman" w:eastAsia="仿宋_GB2312"/>
          <w:sz w:val="32"/>
          <w:szCs w:val="32"/>
        </w:rPr>
        <w:t>未能在当年形成支出，指标结转数量较大。</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hint="eastAsia" w:ascii="Times New Roman" w:hAnsi="Times New Roman" w:eastAsia="方正公文黑体"/>
          <w:sz w:val="32"/>
          <w:szCs w:val="32"/>
        </w:rPr>
        <w:t>八、</w:t>
      </w:r>
      <w:r>
        <w:rPr>
          <w:rFonts w:ascii="Times New Roman" w:hAnsi="Times New Roman" w:eastAsia="方正公文黑体"/>
          <w:sz w:val="32"/>
          <w:szCs w:val="32"/>
        </w:rPr>
        <w:t>下一步改进措施</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ascii="Times New Roman" w:hAnsi="Times New Roman" w:eastAsia="仿宋_GB2312"/>
          <w:bCs/>
          <w:sz w:val="32"/>
          <w:szCs w:val="32"/>
        </w:rPr>
        <w:t>进一步</w:t>
      </w:r>
      <w:r>
        <w:rPr>
          <w:rFonts w:ascii="Times New Roman" w:hAnsi="Times New Roman" w:eastAsia="仿宋_GB2312"/>
          <w:bCs/>
          <w:sz w:val="32"/>
          <w:szCs w:val="32"/>
          <w:shd w:val="clear" w:color="auto" w:fill="FFFFFF"/>
        </w:rPr>
        <w:t>加强预算管理，</w:t>
      </w:r>
      <w:r>
        <w:rPr>
          <w:rFonts w:ascii="Times New Roman" w:hAnsi="Times New Roman" w:eastAsia="仿宋_GB2312"/>
          <w:bCs/>
          <w:sz w:val="32"/>
          <w:szCs w:val="32"/>
        </w:rPr>
        <w:t>提高预算执行率。</w:t>
      </w:r>
      <w:r>
        <w:rPr>
          <w:rFonts w:ascii="Times New Roman" w:hAnsi="Times New Roman" w:eastAsia="仿宋_GB2312"/>
          <w:sz w:val="32"/>
          <w:szCs w:val="32"/>
          <w:shd w:val="clear" w:color="auto" w:fill="FFFFFF"/>
        </w:rPr>
        <w:t>预算编制与相关</w:t>
      </w:r>
      <w:r>
        <w:rPr>
          <w:rFonts w:hint="eastAsia" w:ascii="Times New Roman" w:hAnsi="Times New Roman" w:eastAsia="仿宋_GB2312"/>
          <w:sz w:val="32"/>
          <w:szCs w:val="32"/>
          <w:shd w:val="clear" w:color="auto" w:fill="FFFFFF"/>
        </w:rPr>
        <w:t>科</w:t>
      </w:r>
      <w:r>
        <w:rPr>
          <w:rFonts w:ascii="Times New Roman" w:hAnsi="Times New Roman" w:eastAsia="仿宋_GB2312"/>
          <w:sz w:val="32"/>
          <w:szCs w:val="32"/>
          <w:shd w:val="clear" w:color="auto" w:fill="FFFFFF"/>
        </w:rPr>
        <w:t>室科学分析预算的必要性、可行性，测算所需资金，将预算细化，保证整体支出预算的准确性。实施过程中，</w:t>
      </w:r>
      <w:r>
        <w:rPr>
          <w:rFonts w:ascii="Times New Roman" w:hAnsi="Times New Roman" w:eastAsia="仿宋_GB2312"/>
          <w:sz w:val="32"/>
          <w:szCs w:val="32"/>
        </w:rPr>
        <w:t>加强动态分析，</w:t>
      </w:r>
      <w:r>
        <w:rPr>
          <w:rFonts w:ascii="Times New Roman" w:hAnsi="Times New Roman" w:eastAsia="仿宋_GB2312"/>
          <w:sz w:val="32"/>
          <w:szCs w:val="32"/>
          <w:shd w:val="clear" w:color="auto" w:fill="FFFFFF"/>
        </w:rPr>
        <w:t>依据执行进度及时调整应对措施，以确保预算有效执行，提高年度预算执行率。</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shd w:val="clear" w:color="auto" w:fill="FFFFFF"/>
        </w:rPr>
      </w:pPr>
      <w:r>
        <w:rPr>
          <w:rFonts w:ascii="Times New Roman" w:hAnsi="Times New Roman" w:eastAsia="仿宋_GB2312"/>
          <w:bCs/>
          <w:sz w:val="32"/>
          <w:szCs w:val="32"/>
          <w:shd w:val="clear" w:color="auto" w:fill="FFFFFF"/>
        </w:rPr>
        <w:t>优化指标设置，提高绩效管理水平。</w:t>
      </w:r>
      <w:r>
        <w:rPr>
          <w:rFonts w:ascii="Times New Roman" w:hAnsi="Times New Roman" w:eastAsia="仿宋_GB2312"/>
          <w:sz w:val="32"/>
          <w:szCs w:val="32"/>
          <w:shd w:val="clear" w:color="auto" w:fill="FFFFFF"/>
        </w:rPr>
        <w:t>科学制定绩效目标，从数量、质量、成本、时效以及经济效益、社会效益、生态效益、可持续影响、满意度等方面细化，定量和定性指标相结合，优先采用定量指标表述，不能量化的，采用定性表述。</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sz w:val="32"/>
          <w:szCs w:val="32"/>
        </w:rPr>
      </w:pPr>
      <w:r>
        <w:rPr>
          <w:rFonts w:ascii="Times New Roman" w:hAnsi="Times New Roman" w:eastAsia="方正公文黑体"/>
          <w:sz w:val="32"/>
          <w:szCs w:val="32"/>
        </w:rPr>
        <w:t>九、整体支出绩效自评结果公开</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按要求及时将部门整体支出绩效自评报告在</w:t>
      </w:r>
      <w:r>
        <w:rPr>
          <w:rFonts w:hint="eastAsia" w:ascii="Times New Roman" w:hAnsi="Times New Roman" w:eastAsia="仿宋_GB2312"/>
          <w:sz w:val="32"/>
          <w:szCs w:val="32"/>
        </w:rPr>
        <w:t>省农业农村厅</w:t>
      </w:r>
      <w:r>
        <w:rPr>
          <w:rFonts w:ascii="Times New Roman" w:hAnsi="Times New Roman" w:eastAsia="仿宋_GB2312"/>
          <w:sz w:val="32"/>
          <w:szCs w:val="32"/>
        </w:rPr>
        <w:t>门户官网上公开，接受社会监督。</w:t>
      </w:r>
    </w:p>
    <w:p>
      <w:pPr>
        <w:widowControl/>
        <w:spacing w:line="58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w:t>
      </w:r>
      <w:r>
        <w:rPr>
          <w:rFonts w:hint="eastAsia" w:ascii="Times New Roman" w:hAnsi="Times New Roman" w:eastAsia="仿宋_GB2312"/>
          <w:sz w:val="32"/>
          <w:szCs w:val="32"/>
        </w:rPr>
        <w:t>2023年度整体支出绩效评价基础数据表</w:t>
      </w:r>
    </w:p>
    <w:p>
      <w:pPr>
        <w:widowControl/>
        <w:spacing w:line="580" w:lineRule="exact"/>
        <w:ind w:firstLine="1600" w:firstLineChars="500"/>
        <w:jc w:val="left"/>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2023年度整体支出绩效自评表</w:t>
      </w:r>
    </w:p>
    <w:p>
      <w:pPr>
        <w:widowControl/>
        <w:spacing w:line="580" w:lineRule="exact"/>
        <w:ind w:firstLine="1600" w:firstLineChars="500"/>
        <w:jc w:val="left"/>
        <w:rPr>
          <w:rFonts w:ascii="Times New Roman" w:hAnsi="Times New Roman" w:eastAsia="仿宋_GB2312"/>
          <w:sz w:val="32"/>
          <w:szCs w:val="32"/>
        </w:rPr>
      </w:pPr>
    </w:p>
    <w:p>
      <w:pPr>
        <w:widowControl/>
        <w:spacing w:line="580" w:lineRule="exact"/>
        <w:ind w:firstLine="1600" w:firstLineChars="500"/>
        <w:jc w:val="left"/>
        <w:rPr>
          <w:rFonts w:ascii="Times New Roman" w:hAnsi="Times New Roman" w:eastAsia="仿宋_GB2312"/>
          <w:sz w:val="32"/>
          <w:szCs w:val="32"/>
        </w:rPr>
        <w:sectPr>
          <w:footerReference r:id="rId10" w:type="default"/>
          <w:pgSz w:w="11906" w:h="16838"/>
          <w:pgMar w:top="1440" w:right="1800" w:bottom="1440" w:left="1800" w:header="851" w:footer="907" w:gutter="0"/>
          <w:pgNumType w:start="1"/>
          <w:cols w:space="720" w:num="1"/>
          <w:docGrid w:type="lines" w:linePitch="312" w:charSpace="0"/>
        </w:sectPr>
      </w:pPr>
    </w:p>
    <w:p>
      <w:pPr>
        <w:spacing w:after="156" w:afterLines="50" w:line="600" w:lineRule="exact"/>
        <w:jc w:val="left"/>
        <w:outlineLvl w:val="0"/>
        <w:rPr>
          <w:rFonts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1</w:t>
      </w:r>
    </w:p>
    <w:p>
      <w:pPr>
        <w:spacing w:after="156" w:afterLines="50" w:line="600" w:lineRule="exact"/>
        <w:jc w:val="center"/>
        <w:rPr>
          <w:rFonts w:ascii="Times New Roman" w:hAnsi="Times New Roman" w:eastAsia="仿宋_GB2312"/>
          <w:sz w:val="24"/>
        </w:rPr>
      </w:pPr>
      <w:r>
        <w:rPr>
          <w:rFonts w:ascii="Times New Roman" w:hAnsi="Times New Roman" w:eastAsia="方正小标宋_GBK"/>
          <w:sz w:val="36"/>
          <w:szCs w:val="36"/>
        </w:rPr>
        <w:t>202</w:t>
      </w:r>
      <w:r>
        <w:rPr>
          <w:rFonts w:hint="eastAsia" w:ascii="Times New Roman" w:hAnsi="Times New Roman" w:eastAsia="方正小标宋_GBK"/>
          <w:sz w:val="36"/>
          <w:szCs w:val="36"/>
        </w:rPr>
        <w:t>3</w:t>
      </w:r>
      <w:r>
        <w:rPr>
          <w:rFonts w:ascii="Times New Roman" w:hAnsi="Times New Roman" w:eastAsia="方正小标宋_GBK"/>
          <w:sz w:val="36"/>
          <w:szCs w:val="36"/>
        </w:rPr>
        <w:t>年</w:t>
      </w:r>
      <w:r>
        <w:rPr>
          <w:rFonts w:hint="eastAsia" w:ascii="Times New Roman" w:hAnsi="Times New Roman" w:eastAsia="方正小标宋_GBK"/>
          <w:sz w:val="36"/>
          <w:szCs w:val="36"/>
        </w:rPr>
        <w:t>度</w:t>
      </w:r>
      <w:r>
        <w:rPr>
          <w:rFonts w:ascii="Times New Roman" w:hAnsi="Times New Roman" w:eastAsia="方正小标宋_GBK"/>
          <w:sz w:val="36"/>
          <w:szCs w:val="36"/>
        </w:rPr>
        <w:t>部门整体支出绩效评价基础数据表</w:t>
      </w:r>
    </w:p>
    <w:tbl>
      <w:tblPr>
        <w:tblStyle w:val="8"/>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p>
        </w:tc>
        <w:tc>
          <w:tcPr>
            <w:tcW w:w="2038" w:type="dxa"/>
            <w:gridSpan w:val="2"/>
            <w:tcBorders>
              <w:top w:val="single" w:color="auto" w:sz="4" w:space="0"/>
              <w:left w:val="nil"/>
              <w:bottom w:val="single" w:color="auto" w:sz="4" w:space="0"/>
              <w:right w:val="single" w:color="auto" w:sz="4" w:space="0"/>
            </w:tcBorders>
          </w:tcPr>
          <w:p>
            <w:pPr>
              <w:jc w:val="center"/>
            </w:pPr>
            <w:r>
              <w:t>10</w:t>
            </w:r>
          </w:p>
        </w:tc>
        <w:tc>
          <w:tcPr>
            <w:tcW w:w="2240" w:type="dxa"/>
            <w:gridSpan w:val="2"/>
            <w:tcBorders>
              <w:top w:val="single" w:color="auto" w:sz="4" w:space="0"/>
              <w:left w:val="nil"/>
              <w:bottom w:val="single" w:color="auto" w:sz="4" w:space="0"/>
              <w:right w:val="single" w:color="auto" w:sz="4" w:space="0"/>
            </w:tcBorders>
          </w:tcPr>
          <w:p>
            <w:pPr>
              <w:jc w:val="center"/>
            </w:pPr>
            <w:r>
              <w:t>10</w:t>
            </w:r>
          </w:p>
        </w:tc>
        <w:tc>
          <w:tcPr>
            <w:tcW w:w="2041" w:type="dxa"/>
            <w:gridSpan w:val="2"/>
            <w:tcBorders>
              <w:top w:val="single" w:color="auto" w:sz="4" w:space="0"/>
              <w:left w:val="nil"/>
              <w:bottom w:val="single" w:color="auto" w:sz="4" w:space="0"/>
              <w:right w:val="single" w:color="auto" w:sz="4" w:space="0"/>
            </w:tcBorders>
          </w:tcPr>
          <w:p>
            <w:pPr>
              <w:jc w:val="center"/>
            </w:pPr>
            <w:r>
              <w:t>100%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2</w:t>
            </w:r>
            <w:r>
              <w:rPr>
                <w:rFonts w:ascii="Times New Roman" w:hAnsi="Times New Roman" w:eastAsia="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b/>
                <w:bCs/>
                <w:sz w:val="20"/>
                <w:szCs w:val="20"/>
              </w:rPr>
            </w:pPr>
            <w:r>
              <w:rPr>
                <w:rFonts w:ascii="Times New Roman" w:hAnsi="Times New Roman" w:eastAsia="仿宋_GB2312"/>
                <w:b/>
                <w:bCs/>
                <w:sz w:val="20"/>
                <w:szCs w:val="20"/>
              </w:rPr>
              <w:t>202</w:t>
            </w:r>
            <w:r>
              <w:rPr>
                <w:rFonts w:hint="eastAsia" w:ascii="Times New Roman" w:hAnsi="Times New Roman" w:eastAsia="仿宋_GB2312"/>
                <w:b/>
                <w:bCs/>
                <w:sz w:val="20"/>
                <w:szCs w:val="20"/>
              </w:rPr>
              <w:t>3</w:t>
            </w:r>
            <w:r>
              <w:rPr>
                <w:rFonts w:ascii="Times New Roman" w:hAnsi="Times New Roman" w:eastAsia="仿宋_GB2312"/>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三公经费</w:t>
            </w:r>
            <w:r>
              <w:rPr>
                <w:rFonts w:hint="eastAsia" w:ascii="Times New Roman" w:hAnsi="Times New Roman" w:eastAsia="仿宋_GB2312"/>
                <w:sz w:val="20"/>
                <w:szCs w:val="20"/>
              </w:rPr>
              <w:t>：</w:t>
            </w:r>
          </w:p>
        </w:tc>
        <w:tc>
          <w:tcPr>
            <w:tcW w:w="2038" w:type="dxa"/>
            <w:gridSpan w:val="2"/>
            <w:tcBorders>
              <w:top w:val="single" w:color="auto" w:sz="4" w:space="0"/>
              <w:left w:val="nil"/>
              <w:bottom w:val="single" w:color="auto" w:sz="4" w:space="0"/>
              <w:right w:val="single" w:color="000000" w:sz="4" w:space="0"/>
            </w:tcBorders>
          </w:tcPr>
          <w:p>
            <w:pPr>
              <w:jc w:val="center"/>
            </w:pPr>
            <w:r>
              <w:t>0.055</w:t>
            </w:r>
          </w:p>
        </w:tc>
        <w:tc>
          <w:tcPr>
            <w:tcW w:w="2240" w:type="dxa"/>
            <w:gridSpan w:val="2"/>
            <w:tcBorders>
              <w:top w:val="single" w:color="auto" w:sz="4" w:space="0"/>
              <w:left w:val="nil"/>
              <w:bottom w:val="single" w:color="auto" w:sz="4" w:space="0"/>
              <w:right w:val="single" w:color="000000" w:sz="4" w:space="0"/>
            </w:tcBorders>
          </w:tcPr>
          <w:p>
            <w:pPr>
              <w:jc w:val="center"/>
            </w:pPr>
            <w:r>
              <w:t>1.2</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tcPr>
          <w:p>
            <w:pPr>
              <w:jc w:val="center"/>
            </w:pPr>
            <w:r>
              <w:t>0</w:t>
            </w:r>
          </w:p>
        </w:tc>
        <w:tc>
          <w:tcPr>
            <w:tcW w:w="2240" w:type="dxa"/>
            <w:gridSpan w:val="2"/>
            <w:tcBorders>
              <w:top w:val="single" w:color="auto" w:sz="4" w:space="0"/>
              <w:left w:val="nil"/>
              <w:bottom w:val="single" w:color="auto" w:sz="4" w:space="0"/>
              <w:right w:val="single" w:color="000000" w:sz="4" w:space="0"/>
            </w:tcBorders>
          </w:tcPr>
          <w:p>
            <w:pPr>
              <w:jc w:val="center"/>
            </w:pPr>
            <w:r>
              <w:t>0</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tcPr>
          <w:p>
            <w:pPr>
              <w:jc w:val="center"/>
            </w:pPr>
            <w:r>
              <w:t>0</w:t>
            </w:r>
          </w:p>
        </w:tc>
        <w:tc>
          <w:tcPr>
            <w:tcW w:w="2240" w:type="dxa"/>
            <w:gridSpan w:val="2"/>
            <w:tcBorders>
              <w:top w:val="single" w:color="auto" w:sz="4" w:space="0"/>
              <w:left w:val="nil"/>
              <w:bottom w:val="single" w:color="auto" w:sz="4" w:space="0"/>
              <w:right w:val="single" w:color="000000" w:sz="4" w:space="0"/>
            </w:tcBorders>
          </w:tcPr>
          <w:p>
            <w:pPr>
              <w:jc w:val="center"/>
            </w:pPr>
            <w:r>
              <w:t>0</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tcPr>
          <w:p>
            <w:pPr>
              <w:jc w:val="center"/>
            </w:pPr>
            <w:r>
              <w:t>0</w:t>
            </w:r>
          </w:p>
        </w:tc>
        <w:tc>
          <w:tcPr>
            <w:tcW w:w="2240" w:type="dxa"/>
            <w:gridSpan w:val="2"/>
            <w:tcBorders>
              <w:top w:val="single" w:color="auto" w:sz="4" w:space="0"/>
              <w:left w:val="nil"/>
              <w:bottom w:val="single" w:color="auto" w:sz="4" w:space="0"/>
              <w:right w:val="single" w:color="000000" w:sz="4" w:space="0"/>
            </w:tcBorders>
          </w:tcPr>
          <w:p>
            <w:pPr>
              <w:jc w:val="center"/>
            </w:pPr>
            <w:r>
              <w:t>0</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tcPr>
          <w:p>
            <w:pPr>
              <w:jc w:val="center"/>
            </w:pPr>
            <w:r>
              <w:t>0</w:t>
            </w:r>
          </w:p>
        </w:tc>
        <w:tc>
          <w:tcPr>
            <w:tcW w:w="2240" w:type="dxa"/>
            <w:gridSpan w:val="2"/>
            <w:tcBorders>
              <w:top w:val="single" w:color="auto" w:sz="4" w:space="0"/>
              <w:left w:val="nil"/>
              <w:bottom w:val="single" w:color="auto" w:sz="4" w:space="0"/>
              <w:right w:val="single" w:color="000000" w:sz="4" w:space="0"/>
            </w:tcBorders>
          </w:tcPr>
          <w:p>
            <w:pPr>
              <w:jc w:val="center"/>
            </w:pPr>
            <w:r>
              <w:t>0</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tcPr>
          <w:p>
            <w:pPr>
              <w:jc w:val="center"/>
            </w:pPr>
            <w:r>
              <w:t>0.055</w:t>
            </w:r>
          </w:p>
        </w:tc>
        <w:tc>
          <w:tcPr>
            <w:tcW w:w="2240" w:type="dxa"/>
            <w:gridSpan w:val="2"/>
            <w:tcBorders>
              <w:top w:val="single" w:color="auto" w:sz="4" w:space="0"/>
              <w:left w:val="nil"/>
              <w:bottom w:val="single" w:color="auto" w:sz="4" w:space="0"/>
              <w:right w:val="single" w:color="000000" w:sz="4" w:space="0"/>
            </w:tcBorders>
          </w:tcPr>
          <w:p>
            <w:pPr>
              <w:jc w:val="center"/>
            </w:pPr>
            <w:r>
              <w:t>1.2</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tcPr>
          <w:p>
            <w:pPr>
              <w:jc w:val="center"/>
            </w:pPr>
            <w:r>
              <w:t>143.35</w:t>
            </w:r>
          </w:p>
        </w:tc>
        <w:tc>
          <w:tcPr>
            <w:tcW w:w="2240" w:type="dxa"/>
            <w:gridSpan w:val="2"/>
            <w:tcBorders>
              <w:top w:val="single" w:color="auto" w:sz="4" w:space="0"/>
              <w:left w:val="nil"/>
              <w:bottom w:val="single" w:color="auto" w:sz="4" w:space="0"/>
              <w:right w:val="single" w:color="000000" w:sz="4" w:space="0"/>
            </w:tcBorders>
          </w:tcPr>
          <w:p>
            <w:pPr>
              <w:jc w:val="center"/>
            </w:pPr>
            <w:r>
              <w:t>168.46</w:t>
            </w:r>
          </w:p>
        </w:tc>
        <w:tc>
          <w:tcPr>
            <w:tcW w:w="2041" w:type="dxa"/>
            <w:gridSpan w:val="2"/>
            <w:tcBorders>
              <w:top w:val="single" w:color="auto" w:sz="4" w:space="0"/>
              <w:left w:val="nil"/>
              <w:bottom w:val="single" w:color="auto" w:sz="4" w:space="0"/>
              <w:right w:val="single" w:color="000000" w:sz="4" w:space="0"/>
            </w:tcBorders>
          </w:tcPr>
          <w:p>
            <w:pPr>
              <w:jc w:val="center"/>
            </w:pPr>
            <w:r>
              <w:t>86.18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tcPr>
          <w:p>
            <w:pPr>
              <w:jc w:val="center"/>
              <w:rPr>
                <w:rFonts w:ascii="仿宋_GB2312" w:eastAsia="仿宋_GB2312"/>
                <w:sz w:val="20"/>
                <w:szCs w:val="20"/>
              </w:rPr>
            </w:pPr>
            <w:r>
              <w:rPr>
                <w:rFonts w:hint="eastAsia" w:ascii="仿宋_GB2312" w:eastAsia="仿宋_GB2312"/>
                <w:sz w:val="20"/>
                <w:szCs w:val="20"/>
              </w:rPr>
              <w:t>1、业务工作经费</w:t>
            </w:r>
          </w:p>
        </w:tc>
        <w:tc>
          <w:tcPr>
            <w:tcW w:w="2038" w:type="dxa"/>
            <w:gridSpan w:val="2"/>
            <w:tcBorders>
              <w:top w:val="single" w:color="auto" w:sz="4" w:space="0"/>
              <w:left w:val="nil"/>
              <w:bottom w:val="single" w:color="auto" w:sz="4" w:space="0"/>
              <w:right w:val="single" w:color="000000" w:sz="4" w:space="0"/>
            </w:tcBorders>
          </w:tcPr>
          <w:p>
            <w:pPr>
              <w:jc w:val="center"/>
            </w:pPr>
            <w:r>
              <w:rPr>
                <w:rFonts w:hint="eastAsia"/>
              </w:rPr>
              <w:t>28.30</w:t>
            </w:r>
          </w:p>
        </w:tc>
        <w:tc>
          <w:tcPr>
            <w:tcW w:w="2240" w:type="dxa"/>
            <w:gridSpan w:val="2"/>
            <w:tcBorders>
              <w:top w:val="single" w:color="auto" w:sz="4" w:space="0"/>
              <w:left w:val="nil"/>
              <w:bottom w:val="single" w:color="auto" w:sz="4" w:space="0"/>
              <w:right w:val="single" w:color="000000" w:sz="4" w:space="0"/>
            </w:tcBorders>
          </w:tcPr>
          <w:p>
            <w:pPr>
              <w:jc w:val="center"/>
            </w:pPr>
            <w:r>
              <w:rPr>
                <w:rFonts w:hint="eastAsia"/>
              </w:rPr>
              <w:t>0</w:t>
            </w:r>
          </w:p>
        </w:tc>
        <w:tc>
          <w:tcPr>
            <w:tcW w:w="2041" w:type="dxa"/>
            <w:gridSpan w:val="2"/>
            <w:tcBorders>
              <w:top w:val="single" w:color="auto" w:sz="4" w:space="0"/>
              <w:left w:val="nil"/>
              <w:bottom w:val="single" w:color="auto" w:sz="4" w:space="0"/>
              <w:right w:val="single" w:color="000000" w:sz="4" w:space="0"/>
            </w:tcBorders>
          </w:tcPr>
          <w:p>
            <w:pPr>
              <w:jc w:val="center"/>
            </w:pPr>
            <w:r>
              <w:rPr>
                <w:rFonts w:hint="eastAsia"/>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tcPr>
          <w:p>
            <w:pPr>
              <w:jc w:val="center"/>
              <w:rPr>
                <w:rFonts w:ascii="仿宋_GB2312" w:eastAsia="仿宋_GB2312"/>
                <w:sz w:val="20"/>
                <w:szCs w:val="20"/>
              </w:rPr>
            </w:pPr>
            <w:r>
              <w:rPr>
                <w:rFonts w:hint="eastAsia" w:ascii="仿宋_GB2312" w:eastAsia="仿宋_GB2312"/>
                <w:sz w:val="20"/>
                <w:szCs w:val="20"/>
              </w:rPr>
              <w:t>2、运行维护经费</w:t>
            </w:r>
          </w:p>
        </w:tc>
        <w:tc>
          <w:tcPr>
            <w:tcW w:w="2038" w:type="dxa"/>
            <w:gridSpan w:val="2"/>
            <w:tcBorders>
              <w:top w:val="single" w:color="auto" w:sz="4" w:space="0"/>
              <w:left w:val="nil"/>
              <w:bottom w:val="single" w:color="auto" w:sz="4" w:space="0"/>
              <w:right w:val="single" w:color="000000" w:sz="4" w:space="0"/>
            </w:tcBorders>
          </w:tcPr>
          <w:p>
            <w:pPr>
              <w:jc w:val="center"/>
            </w:pPr>
            <w:r>
              <w:rPr>
                <w:rFonts w:hint="eastAsia"/>
              </w:rPr>
              <w:t>0</w:t>
            </w:r>
          </w:p>
        </w:tc>
        <w:tc>
          <w:tcPr>
            <w:tcW w:w="2240" w:type="dxa"/>
            <w:gridSpan w:val="2"/>
            <w:tcBorders>
              <w:top w:val="single" w:color="auto" w:sz="4" w:space="0"/>
              <w:left w:val="nil"/>
              <w:bottom w:val="single" w:color="auto" w:sz="4" w:space="0"/>
              <w:right w:val="single" w:color="000000" w:sz="4" w:space="0"/>
            </w:tcBorders>
          </w:tcPr>
          <w:p>
            <w:pPr>
              <w:jc w:val="center"/>
            </w:pPr>
            <w:r>
              <w:rPr>
                <w:rFonts w:hint="eastAsia"/>
              </w:rPr>
              <w:t>0</w:t>
            </w:r>
          </w:p>
        </w:tc>
        <w:tc>
          <w:tcPr>
            <w:tcW w:w="2041" w:type="dxa"/>
            <w:gridSpan w:val="2"/>
            <w:tcBorders>
              <w:top w:val="single" w:color="auto" w:sz="4" w:space="0"/>
              <w:left w:val="nil"/>
              <w:bottom w:val="single" w:color="auto" w:sz="4" w:space="0"/>
              <w:right w:val="single" w:color="000000" w:sz="4" w:space="0"/>
            </w:tcBorders>
          </w:tcPr>
          <w:p>
            <w:pPr>
              <w:jc w:val="center"/>
            </w:pPr>
            <w:r>
              <w:rPr>
                <w:rFonts w:hint="eastAsia"/>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tcPr>
          <w:p>
            <w:pPr>
              <w:jc w:val="center"/>
              <w:rPr>
                <w:rFonts w:ascii="仿宋_GB2312" w:eastAsia="仿宋_GB2312"/>
                <w:sz w:val="20"/>
                <w:szCs w:val="20"/>
              </w:rPr>
            </w:pPr>
            <w:r>
              <w:rPr>
                <w:rFonts w:hint="eastAsia" w:ascii="仿宋_GB2312" w:eastAsia="仿宋_GB2312"/>
                <w:sz w:val="20"/>
                <w:szCs w:val="20"/>
              </w:rPr>
              <w:t>3、省级专项资金</w:t>
            </w:r>
          </w:p>
        </w:tc>
        <w:tc>
          <w:tcPr>
            <w:tcW w:w="2038" w:type="dxa"/>
            <w:gridSpan w:val="2"/>
            <w:tcBorders>
              <w:top w:val="single" w:color="auto" w:sz="4" w:space="0"/>
              <w:left w:val="nil"/>
              <w:bottom w:val="single" w:color="auto" w:sz="4" w:space="0"/>
              <w:right w:val="single" w:color="000000" w:sz="4" w:space="0"/>
            </w:tcBorders>
          </w:tcPr>
          <w:p>
            <w:pPr>
              <w:jc w:val="center"/>
            </w:pPr>
            <w:r>
              <w:rPr>
                <w:rFonts w:hint="eastAsia"/>
              </w:rPr>
              <w:t>115.05</w:t>
            </w:r>
          </w:p>
        </w:tc>
        <w:tc>
          <w:tcPr>
            <w:tcW w:w="2240" w:type="dxa"/>
            <w:gridSpan w:val="2"/>
            <w:tcBorders>
              <w:top w:val="single" w:color="auto" w:sz="4" w:space="0"/>
              <w:left w:val="nil"/>
              <w:bottom w:val="single" w:color="auto" w:sz="4" w:space="0"/>
              <w:right w:val="single" w:color="000000" w:sz="4" w:space="0"/>
            </w:tcBorders>
          </w:tcPr>
          <w:p>
            <w:pPr>
              <w:jc w:val="center"/>
            </w:pPr>
            <w:r>
              <w:rPr>
                <w:rFonts w:hint="eastAsia"/>
              </w:rPr>
              <w:t>168.46</w:t>
            </w:r>
          </w:p>
        </w:tc>
        <w:tc>
          <w:tcPr>
            <w:tcW w:w="2041" w:type="dxa"/>
            <w:gridSpan w:val="2"/>
            <w:tcBorders>
              <w:top w:val="single" w:color="auto" w:sz="4" w:space="0"/>
              <w:left w:val="nil"/>
              <w:bottom w:val="single" w:color="auto" w:sz="4" w:space="0"/>
              <w:right w:val="single" w:color="000000" w:sz="4" w:space="0"/>
            </w:tcBorders>
          </w:tcPr>
          <w:p>
            <w:pPr>
              <w:jc w:val="center"/>
            </w:pPr>
            <w:r>
              <w:rPr>
                <w:rFonts w:hint="eastAsia"/>
              </w:rPr>
              <w:t>86.18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tcPr>
          <w:p>
            <w:pPr>
              <w:jc w:val="center"/>
              <w:rPr>
                <w:rFonts w:ascii="仿宋_GB2312" w:eastAsia="仿宋_GB2312"/>
                <w:sz w:val="20"/>
                <w:szCs w:val="20"/>
              </w:rPr>
            </w:pPr>
            <w:r>
              <w:rPr>
                <w:rFonts w:hint="eastAsia" w:ascii="仿宋_GB2312" w:eastAsia="仿宋_GB2312"/>
                <w:sz w:val="20"/>
                <w:szCs w:val="20"/>
              </w:rPr>
              <w:t>农业生产发展</w:t>
            </w:r>
          </w:p>
        </w:tc>
        <w:tc>
          <w:tcPr>
            <w:tcW w:w="2038" w:type="dxa"/>
            <w:gridSpan w:val="2"/>
            <w:tcBorders>
              <w:top w:val="single" w:color="auto" w:sz="4" w:space="0"/>
              <w:left w:val="nil"/>
              <w:bottom w:val="single" w:color="auto" w:sz="4" w:space="0"/>
              <w:right w:val="single" w:color="000000" w:sz="4" w:space="0"/>
            </w:tcBorders>
          </w:tcPr>
          <w:p>
            <w:pPr>
              <w:jc w:val="center"/>
            </w:pPr>
            <w:r>
              <w:rPr>
                <w:rFonts w:hint="eastAsia"/>
              </w:rPr>
              <w:t>94.30</w:t>
            </w:r>
          </w:p>
        </w:tc>
        <w:tc>
          <w:tcPr>
            <w:tcW w:w="2240" w:type="dxa"/>
            <w:gridSpan w:val="2"/>
            <w:tcBorders>
              <w:top w:val="single" w:color="auto" w:sz="4" w:space="0"/>
              <w:left w:val="nil"/>
              <w:bottom w:val="single" w:color="auto" w:sz="4" w:space="0"/>
              <w:right w:val="single" w:color="000000" w:sz="4" w:space="0"/>
            </w:tcBorders>
          </w:tcPr>
          <w:p>
            <w:pPr>
              <w:jc w:val="center"/>
            </w:pPr>
            <w:r>
              <w:rPr>
                <w:rFonts w:hint="eastAsia"/>
              </w:rPr>
              <w:t>129.22</w:t>
            </w:r>
          </w:p>
        </w:tc>
        <w:tc>
          <w:tcPr>
            <w:tcW w:w="2041" w:type="dxa"/>
            <w:gridSpan w:val="2"/>
            <w:tcBorders>
              <w:top w:val="single" w:color="auto" w:sz="4" w:space="0"/>
              <w:left w:val="nil"/>
              <w:bottom w:val="single" w:color="auto" w:sz="4" w:space="0"/>
              <w:right w:val="single" w:color="000000" w:sz="4" w:space="0"/>
            </w:tcBorders>
          </w:tcPr>
          <w:p>
            <w:pPr>
              <w:jc w:val="center"/>
            </w:pPr>
            <w:r>
              <w:rPr>
                <w:rFonts w:hint="eastAsia"/>
              </w:rPr>
              <w:t>76.94</w:t>
            </w:r>
          </w:p>
        </w:tc>
      </w:tr>
      <w:tr>
        <w:tblPrEx>
          <w:tblLayout w:type="fixed"/>
          <w:tblCellMar>
            <w:top w:w="0" w:type="dxa"/>
            <w:left w:w="108" w:type="dxa"/>
            <w:bottom w:w="0" w:type="dxa"/>
            <w:right w:w="108" w:type="dxa"/>
          </w:tblCellMar>
        </w:tblPrEx>
        <w:trPr>
          <w:trHeight w:val="350" w:hRule="atLeast"/>
          <w:jc w:val="center"/>
        </w:trPr>
        <w:tc>
          <w:tcPr>
            <w:tcW w:w="3354" w:type="dxa"/>
            <w:tcBorders>
              <w:top w:val="nil"/>
              <w:left w:val="single" w:color="auto" w:sz="4" w:space="0"/>
              <w:bottom w:val="single" w:color="auto" w:sz="4" w:space="0"/>
              <w:right w:val="single" w:color="auto" w:sz="4" w:space="0"/>
            </w:tcBorders>
          </w:tcPr>
          <w:p>
            <w:pPr>
              <w:jc w:val="center"/>
              <w:rPr>
                <w:rFonts w:ascii="仿宋_GB2312" w:eastAsia="仿宋_GB2312"/>
                <w:sz w:val="20"/>
                <w:szCs w:val="20"/>
              </w:rPr>
            </w:pPr>
            <w:r>
              <w:rPr>
                <w:rFonts w:hint="eastAsia" w:ascii="仿宋_GB2312" w:eastAsia="仿宋_GB2312"/>
                <w:sz w:val="20"/>
                <w:szCs w:val="20"/>
              </w:rPr>
              <w:t>农产品质量安全</w:t>
            </w:r>
          </w:p>
        </w:tc>
        <w:tc>
          <w:tcPr>
            <w:tcW w:w="2038" w:type="dxa"/>
            <w:gridSpan w:val="2"/>
            <w:tcBorders>
              <w:top w:val="single" w:color="auto" w:sz="4" w:space="0"/>
              <w:left w:val="nil"/>
              <w:bottom w:val="single" w:color="auto" w:sz="4" w:space="0"/>
              <w:right w:val="single" w:color="000000" w:sz="4" w:space="0"/>
            </w:tcBorders>
          </w:tcPr>
          <w:p>
            <w:pPr>
              <w:jc w:val="center"/>
            </w:pPr>
            <w:r>
              <w:rPr>
                <w:rFonts w:hint="eastAsia"/>
              </w:rPr>
              <w:t>20.75</w:t>
            </w:r>
          </w:p>
        </w:tc>
        <w:tc>
          <w:tcPr>
            <w:tcW w:w="2240" w:type="dxa"/>
            <w:gridSpan w:val="2"/>
            <w:tcBorders>
              <w:top w:val="single" w:color="auto" w:sz="4" w:space="0"/>
              <w:left w:val="nil"/>
              <w:bottom w:val="single" w:color="auto" w:sz="4" w:space="0"/>
              <w:right w:val="single" w:color="000000" w:sz="4" w:space="0"/>
            </w:tcBorders>
          </w:tcPr>
          <w:p>
            <w:pPr>
              <w:jc w:val="center"/>
            </w:pPr>
            <w:r>
              <w:rPr>
                <w:rFonts w:hint="eastAsia"/>
              </w:rPr>
              <w:t>39.24</w:t>
            </w:r>
          </w:p>
        </w:tc>
        <w:tc>
          <w:tcPr>
            <w:tcW w:w="2041" w:type="dxa"/>
            <w:gridSpan w:val="2"/>
            <w:tcBorders>
              <w:top w:val="single" w:color="auto" w:sz="4" w:space="0"/>
              <w:left w:val="nil"/>
              <w:bottom w:val="single" w:color="auto" w:sz="4" w:space="0"/>
              <w:right w:val="single" w:color="000000" w:sz="4" w:space="0"/>
            </w:tcBorders>
          </w:tcPr>
          <w:p>
            <w:pPr>
              <w:jc w:val="center"/>
            </w:pPr>
            <w:r>
              <w:rPr>
                <w:rFonts w:hint="eastAsia"/>
              </w:rPr>
              <w:t>9.24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tcPr>
          <w:p>
            <w:pPr>
              <w:jc w:val="center"/>
            </w:pPr>
            <w:r>
              <w:t>39.05</w:t>
            </w:r>
          </w:p>
        </w:tc>
        <w:tc>
          <w:tcPr>
            <w:tcW w:w="2240" w:type="dxa"/>
            <w:gridSpan w:val="2"/>
            <w:tcBorders>
              <w:top w:val="single" w:color="auto" w:sz="4" w:space="0"/>
              <w:left w:val="nil"/>
              <w:bottom w:val="single" w:color="auto" w:sz="4" w:space="0"/>
              <w:right w:val="single" w:color="000000" w:sz="4" w:space="0"/>
            </w:tcBorders>
          </w:tcPr>
          <w:p>
            <w:pPr>
              <w:jc w:val="center"/>
            </w:pPr>
            <w:r>
              <w:t>39.64</w:t>
            </w:r>
          </w:p>
        </w:tc>
        <w:tc>
          <w:tcPr>
            <w:tcW w:w="2041" w:type="dxa"/>
            <w:gridSpan w:val="2"/>
            <w:tcBorders>
              <w:top w:val="single" w:color="auto" w:sz="4" w:space="0"/>
              <w:left w:val="nil"/>
              <w:bottom w:val="single" w:color="auto" w:sz="4" w:space="0"/>
              <w:right w:val="single" w:color="000000" w:sz="4" w:space="0"/>
            </w:tcBorders>
          </w:tcPr>
          <w:p>
            <w:pPr>
              <w:jc w:val="center"/>
            </w:pPr>
            <w:r>
              <w:t>35.84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tcPr>
          <w:p>
            <w:pPr>
              <w:jc w:val="center"/>
            </w:pPr>
            <w:r>
              <w:t>4.81</w:t>
            </w:r>
          </w:p>
        </w:tc>
        <w:tc>
          <w:tcPr>
            <w:tcW w:w="2240" w:type="dxa"/>
            <w:gridSpan w:val="2"/>
            <w:tcBorders>
              <w:top w:val="single" w:color="auto" w:sz="4" w:space="0"/>
              <w:left w:val="nil"/>
              <w:bottom w:val="single" w:color="auto" w:sz="4" w:space="0"/>
              <w:right w:val="single" w:color="000000" w:sz="4" w:space="0"/>
            </w:tcBorders>
          </w:tcPr>
          <w:p>
            <w:pPr>
              <w:jc w:val="center"/>
            </w:pPr>
            <w:r>
              <w:t>3.80</w:t>
            </w:r>
          </w:p>
        </w:tc>
        <w:tc>
          <w:tcPr>
            <w:tcW w:w="2041" w:type="dxa"/>
            <w:gridSpan w:val="2"/>
            <w:tcBorders>
              <w:top w:val="single" w:color="auto" w:sz="4" w:space="0"/>
              <w:left w:val="nil"/>
              <w:bottom w:val="single" w:color="auto" w:sz="4" w:space="0"/>
              <w:right w:val="single" w:color="000000" w:sz="4" w:space="0"/>
            </w:tcBorders>
          </w:tcPr>
          <w:p>
            <w:pPr>
              <w:jc w:val="center"/>
            </w:pPr>
            <w:r>
              <w:t>3.40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tcPr>
          <w:p>
            <w:pPr>
              <w:jc w:val="center"/>
            </w:pPr>
            <w:r>
              <w:t>2.58</w:t>
            </w:r>
          </w:p>
        </w:tc>
        <w:tc>
          <w:tcPr>
            <w:tcW w:w="2240" w:type="dxa"/>
            <w:gridSpan w:val="2"/>
            <w:tcBorders>
              <w:top w:val="single" w:color="auto" w:sz="4" w:space="0"/>
              <w:left w:val="nil"/>
              <w:bottom w:val="single" w:color="auto" w:sz="4" w:space="0"/>
              <w:right w:val="single" w:color="000000" w:sz="4" w:space="0"/>
            </w:tcBorders>
          </w:tcPr>
          <w:p>
            <w:pPr>
              <w:jc w:val="center"/>
            </w:pPr>
            <w:r>
              <w:t>3.50</w:t>
            </w:r>
          </w:p>
        </w:tc>
        <w:tc>
          <w:tcPr>
            <w:tcW w:w="2041" w:type="dxa"/>
            <w:gridSpan w:val="2"/>
            <w:tcBorders>
              <w:top w:val="single" w:color="auto" w:sz="4" w:space="0"/>
              <w:left w:val="nil"/>
              <w:bottom w:val="single" w:color="auto" w:sz="4" w:space="0"/>
              <w:right w:val="single" w:color="000000" w:sz="4" w:space="0"/>
            </w:tcBorders>
          </w:tcPr>
          <w:p>
            <w:pPr>
              <w:jc w:val="center"/>
            </w:pPr>
            <w:r>
              <w:t>1.54</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tcPr>
          <w:p>
            <w:pPr>
              <w:jc w:val="center"/>
            </w:pPr>
            <w:r>
              <w:t>0</w:t>
            </w:r>
          </w:p>
        </w:tc>
        <w:tc>
          <w:tcPr>
            <w:tcW w:w="2240" w:type="dxa"/>
            <w:gridSpan w:val="2"/>
            <w:tcBorders>
              <w:top w:val="single" w:color="auto" w:sz="4" w:space="0"/>
              <w:left w:val="nil"/>
              <w:bottom w:val="single" w:color="auto" w:sz="4" w:space="0"/>
              <w:right w:val="single" w:color="000000" w:sz="4" w:space="0"/>
            </w:tcBorders>
          </w:tcPr>
          <w:p>
            <w:pPr>
              <w:jc w:val="center"/>
            </w:pPr>
            <w:r>
              <w:t>0.5</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widowControl/>
              <w:jc w:val="center"/>
              <w:textAlignment w:val="center"/>
              <w:rPr>
                <w:rFonts w:ascii="Times New Roman" w:hAnsi="Times New Roman" w:eastAsia="仿宋_GB2312"/>
                <w:sz w:val="20"/>
                <w:szCs w:val="20"/>
              </w:rPr>
            </w:pPr>
            <w:r>
              <w:rPr>
                <w:rFonts w:ascii="Times New Roman" w:hAnsi="Times New Roman"/>
                <w:kern w:val="0"/>
                <w:sz w:val="20"/>
                <w:szCs w:val="20"/>
                <w:lang w:bidi="ar"/>
              </w:rPr>
              <w:t xml:space="preserve"> —— </w:t>
            </w:r>
          </w:p>
        </w:tc>
        <w:tc>
          <w:tcPr>
            <w:tcW w:w="2240" w:type="dxa"/>
            <w:gridSpan w:val="2"/>
            <w:tcBorders>
              <w:top w:val="single" w:color="auto" w:sz="4" w:space="0"/>
              <w:left w:val="nil"/>
              <w:bottom w:val="single" w:color="auto" w:sz="4" w:space="0"/>
              <w:right w:val="single" w:color="000000" w:sz="4" w:space="0"/>
            </w:tcBorders>
          </w:tcPr>
          <w:p>
            <w:pPr>
              <w:jc w:val="center"/>
            </w:pPr>
            <w:r>
              <w:t>0</w:t>
            </w:r>
          </w:p>
        </w:tc>
        <w:tc>
          <w:tcPr>
            <w:tcW w:w="2041" w:type="dxa"/>
            <w:gridSpan w:val="2"/>
            <w:tcBorders>
              <w:top w:val="single" w:color="auto" w:sz="4" w:space="0"/>
              <w:left w:val="nil"/>
              <w:bottom w:val="single" w:color="auto" w:sz="4" w:space="0"/>
              <w:right w:val="single" w:color="000000" w:sz="4" w:space="0"/>
            </w:tcBorders>
          </w:tcPr>
          <w:p>
            <w:pPr>
              <w:jc w:val="center"/>
            </w:pPr>
            <w: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r>
              <w:rPr>
                <w:rFonts w:ascii="Times New Roman" w:hAnsi="Times New Roman" w:eastAsia="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w:t>
            </w:r>
          </w:p>
        </w:tc>
        <w:tc>
          <w:tcPr>
            <w:tcW w:w="2240" w:type="dxa"/>
            <w:gridSpan w:val="2"/>
            <w:tcBorders>
              <w:top w:val="single" w:color="auto" w:sz="4" w:space="0"/>
              <w:left w:val="nil"/>
              <w:bottom w:val="single" w:color="auto" w:sz="4" w:space="0"/>
              <w:right w:val="single" w:color="000000" w:sz="4" w:space="0"/>
            </w:tcBorders>
          </w:tcPr>
          <w:p>
            <w:pPr>
              <w:jc w:val="center"/>
            </w:pPr>
            <w:r>
              <w:t>17.4</w:t>
            </w:r>
          </w:p>
        </w:tc>
        <w:tc>
          <w:tcPr>
            <w:tcW w:w="2041" w:type="dxa"/>
            <w:gridSpan w:val="2"/>
            <w:tcBorders>
              <w:top w:val="single" w:color="auto" w:sz="4" w:space="0"/>
              <w:left w:val="nil"/>
              <w:bottom w:val="single" w:color="auto" w:sz="4" w:space="0"/>
              <w:right w:val="single" w:color="000000" w:sz="4" w:space="0"/>
            </w:tcBorders>
          </w:tcPr>
          <w:p>
            <w:pPr>
              <w:jc w:val="center"/>
            </w:pP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楼堂馆所控制情况</w:t>
            </w:r>
            <w:r>
              <w:rPr>
                <w:rFonts w:ascii="Times New Roman" w:hAnsi="Times New Roman" w:eastAsia="仿宋_GB2312"/>
                <w:sz w:val="20"/>
                <w:szCs w:val="20"/>
              </w:rPr>
              <w:br w:type="textWrapping"/>
            </w:r>
            <w:r>
              <w:rPr>
                <w:rFonts w:ascii="Times New Roman" w:hAnsi="Times New Roman" w:eastAsia="仿宋_GB2312"/>
                <w:sz w:val="20"/>
                <w:szCs w:val="20"/>
              </w:rPr>
              <w:t>（202</w:t>
            </w:r>
            <w:r>
              <w:rPr>
                <w:rFonts w:hint="eastAsia" w:ascii="Times New Roman" w:hAnsi="Times New Roman" w:eastAsia="仿宋_GB2312"/>
                <w:sz w:val="20"/>
                <w:szCs w:val="20"/>
              </w:rPr>
              <w:t>3</w:t>
            </w:r>
            <w:r>
              <w:rPr>
                <w:rFonts w:ascii="Times New Roman" w:hAnsi="Times New Roman" w:eastAsia="仿宋_GB2312"/>
                <w:sz w:val="20"/>
                <w:szCs w:val="20"/>
              </w:rPr>
              <w:t>年完工项目）</w:t>
            </w:r>
          </w:p>
        </w:tc>
        <w:tc>
          <w:tcPr>
            <w:tcW w:w="118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批复规模</w:t>
            </w:r>
            <w:r>
              <w:rPr>
                <w:rFonts w:ascii="Times New Roman" w:hAnsi="Times New Roman" w:eastAsia="仿宋_GB2312"/>
                <w:bCs/>
                <w:sz w:val="20"/>
                <w:szCs w:val="20"/>
              </w:rPr>
              <w:br w:type="textWrapping"/>
            </w:r>
            <w:r>
              <w:rPr>
                <w:rFonts w:ascii="Times New Roman" w:hAnsi="Times New Roman" w:eastAsia="仿宋_GB2312"/>
                <w:bCs/>
                <w:sz w:val="20"/>
                <w:szCs w:val="20"/>
              </w:rPr>
              <w:t>（</w:t>
            </w:r>
            <w:r>
              <w:rPr>
                <w:rFonts w:ascii="Times New Roman" w:hAnsi="Times New Roman"/>
                <w:bCs/>
                <w:sz w:val="20"/>
                <w:szCs w:val="20"/>
              </w:rPr>
              <w:t>㎡</w:t>
            </w:r>
            <w:r>
              <w:rPr>
                <w:rFonts w:ascii="Times New Roman" w:hAnsi="Times New Roman" w:eastAsia="仿宋_GB2312"/>
                <w:bCs/>
                <w:sz w:val="20"/>
                <w:szCs w:val="20"/>
              </w:rPr>
              <w:t>）</w:t>
            </w:r>
          </w:p>
        </w:tc>
        <w:tc>
          <w:tcPr>
            <w:tcW w:w="84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实际规模（</w:t>
            </w:r>
            <w:r>
              <w:rPr>
                <w:rFonts w:ascii="Times New Roman" w:hAnsi="Times New Roman"/>
                <w:bCs/>
                <w:sz w:val="20"/>
                <w:szCs w:val="20"/>
              </w:rPr>
              <w:t>㎡</w:t>
            </w:r>
            <w:r>
              <w:rPr>
                <w:rFonts w:ascii="Times New Roman" w:hAnsi="Times New Roman" w:eastAsia="仿宋_GB2312"/>
                <w:bCs/>
                <w:sz w:val="20"/>
                <w:szCs w:val="20"/>
              </w:rPr>
              <w:t>）</w:t>
            </w:r>
          </w:p>
        </w:tc>
        <w:tc>
          <w:tcPr>
            <w:tcW w:w="1129"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规模控制率</w:t>
            </w:r>
          </w:p>
        </w:tc>
        <w:tc>
          <w:tcPr>
            <w:tcW w:w="111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预算投资（万元）</w:t>
            </w:r>
          </w:p>
        </w:tc>
        <w:tc>
          <w:tcPr>
            <w:tcW w:w="1081"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实际投资（万元）</w:t>
            </w:r>
          </w:p>
        </w:tc>
        <w:tc>
          <w:tcPr>
            <w:tcW w:w="96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eastAsia="仿宋_GB2312"/>
                <w:bCs/>
                <w:sz w:val="20"/>
                <w:szCs w:val="20"/>
              </w:rPr>
            </w:pPr>
            <w:r>
              <w:rPr>
                <w:rFonts w:ascii="Times New Roman" w:hAnsi="Times New Roman" w:eastAsia="仿宋_GB2312"/>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eastAsia="仿宋_GB2312"/>
                <w:sz w:val="20"/>
                <w:szCs w:val="20"/>
              </w:rPr>
            </w:pPr>
          </w:p>
        </w:tc>
        <w:tc>
          <w:tcPr>
            <w:tcW w:w="1189" w:type="dxa"/>
            <w:tcBorders>
              <w:top w:val="nil"/>
              <w:left w:val="nil"/>
              <w:bottom w:val="single" w:color="auto" w:sz="4" w:space="0"/>
              <w:right w:val="single" w:color="auto" w:sz="4" w:space="0"/>
            </w:tcBorders>
            <w:vAlign w:val="center"/>
          </w:tcPr>
          <w:p>
            <w:pPr>
              <w:widowControl/>
              <w:jc w:val="center"/>
              <w:textAlignment w:val="center"/>
              <w:rPr>
                <w:rFonts w:ascii="Times New Roman" w:hAnsi="Times New Roman" w:eastAsia="仿宋_GB2312"/>
                <w:sz w:val="20"/>
                <w:szCs w:val="20"/>
              </w:rPr>
            </w:pPr>
            <w:r>
              <w:rPr>
                <w:rFonts w:ascii="Times New Roman" w:hAnsi="Times New Roman"/>
                <w:kern w:val="0"/>
                <w:sz w:val="20"/>
                <w:szCs w:val="20"/>
                <w:lang w:bidi="ar"/>
              </w:rPr>
              <w:t>0</w:t>
            </w:r>
          </w:p>
        </w:tc>
        <w:tc>
          <w:tcPr>
            <w:tcW w:w="849" w:type="dxa"/>
            <w:tcBorders>
              <w:top w:val="nil"/>
              <w:left w:val="nil"/>
              <w:bottom w:val="single" w:color="auto" w:sz="4" w:space="0"/>
              <w:right w:val="single" w:color="auto" w:sz="4" w:space="0"/>
            </w:tcBorders>
            <w:vAlign w:val="center"/>
          </w:tcPr>
          <w:p>
            <w:pPr>
              <w:widowControl/>
              <w:jc w:val="left"/>
              <w:textAlignment w:val="center"/>
              <w:rPr>
                <w:rFonts w:ascii="Times New Roman" w:hAnsi="Times New Roman" w:eastAsia="仿宋_GB2312"/>
                <w:sz w:val="20"/>
                <w:szCs w:val="20"/>
              </w:rPr>
            </w:pPr>
            <w:r>
              <w:rPr>
                <w:rFonts w:ascii="Times New Roman" w:hAnsi="Times New Roman"/>
                <w:kern w:val="0"/>
                <w:sz w:val="20"/>
                <w:szCs w:val="20"/>
                <w:lang w:bidi="ar"/>
              </w:rPr>
              <w:t>0</w:t>
            </w:r>
          </w:p>
        </w:tc>
        <w:tc>
          <w:tcPr>
            <w:tcW w:w="1129" w:type="dxa"/>
            <w:tcBorders>
              <w:top w:val="nil"/>
              <w:left w:val="nil"/>
              <w:bottom w:val="single" w:color="auto" w:sz="4" w:space="0"/>
              <w:right w:val="single" w:color="auto" w:sz="4" w:space="0"/>
            </w:tcBorders>
            <w:vAlign w:val="center"/>
          </w:tcPr>
          <w:p>
            <w:pPr>
              <w:widowControl/>
              <w:jc w:val="left"/>
              <w:textAlignment w:val="center"/>
              <w:rPr>
                <w:rFonts w:ascii="Times New Roman" w:hAnsi="Times New Roman" w:eastAsia="仿宋_GB2312"/>
                <w:sz w:val="20"/>
                <w:szCs w:val="20"/>
              </w:rPr>
            </w:pPr>
            <w:r>
              <w:rPr>
                <w:rStyle w:val="16"/>
                <w:rFonts w:hint="default" w:hAnsi="Times New Roman"/>
                <w:sz w:val="20"/>
                <w:szCs w:val="20"/>
                <w:lang w:bidi="ar"/>
              </w:rPr>
              <w:t>　</w:t>
            </w:r>
            <w:r>
              <w:rPr>
                <w:rFonts w:ascii="Times New Roman" w:hAnsi="Times New Roman"/>
                <w:kern w:val="0"/>
                <w:sz w:val="20"/>
                <w:szCs w:val="20"/>
                <w:lang w:bidi="ar"/>
              </w:rPr>
              <w:t>-</w:t>
            </w:r>
          </w:p>
        </w:tc>
        <w:tc>
          <w:tcPr>
            <w:tcW w:w="1111" w:type="dxa"/>
            <w:tcBorders>
              <w:top w:val="nil"/>
              <w:left w:val="nil"/>
              <w:bottom w:val="single" w:color="auto" w:sz="4" w:space="0"/>
              <w:right w:val="single" w:color="auto" w:sz="4" w:space="0"/>
            </w:tcBorders>
            <w:vAlign w:val="center"/>
          </w:tcPr>
          <w:p>
            <w:pPr>
              <w:widowControl/>
              <w:jc w:val="left"/>
              <w:textAlignment w:val="center"/>
              <w:rPr>
                <w:rFonts w:ascii="Times New Roman" w:hAnsi="Times New Roman" w:eastAsia="仿宋_GB2312"/>
                <w:sz w:val="20"/>
                <w:szCs w:val="20"/>
              </w:rPr>
            </w:pPr>
            <w:r>
              <w:rPr>
                <w:rFonts w:ascii="Times New Roman" w:hAnsi="Times New Roman"/>
                <w:kern w:val="0"/>
                <w:sz w:val="20"/>
                <w:szCs w:val="20"/>
                <w:lang w:bidi="ar"/>
              </w:rPr>
              <w:t>0</w:t>
            </w:r>
          </w:p>
        </w:tc>
        <w:tc>
          <w:tcPr>
            <w:tcW w:w="1081" w:type="dxa"/>
            <w:tcBorders>
              <w:top w:val="nil"/>
              <w:left w:val="nil"/>
              <w:bottom w:val="single" w:color="auto" w:sz="4" w:space="0"/>
              <w:right w:val="single" w:color="auto" w:sz="4" w:space="0"/>
            </w:tcBorders>
            <w:vAlign w:val="center"/>
          </w:tcPr>
          <w:p>
            <w:pPr>
              <w:widowControl/>
              <w:jc w:val="left"/>
              <w:textAlignment w:val="center"/>
              <w:rPr>
                <w:rFonts w:ascii="Times New Roman" w:hAnsi="Times New Roman" w:eastAsia="仿宋_GB2312"/>
                <w:sz w:val="20"/>
                <w:szCs w:val="20"/>
              </w:rPr>
            </w:pPr>
            <w:r>
              <w:rPr>
                <w:rFonts w:ascii="Times New Roman" w:hAnsi="Times New Roman"/>
                <w:kern w:val="0"/>
                <w:sz w:val="20"/>
                <w:szCs w:val="20"/>
                <w:lang w:bidi="ar"/>
              </w:rPr>
              <w:t>0</w:t>
            </w:r>
          </w:p>
        </w:tc>
        <w:tc>
          <w:tcPr>
            <w:tcW w:w="960" w:type="dxa"/>
            <w:tcBorders>
              <w:top w:val="nil"/>
              <w:left w:val="nil"/>
              <w:bottom w:val="single" w:color="auto" w:sz="4" w:space="0"/>
              <w:right w:val="single" w:color="auto" w:sz="4" w:space="0"/>
            </w:tcBorders>
            <w:vAlign w:val="center"/>
          </w:tcPr>
          <w:p>
            <w:pPr>
              <w:widowControl/>
              <w:jc w:val="left"/>
              <w:textAlignment w:val="center"/>
              <w:rPr>
                <w:rFonts w:ascii="Times New Roman" w:hAnsi="Times New Roman" w:eastAsia="仿宋_GB2312"/>
                <w:sz w:val="20"/>
                <w:szCs w:val="20"/>
              </w:rPr>
            </w:pPr>
            <w:r>
              <w:rPr>
                <w:rStyle w:val="16"/>
                <w:rFonts w:hint="default" w:hAnsi="Times New Roman"/>
                <w:sz w:val="20"/>
                <w:szCs w:val="20"/>
                <w:lang w:bidi="ar"/>
              </w:rPr>
              <w:t>　</w:t>
            </w:r>
            <w:r>
              <w:rPr>
                <w:rFonts w:ascii="Times New Roman" w:hAnsi="Times New Roman"/>
                <w:kern w:val="0"/>
                <w:sz w:val="20"/>
                <w:szCs w:val="20"/>
                <w:lang w:bidi="ar"/>
              </w:rPr>
              <w:t>-</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仿宋_GB2312"/>
                <w:sz w:val="20"/>
                <w:szCs w:val="20"/>
              </w:rPr>
            </w:pPr>
            <w:r>
              <w:rPr>
                <w:rFonts w:ascii="Times New Roman" w:hAnsi="Times New Roman" w:eastAsia="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widowControl/>
              <w:spacing w:line="360" w:lineRule="exact"/>
              <w:jc w:val="left"/>
              <w:rPr>
                <w:rFonts w:ascii="Times New Roman" w:hAnsi="Times New Roman" w:eastAsia="仿宋_GB2312"/>
                <w:sz w:val="20"/>
                <w:szCs w:val="20"/>
              </w:rPr>
            </w:pPr>
            <w:r>
              <w:rPr>
                <w:rFonts w:hint="eastAsia" w:ascii="Times New Roman" w:hAnsi="Times New Roman" w:eastAsia="仿宋_GB2312"/>
                <w:sz w:val="20"/>
                <w:szCs w:val="20"/>
              </w:rPr>
              <w:t>严</w:t>
            </w:r>
            <w:r>
              <w:rPr>
                <w:rFonts w:ascii="Times New Roman" w:hAnsi="Times New Roman" w:eastAsia="仿宋_GB2312"/>
                <w:sz w:val="20"/>
                <w:szCs w:val="20"/>
              </w:rPr>
              <w:t>格执行各项财经纪律，规范支出管理，贯彻落实省委省政府过“紧日子”要求，超预算、超标准、超范围、无政策依据的经费不予支出。　　</w:t>
            </w:r>
          </w:p>
        </w:tc>
      </w:tr>
    </w:tbl>
    <w:p>
      <w:pPr>
        <w:widowControl/>
        <w:spacing w:line="400" w:lineRule="exact"/>
        <w:jc w:val="left"/>
        <w:rPr>
          <w:rFonts w:ascii="Times New Roman" w:hAnsi="Times New Roman" w:eastAsia="仿宋_GB2312"/>
          <w:sz w:val="22"/>
        </w:rPr>
      </w:pPr>
      <w:r>
        <w:rPr>
          <w:rFonts w:ascii="Times New Roman" w:hAnsi="Times New Roman" w:eastAsia="仿宋_GB2312"/>
          <w:sz w:val="22"/>
        </w:rPr>
        <w:t>说明：“项目支出”需要填报基本支出以外的所有项目支出情况，“公用经费”填报基本支出中的一般商品和服务支出。</w:t>
      </w:r>
    </w:p>
    <w:p>
      <w:pPr>
        <w:widowControl/>
        <w:spacing w:line="400" w:lineRule="exact"/>
        <w:jc w:val="left"/>
        <w:rPr>
          <w:rFonts w:ascii="Times New Roman" w:hAnsi="Times New Roman" w:eastAsia="仿宋_GB2312"/>
          <w:sz w:val="22"/>
        </w:rPr>
      </w:pPr>
    </w:p>
    <w:p>
      <w:pPr>
        <w:widowControl/>
        <w:spacing w:line="400" w:lineRule="exact"/>
        <w:jc w:val="left"/>
        <w:rPr>
          <w:rFonts w:ascii="Times New Roman" w:hAnsi="Times New Roman" w:eastAsia="仿宋_GB2312"/>
          <w:sz w:val="22"/>
        </w:rPr>
        <w:sectPr>
          <w:pgSz w:w="11906" w:h="16838"/>
          <w:pgMar w:top="1440" w:right="1800" w:bottom="1440" w:left="1800" w:header="851" w:footer="907" w:gutter="0"/>
          <w:cols w:space="720" w:num="1"/>
          <w:docGrid w:type="lines" w:linePitch="312" w:charSpace="0"/>
        </w:sectPr>
      </w:pPr>
      <w:r>
        <w:rPr>
          <w:rFonts w:ascii="Times New Roman" w:hAnsi="Times New Roman" w:eastAsia="仿宋_GB2312"/>
          <w:sz w:val="22"/>
        </w:rPr>
        <w:t>填表人：        填报日期：          联系电话：            单位负责人签字：</w:t>
      </w:r>
    </w:p>
    <w:p>
      <w:pPr>
        <w:widowControl/>
        <w:spacing w:line="400" w:lineRule="exact"/>
        <w:jc w:val="left"/>
        <w:outlineLvl w:val="0"/>
        <w:rPr>
          <w:rFonts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2</w:t>
      </w:r>
    </w:p>
    <w:p>
      <w:pPr>
        <w:widowControl/>
        <w:spacing w:after="156" w:afterLines="50"/>
        <w:jc w:val="center"/>
        <w:rPr>
          <w:rFonts w:ascii="Times New Roman" w:hAnsi="Times New Roman" w:eastAsia="方正小标宋_GBK"/>
          <w:sz w:val="36"/>
          <w:szCs w:val="36"/>
        </w:rPr>
      </w:pPr>
      <w:r>
        <w:rPr>
          <w:rFonts w:ascii="Times New Roman" w:hAnsi="Times New Roman" w:eastAsia="方正小标宋_GBK"/>
          <w:sz w:val="36"/>
          <w:szCs w:val="36"/>
        </w:rPr>
        <w:t>202</w:t>
      </w:r>
      <w:r>
        <w:rPr>
          <w:rFonts w:hint="eastAsia" w:ascii="Times New Roman" w:hAnsi="Times New Roman" w:eastAsia="方正小标宋_GBK"/>
          <w:sz w:val="36"/>
          <w:szCs w:val="36"/>
        </w:rPr>
        <w:t>3</w:t>
      </w:r>
      <w:r>
        <w:rPr>
          <w:rFonts w:ascii="Times New Roman" w:hAnsi="Times New Roman" w:eastAsia="方正小标宋_GBK"/>
          <w:sz w:val="36"/>
          <w:szCs w:val="36"/>
        </w:rPr>
        <w:t>年</w:t>
      </w:r>
      <w:r>
        <w:rPr>
          <w:rFonts w:hint="eastAsia" w:ascii="Times New Roman" w:hAnsi="Times New Roman" w:eastAsia="方正小标宋_GBK"/>
          <w:sz w:val="36"/>
          <w:szCs w:val="36"/>
        </w:rPr>
        <w:t>度</w:t>
      </w:r>
      <w:r>
        <w:rPr>
          <w:rFonts w:ascii="Times New Roman" w:hAnsi="Times New Roman" w:eastAsia="方正小标宋_GBK"/>
          <w:sz w:val="36"/>
          <w:szCs w:val="36"/>
        </w:rPr>
        <w:t>部门整体支出绩效自评表</w:t>
      </w:r>
    </w:p>
    <w:tbl>
      <w:tblPr>
        <w:tblStyle w:val="8"/>
        <w:tblW w:w="10079" w:type="dxa"/>
        <w:jc w:val="center"/>
        <w:tblInd w:w="0" w:type="dxa"/>
        <w:tblLayout w:type="fixed"/>
        <w:tblCellMar>
          <w:top w:w="0" w:type="dxa"/>
          <w:left w:w="108" w:type="dxa"/>
          <w:bottom w:w="0" w:type="dxa"/>
          <w:right w:w="108" w:type="dxa"/>
        </w:tblCellMar>
      </w:tblPr>
      <w:tblGrid>
        <w:gridCol w:w="1080"/>
        <w:gridCol w:w="1080"/>
        <w:gridCol w:w="1010"/>
        <w:gridCol w:w="1559"/>
        <w:gridCol w:w="1046"/>
        <w:gridCol w:w="1269"/>
        <w:gridCol w:w="716"/>
        <w:gridCol w:w="873"/>
        <w:gridCol w:w="1446"/>
      </w:tblGrid>
      <w:tr>
        <w:tblPrEx>
          <w:tblLayout w:type="fixed"/>
          <w:tblCellMar>
            <w:top w:w="0" w:type="dxa"/>
            <w:left w:w="108" w:type="dxa"/>
            <w:bottom w:w="0" w:type="dxa"/>
            <w:right w:w="108" w:type="dxa"/>
          </w:tblCellMar>
        </w:tblPrEx>
        <w:trPr>
          <w:jc w:val="center"/>
        </w:trPr>
        <w:tc>
          <w:tcPr>
            <w:tcW w:w="3170"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省级预算部门</w:t>
            </w:r>
            <w:r>
              <w:rPr>
                <w:rFonts w:hint="eastAsia" w:ascii="Times New Roman" w:hAnsi="Times New Roman" w:eastAsia="仿宋_GB2312"/>
                <w:color w:val="000000"/>
                <w:sz w:val="20"/>
                <w:szCs w:val="20"/>
              </w:rPr>
              <w:t>、单位</w:t>
            </w:r>
            <w:r>
              <w:rPr>
                <w:rFonts w:ascii="Times New Roman" w:hAnsi="Times New Roman" w:eastAsia="仿宋_GB2312"/>
                <w:color w:val="000000"/>
                <w:sz w:val="20"/>
                <w:szCs w:val="20"/>
              </w:rPr>
              <w:t>名称</w:t>
            </w:r>
          </w:p>
        </w:tc>
        <w:tc>
          <w:tcPr>
            <w:tcW w:w="690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湖南省种子管理服务站</w:t>
            </w:r>
          </w:p>
        </w:tc>
      </w:tr>
      <w:tr>
        <w:tblPrEx>
          <w:tblLayout w:type="fixed"/>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年度预</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算申请</w:t>
            </w:r>
            <w:r>
              <w:rPr>
                <w:rFonts w:ascii="Times New Roman" w:hAnsi="Times New Roman" w:eastAsia="仿宋_GB2312"/>
                <w:color w:val="000000"/>
                <w:sz w:val="20"/>
                <w:szCs w:val="20"/>
              </w:rPr>
              <w:br w:type="textWrapping"/>
            </w:r>
            <w:r>
              <w:rPr>
                <w:rFonts w:ascii="Times New Roman" w:hAnsi="Times New Roman" w:eastAsia="仿宋_GB2312"/>
                <w:color w:val="000000"/>
                <w:sz w:val="20"/>
                <w:szCs w:val="20"/>
              </w:rPr>
              <w:t>（万元）</w:t>
            </w:r>
          </w:p>
        </w:tc>
        <w:tc>
          <w:tcPr>
            <w:tcW w:w="209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p>
        </w:tc>
        <w:tc>
          <w:tcPr>
            <w:tcW w:w="155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年初预算数</w:t>
            </w:r>
          </w:p>
        </w:tc>
        <w:tc>
          <w:tcPr>
            <w:tcW w:w="10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全年预算数</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全年执行数</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分值</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sz w:val="20"/>
                <w:szCs w:val="20"/>
              </w:rPr>
              <w:t>执行率</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自评</w:t>
            </w:r>
            <w:r>
              <w:rPr>
                <w:rFonts w:ascii="Times New Roman" w:hAnsi="Times New Roman" w:eastAsia="仿宋_GB2312"/>
                <w:sz w:val="20"/>
                <w:szCs w:val="20"/>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209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color w:val="000000"/>
                <w:sz w:val="20"/>
                <w:szCs w:val="20"/>
              </w:rPr>
              <w:t>年度资金总额</w:t>
            </w:r>
          </w:p>
        </w:tc>
        <w:tc>
          <w:tcPr>
            <w:tcW w:w="155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541.89</w:t>
            </w:r>
          </w:p>
        </w:tc>
        <w:tc>
          <w:tcPr>
            <w:tcW w:w="10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589.29</w:t>
            </w:r>
          </w:p>
        </w:tc>
        <w:tc>
          <w:tcPr>
            <w:tcW w:w="126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474.98</w:t>
            </w:r>
          </w:p>
        </w:tc>
        <w:tc>
          <w:tcPr>
            <w:tcW w:w="71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ascii="Times New Roman" w:hAnsi="Times New Roman" w:eastAsia="仿宋_GB2312"/>
                <w:b/>
                <w:bCs/>
                <w:sz w:val="20"/>
                <w:szCs w:val="20"/>
              </w:rPr>
              <w:t>10</w:t>
            </w:r>
          </w:p>
        </w:tc>
        <w:tc>
          <w:tcPr>
            <w:tcW w:w="873"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80.6%</w:t>
            </w:r>
          </w:p>
        </w:tc>
        <w:tc>
          <w:tcPr>
            <w:tcW w:w="1446"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eastAsia="仿宋_GB2312"/>
                <w:sz w:val="20"/>
                <w:szCs w:val="20"/>
              </w:rPr>
            </w:pPr>
            <w:r>
              <w:rPr>
                <w:rFonts w:hint="eastAsia" w:ascii="Times New Roman" w:hAnsi="Times New Roman" w:eastAsia="仿宋_GB2312"/>
                <w:sz w:val="20"/>
                <w:szCs w:val="20"/>
              </w:rPr>
              <w:t>8.1</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按收入性质分：</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xml:space="preserve">  其中：  一般公共预算：589.29</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其中：基本支出：</w:t>
            </w:r>
            <w:r>
              <w:rPr>
                <w:rFonts w:hint="eastAsia" w:ascii="Times New Roman" w:hAnsi="Times New Roman" w:eastAsia="仿宋_GB2312"/>
                <w:color w:val="000000"/>
                <w:sz w:val="20"/>
                <w:szCs w:val="20"/>
              </w:rPr>
              <w:t>420.83</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ind w:firstLine="800" w:firstLineChars="4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政府性基金拨款：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ind w:firstLine="600" w:firstLineChars="3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项目支出：</w:t>
            </w:r>
            <w:r>
              <w:rPr>
                <w:rFonts w:hint="eastAsia" w:ascii="Times New Roman" w:hAnsi="Times New Roman" w:eastAsia="仿宋_GB2312"/>
                <w:color w:val="000000"/>
                <w:sz w:val="20"/>
                <w:szCs w:val="20"/>
              </w:rPr>
              <w:t>168.46</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ind w:firstLine="1400" w:firstLineChars="700"/>
              <w:jc w:val="left"/>
              <w:rPr>
                <w:rFonts w:ascii="Times New Roman" w:hAnsi="Times New Roman" w:eastAsia="仿宋_GB2312"/>
                <w:color w:val="000000"/>
                <w:sz w:val="20"/>
                <w:szCs w:val="20"/>
              </w:rPr>
            </w:pPr>
            <w:r>
              <w:rPr>
                <w:rFonts w:ascii="Times New Roman" w:hAnsi="Times New Roman" w:eastAsia="仿宋_GB2312"/>
                <w:color w:val="000000"/>
                <w:sz w:val="20"/>
                <w:szCs w:val="20"/>
              </w:rPr>
              <w:t>其他资金：</w:t>
            </w:r>
          </w:p>
        </w:tc>
        <w:tc>
          <w:tcPr>
            <w:tcW w:w="4304" w:type="dxa"/>
            <w:gridSpan w:val="4"/>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r>
      <w:tr>
        <w:tblPrEx>
          <w:tblLayout w:type="fixed"/>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年度总体目标</w:t>
            </w: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预期目标</w:t>
            </w:r>
          </w:p>
        </w:tc>
        <w:tc>
          <w:tcPr>
            <w:tcW w:w="430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4695"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2023年学习宣传与贯彻党的二十大精神，积极探索、敢于创新，认真落实厅党组的部署要求，聚焦种业事业技术支撑工作，积极承担种业管理基础性辅助性事务，着重于持续提升品种区试质量水平、加强种子检验能力建设、健全新品种试点示范与展示评价体系、推动种业监测工作迈上新台阶、规范推进种子市场监管和植物新品种保护、发挥南繁科研育种园的平台作用，积极推进湖南现代种业的振兴发展。</w:t>
            </w:r>
          </w:p>
        </w:tc>
        <w:tc>
          <w:tcPr>
            <w:tcW w:w="4304"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完成任务目标</w:t>
            </w:r>
          </w:p>
        </w:tc>
      </w:tr>
      <w:tr>
        <w:tblPrEx>
          <w:tblLayout w:type="fixed"/>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绩</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标</w:t>
            </w:r>
          </w:p>
          <w:p>
            <w:pPr>
              <w:widowControl/>
              <w:spacing w:line="240" w:lineRule="exact"/>
              <w:jc w:val="center"/>
              <w:rPr>
                <w:rFonts w:ascii="Times New Roman" w:hAnsi="Times New Roman" w:eastAsia="仿宋_GB2312"/>
                <w:color w:val="000000"/>
                <w:sz w:val="20"/>
                <w:szCs w:val="20"/>
              </w:rPr>
            </w:pPr>
          </w:p>
        </w:tc>
        <w:tc>
          <w:tcPr>
            <w:tcW w:w="108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一级指标</w:t>
            </w:r>
          </w:p>
        </w:tc>
        <w:tc>
          <w:tcPr>
            <w:tcW w:w="10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二级指标</w:t>
            </w: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三级指标</w:t>
            </w:r>
          </w:p>
        </w:tc>
        <w:tc>
          <w:tcPr>
            <w:tcW w:w="10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年度指标值</w:t>
            </w:r>
          </w:p>
        </w:tc>
        <w:tc>
          <w:tcPr>
            <w:tcW w:w="126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实际完成值</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分值</w:t>
            </w:r>
          </w:p>
        </w:tc>
        <w:tc>
          <w:tcPr>
            <w:tcW w:w="87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16"/>
                <w:szCs w:val="16"/>
              </w:rPr>
              <w:t>自评</w:t>
            </w:r>
            <w:r>
              <w:rPr>
                <w:rFonts w:ascii="Times New Roman" w:hAnsi="Times New Roman" w:eastAsia="仿宋_GB2312"/>
                <w:color w:val="000000"/>
                <w:sz w:val="16"/>
                <w:szCs w:val="16"/>
              </w:rPr>
              <w:t>得分</w:t>
            </w:r>
          </w:p>
        </w:tc>
        <w:tc>
          <w:tcPr>
            <w:tcW w:w="144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偏差原因分析及改进措施</w:t>
            </w:r>
          </w:p>
        </w:tc>
      </w:tr>
      <w:tr>
        <w:tblPrEx>
          <w:tblLayout w:type="fixed"/>
          <w:tblCellMar>
            <w:top w:w="0" w:type="dxa"/>
            <w:left w:w="108" w:type="dxa"/>
            <w:bottom w:w="0" w:type="dxa"/>
            <w:right w:w="108" w:type="dxa"/>
          </w:tblCellMar>
        </w:tblPrEx>
        <w:trPr>
          <w:trHeight w:val="418"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产出指标</w:t>
            </w:r>
          </w:p>
          <w:p>
            <w:pPr>
              <w:widowControl/>
              <w:spacing w:line="240" w:lineRule="exact"/>
              <w:jc w:val="center"/>
              <w:rPr>
                <w:rFonts w:ascii="Times New Roman" w:hAnsi="Times New Roman" w:eastAsia="仿宋_GB2312"/>
                <w:color w:val="000000"/>
                <w:sz w:val="20"/>
                <w:szCs w:val="20"/>
              </w:rPr>
            </w:pP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(50分)</w:t>
            </w:r>
          </w:p>
        </w:tc>
        <w:tc>
          <w:tcPr>
            <w:tcW w:w="101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数量指标</w:t>
            </w:r>
          </w:p>
        </w:tc>
        <w:tc>
          <w:tcPr>
            <w:tcW w:w="155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开展专项检查</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3次</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3次</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605"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continue"/>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000000"/>
                <w:sz w:val="20"/>
                <w:szCs w:val="20"/>
              </w:rPr>
            </w:pPr>
          </w:p>
        </w:tc>
        <w:tc>
          <w:tcPr>
            <w:tcW w:w="155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开展水稻、玉米区域试验</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120个以上</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145个</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646"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质量指标</w:t>
            </w: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专项检查覆盖率</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90%</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100%</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continue"/>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eastAsia="仿宋_GB2312"/>
                <w:color w:val="000000"/>
                <w:sz w:val="20"/>
                <w:szCs w:val="20"/>
              </w:rPr>
            </w:pP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规范品种登记加强新品种保护</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进一步加强</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完成茶树、辣椒等87个品种的受理与初步审查，完成22个油菜、25个辣椒品种的符合性验证试验</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时效指标</w:t>
            </w: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召开主要农作物种子生产计划调度暨春季种子供需形势分析会议</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已完成</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513" w:hRule="atLeast"/>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continue"/>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举办首届南繁科研育种工作交流会</w:t>
            </w:r>
          </w:p>
        </w:tc>
        <w:tc>
          <w:tcPr>
            <w:tcW w:w="1046" w:type="dxa"/>
            <w:tcBorders>
              <w:top w:val="nil"/>
              <w:left w:val="nil"/>
              <w:bottom w:val="single" w:color="auto" w:sz="4" w:space="0"/>
              <w:right w:val="single" w:color="auto" w:sz="4" w:space="0"/>
            </w:tcBorders>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1269" w:type="dxa"/>
            <w:tcBorders>
              <w:top w:val="nil"/>
              <w:left w:val="nil"/>
              <w:bottom w:val="single" w:color="auto" w:sz="4" w:space="0"/>
              <w:right w:val="single" w:color="auto" w:sz="4" w:space="0"/>
            </w:tcBorders>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已完成</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成本指标</w:t>
            </w: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预算控制</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按预算控制进行</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已完成</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效益指标</w:t>
            </w:r>
          </w:p>
          <w:p>
            <w:pPr>
              <w:widowControl/>
              <w:spacing w:line="240" w:lineRule="exact"/>
              <w:jc w:val="left"/>
              <w:rPr>
                <w:rFonts w:ascii="Times New Roman" w:hAnsi="Times New Roman" w:eastAsia="仿宋_GB2312"/>
                <w:color w:val="000000"/>
                <w:sz w:val="20"/>
                <w:szCs w:val="20"/>
              </w:rPr>
            </w:pPr>
          </w:p>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（30分）</w:t>
            </w:r>
          </w:p>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c>
          <w:tcPr>
            <w:tcW w:w="101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经济效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55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粮棉油新优品种试点示范体系建设</w:t>
            </w:r>
          </w:p>
        </w:tc>
        <w:tc>
          <w:tcPr>
            <w:tcW w:w="10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126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持续推进部省共建、省县共建展示评价基地建设，新增邵阳、衡阳2个国家级农作物品种展示评价基地</w:t>
            </w:r>
          </w:p>
        </w:tc>
        <w:tc>
          <w:tcPr>
            <w:tcW w:w="71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top w:val="single" w:color="auto" w:sz="4" w:space="0"/>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社会效</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益指标</w:t>
            </w:r>
          </w:p>
        </w:tc>
        <w:tc>
          <w:tcPr>
            <w:tcW w:w="155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净化种业市场环境</w:t>
            </w:r>
          </w:p>
        </w:tc>
        <w:tc>
          <w:tcPr>
            <w:tcW w:w="10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做好种子质认证及非主要农作物品种登记，市场规范有序，促进种业高质量发展</w:t>
            </w:r>
          </w:p>
        </w:tc>
        <w:tc>
          <w:tcPr>
            <w:tcW w:w="126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更有效地保护了品种不被侵权或盗用，保护育种者合法权益。</w:t>
            </w:r>
          </w:p>
        </w:tc>
        <w:tc>
          <w:tcPr>
            <w:tcW w:w="71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vMerge w:val="continue"/>
            <w:tcBorders>
              <w:left w:val="nil"/>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10" w:type="dxa"/>
            <w:vMerge w:val="continue"/>
            <w:tcBorders>
              <w:left w:val="nil"/>
              <w:right w:val="single" w:color="auto" w:sz="4" w:space="0"/>
            </w:tcBorders>
            <w:vAlign w:val="center"/>
          </w:tcPr>
          <w:p>
            <w:pPr>
              <w:spacing w:line="240" w:lineRule="exact"/>
              <w:jc w:val="center"/>
              <w:rPr>
                <w:rFonts w:ascii="Times New Roman" w:hAnsi="Times New Roman" w:eastAsia="仿宋_GB2312"/>
                <w:color w:val="000000"/>
                <w:sz w:val="20"/>
                <w:szCs w:val="20"/>
              </w:rPr>
            </w:pP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保障农业用种安全</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组织实施主要农作物品种试验、示范，做好农作物种业信息统计，促进农作物种子生产技术提高</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全面开展种子供需形势监测与调度，扎实推进种业基础信息统计分析</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5</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p>
        </w:tc>
        <w:tc>
          <w:tcPr>
            <w:tcW w:w="1080" w:type="dxa"/>
            <w:vMerge w:val="continue"/>
            <w:tcBorders>
              <w:left w:val="nil"/>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p>
        </w:tc>
        <w:tc>
          <w:tcPr>
            <w:tcW w:w="101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可持续影响指标</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加强对种性安全的风险排查</w:t>
            </w:r>
          </w:p>
        </w:tc>
        <w:tc>
          <w:tcPr>
            <w:tcW w:w="10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完成</w:t>
            </w:r>
          </w:p>
        </w:tc>
        <w:tc>
          <w:tcPr>
            <w:tcW w:w="126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对参加区试的品种全部取样进行转基因和DNA指纹检测，7个水稻品种、1个玉米品种不达标终止试验</w:t>
            </w:r>
          </w:p>
        </w:tc>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vAlign w:val="center"/>
          </w:tcPr>
          <w:p>
            <w:pPr>
              <w:spacing w:line="240" w:lineRule="exact"/>
              <w:jc w:val="left"/>
              <w:rPr>
                <w:rFonts w:ascii="Times New Roman" w:hAnsi="Times New Roman" w:eastAsia="仿宋_GB2312"/>
                <w:color w:val="000000"/>
                <w:sz w:val="20"/>
                <w:szCs w:val="20"/>
              </w:rPr>
            </w:pPr>
          </w:p>
        </w:tc>
        <w:tc>
          <w:tcPr>
            <w:tcW w:w="1080" w:type="dxa"/>
            <w:tcBorders>
              <w:top w:val="nil"/>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满意度</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指标</w:t>
            </w:r>
          </w:p>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（10分）</w:t>
            </w:r>
          </w:p>
        </w:tc>
        <w:tc>
          <w:tcPr>
            <w:tcW w:w="1010" w:type="dxa"/>
            <w:tcBorders>
              <w:top w:val="nil"/>
              <w:left w:val="nil"/>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服务对象满意度指标</w:t>
            </w:r>
          </w:p>
        </w:tc>
        <w:tc>
          <w:tcPr>
            <w:tcW w:w="15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hint="eastAsia" w:ascii="Times New Roman" w:hAnsi="Times New Roman" w:eastAsia="仿宋_GB2312"/>
                <w:color w:val="000000"/>
                <w:sz w:val="20"/>
                <w:szCs w:val="20"/>
              </w:rPr>
              <w:t>服务对象满意度（%）</w:t>
            </w:r>
          </w:p>
        </w:tc>
        <w:tc>
          <w:tcPr>
            <w:tcW w:w="10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≥90%</w:t>
            </w:r>
          </w:p>
        </w:tc>
        <w:tc>
          <w:tcPr>
            <w:tcW w:w="1269"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90%以上</w:t>
            </w:r>
          </w:p>
        </w:tc>
        <w:tc>
          <w:tcPr>
            <w:tcW w:w="71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10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9.6</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r>
        <w:tblPrEx>
          <w:tblLayout w:type="fixed"/>
          <w:tblCellMar>
            <w:top w:w="0" w:type="dxa"/>
            <w:left w:w="108" w:type="dxa"/>
            <w:bottom w:w="0" w:type="dxa"/>
            <w:right w:w="108" w:type="dxa"/>
          </w:tblCellMar>
        </w:tblPrEx>
        <w:trPr>
          <w:trHeight w:val="488" w:hRule="atLeast"/>
          <w:jc w:val="center"/>
        </w:trPr>
        <w:tc>
          <w:tcPr>
            <w:tcW w:w="7044" w:type="dxa"/>
            <w:gridSpan w:val="6"/>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总分</w:t>
            </w:r>
          </w:p>
        </w:tc>
        <w:tc>
          <w:tcPr>
            <w:tcW w:w="716"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仿宋_GB2312"/>
                <w:color w:val="000000"/>
                <w:sz w:val="20"/>
                <w:szCs w:val="20"/>
              </w:rPr>
            </w:pPr>
            <w:r>
              <w:rPr>
                <w:rFonts w:ascii="Times New Roman" w:hAnsi="Times New Roman" w:eastAsia="仿宋_GB2312"/>
                <w:color w:val="000000"/>
                <w:sz w:val="20"/>
                <w:szCs w:val="20"/>
              </w:rPr>
              <w:t>100</w:t>
            </w:r>
          </w:p>
        </w:tc>
        <w:tc>
          <w:tcPr>
            <w:tcW w:w="873"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hint="eastAsia" w:ascii="Times New Roman" w:hAnsi="Times New Roman" w:eastAsia="仿宋_GB2312"/>
                <w:color w:val="000000"/>
                <w:sz w:val="20"/>
                <w:szCs w:val="20"/>
              </w:rPr>
              <w:t>97.7</w:t>
            </w:r>
          </w:p>
        </w:tc>
        <w:tc>
          <w:tcPr>
            <w:tcW w:w="1446"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仿宋_GB2312"/>
                <w:color w:val="000000"/>
                <w:sz w:val="20"/>
                <w:szCs w:val="20"/>
              </w:rPr>
            </w:pPr>
            <w:r>
              <w:rPr>
                <w:rFonts w:ascii="Times New Roman" w:hAnsi="Times New Roman" w:eastAsia="仿宋_GB2312"/>
                <w:color w:val="000000"/>
                <w:sz w:val="20"/>
                <w:szCs w:val="20"/>
              </w:rPr>
              <w:t>　</w:t>
            </w:r>
          </w:p>
        </w:tc>
      </w:tr>
    </w:tbl>
    <w:p>
      <w:pPr>
        <w:pStyle w:val="18"/>
        <w:rPr>
          <w:rFonts w:ascii="Times New Roman" w:hAnsi="Times New Roman" w:eastAsia="仿宋_GB2312"/>
          <w:sz w:val="22"/>
          <w:szCs w:val="22"/>
        </w:rPr>
        <w:sectPr>
          <w:pgSz w:w="11906" w:h="16838"/>
          <w:pgMar w:top="1440" w:right="1800" w:bottom="1440" w:left="1800" w:header="851" w:footer="907" w:gutter="0"/>
          <w:cols w:space="720" w:num="1"/>
          <w:docGrid w:type="lines" w:linePitch="312" w:charSpace="0"/>
        </w:sectPr>
      </w:pPr>
      <w:r>
        <w:rPr>
          <w:rFonts w:ascii="Times New Roman" w:hAnsi="Times New Roman" w:eastAsia="仿宋_GB2312"/>
          <w:sz w:val="22"/>
          <w:szCs w:val="22"/>
        </w:rPr>
        <w:t xml:space="preserve">填表人：      填报日期：         联系电话：     </w:t>
      </w:r>
      <w:r>
        <w:rPr>
          <w:rFonts w:hint="eastAsia" w:ascii="Times New Roman" w:hAnsi="Times New Roman" w:eastAsia="仿宋_GB2312"/>
          <w:sz w:val="22"/>
          <w:szCs w:val="22"/>
        </w:rPr>
        <w:t xml:space="preserve">           </w:t>
      </w:r>
      <w:r>
        <w:rPr>
          <w:rFonts w:ascii="Times New Roman" w:hAnsi="Times New Roman" w:eastAsia="仿宋_GB2312"/>
          <w:sz w:val="22"/>
          <w:szCs w:val="22"/>
        </w:rPr>
        <w:t>单位负责人签字：</w:t>
      </w:r>
    </w:p>
    <w:p>
      <w:pPr>
        <w:rPr>
          <w:rFonts w:ascii="Times New Roman" w:hAnsi="Times New Roman" w:eastAsia="仿宋_GB2312" w:cs="黑体"/>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公文黑体">
    <w:altName w:val="黑体"/>
    <w:panose1 w:val="00000000000000000000"/>
    <w:charset w:val="86"/>
    <w:family w:val="auto"/>
    <w:pitch w:val="default"/>
    <w:sig w:usb0="00000000" w:usb1="00000000"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p>
                      </w:txbxContent>
                    </wps:txbx>
                    <wps:bodyPr vert="horz" wrap="none" lIns="0" tIns="0" rIns="0" bIns="0" anchor="t" anchorCtr="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JPPoYG8AQAAZAMAAA4AAAAAAAAAAQAgAAAAHgEAAGRycy9lMm9Eb2MueG1sUEsFBgAAAAAG&#10;AAYAWQEAAEwFAAAAAA==&#10;">
              <v:fill on="f" focussize="0,0"/>
              <v:stroke on="f"/>
              <v:imagedata o:title=""/>
              <o:lock v:ext="edit" aspectratio="f"/>
              <v:textbox inset="0mm,0mm,0mm,0mm" style="mso-fit-shape-to-text:t;">
                <w:txbxContent>
                  <w:p>
                    <w:pPr>
                      <w:pStyle w:val="6"/>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372B47"/>
    <w:multiLevelType w:val="singleLevel"/>
    <w:tmpl w:val="F8372B47"/>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08111C9"/>
    <w:multiLevelType w:val="multilevel"/>
    <w:tmpl w:val="608111C9"/>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304D6"/>
    <w:rsid w:val="00040CBC"/>
    <w:rsid w:val="000415B7"/>
    <w:rsid w:val="00041E3F"/>
    <w:rsid w:val="0005145F"/>
    <w:rsid w:val="00055DAA"/>
    <w:rsid w:val="00061F7B"/>
    <w:rsid w:val="000658A3"/>
    <w:rsid w:val="00074155"/>
    <w:rsid w:val="00075FC4"/>
    <w:rsid w:val="00093429"/>
    <w:rsid w:val="00096194"/>
    <w:rsid w:val="000A3F69"/>
    <w:rsid w:val="000B60F7"/>
    <w:rsid w:val="000C3776"/>
    <w:rsid w:val="000E7DFE"/>
    <w:rsid w:val="00103957"/>
    <w:rsid w:val="00152C6D"/>
    <w:rsid w:val="00162D39"/>
    <w:rsid w:val="001678BD"/>
    <w:rsid w:val="00182373"/>
    <w:rsid w:val="001A67DB"/>
    <w:rsid w:val="001C3C29"/>
    <w:rsid w:val="001D51E5"/>
    <w:rsid w:val="001E080D"/>
    <w:rsid w:val="001E09E4"/>
    <w:rsid w:val="001E53D0"/>
    <w:rsid w:val="001E6154"/>
    <w:rsid w:val="001E6E08"/>
    <w:rsid w:val="001F03D4"/>
    <w:rsid w:val="001F0C3B"/>
    <w:rsid w:val="00202C82"/>
    <w:rsid w:val="00214427"/>
    <w:rsid w:val="00226CB7"/>
    <w:rsid w:val="00262B73"/>
    <w:rsid w:val="00264552"/>
    <w:rsid w:val="00264EF9"/>
    <w:rsid w:val="00265724"/>
    <w:rsid w:val="0027426B"/>
    <w:rsid w:val="002832B7"/>
    <w:rsid w:val="002968D3"/>
    <w:rsid w:val="002E0A30"/>
    <w:rsid w:val="002E1013"/>
    <w:rsid w:val="003130C4"/>
    <w:rsid w:val="00316C4B"/>
    <w:rsid w:val="0032192B"/>
    <w:rsid w:val="0033481B"/>
    <w:rsid w:val="00337D03"/>
    <w:rsid w:val="003479BD"/>
    <w:rsid w:val="00365E9E"/>
    <w:rsid w:val="0037197D"/>
    <w:rsid w:val="003768D5"/>
    <w:rsid w:val="003926B9"/>
    <w:rsid w:val="003C47E6"/>
    <w:rsid w:val="003C4FC2"/>
    <w:rsid w:val="003E56FB"/>
    <w:rsid w:val="003F4E08"/>
    <w:rsid w:val="003F57D8"/>
    <w:rsid w:val="00404CE8"/>
    <w:rsid w:val="00407764"/>
    <w:rsid w:val="00414916"/>
    <w:rsid w:val="00416E61"/>
    <w:rsid w:val="00417F6B"/>
    <w:rsid w:val="0042790C"/>
    <w:rsid w:val="004506F9"/>
    <w:rsid w:val="004717A2"/>
    <w:rsid w:val="00473DF3"/>
    <w:rsid w:val="004824F9"/>
    <w:rsid w:val="00487911"/>
    <w:rsid w:val="00491741"/>
    <w:rsid w:val="004B0CEE"/>
    <w:rsid w:val="004D731D"/>
    <w:rsid w:val="00500BF6"/>
    <w:rsid w:val="00500E5F"/>
    <w:rsid w:val="005105D2"/>
    <w:rsid w:val="0051140B"/>
    <w:rsid w:val="005122EF"/>
    <w:rsid w:val="0051441A"/>
    <w:rsid w:val="00514424"/>
    <w:rsid w:val="00517C33"/>
    <w:rsid w:val="00517D5F"/>
    <w:rsid w:val="00523644"/>
    <w:rsid w:val="0054069E"/>
    <w:rsid w:val="00544866"/>
    <w:rsid w:val="005767CC"/>
    <w:rsid w:val="0059088B"/>
    <w:rsid w:val="00590D9F"/>
    <w:rsid w:val="00595D26"/>
    <w:rsid w:val="005A74E6"/>
    <w:rsid w:val="005B0685"/>
    <w:rsid w:val="005B404E"/>
    <w:rsid w:val="005C045D"/>
    <w:rsid w:val="005D4D55"/>
    <w:rsid w:val="005E2CFB"/>
    <w:rsid w:val="005E5EEC"/>
    <w:rsid w:val="005F129E"/>
    <w:rsid w:val="005F2103"/>
    <w:rsid w:val="005F3D1C"/>
    <w:rsid w:val="0062378F"/>
    <w:rsid w:val="00641842"/>
    <w:rsid w:val="00644C0C"/>
    <w:rsid w:val="00651EEC"/>
    <w:rsid w:val="00670B33"/>
    <w:rsid w:val="00686673"/>
    <w:rsid w:val="00691E8C"/>
    <w:rsid w:val="006A189E"/>
    <w:rsid w:val="006A22C4"/>
    <w:rsid w:val="006A351B"/>
    <w:rsid w:val="006A465A"/>
    <w:rsid w:val="006B0422"/>
    <w:rsid w:val="006B0CB4"/>
    <w:rsid w:val="006C1B53"/>
    <w:rsid w:val="006C3B10"/>
    <w:rsid w:val="006D7730"/>
    <w:rsid w:val="006E5284"/>
    <w:rsid w:val="006F3EB5"/>
    <w:rsid w:val="00702E34"/>
    <w:rsid w:val="00704395"/>
    <w:rsid w:val="00710FE7"/>
    <w:rsid w:val="00717621"/>
    <w:rsid w:val="00720FF1"/>
    <w:rsid w:val="00727A53"/>
    <w:rsid w:val="007300EB"/>
    <w:rsid w:val="007306B3"/>
    <w:rsid w:val="007510BD"/>
    <w:rsid w:val="00780CC3"/>
    <w:rsid w:val="007850AD"/>
    <w:rsid w:val="00787B42"/>
    <w:rsid w:val="0079659C"/>
    <w:rsid w:val="007970D4"/>
    <w:rsid w:val="007A2A97"/>
    <w:rsid w:val="007B5906"/>
    <w:rsid w:val="007C4539"/>
    <w:rsid w:val="007F3657"/>
    <w:rsid w:val="00812ED5"/>
    <w:rsid w:val="008277D9"/>
    <w:rsid w:val="0083237D"/>
    <w:rsid w:val="0084478C"/>
    <w:rsid w:val="0086638C"/>
    <w:rsid w:val="00885A11"/>
    <w:rsid w:val="0089279E"/>
    <w:rsid w:val="00894911"/>
    <w:rsid w:val="008A3E8D"/>
    <w:rsid w:val="009237C4"/>
    <w:rsid w:val="00944C48"/>
    <w:rsid w:val="00950252"/>
    <w:rsid w:val="00967F5D"/>
    <w:rsid w:val="009A0F95"/>
    <w:rsid w:val="009B3ADF"/>
    <w:rsid w:val="009C3B52"/>
    <w:rsid w:val="009E6817"/>
    <w:rsid w:val="009E6E9A"/>
    <w:rsid w:val="00A01D2B"/>
    <w:rsid w:val="00A254E7"/>
    <w:rsid w:val="00A33A65"/>
    <w:rsid w:val="00A372AF"/>
    <w:rsid w:val="00A42218"/>
    <w:rsid w:val="00A70249"/>
    <w:rsid w:val="00A70B02"/>
    <w:rsid w:val="00A71D9F"/>
    <w:rsid w:val="00A809A9"/>
    <w:rsid w:val="00A81149"/>
    <w:rsid w:val="00A92E9F"/>
    <w:rsid w:val="00AB18FF"/>
    <w:rsid w:val="00B1425C"/>
    <w:rsid w:val="00B33BEA"/>
    <w:rsid w:val="00B54CEE"/>
    <w:rsid w:val="00B57C9F"/>
    <w:rsid w:val="00B63572"/>
    <w:rsid w:val="00B845B3"/>
    <w:rsid w:val="00B85D8B"/>
    <w:rsid w:val="00BB4A40"/>
    <w:rsid w:val="00BD6C3E"/>
    <w:rsid w:val="00BE3674"/>
    <w:rsid w:val="00C06FC0"/>
    <w:rsid w:val="00C10681"/>
    <w:rsid w:val="00C1243B"/>
    <w:rsid w:val="00C2253D"/>
    <w:rsid w:val="00C3031D"/>
    <w:rsid w:val="00C3049A"/>
    <w:rsid w:val="00C31B1E"/>
    <w:rsid w:val="00C52F1A"/>
    <w:rsid w:val="00C77645"/>
    <w:rsid w:val="00CE04C3"/>
    <w:rsid w:val="00CE76A0"/>
    <w:rsid w:val="00D148C6"/>
    <w:rsid w:val="00D17A8A"/>
    <w:rsid w:val="00D22EED"/>
    <w:rsid w:val="00D415BA"/>
    <w:rsid w:val="00D51D89"/>
    <w:rsid w:val="00D63780"/>
    <w:rsid w:val="00D644EE"/>
    <w:rsid w:val="00D7620E"/>
    <w:rsid w:val="00D973A5"/>
    <w:rsid w:val="00DA55DD"/>
    <w:rsid w:val="00DD06FF"/>
    <w:rsid w:val="00DD5FE9"/>
    <w:rsid w:val="00E00C7A"/>
    <w:rsid w:val="00E171EF"/>
    <w:rsid w:val="00E37D6C"/>
    <w:rsid w:val="00E52466"/>
    <w:rsid w:val="00E55B68"/>
    <w:rsid w:val="00E561AE"/>
    <w:rsid w:val="00E66553"/>
    <w:rsid w:val="00E67BE6"/>
    <w:rsid w:val="00E74B1E"/>
    <w:rsid w:val="00E8683C"/>
    <w:rsid w:val="00E96467"/>
    <w:rsid w:val="00EA2B72"/>
    <w:rsid w:val="00EE4E7D"/>
    <w:rsid w:val="00F067EF"/>
    <w:rsid w:val="00F74360"/>
    <w:rsid w:val="00F84877"/>
    <w:rsid w:val="00FB462F"/>
    <w:rsid w:val="00FE16FA"/>
    <w:rsid w:val="00FE328A"/>
    <w:rsid w:val="00FE6269"/>
    <w:rsid w:val="00FF5CD6"/>
    <w:rsid w:val="00FF7F98"/>
    <w:rsid w:val="0A764D63"/>
    <w:rsid w:val="1D97DEFF"/>
    <w:rsid w:val="1DFF72E5"/>
    <w:rsid w:val="1EFC6F07"/>
    <w:rsid w:val="2FDF85B8"/>
    <w:rsid w:val="2FFFEE04"/>
    <w:rsid w:val="34DF85B0"/>
    <w:rsid w:val="3B8F36BC"/>
    <w:rsid w:val="491FF225"/>
    <w:rsid w:val="4FFD214C"/>
    <w:rsid w:val="53E670AF"/>
    <w:rsid w:val="5777D4F5"/>
    <w:rsid w:val="59DD8326"/>
    <w:rsid w:val="5DEF592A"/>
    <w:rsid w:val="5FC6BB1E"/>
    <w:rsid w:val="5FF720F1"/>
    <w:rsid w:val="67E96058"/>
    <w:rsid w:val="67FF5C0B"/>
    <w:rsid w:val="6EFC0924"/>
    <w:rsid w:val="6FB74722"/>
    <w:rsid w:val="6FEF8B7E"/>
    <w:rsid w:val="71A6591B"/>
    <w:rsid w:val="737D59BA"/>
    <w:rsid w:val="77BC63FA"/>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0"/>
    <w:pPr>
      <w:tabs>
        <w:tab w:val="center" w:pos="4153"/>
        <w:tab w:val="right" w:pos="8306"/>
      </w:tabs>
      <w:snapToGrid w:val="0"/>
      <w:jc w:val="left"/>
    </w:pPr>
    <w:rPr>
      <w:sz w:val="18"/>
      <w:szCs w:val="18"/>
    </w:rPr>
  </w:style>
  <w:style w:type="paragraph" w:styleId="7">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3">
    <w:name w:val="List Paragraph"/>
    <w:basedOn w:val="1"/>
    <w:qFormat/>
    <w:uiPriority w:val="99"/>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 w:type="paragraph" w:customStyle="1" w:styleId="18">
    <w:name w:val="BodyText"/>
    <w:basedOn w:val="1"/>
    <w:next w:val="1"/>
    <w:qFormat/>
    <w:uiPriority w:val="99"/>
    <w:pPr>
      <w:spacing w:after="120"/>
      <w:textAlignment w:val="baseline"/>
    </w:pPr>
    <w:rPr>
      <w:rFonts w:ascii="Calibri" w:hAnsi="Calibri" w:eastAsia="宋体" w:cs="Times New Roman"/>
      <w:szCs w:val="24"/>
    </w:rPr>
  </w:style>
  <w:style w:type="paragraph" w:customStyle="1" w:styleId="19">
    <w:name w:val="正文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29E61A-865A-467E-8479-3E7201247E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3090</Words>
  <Characters>17616</Characters>
  <Lines>146</Lines>
  <Paragraphs>41</Paragraphs>
  <TotalTime>5</TotalTime>
  <ScaleCrop>false</ScaleCrop>
  <LinksUpToDate>false</LinksUpToDate>
  <CharactersWithSpaces>20665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2024-09-06T06:25:47Z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