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both"/>
        <w:rPr>
          <w:sz w:val="56"/>
          <w:szCs w:val="56"/>
          <w:highlight w:val="none"/>
        </w:rPr>
      </w:pPr>
    </w:p>
    <w:p>
      <w:pPr>
        <w:pStyle w:val="15"/>
        <w:jc w:val="center"/>
        <w:rPr>
          <w:sz w:val="56"/>
          <w:szCs w:val="56"/>
          <w:highlight w:val="none"/>
        </w:rPr>
      </w:pPr>
    </w:p>
    <w:p>
      <w:pPr>
        <w:pStyle w:val="15"/>
        <w:jc w:val="center"/>
        <w:rPr>
          <w:sz w:val="84"/>
          <w:szCs w:val="84"/>
          <w:highlight w:val="none"/>
        </w:rPr>
      </w:pPr>
    </w:p>
    <w:p>
      <w:pPr>
        <w:pStyle w:val="15"/>
        <w:jc w:val="center"/>
        <w:rPr>
          <w:sz w:val="84"/>
          <w:szCs w:val="84"/>
          <w:highlight w:val="none"/>
        </w:rPr>
      </w:pPr>
    </w:p>
    <w:p>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202</w:t>
      </w:r>
      <w:r>
        <w:rPr>
          <w:rFonts w:hint="eastAsia" w:ascii="方正小标宋_GBK" w:hAnsi="方正小标宋_GBK" w:eastAsia="方正小标宋_GBK" w:cs="方正小标宋_GBK"/>
          <w:sz w:val="84"/>
          <w:szCs w:val="84"/>
          <w:highlight w:val="none"/>
          <w:lang w:val="en-US" w:eastAsia="zh-CN"/>
        </w:rPr>
        <w:t>3</w:t>
      </w:r>
      <w:r>
        <w:rPr>
          <w:rFonts w:hint="eastAsia" w:ascii="方正小标宋_GBK" w:hAnsi="方正小标宋_GBK" w:eastAsia="方正小标宋_GBK" w:cs="方正小标宋_GBK"/>
          <w:sz w:val="84"/>
          <w:szCs w:val="84"/>
          <w:highlight w:val="none"/>
        </w:rPr>
        <w:t>年度</w:t>
      </w:r>
    </w:p>
    <w:p>
      <w:pPr>
        <w:pStyle w:val="15"/>
        <w:jc w:val="center"/>
        <w:rPr>
          <w:rFonts w:hint="eastAsia" w:ascii="方正小标宋_GBK" w:hAnsi="方正小标宋_GBK" w:eastAsia="方正小标宋_GBK" w:cs="方正小标宋_GBK"/>
          <w:sz w:val="84"/>
          <w:szCs w:val="84"/>
          <w:highlight w:val="none"/>
          <w:lang w:eastAsia="zh-CN"/>
        </w:rPr>
      </w:pPr>
      <w:r>
        <w:rPr>
          <w:rFonts w:hint="eastAsia" w:ascii="方正小标宋_GBK" w:hAnsi="方正小标宋_GBK" w:eastAsia="方正小标宋_GBK" w:cs="方正小标宋_GBK"/>
          <w:sz w:val="84"/>
          <w:szCs w:val="84"/>
          <w:highlight w:val="none"/>
          <w:lang w:eastAsia="zh-CN"/>
        </w:rPr>
        <w:t>湖南省畜牧水产事务中心</w:t>
      </w:r>
    </w:p>
    <w:p>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部门决算</w:t>
      </w:r>
    </w:p>
    <w:p>
      <w:pPr>
        <w:pStyle w:val="15"/>
        <w:jc w:val="center"/>
        <w:rPr>
          <w:rFonts w:hint="eastAsia" w:ascii="方正小标宋_GBK" w:hAnsi="方正小标宋_GBK" w:eastAsia="方正小标宋_GBK" w:cs="方正小标宋_GBK"/>
          <w:sz w:val="56"/>
          <w:szCs w:val="56"/>
          <w:highlight w:val="none"/>
        </w:rPr>
      </w:pPr>
    </w:p>
    <w:p>
      <w:pPr>
        <w:pStyle w:val="15"/>
        <w:jc w:val="center"/>
        <w:rPr>
          <w:sz w:val="56"/>
          <w:szCs w:val="56"/>
          <w:highlight w:val="none"/>
        </w:rPr>
      </w:pPr>
    </w:p>
    <w:p>
      <w:pPr>
        <w:pStyle w:val="15"/>
        <w:jc w:val="center"/>
        <w:rPr>
          <w:sz w:val="56"/>
          <w:szCs w:val="56"/>
          <w:highlight w:val="none"/>
        </w:rPr>
      </w:pPr>
    </w:p>
    <w:p>
      <w:pPr>
        <w:pStyle w:val="15"/>
        <w:jc w:val="center"/>
        <w:rPr>
          <w:sz w:val="56"/>
          <w:szCs w:val="56"/>
          <w:highlight w:val="none"/>
        </w:rPr>
      </w:pPr>
    </w:p>
    <w:p>
      <w:pPr>
        <w:pStyle w:val="15"/>
        <w:jc w:val="center"/>
        <w:rPr>
          <w:sz w:val="32"/>
          <w:szCs w:val="32"/>
          <w:highlight w:val="none"/>
        </w:rPr>
      </w:pPr>
    </w:p>
    <w:p>
      <w:pPr>
        <w:pStyle w:val="15"/>
        <w:jc w:val="center"/>
        <w:rPr>
          <w:sz w:val="32"/>
          <w:szCs w:val="32"/>
          <w:highlight w:val="none"/>
        </w:rPr>
      </w:pPr>
    </w:p>
    <w:p>
      <w:pPr>
        <w:pStyle w:val="15"/>
        <w:jc w:val="center"/>
        <w:rPr>
          <w:sz w:val="32"/>
          <w:szCs w:val="32"/>
          <w:highlight w:val="none"/>
        </w:rPr>
      </w:pPr>
    </w:p>
    <w:p>
      <w:pPr>
        <w:pStyle w:val="15"/>
        <w:spacing w:line="500" w:lineRule="exact"/>
        <w:jc w:val="center"/>
        <w:rPr>
          <w:b/>
          <w:sz w:val="36"/>
          <w:szCs w:val="28"/>
          <w:highlight w:val="none"/>
        </w:rPr>
      </w:pPr>
      <w:r>
        <w:rPr>
          <w:rFonts w:hint="eastAsia"/>
          <w:b/>
          <w:sz w:val="36"/>
          <w:szCs w:val="28"/>
          <w:highlight w:val="none"/>
        </w:rPr>
        <w:t>目录</w:t>
      </w:r>
    </w:p>
    <w:p>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第一部分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eastAsia="zh-CN"/>
        </w:rPr>
        <w:t>湖南省畜牧水产事务中心</w:t>
      </w:r>
      <w:r>
        <w:rPr>
          <w:rFonts w:hint="eastAsia" w:ascii="黑体" w:hAnsi="黑体" w:eastAsia="黑体" w:cs="黑体"/>
          <w:b w:val="0"/>
          <w:bCs/>
          <w:sz w:val="28"/>
          <w:szCs w:val="28"/>
          <w:highlight w:val="none"/>
        </w:rPr>
        <w:t>概况</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一、部门职责</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二、机构设置</w:t>
      </w:r>
    </w:p>
    <w:p>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第二部分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部门决算表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三、支出决算表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九、财政拨款“三公”经费支出决算表</w:t>
      </w:r>
    </w:p>
    <w:p>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第三部分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部门决算情况说明</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十一、关于政府采购支出说明</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十三、关于</w:t>
      </w:r>
      <w:r>
        <w:rPr>
          <w:rFonts w:hint="default" w:ascii="Times New Roman" w:hAnsi="Times New Roman" w:eastAsia="仿宋_GB2312" w:cs="Times New Roman"/>
          <w:sz w:val="28"/>
          <w:szCs w:val="28"/>
          <w:highlight w:val="none"/>
        </w:rPr>
        <w:t>202</w:t>
      </w:r>
      <w:r>
        <w:rPr>
          <w:rFonts w:hint="default" w:ascii="Times New Roman" w:hAnsi="Times New Roman" w:eastAsia="仿宋_GB2312" w:cs="Times New Roman"/>
          <w:sz w:val="28"/>
          <w:szCs w:val="28"/>
          <w:highlight w:val="none"/>
          <w:lang w:val="en-US" w:eastAsia="zh-CN"/>
        </w:rPr>
        <w:t>3</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绩效情况的说明</w:t>
      </w:r>
    </w:p>
    <w:p>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第四部分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名词解释</w:t>
      </w:r>
    </w:p>
    <w:p>
      <w:pPr>
        <w:pStyle w:val="15"/>
        <w:spacing w:line="500" w:lineRule="exact"/>
        <w:rPr>
          <w:rFonts w:hint="eastAsia" w:ascii="黑体" w:hAnsi="黑体" w:eastAsia="黑体" w:cs="黑体"/>
          <w:b w:val="0"/>
          <w:bCs/>
          <w:sz w:val="28"/>
          <w:szCs w:val="28"/>
          <w:highlight w:val="none"/>
          <w:lang w:eastAsia="zh-CN"/>
        </w:rPr>
      </w:pPr>
      <w:r>
        <w:rPr>
          <w:rFonts w:hint="eastAsia" w:ascii="黑体" w:hAnsi="黑体" w:eastAsia="黑体" w:cs="黑体"/>
          <w:b w:val="0"/>
          <w:bCs/>
          <w:sz w:val="28"/>
          <w:szCs w:val="28"/>
          <w:highlight w:val="none"/>
        </w:rPr>
        <w:t>第</w:t>
      </w:r>
      <w:r>
        <w:rPr>
          <w:rFonts w:hint="eastAsia" w:hAnsi="黑体" w:cs="黑体"/>
          <w:b w:val="0"/>
          <w:bCs/>
          <w:sz w:val="28"/>
          <w:szCs w:val="28"/>
          <w:highlight w:val="none"/>
          <w:lang w:eastAsia="zh-CN"/>
        </w:rPr>
        <w:t>五</w:t>
      </w:r>
      <w:r>
        <w:rPr>
          <w:rFonts w:hint="eastAsia" w:ascii="黑体" w:hAnsi="黑体" w:eastAsia="黑体" w:cs="黑体"/>
          <w:b w:val="0"/>
          <w:bCs/>
          <w:sz w:val="28"/>
          <w:szCs w:val="28"/>
          <w:highlight w:val="none"/>
        </w:rPr>
        <w:t>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eastAsia="zh-CN"/>
        </w:rPr>
        <w:t>附件</w:t>
      </w:r>
    </w:p>
    <w:p>
      <w:pPr>
        <w:pStyle w:val="15"/>
        <w:spacing w:line="500" w:lineRule="exact"/>
        <w:rPr>
          <w:rFonts w:hint="eastAsia" w:ascii="黑体" w:hAnsi="黑体" w:eastAsia="黑体" w:cs="黑体"/>
          <w:b w:val="0"/>
          <w:bCs/>
          <w:sz w:val="28"/>
          <w:szCs w:val="28"/>
          <w:highlight w:val="none"/>
        </w:rPr>
      </w:pPr>
    </w:p>
    <w:p>
      <w:pPr>
        <w:jc w:val="center"/>
        <w:rPr>
          <w:sz w:val="72"/>
          <w:szCs w:val="72"/>
          <w:highlight w:val="none"/>
        </w:rPr>
      </w:pPr>
    </w:p>
    <w:p>
      <w:pPr>
        <w:jc w:val="center"/>
        <w:rPr>
          <w:rFonts w:hint="eastAsia" w:eastAsiaTheme="minorEastAsia"/>
          <w:sz w:val="72"/>
          <w:szCs w:val="72"/>
          <w:highlight w:val="none"/>
          <w:lang w:eastAsia="zh-CN"/>
        </w:rPr>
      </w:pPr>
    </w:p>
    <w:p>
      <w:pPr>
        <w:jc w:val="center"/>
        <w:rPr>
          <w:rFonts w:hint="eastAsia" w:eastAsiaTheme="minorEastAsia"/>
          <w:sz w:val="72"/>
          <w:szCs w:val="72"/>
          <w:highlight w:val="none"/>
          <w:lang w:eastAsia="zh-CN"/>
        </w:rPr>
      </w:pPr>
    </w:p>
    <w:p>
      <w:pP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 xml:space="preserve">第一部分 </w:t>
      </w:r>
    </w:p>
    <w:p>
      <w:pPr>
        <w:pStyle w:val="15"/>
        <w:jc w:val="center"/>
        <w:rPr>
          <w:rFonts w:hint="eastAsia" w:ascii="方正小标宋_GBK" w:hAnsi="方正小标宋_GBK" w:eastAsia="方正小标宋_GBK" w:cs="方正小标宋_GBK"/>
          <w:sz w:val="84"/>
          <w:szCs w:val="84"/>
          <w:highlight w:val="none"/>
        </w:rPr>
      </w:pPr>
    </w:p>
    <w:p>
      <w:pPr>
        <w:pStyle w:val="15"/>
        <w:jc w:val="center"/>
        <w:rPr>
          <w:rFonts w:hint="eastAsia" w:ascii="方正小标宋_GBK" w:hAnsi="方正小标宋_GBK" w:eastAsia="方正小标宋_GBK" w:cs="方正小标宋_GBK"/>
          <w:sz w:val="84"/>
          <w:szCs w:val="84"/>
          <w:highlight w:val="none"/>
          <w:lang w:eastAsia="zh-CN"/>
        </w:rPr>
      </w:pPr>
      <w:r>
        <w:rPr>
          <w:rFonts w:hint="eastAsia" w:ascii="方正小标宋_GBK" w:hAnsi="方正小标宋_GBK" w:eastAsia="方正小标宋_GBK" w:cs="方正小标宋_GBK"/>
          <w:sz w:val="84"/>
          <w:szCs w:val="84"/>
          <w:highlight w:val="none"/>
          <w:lang w:eastAsia="zh-CN"/>
        </w:rPr>
        <w:t>湖南省畜牧水产事务中心</w:t>
      </w:r>
    </w:p>
    <w:p>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概况</w:t>
      </w:r>
    </w:p>
    <w:p>
      <w:pPr>
        <w:jc w:val="center"/>
        <w:rPr>
          <w:rFonts w:hint="eastAsia" w:ascii="方正小标宋_GBK" w:hAnsi="方正小标宋_GBK" w:eastAsia="方正小标宋_GBK" w:cs="方正小标宋_GBK"/>
          <w:sz w:val="72"/>
          <w:szCs w:val="72"/>
          <w:highlight w:val="none"/>
        </w:rPr>
      </w:pPr>
    </w:p>
    <w:p>
      <w:pPr>
        <w:jc w:val="center"/>
        <w:rPr>
          <w:rFonts w:hint="eastAsia" w:ascii="方正小标宋_GBK" w:hAnsi="方正小标宋_GBK" w:eastAsia="方正小标宋_GBK" w:cs="方正小标宋_GBK"/>
          <w:sz w:val="72"/>
          <w:szCs w:val="72"/>
          <w:highlight w:val="none"/>
        </w:rPr>
      </w:pPr>
    </w:p>
    <w:p>
      <w:pPr>
        <w:jc w:val="center"/>
        <w:rPr>
          <w:sz w:val="72"/>
          <w:szCs w:val="72"/>
          <w:highlight w:val="none"/>
        </w:rPr>
      </w:pPr>
    </w:p>
    <w:p>
      <w:pPr>
        <w:jc w:val="center"/>
        <w:rPr>
          <w:sz w:val="72"/>
          <w:szCs w:val="72"/>
          <w:highlight w:val="none"/>
        </w:rPr>
      </w:pPr>
    </w:p>
    <w:p>
      <w:pPr>
        <w:pStyle w:val="16"/>
        <w:numPr>
          <w:ilvl w:val="0"/>
          <w:numId w:val="0"/>
        </w:numPr>
        <w:ind w:firstLine="640" w:firstLineChars="200"/>
        <w:jc w:val="left"/>
        <w:rPr>
          <w:rFonts w:hint="eastAsia" w:ascii="黑体" w:hAnsi="黑体" w:eastAsia="黑体" w:cs="黑体"/>
          <w:b w:val="0"/>
          <w:bCs w:val="0"/>
          <w:sz w:val="32"/>
          <w:szCs w:val="32"/>
          <w:highlight w:val="none"/>
        </w:rPr>
      </w:pPr>
      <w:r>
        <w:rPr>
          <w:rFonts w:hint="default" w:ascii="黑体" w:hAnsi="黑体" w:eastAsia="黑体" w:cs="黑体"/>
          <w:b w:val="0"/>
          <w:bCs w:val="0"/>
          <w:kern w:val="2"/>
          <w:sz w:val="32"/>
          <w:szCs w:val="32"/>
          <w:highlight w:val="none"/>
          <w:lang w:val="en-US" w:eastAsia="zh-CN" w:bidi="ar-SA"/>
        </w:rPr>
        <w:t>一、</w:t>
      </w:r>
      <w:r>
        <w:rPr>
          <w:rFonts w:hint="eastAsia" w:ascii="黑体" w:hAnsi="黑体" w:eastAsia="黑体" w:cs="黑体"/>
          <w:b w:val="0"/>
          <w:bCs w:val="0"/>
          <w:sz w:val="32"/>
          <w:szCs w:val="32"/>
          <w:highlight w:val="none"/>
        </w:rPr>
        <w:t>部门职责</w:t>
      </w:r>
    </w:p>
    <w:p>
      <w:pPr>
        <w:widowControl/>
        <w:spacing w:line="600" w:lineRule="exact"/>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湖南省畜牧水产事务中心是湖南省农业农村厅管理的副厅级公益一类事业单位，统一社会信用代码：124300004448787034。主要承担畜牧业、渔业地方标准体系建设相关事务性工作；畜禽水产品质量安全风险评估工作；畜牧业、渔业生产、市场信息监测和统计分析工作；动物疫病（包括人畜共患病）防控、动物和动物产品检疫及动物血防相关事务性工作；为全省畜禽屠宰行业管理提供服务保障，对市县畜牧水产事务中心进行业务指导；承担省农业农村厅交办的其他工作。</w:t>
      </w:r>
    </w:p>
    <w:p>
      <w:pPr>
        <w:widowControl/>
        <w:spacing w:line="600" w:lineRule="exact"/>
        <w:ind w:firstLine="640" w:firstLineChars="200"/>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highlight w:val="none"/>
        </w:rPr>
      </w:pPr>
      <w:r>
        <w:rPr>
          <w:rFonts w:hint="eastAsia" w:ascii="Times New Roman" w:hAnsi="Times New Roman" w:eastAsia="仿宋_GB2312" w:cs="仿宋_GB2312"/>
          <w:bCs/>
          <w:kern w:val="0"/>
          <w:sz w:val="32"/>
          <w:szCs w:val="32"/>
          <w:highlight w:val="none"/>
        </w:rPr>
        <w:t>（一）内设机构设置。湖南省畜牧水产事务中心内设机构包括：综合部、财务部、科技推广部、质量安全与兽药部、畜牧业发展部、渔业发展部（省水生动物防疫检疫站）、兽医与屠宰行业事务部、动物检疫部（省动物血防工作站）等八个部门。</w:t>
      </w:r>
    </w:p>
    <w:p>
      <w:pPr>
        <w:widowControl/>
        <w:spacing w:line="600" w:lineRule="exact"/>
        <w:ind w:firstLine="640" w:firstLineChars="200"/>
        <w:rPr>
          <w:rFonts w:hint="eastAsia" w:ascii="Times New Roman" w:hAnsi="Times New Roman" w:eastAsia="仿宋_GB2312" w:cs="仿宋_GB2312"/>
          <w:bCs/>
          <w:kern w:val="0"/>
          <w:sz w:val="32"/>
          <w:szCs w:val="32"/>
          <w:highlight w:val="none"/>
          <w:lang w:eastAsia="zh-CN"/>
        </w:rPr>
      </w:pPr>
      <w:r>
        <w:rPr>
          <w:rFonts w:hint="eastAsia" w:ascii="Times New Roman" w:hAnsi="Times New Roman" w:eastAsia="仿宋_GB2312" w:cs="仿宋_GB2312"/>
          <w:bCs/>
          <w:kern w:val="0"/>
          <w:sz w:val="32"/>
          <w:szCs w:val="32"/>
          <w:highlight w:val="none"/>
        </w:rPr>
        <w:t>（二）决算单位构成。湖南省畜牧水产事务中心202</w:t>
      </w:r>
      <w:r>
        <w:rPr>
          <w:rFonts w:hint="eastAsia" w:ascii="Times New Roman" w:hAnsi="Times New Roman" w:eastAsia="仿宋_GB2312" w:cs="仿宋_GB2312"/>
          <w:bCs/>
          <w:kern w:val="0"/>
          <w:sz w:val="32"/>
          <w:szCs w:val="32"/>
          <w:highlight w:val="none"/>
          <w:lang w:val="en-US" w:eastAsia="zh-CN"/>
        </w:rPr>
        <w:t>3</w:t>
      </w:r>
      <w:r>
        <w:rPr>
          <w:rFonts w:hint="eastAsia" w:ascii="Times New Roman" w:hAnsi="Times New Roman" w:eastAsia="仿宋_GB2312" w:cs="仿宋_GB2312"/>
          <w:bCs/>
          <w:kern w:val="0"/>
          <w:sz w:val="32"/>
          <w:szCs w:val="32"/>
          <w:highlight w:val="none"/>
        </w:rPr>
        <w:t>年部门决算汇总公开单位构成包括：湖南省畜牧水产事务中心本级</w:t>
      </w:r>
      <w:r>
        <w:rPr>
          <w:rFonts w:hint="eastAsia" w:ascii="Times New Roman" w:hAnsi="Times New Roman" w:eastAsia="仿宋_GB2312" w:cs="仿宋_GB2312"/>
          <w:bCs/>
          <w:kern w:val="0"/>
          <w:sz w:val="32"/>
          <w:szCs w:val="32"/>
          <w:highlight w:val="none"/>
          <w:lang w:eastAsia="zh-CN"/>
        </w:rPr>
        <w:t>。</w:t>
      </w:r>
    </w:p>
    <w:p>
      <w:pPr>
        <w:widowControl/>
        <w:spacing w:line="600" w:lineRule="exact"/>
        <w:ind w:firstLine="640" w:firstLineChars="200"/>
        <w:rPr>
          <w:rFonts w:hint="eastAsia" w:ascii="Times New Roman" w:hAnsi="Times New Roman" w:eastAsia="仿宋_GB2312" w:cs="仿宋_GB2312"/>
          <w:bCs/>
          <w:kern w:val="0"/>
          <w:sz w:val="32"/>
          <w:szCs w:val="32"/>
          <w:highlight w:val="none"/>
        </w:rPr>
      </w:pPr>
    </w:p>
    <w:p>
      <w:pPr>
        <w:jc w:val="left"/>
        <w:rPr>
          <w:rFonts w:ascii="仿宋_GB2312" w:eastAsia="仿宋_GB2312" w:hAnsiTheme="minorEastAsia"/>
          <w:sz w:val="28"/>
          <w:szCs w:val="32"/>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hint="eastAsia" w:ascii="黑体" w:hAnsi="黑体" w:eastAsia="黑体"/>
          <w:sz w:val="28"/>
          <w:szCs w:val="28"/>
          <w:highlight w:val="none"/>
          <w:lang w:eastAsia="zh-CN"/>
        </w:rPr>
      </w:pPr>
    </w:p>
    <w:p>
      <w:pPr>
        <w:jc w:val="center"/>
        <w:rPr>
          <w:rFonts w:hint="eastAsia" w:ascii="黑体" w:hAnsi="黑体" w:eastAsia="黑体"/>
          <w:sz w:val="28"/>
          <w:szCs w:val="28"/>
          <w:highlight w:val="none"/>
          <w:lang w:eastAsia="zh-CN"/>
        </w:rPr>
      </w:pPr>
    </w:p>
    <w:p>
      <w:pPr>
        <w:jc w:val="center"/>
        <w:rPr>
          <w:rFonts w:hint="eastAsia" w:ascii="黑体" w:hAnsi="黑体" w:eastAsia="黑体"/>
          <w:sz w:val="28"/>
          <w:szCs w:val="28"/>
          <w:highlight w:val="none"/>
          <w:lang w:eastAsia="zh-CN"/>
        </w:rPr>
      </w:pPr>
    </w:p>
    <w:p>
      <w:pPr>
        <w:jc w:val="center"/>
        <w:rPr>
          <w:rFonts w:hint="eastAsia" w:ascii="黑体" w:hAnsi="黑体" w:eastAsia="黑体"/>
          <w:sz w:val="28"/>
          <w:szCs w:val="28"/>
          <w:highlight w:val="none"/>
          <w:lang w:eastAsia="zh-CN"/>
        </w:rPr>
      </w:pPr>
    </w:p>
    <w:p>
      <w:pPr>
        <w:jc w:val="center"/>
        <w:rPr>
          <w:rFonts w:hint="eastAsia" w:ascii="黑体" w:hAnsi="黑体" w:eastAsia="黑体"/>
          <w:sz w:val="28"/>
          <w:szCs w:val="28"/>
          <w:highlight w:val="none"/>
          <w:lang w:eastAsia="zh-CN"/>
        </w:rPr>
      </w:pPr>
    </w:p>
    <w:p>
      <w:pPr>
        <w:jc w:val="center"/>
        <w:rPr>
          <w:rFonts w:hint="eastAsia" w:ascii="黑体" w:hAnsi="黑体" w:eastAsia="黑体"/>
          <w:sz w:val="28"/>
          <w:szCs w:val="28"/>
          <w:highlight w:val="none"/>
          <w:lang w:eastAsia="zh-CN"/>
        </w:rPr>
      </w:pPr>
    </w:p>
    <w:p>
      <w:pPr>
        <w:jc w:val="center"/>
        <w:rPr>
          <w:rFonts w:ascii="黑体" w:hAnsi="黑体" w:eastAsia="黑体"/>
          <w:sz w:val="28"/>
          <w:szCs w:val="28"/>
          <w:highlight w:val="none"/>
        </w:rPr>
      </w:pPr>
    </w:p>
    <w:p>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第二部分</w:t>
      </w:r>
    </w:p>
    <w:p>
      <w:pPr>
        <w:pStyle w:val="15"/>
        <w:jc w:val="center"/>
        <w:rPr>
          <w:rFonts w:hint="eastAsia" w:ascii="方正小标宋_GBK" w:hAnsi="方正小标宋_GBK" w:eastAsia="方正小标宋_GBK" w:cs="方正小标宋_GBK"/>
          <w:sz w:val="84"/>
          <w:szCs w:val="84"/>
          <w:highlight w:val="none"/>
        </w:rPr>
      </w:pPr>
    </w:p>
    <w:p>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部门决算表</w:t>
      </w: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left"/>
        <w:rPr>
          <w:rFonts w:asciiTheme="minorEastAsia" w:hAnsiTheme="minorEastAsia"/>
          <w:sz w:val="32"/>
          <w:szCs w:val="32"/>
          <w:highlight w:val="none"/>
        </w:rPr>
        <w:sectPr>
          <w:pgSz w:w="11906" w:h="16838"/>
          <w:pgMar w:top="720" w:right="720" w:bottom="720" w:left="720" w:header="851" w:footer="992" w:gutter="0"/>
          <w:cols w:space="425" w:num="1"/>
          <w:docGrid w:type="lines" w:linePitch="312" w:charSpace="0"/>
        </w:sectPr>
      </w:pPr>
    </w:p>
    <w:tbl>
      <w:tblPr>
        <w:tblStyle w:val="11"/>
        <w:tblW w:w="151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916"/>
        <w:gridCol w:w="460"/>
        <w:gridCol w:w="2315"/>
        <w:gridCol w:w="4300"/>
        <w:gridCol w:w="460"/>
        <w:gridCol w:w="2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101"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8"/>
                <w:szCs w:val="28"/>
                <w:highlight w:val="none"/>
                <w:u w:val="none"/>
              </w:rPr>
            </w:pPr>
            <w:r>
              <w:rPr>
                <w:rFonts w:ascii="Times New Roman" w:hAnsi="Times New Roman" w:eastAsia="黑体" w:cs="Times New Roman"/>
                <w:bCs/>
                <w:kern w:val="0"/>
                <w:sz w:val="32"/>
                <w:szCs w:val="32"/>
                <w:highlight w:val="none"/>
              </w:rPr>
              <w:br w:type="page"/>
            </w:r>
            <w:r>
              <w:rPr>
                <w:rFonts w:hint="eastAsia" w:ascii="宋体" w:hAnsi="宋体" w:eastAsia="宋体" w:cs="宋体"/>
                <w:b/>
                <w:i w:val="0"/>
                <w:color w:val="000000"/>
                <w:kern w:val="0"/>
                <w:sz w:val="28"/>
                <w:szCs w:val="28"/>
                <w:highlight w:val="none"/>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91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31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3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65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16"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部门：湖南省畜牧水产事务中心</w:t>
            </w: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31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3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65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69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收入</w:t>
            </w:r>
          </w:p>
        </w:tc>
        <w:tc>
          <w:tcPr>
            <w:tcW w:w="74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金额</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9,467.39</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二、政府性基金预算财政拨款收入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三、国有资本经营预算财政拨款收入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34</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四、上级补助收入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35</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五、事业收入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36</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六、经营收入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37</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七、附属单位上缴收入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38</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八、其他收入</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189.30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39</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40</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41</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42</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12</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43</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9,027.68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本年收入合计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9,656.69</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58</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9,296.01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使用非财政拨款结余和专用结余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28</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59</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年初结转和结余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29</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1,116.77</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60</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1,476.40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30</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31</w:t>
            </w:r>
          </w:p>
        </w:tc>
        <w:tc>
          <w:tcPr>
            <w:tcW w:w="23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10,773.46</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62</w:t>
            </w:r>
          </w:p>
        </w:tc>
        <w:tc>
          <w:tcPr>
            <w:tcW w:w="2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10,773.46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101"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101"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highlight w:val="none"/>
        </w:rPr>
      </w:pPr>
    </w:p>
    <w:p>
      <w:pPr>
        <w:widowControl/>
        <w:rPr>
          <w:rFonts w:ascii="Times New Roman" w:hAnsi="Times New Roman" w:eastAsia="方正小标宋_GBK" w:cs="Times New Roman"/>
          <w:color w:val="000000"/>
          <w:kern w:val="0"/>
          <w:sz w:val="36"/>
          <w:szCs w:val="36"/>
          <w:highlight w:val="none"/>
        </w:rPr>
        <w:sectPr>
          <w:pgSz w:w="16838" w:h="11906" w:orient="landscape"/>
          <w:pgMar w:top="720" w:right="720" w:bottom="720" w:left="720" w:header="851" w:footer="992" w:gutter="0"/>
          <w:cols w:space="425" w:num="1"/>
          <w:docGrid w:type="lines" w:linePitch="312" w:charSpace="0"/>
        </w:sectPr>
      </w:pPr>
    </w:p>
    <w:tbl>
      <w:tblPr>
        <w:tblStyle w:val="11"/>
        <w:tblW w:w="156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81"/>
        <w:gridCol w:w="3942"/>
        <w:gridCol w:w="1750"/>
        <w:gridCol w:w="1750"/>
        <w:gridCol w:w="1446"/>
        <w:gridCol w:w="1446"/>
        <w:gridCol w:w="1446"/>
        <w:gridCol w:w="1446"/>
        <w:gridCol w:w="12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609"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highlight w:val="none"/>
                <w:u w:val="none"/>
              </w:rPr>
            </w:pPr>
            <w:bookmarkStart w:id="0" w:name="RANGE!A1:I22"/>
            <w:bookmarkEnd w:id="0"/>
            <w:bookmarkStart w:id="1" w:name="RANGE!A1:F16"/>
            <w:r>
              <w:rPr>
                <w:rFonts w:hint="eastAsia" w:ascii="宋体" w:hAnsi="宋体" w:eastAsia="宋体" w:cs="宋体"/>
                <w:b/>
                <w:i w:val="0"/>
                <w:color w:val="000000"/>
                <w:kern w:val="0"/>
                <w:sz w:val="28"/>
                <w:szCs w:val="28"/>
                <w:highlight w:val="none"/>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58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394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7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75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27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051"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部门：湖南省畜牧水产事务中心</w:t>
            </w:r>
          </w:p>
        </w:tc>
        <w:tc>
          <w:tcPr>
            <w:tcW w:w="17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75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4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27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5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本年收入合计</w:t>
            </w: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财政拨款收入</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上级补助收入</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事业收入</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经营收入</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附属单位上缴收入</w:t>
            </w: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科目代码</w:t>
            </w:r>
          </w:p>
        </w:tc>
        <w:tc>
          <w:tcPr>
            <w:tcW w:w="394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科目名称</w:t>
            </w: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94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94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5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17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7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5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9,656.69</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9,467.39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189.30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社会保障和就业支出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254.00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254.00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行政事业单位养老支出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227.00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227.00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2080505</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机关事业单位基本养老保险缴费支出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227.00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227.00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20808</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抚恤</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2080801</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死亡抚恤</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卫生健康支出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28.00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28.00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21004</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公共卫生</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2100409</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重大公共卫生服务</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21011</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行政事业单位医疗</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2101101</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行政单位医疗</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农林水支出</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9,374.69</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9,185.39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189.30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农业农村</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9,374.69</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9,185.39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189.30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2130101</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行政运行</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3,677.43</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3,566.39</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2130106</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科技转化与推广服务</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104.00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104.00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2130108</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病虫害控制</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4,535.00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4,535.00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2130109</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农产品质量安全</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685.00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685.00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2130110</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执法监管</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235.00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235.00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2130111</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统计监测与信息服务</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60.00</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2130112</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行业业务管理</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78.26</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609"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注：本表反映部门本年度取得的各项收入情况。</w:t>
            </w:r>
          </w:p>
        </w:tc>
      </w:tr>
    </w:tbl>
    <w:p>
      <w:pPr>
        <w:pStyle w:val="9"/>
        <w:ind w:left="0" w:leftChars="0" w:firstLine="0" w:firstLineChars="0"/>
        <w:rPr>
          <w:rFonts w:ascii="Times New Roman" w:hAnsi="Times New Roman" w:eastAsia="方正小标宋_GBK" w:cs="Times New Roman"/>
          <w:kern w:val="0"/>
          <w:sz w:val="36"/>
          <w:szCs w:val="36"/>
          <w:highlight w:val="none"/>
        </w:rPr>
      </w:pPr>
    </w:p>
    <w:tbl>
      <w:tblPr>
        <w:tblStyle w:val="11"/>
        <w:tblW w:w="154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8"/>
        <w:gridCol w:w="258"/>
        <w:gridCol w:w="829"/>
        <w:gridCol w:w="4604"/>
        <w:gridCol w:w="1664"/>
        <w:gridCol w:w="1664"/>
        <w:gridCol w:w="1664"/>
        <w:gridCol w:w="1375"/>
        <w:gridCol w:w="1375"/>
        <w:gridCol w:w="1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443"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highlight w:val="none"/>
                <w:u w:val="none"/>
              </w:rPr>
            </w:pPr>
            <w:r>
              <w:rPr>
                <w:rFonts w:hint="eastAsia" w:ascii="宋体" w:hAnsi="宋体" w:eastAsia="宋体" w:cs="宋体"/>
                <w:b/>
                <w:i w:val="0"/>
                <w:color w:val="000000"/>
                <w:kern w:val="0"/>
                <w:sz w:val="28"/>
                <w:szCs w:val="28"/>
                <w:highlight w:val="none"/>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82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60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6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664"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16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3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3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75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949"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部门：湖南省畜牧水产事务中心</w:t>
            </w:r>
          </w:p>
        </w:tc>
        <w:tc>
          <w:tcPr>
            <w:tcW w:w="16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664"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16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3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37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75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9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16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本年支出合计</w:t>
            </w:r>
          </w:p>
        </w:tc>
        <w:tc>
          <w:tcPr>
            <w:tcW w:w="16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基本支出</w:t>
            </w:r>
          </w:p>
        </w:tc>
        <w:tc>
          <w:tcPr>
            <w:tcW w:w="16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项目支出</w:t>
            </w:r>
          </w:p>
        </w:tc>
        <w:tc>
          <w:tcPr>
            <w:tcW w:w="13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上缴上级支出</w:t>
            </w:r>
          </w:p>
        </w:tc>
        <w:tc>
          <w:tcPr>
            <w:tcW w:w="13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经营支出</w:t>
            </w:r>
          </w:p>
        </w:tc>
        <w:tc>
          <w:tcPr>
            <w:tcW w:w="17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科目代码</w:t>
            </w:r>
          </w:p>
        </w:tc>
        <w:tc>
          <w:tcPr>
            <w:tcW w:w="460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科目名称</w:t>
            </w: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460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460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7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9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1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17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94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9,296.01</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3,516.91</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5,779.10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社会保障和就业支出</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243.89</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243.89</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行政事业单位养老支出</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2080505</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机关事业单位基本养老保险缴费支出</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20808</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抚恤</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2080801</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死亡抚恤</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卫生健康支出</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24.44</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21004</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公共卫生</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2100409</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重大公共卫生服务</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21011</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行政事业单位医疗</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27"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2101101</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行政单位医疗</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农林水支出</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9,027.68</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3,250.02</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5,777.66</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农业农村</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9,027.68</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3,250.02</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5,777.66</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2130101</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行政运行</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3,421.84</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3,250.02</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171.82</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2130106</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科技转化与推广服务</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176.59</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176.59</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2130108</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病虫害控制</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4,415.60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4,415.60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2130109</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农产品质量安全</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745.13</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745.13</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2130110</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执法监管</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104.94</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104.94</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2130111</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统计监测与信息服务</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61.84</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61.84</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2130112</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行业业务管理</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77.21</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77.21</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4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2130199</w:t>
            </w:r>
          </w:p>
        </w:tc>
        <w:tc>
          <w:tcPr>
            <w:tcW w:w="46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其他农业农村支出</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24.53</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24.53</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7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443"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注：本表反映部门本年度各项支出情况。</w:t>
            </w:r>
          </w:p>
        </w:tc>
      </w:tr>
    </w:tbl>
    <w:p>
      <w:pPr>
        <w:pStyle w:val="8"/>
        <w:rPr>
          <w:highlight w:val="none"/>
        </w:rPr>
      </w:pPr>
    </w:p>
    <w:tbl>
      <w:tblPr>
        <w:tblStyle w:val="11"/>
        <w:tblW w:w="153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421"/>
        <w:gridCol w:w="477"/>
        <w:gridCol w:w="1591"/>
        <w:gridCol w:w="3643"/>
        <w:gridCol w:w="477"/>
        <w:gridCol w:w="1260"/>
        <w:gridCol w:w="1591"/>
        <w:gridCol w:w="1248"/>
        <w:gridCol w:w="16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372"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highlight w:val="none"/>
                <w:u w:val="none"/>
              </w:rPr>
            </w:pPr>
            <w:r>
              <w:rPr>
                <w:rFonts w:hint="eastAsia" w:ascii="宋体" w:hAnsi="宋体" w:eastAsia="宋体" w:cs="宋体"/>
                <w:b/>
                <w:i w:val="0"/>
                <w:color w:val="000000"/>
                <w:kern w:val="0"/>
                <w:sz w:val="28"/>
                <w:szCs w:val="28"/>
                <w:highlight w:val="none"/>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42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5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36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2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159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24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66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489"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部门：湖南省畜牧水产事务中心</w:t>
            </w:r>
          </w:p>
        </w:tc>
        <w:tc>
          <w:tcPr>
            <w:tcW w:w="36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12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159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24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highlight w:val="none"/>
                <w:u w:val="none"/>
              </w:rPr>
            </w:pPr>
          </w:p>
        </w:tc>
        <w:tc>
          <w:tcPr>
            <w:tcW w:w="166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收     入</w:t>
            </w:r>
          </w:p>
        </w:tc>
        <w:tc>
          <w:tcPr>
            <w:tcW w:w="988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4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金额</w:t>
            </w:r>
          </w:p>
        </w:tc>
        <w:tc>
          <w:tcPr>
            <w:tcW w:w="36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行次</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一般公共预算财政拨款</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政府性基金预算财政拨款</w:t>
            </w:r>
          </w:p>
        </w:tc>
        <w:tc>
          <w:tcPr>
            <w:tcW w:w="16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4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36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6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9,467.39</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一、一般公共服务支出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二、政府性基金预算财政拨款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二、外交支出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三、国有资本经营预算财政拨款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三、国防支出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四、公共安全支出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五、教育支出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37</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六、科学技术支出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38</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七、文化旅游体育与传媒支出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39</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八、社会保障和就业支出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243.89</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243.89</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九、卫生健康支出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24.44</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24.44</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十、节能环保支出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十一、城乡社区支出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12</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十二、农林水支出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8,839.43</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8,839.43</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本年收入合计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9,467.39</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本年支出合计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59</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9,107.76</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9,107.76</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年初财政拨款结转和结余</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28</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778.23</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年末财政拨款结转和结余</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60</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1,137.86</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1,137.86</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 xml:space="preserve">  一般公共预算财政拨款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29</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778.23</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 xml:space="preserve">  政府性基金预算财政拨款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30</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 xml:space="preserve">  国有资本经营预算财政拨款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31</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highlight w:val="none"/>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32</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10,245.62</w:t>
            </w:r>
          </w:p>
        </w:tc>
        <w:tc>
          <w:tcPr>
            <w:tcW w:w="36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总计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10,245.62</w:t>
            </w:r>
          </w:p>
        </w:tc>
        <w:tc>
          <w:tcPr>
            <w:tcW w:w="1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10,245.62</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708"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注：本表反映部门本年度一般公共预算财政拨款、政府性基金预算财政拨款和国有资本经营预算财政拨款的总收支和年末结转结余情况。</w:t>
            </w:r>
          </w:p>
        </w:tc>
        <w:tc>
          <w:tcPr>
            <w:tcW w:w="1664"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highlight w:val="none"/>
                <w:u w:val="none"/>
              </w:rPr>
            </w:pPr>
          </w:p>
        </w:tc>
      </w:tr>
    </w:tbl>
    <w:p>
      <w:pPr>
        <w:pStyle w:val="9"/>
        <w:rPr>
          <w:highlight w:val="none"/>
        </w:rPr>
      </w:pPr>
    </w:p>
    <w:p>
      <w:pPr>
        <w:pStyle w:val="8"/>
        <w:rPr>
          <w:highlight w:val="none"/>
        </w:rPr>
      </w:pPr>
    </w:p>
    <w:p>
      <w:pPr>
        <w:pStyle w:val="9"/>
        <w:rPr>
          <w:highlight w:val="none"/>
        </w:rPr>
      </w:pPr>
    </w:p>
    <w:tbl>
      <w:tblPr>
        <w:tblStyle w:val="11"/>
        <w:tblW w:w="13877" w:type="dxa"/>
        <w:tblInd w:w="6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894"/>
        <w:gridCol w:w="5475"/>
        <w:gridCol w:w="2297"/>
        <w:gridCol w:w="2297"/>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3877"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highlight w:val="none"/>
                <w:u w:val="none"/>
              </w:rPr>
            </w:pPr>
            <w:r>
              <w:rPr>
                <w:rFonts w:hint="eastAsia" w:ascii="宋体" w:hAnsi="宋体" w:eastAsia="宋体" w:cs="宋体"/>
                <w:b/>
                <w:i w:val="0"/>
                <w:color w:val="000000"/>
                <w:kern w:val="0"/>
                <w:sz w:val="28"/>
                <w:szCs w:val="28"/>
                <w:highlight w:val="none"/>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89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547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29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29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238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6897"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部门：湖南省畜牧水产事务中心</w:t>
            </w:r>
          </w:p>
        </w:tc>
        <w:tc>
          <w:tcPr>
            <w:tcW w:w="229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highlight w:val="none"/>
                <w:u w:val="none"/>
              </w:rPr>
            </w:pPr>
          </w:p>
        </w:tc>
        <w:tc>
          <w:tcPr>
            <w:tcW w:w="229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highlight w:val="none"/>
                <w:u w:val="none"/>
              </w:rPr>
            </w:pPr>
          </w:p>
        </w:tc>
        <w:tc>
          <w:tcPr>
            <w:tcW w:w="238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89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w:t>
            </w:r>
          </w:p>
        </w:tc>
        <w:tc>
          <w:tcPr>
            <w:tcW w:w="698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highlight w:val="none"/>
                <w:u w:val="none"/>
                <w:lang w:val="en-US"/>
              </w:rPr>
            </w:pPr>
            <w:r>
              <w:rPr>
                <w:rFonts w:hint="eastAsia" w:ascii="宋体" w:hAnsi="宋体" w:eastAsia="宋体" w:cs="宋体"/>
                <w:i w:val="0"/>
                <w:color w:val="000000"/>
                <w:kern w:val="0"/>
                <w:sz w:val="22"/>
                <w:szCs w:val="22"/>
                <w:highlight w:val="none"/>
                <w:u w:val="none"/>
                <w:lang w:val="en-US" w:eastAsia="zh-CN" w:bidi="ar"/>
              </w:rPr>
              <w:t>功能分类科目编码</w:t>
            </w:r>
          </w:p>
        </w:tc>
        <w:tc>
          <w:tcPr>
            <w:tcW w:w="547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科目名称</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小计</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基本支出</w:t>
            </w:r>
          </w:p>
        </w:tc>
        <w:tc>
          <w:tcPr>
            <w:tcW w:w="23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547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c>
          <w:tcPr>
            <w:tcW w:w="2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89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栏次</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89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9,107.76</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3,516.91</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highlight w:val="none"/>
                <w:u w:val="none"/>
              </w:rPr>
            </w:pPr>
            <w:r>
              <w:rPr>
                <w:rFonts w:hint="eastAsia" w:ascii="宋体" w:hAnsi="宋体" w:eastAsia="宋体" w:cs="宋体"/>
                <w:b/>
                <w:i w:val="0"/>
                <w:color w:val="000000"/>
                <w:kern w:val="0"/>
                <w:sz w:val="22"/>
                <w:szCs w:val="22"/>
                <w:highlight w:val="none"/>
                <w:u w:val="none"/>
                <w:lang w:val="en-US" w:eastAsia="zh-CN" w:bidi="ar"/>
              </w:rPr>
              <w:t>5,590.85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社会保障和就业支出</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243.89</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243.89</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行政事业单位养老支出</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right="-487" w:rightChars="-232"/>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2080505</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机关事业单位基本养老保险缴费支出</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216.89</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20808</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抚恤</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2080801</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死亡抚恤</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27.00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卫生健康支出</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24.44</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21011</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行政事业单位医疗</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2101101</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行政单位医疗</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23.00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21004</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公共卫生</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2100409</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重大公共卫生服务</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农林水支出</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8,839.43</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3,310.80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5,503.04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农业农村</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8,839.43</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3,310.80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5,503.04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2130101</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行政运行</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3,310.80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3,310.80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60.78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2130106</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科技转化与推广服务</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176.59</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176.59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2130108</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病虫害控制</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4,415.60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4,415.60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2130109</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农产品质量安全</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745.13</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745.13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2130110</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执法监管</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104.94</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2130111</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统计监测与信息服务</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61.84</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2130199</w:t>
            </w:r>
          </w:p>
        </w:tc>
        <w:tc>
          <w:tcPr>
            <w:tcW w:w="5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其他农业农村支出</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24.53</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2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24.53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877"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注：本表反映部门本年度一般公共预算财政拨款支出情况。</w:t>
            </w:r>
          </w:p>
        </w:tc>
      </w:tr>
    </w:tbl>
    <w:p>
      <w:pPr>
        <w:pStyle w:val="9"/>
        <w:rPr>
          <w:highlight w:val="none"/>
        </w:rPr>
      </w:pPr>
    </w:p>
    <w:p>
      <w:pPr>
        <w:rPr>
          <w:highlight w:val="none"/>
        </w:rPr>
      </w:pPr>
      <w:r>
        <w:rPr>
          <w:highlight w:val="none"/>
        </w:rPr>
        <w:drawing>
          <wp:inline distT="0" distB="0" distL="114300" distR="114300">
            <wp:extent cx="9776460" cy="5793740"/>
            <wp:effectExtent l="0" t="0" r="254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76460" cy="5793740"/>
                    </a:xfrm>
                    <a:prstGeom prst="rect">
                      <a:avLst/>
                    </a:prstGeom>
                    <a:noFill/>
                    <a:ln>
                      <a:noFill/>
                    </a:ln>
                  </pic:spPr>
                </pic:pic>
              </a:graphicData>
            </a:graphic>
          </wp:inline>
        </w:drawing>
      </w:r>
    </w:p>
    <w:bookmarkEnd w:id="1"/>
    <w:tbl>
      <w:tblPr>
        <w:tblStyle w:val="11"/>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highlight w:val="none"/>
                <w:u w:val="none"/>
              </w:rPr>
            </w:pPr>
            <w:r>
              <w:rPr>
                <w:rFonts w:hint="eastAsia" w:ascii="华文中宋" w:hAnsi="华文中宋" w:eastAsia="华文中宋" w:cs="华文中宋"/>
                <w:i w:val="0"/>
                <w:color w:val="000000"/>
                <w:kern w:val="0"/>
                <w:sz w:val="32"/>
                <w:szCs w:val="32"/>
                <w:highlight w:val="none"/>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highlight w:val="none"/>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highlight w:val="none"/>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部门：</w:t>
            </w:r>
            <w:r>
              <w:rPr>
                <w:rFonts w:hint="eastAsia" w:ascii="宋体" w:hAnsi="宋体" w:eastAsia="宋体" w:cs="宋体"/>
                <w:i w:val="0"/>
                <w:color w:val="000000"/>
                <w:kern w:val="0"/>
                <w:sz w:val="22"/>
                <w:szCs w:val="22"/>
                <w:highlight w:val="none"/>
                <w:u w:val="none"/>
                <w:lang w:val="en-US" w:eastAsia="zh-CN" w:bidi="ar"/>
              </w:rPr>
              <w:t>湖南省畜牧水产事务中心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项 </w:t>
            </w:r>
            <w:r>
              <w:rPr>
                <w:rStyle w:val="18"/>
                <w:highlight w:val="none"/>
                <w:lang w:val="en-US" w:eastAsia="zh-CN" w:bidi="ar"/>
              </w:rPr>
              <w:t xml:space="preserve">   </w:t>
            </w:r>
            <w:r>
              <w:rPr>
                <w:rStyle w:val="19"/>
                <w:highlight w:val="none"/>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楷体" w:hAnsi="楷体" w:eastAsia="楷体" w:cs="楷体"/>
                <w:b/>
                <w:bCs/>
                <w:i w:val="0"/>
                <w:color w:val="auto"/>
                <w:kern w:val="0"/>
                <w:sz w:val="24"/>
                <w:szCs w:val="24"/>
                <w:highlight w:val="none"/>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highlight w:val="none"/>
        </w:rPr>
      </w:pPr>
    </w:p>
    <w:p>
      <w:pPr>
        <w:widowControl/>
        <w:jc w:val="center"/>
        <w:rPr>
          <w:rFonts w:hint="eastAsia" w:ascii="Times New Roman" w:hAnsi="Times New Roman" w:eastAsia="方正小标宋_GBK" w:cs="Times New Roman"/>
          <w:color w:val="000000"/>
          <w:kern w:val="0"/>
          <w:sz w:val="36"/>
          <w:szCs w:val="36"/>
          <w:highlight w:val="none"/>
        </w:rPr>
      </w:pPr>
    </w:p>
    <w:tbl>
      <w:tblPr>
        <w:tblStyle w:val="11"/>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highlight w:val="none"/>
                <w:u w:val="none"/>
              </w:rPr>
            </w:pPr>
            <w:r>
              <w:rPr>
                <w:rFonts w:hint="eastAsia" w:ascii="华文中宋" w:hAnsi="华文中宋" w:eastAsia="华文中宋" w:cs="华文中宋"/>
                <w:i w:val="0"/>
                <w:color w:val="000000"/>
                <w:kern w:val="0"/>
                <w:sz w:val="32"/>
                <w:szCs w:val="32"/>
                <w:highlight w:val="none"/>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highlight w:val="none"/>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highlight w:val="none"/>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highlight w:val="none"/>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部门：</w:t>
            </w:r>
            <w:r>
              <w:rPr>
                <w:rFonts w:hint="eastAsia" w:ascii="宋体" w:hAnsi="宋体" w:eastAsia="宋体" w:cs="宋体"/>
                <w:i w:val="0"/>
                <w:color w:val="000000"/>
                <w:kern w:val="0"/>
                <w:sz w:val="22"/>
                <w:szCs w:val="22"/>
                <w:highlight w:val="none"/>
                <w:u w:val="none"/>
                <w:lang w:val="en-US" w:eastAsia="zh-CN" w:bidi="ar"/>
              </w:rPr>
              <w:t>湖南省畜牧水产事务中心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项 </w:t>
            </w:r>
            <w:r>
              <w:rPr>
                <w:rFonts w:hint="eastAsia" w:ascii="宋体" w:hAnsi="宋体" w:eastAsia="宋体" w:cs="宋体"/>
                <w:i w:val="0"/>
                <w:color w:val="000000"/>
                <w:kern w:val="0"/>
                <w:sz w:val="22"/>
                <w:szCs w:val="22"/>
                <w:highlight w:val="none"/>
                <w:u w:val="none"/>
                <w:lang w:val="en-US" w:eastAsia="zh-CN" w:bidi="ar"/>
              </w:rPr>
              <w:t xml:space="preserve">   </w:t>
            </w:r>
            <w:r>
              <w:rPr>
                <w:rStyle w:val="20"/>
                <w:highlight w:val="none"/>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highlight w:val="none"/>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楷体" w:hAnsi="楷体" w:eastAsia="楷体" w:cs="楷体"/>
                <w:b/>
                <w:bCs/>
                <w:i w:val="0"/>
                <w:color w:val="auto"/>
                <w:kern w:val="0"/>
                <w:sz w:val="24"/>
                <w:szCs w:val="24"/>
                <w:highlight w:val="none"/>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highlight w:val="none"/>
        </w:rPr>
      </w:pPr>
    </w:p>
    <w:tbl>
      <w:tblPr>
        <w:tblStyle w:val="11"/>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highlight w:val="none"/>
                <w:u w:val="none"/>
              </w:rPr>
            </w:pPr>
            <w:r>
              <w:rPr>
                <w:rFonts w:hint="eastAsia" w:ascii="华文中宋" w:hAnsi="华文中宋" w:eastAsia="华文中宋" w:cs="华文中宋"/>
                <w:i w:val="0"/>
                <w:color w:val="000000"/>
                <w:kern w:val="0"/>
                <w:sz w:val="32"/>
                <w:szCs w:val="32"/>
                <w:highlight w:val="none"/>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部门：</w:t>
            </w:r>
            <w:r>
              <w:rPr>
                <w:rFonts w:hint="eastAsia" w:ascii="宋体" w:hAnsi="宋体" w:eastAsia="宋体" w:cs="宋体"/>
                <w:i w:val="0"/>
                <w:color w:val="000000"/>
                <w:kern w:val="0"/>
                <w:sz w:val="22"/>
                <w:szCs w:val="22"/>
                <w:highlight w:val="none"/>
                <w:u w:val="none"/>
                <w:lang w:val="en-US" w:eastAsia="zh-CN" w:bidi="ar"/>
              </w:rPr>
              <w:t>湖南省畜牧水产事务中心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highlight w:val="none"/>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highlight w:val="none"/>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highlight w:val="none"/>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公务用车</w:t>
            </w:r>
            <w:r>
              <w:rPr>
                <w:rFonts w:hint="eastAsia" w:ascii="宋体" w:hAnsi="宋体" w:eastAsia="宋体" w:cs="宋体"/>
                <w:i w:val="0"/>
                <w:color w:val="000000"/>
                <w:kern w:val="0"/>
                <w:sz w:val="22"/>
                <w:szCs w:val="22"/>
                <w:highlight w:val="none"/>
                <w:u w:val="none"/>
                <w:lang w:val="en-US" w:eastAsia="zh-CN" w:bidi="ar"/>
              </w:rPr>
              <w:br w:type="textWrapping"/>
            </w:r>
            <w:r>
              <w:rPr>
                <w:rFonts w:hint="eastAsia" w:ascii="宋体" w:hAnsi="宋体" w:eastAsia="宋体" w:cs="宋体"/>
                <w:i w:val="0"/>
                <w:color w:val="000000"/>
                <w:kern w:val="0"/>
                <w:sz w:val="22"/>
                <w:szCs w:val="22"/>
                <w:highlight w:val="none"/>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公务用车</w:t>
            </w:r>
            <w:r>
              <w:rPr>
                <w:rFonts w:hint="eastAsia" w:ascii="宋体" w:hAnsi="宋体" w:eastAsia="宋体" w:cs="宋体"/>
                <w:i w:val="0"/>
                <w:color w:val="000000"/>
                <w:kern w:val="0"/>
                <w:sz w:val="22"/>
                <w:szCs w:val="22"/>
                <w:highlight w:val="none"/>
                <w:u w:val="none"/>
                <w:lang w:val="en-US" w:eastAsia="zh-CN" w:bidi="ar"/>
              </w:rPr>
              <w:br w:type="textWrapping"/>
            </w:r>
            <w:r>
              <w:rPr>
                <w:rFonts w:hint="eastAsia" w:ascii="宋体" w:hAnsi="宋体" w:eastAsia="宋体" w:cs="宋体"/>
                <w:i w:val="0"/>
                <w:color w:val="000000"/>
                <w:kern w:val="0"/>
                <w:sz w:val="22"/>
                <w:szCs w:val="22"/>
                <w:highlight w:val="none"/>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highlight w:val="none"/>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highlight w:val="none"/>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highlight w:val="none"/>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公务用车</w:t>
            </w:r>
            <w:r>
              <w:rPr>
                <w:rFonts w:hint="eastAsia" w:ascii="宋体" w:hAnsi="宋体" w:eastAsia="宋体" w:cs="宋体"/>
                <w:i w:val="0"/>
                <w:color w:val="000000"/>
                <w:kern w:val="0"/>
                <w:sz w:val="22"/>
                <w:szCs w:val="22"/>
                <w:highlight w:val="none"/>
                <w:u w:val="none"/>
                <w:lang w:val="en-US" w:eastAsia="zh-CN" w:bidi="ar"/>
              </w:rPr>
              <w:br w:type="textWrapping"/>
            </w:r>
            <w:r>
              <w:rPr>
                <w:rFonts w:hint="eastAsia" w:ascii="宋体" w:hAnsi="宋体" w:eastAsia="宋体" w:cs="宋体"/>
                <w:i w:val="0"/>
                <w:color w:val="000000"/>
                <w:kern w:val="0"/>
                <w:sz w:val="22"/>
                <w:szCs w:val="22"/>
                <w:highlight w:val="none"/>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公务用车</w:t>
            </w:r>
            <w:r>
              <w:rPr>
                <w:rFonts w:hint="eastAsia" w:ascii="宋体" w:hAnsi="宋体" w:eastAsia="宋体" w:cs="宋体"/>
                <w:i w:val="0"/>
                <w:color w:val="000000"/>
                <w:kern w:val="0"/>
                <w:sz w:val="22"/>
                <w:szCs w:val="22"/>
                <w:highlight w:val="none"/>
                <w:u w:val="none"/>
                <w:lang w:val="en-US" w:eastAsia="zh-CN" w:bidi="ar"/>
              </w:rPr>
              <w:br w:type="textWrapping"/>
            </w:r>
            <w:r>
              <w:rPr>
                <w:rFonts w:hint="eastAsia" w:ascii="宋体" w:hAnsi="宋体" w:eastAsia="宋体" w:cs="宋体"/>
                <w:i w:val="0"/>
                <w:color w:val="000000"/>
                <w:kern w:val="0"/>
                <w:sz w:val="22"/>
                <w:szCs w:val="22"/>
                <w:highlight w:val="none"/>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18.00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52.00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20.00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51.62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49.72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17.98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31.74</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highlight w:val="none"/>
        </w:rPr>
      </w:pPr>
    </w:p>
    <w:p>
      <w:pPr>
        <w:autoSpaceDE w:val="0"/>
        <w:autoSpaceDN w:val="0"/>
        <w:adjustRightInd w:val="0"/>
        <w:ind w:left="315" w:leftChars="150"/>
        <w:jc w:val="left"/>
        <w:rPr>
          <w:rFonts w:ascii="宋体" w:eastAsia="宋体" w:cs="宋体"/>
          <w:kern w:val="0"/>
          <w:sz w:val="24"/>
          <w:szCs w:val="24"/>
          <w:highlight w:val="none"/>
        </w:rPr>
      </w:pPr>
    </w:p>
    <w:p>
      <w:pPr>
        <w:autoSpaceDE w:val="0"/>
        <w:autoSpaceDN w:val="0"/>
        <w:adjustRightInd w:val="0"/>
        <w:ind w:left="315" w:leftChars="150"/>
        <w:jc w:val="left"/>
        <w:rPr>
          <w:rFonts w:ascii="宋体" w:eastAsia="宋体" w:cs="宋体"/>
          <w:kern w:val="0"/>
          <w:sz w:val="24"/>
          <w:szCs w:val="24"/>
          <w:highlight w:val="none"/>
        </w:rPr>
      </w:pPr>
    </w:p>
    <w:p>
      <w:pPr>
        <w:autoSpaceDE w:val="0"/>
        <w:autoSpaceDN w:val="0"/>
        <w:adjustRightInd w:val="0"/>
        <w:ind w:left="315" w:leftChars="150"/>
        <w:jc w:val="left"/>
        <w:rPr>
          <w:rFonts w:ascii="宋体" w:eastAsia="宋体" w:cs="宋体"/>
          <w:kern w:val="0"/>
          <w:sz w:val="24"/>
          <w:szCs w:val="24"/>
          <w:highlight w:val="none"/>
        </w:rPr>
      </w:pPr>
    </w:p>
    <w:p>
      <w:pPr>
        <w:autoSpaceDE w:val="0"/>
        <w:autoSpaceDN w:val="0"/>
        <w:adjustRightInd w:val="0"/>
        <w:ind w:left="315" w:leftChars="150"/>
        <w:jc w:val="left"/>
        <w:rPr>
          <w:rFonts w:ascii="宋体" w:eastAsia="宋体" w:cs="宋体"/>
          <w:kern w:val="0"/>
          <w:sz w:val="24"/>
          <w:szCs w:val="24"/>
          <w:highlight w:val="none"/>
        </w:rPr>
      </w:pPr>
    </w:p>
    <w:p>
      <w:pPr>
        <w:widowControl/>
        <w:jc w:val="both"/>
        <w:rPr>
          <w:sz w:val="72"/>
          <w:szCs w:val="72"/>
          <w:highlight w:val="none"/>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highlight w:val="none"/>
        </w:rPr>
        <w:br w:type="page"/>
      </w:r>
    </w:p>
    <w:p>
      <w:pPr>
        <w:pStyle w:val="15"/>
        <w:rPr>
          <w:sz w:val="72"/>
          <w:szCs w:val="72"/>
          <w:highlight w:val="none"/>
        </w:rPr>
      </w:pPr>
    </w:p>
    <w:p>
      <w:pPr>
        <w:pStyle w:val="15"/>
        <w:rPr>
          <w:sz w:val="72"/>
          <w:szCs w:val="72"/>
          <w:highlight w:val="none"/>
        </w:rPr>
      </w:pPr>
    </w:p>
    <w:p>
      <w:pPr>
        <w:pStyle w:val="15"/>
        <w:jc w:val="both"/>
        <w:rPr>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第三部分</w:t>
      </w:r>
    </w:p>
    <w:p>
      <w:pPr>
        <w:pStyle w:val="15"/>
        <w:jc w:val="center"/>
        <w:rPr>
          <w:rFonts w:hint="eastAsia" w:ascii="方正小标宋_GBK" w:hAnsi="方正小标宋_GBK" w:eastAsia="方正小标宋_GBK" w:cs="方正小标宋_GBK"/>
          <w:sz w:val="70"/>
          <w:szCs w:val="70"/>
          <w:highlight w:val="none"/>
        </w:rPr>
      </w:pPr>
    </w:p>
    <w:p>
      <w:pPr>
        <w:pStyle w:val="15"/>
        <w:jc w:val="center"/>
        <w:rPr>
          <w:rFonts w:hint="eastAsia" w:ascii="方正小标宋_GBK" w:hAnsi="方正小标宋_GBK" w:eastAsia="方正小标宋_GBK" w:cs="方正小标宋_GBK"/>
          <w:sz w:val="70"/>
          <w:szCs w:val="70"/>
          <w:highlight w:val="none"/>
        </w:rPr>
      </w:pPr>
      <w:r>
        <w:rPr>
          <w:rFonts w:hint="eastAsia" w:ascii="方正小标宋_GBK" w:hAnsi="方正小标宋_GBK" w:eastAsia="方正小标宋_GBK" w:cs="方正小标宋_GBK"/>
          <w:sz w:val="70"/>
          <w:szCs w:val="70"/>
          <w:highlight w:val="none"/>
        </w:rPr>
        <w:t>202</w:t>
      </w:r>
      <w:r>
        <w:rPr>
          <w:rFonts w:hint="eastAsia" w:ascii="方正小标宋_GBK" w:hAnsi="方正小标宋_GBK" w:eastAsia="方正小标宋_GBK" w:cs="方正小标宋_GBK"/>
          <w:sz w:val="70"/>
          <w:szCs w:val="70"/>
          <w:highlight w:val="none"/>
          <w:lang w:val="en-US" w:eastAsia="zh-CN"/>
        </w:rPr>
        <w:t>3</w:t>
      </w:r>
      <w:r>
        <w:rPr>
          <w:rFonts w:hint="eastAsia" w:ascii="方正小标宋_GBK" w:hAnsi="方正小标宋_GBK" w:eastAsia="方正小标宋_GBK" w:cs="方正小标宋_GBK"/>
          <w:sz w:val="70"/>
          <w:szCs w:val="70"/>
          <w:highlight w:val="none"/>
        </w:rPr>
        <w:t>年度部门决算情况说明</w:t>
      </w:r>
    </w:p>
    <w:p>
      <w:pPr>
        <w:widowControl/>
        <w:jc w:val="left"/>
        <w:rPr>
          <w:rFonts w:asciiTheme="minorEastAsia" w:hAnsiTheme="minorEastAsia" w:eastAsiaTheme="minorEastAsia"/>
          <w:sz w:val="32"/>
          <w:szCs w:val="32"/>
          <w:highlight w:val="none"/>
        </w:rPr>
      </w:pPr>
      <w:r>
        <w:rPr>
          <w:rFonts w:hint="eastAsia" w:ascii="方正小标宋_GBK" w:hAnsi="方正小标宋_GBK" w:eastAsia="方正小标宋_GBK" w:cs="方正小标宋_GBK"/>
          <w:sz w:val="70"/>
          <w:szCs w:val="70"/>
          <w:highlight w:val="none"/>
        </w:rP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年度收、支总计</w:t>
      </w:r>
      <w:r>
        <w:rPr>
          <w:rFonts w:hint="eastAsia" w:ascii="Times New Roman" w:hAnsi="Times New Roman" w:eastAsia="仿宋_GB2312"/>
          <w:sz w:val="32"/>
          <w:szCs w:val="32"/>
          <w:highlight w:val="none"/>
          <w:lang w:val="en-US" w:eastAsia="zh-CN"/>
        </w:rPr>
        <w:t>10773.46</w:t>
      </w:r>
      <w:r>
        <w:rPr>
          <w:rFonts w:hint="eastAsia" w:ascii="Times New Roman" w:hAnsi="Times New Roman" w:eastAsia="仿宋_GB2312"/>
          <w:sz w:val="32"/>
          <w:szCs w:val="32"/>
          <w:highlight w:val="none"/>
        </w:rPr>
        <w:t>万元。与上年相比，减少</w:t>
      </w:r>
      <w:r>
        <w:rPr>
          <w:rFonts w:hint="eastAsia" w:ascii="Times New Roman" w:hAnsi="Times New Roman" w:eastAsia="仿宋_GB2312"/>
          <w:sz w:val="32"/>
          <w:szCs w:val="32"/>
          <w:highlight w:val="none"/>
          <w:lang w:val="en-US" w:eastAsia="zh-CN"/>
        </w:rPr>
        <w:t>3901.89</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26.59</w:t>
      </w:r>
      <w:r>
        <w:rPr>
          <w:rFonts w:hint="eastAsia" w:ascii="Times New Roman" w:hAnsi="Times New Roman" w:eastAsia="仿宋_GB2312"/>
          <w:sz w:val="32"/>
          <w:szCs w:val="32"/>
          <w:highlight w:val="none"/>
        </w:rPr>
        <w:t>%，主要是因为</w:t>
      </w:r>
      <w:r>
        <w:rPr>
          <w:rFonts w:hint="default" w:ascii="Times New Roman" w:hAnsi="Times New Roman" w:eastAsia="仿宋_GB2312" w:cs="Times New Roman"/>
          <w:sz w:val="32"/>
          <w:szCs w:val="32"/>
          <w:highlight w:val="none"/>
          <w:lang w:eastAsia="zh-CN"/>
        </w:rPr>
        <w:t>2023年</w:t>
      </w:r>
      <w:r>
        <w:rPr>
          <w:rFonts w:hint="default" w:ascii="Times New Roman" w:hAnsi="Times New Roman" w:eastAsia="仿宋_GB2312" w:cs="Times New Roman"/>
          <w:sz w:val="32"/>
          <w:szCs w:val="32"/>
          <w:highlight w:val="none"/>
        </w:rPr>
        <w:t>度上级财政补助收入减少</w:t>
      </w:r>
      <w:r>
        <w:rPr>
          <w:rFonts w:hint="default" w:ascii="Times New Roman" w:hAnsi="Times New Roman" w:eastAsia="仿宋_GB2312" w:cs="Times New Roman"/>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年度收入合计</w:t>
      </w:r>
      <w:r>
        <w:rPr>
          <w:rFonts w:hint="eastAsia" w:ascii="Times New Roman" w:hAnsi="Times New Roman" w:eastAsia="仿宋_GB2312"/>
          <w:sz w:val="32"/>
          <w:szCs w:val="32"/>
          <w:highlight w:val="none"/>
          <w:lang w:val="en-US" w:eastAsia="zh-CN"/>
        </w:rPr>
        <w:t>9656.69</w:t>
      </w:r>
      <w:r>
        <w:rPr>
          <w:rFonts w:hint="eastAsia" w:ascii="Times New Roman" w:hAnsi="Times New Roman" w:eastAsia="仿宋_GB2312"/>
          <w:sz w:val="32"/>
          <w:szCs w:val="32"/>
          <w:highlight w:val="none"/>
        </w:rPr>
        <w:t>万元，其中：财政拨款收入</w:t>
      </w:r>
      <w:r>
        <w:rPr>
          <w:rFonts w:hint="eastAsia" w:ascii="Times New Roman" w:hAnsi="Times New Roman" w:eastAsia="仿宋_GB2312"/>
          <w:sz w:val="32"/>
          <w:szCs w:val="32"/>
          <w:highlight w:val="none"/>
          <w:lang w:val="en-US" w:eastAsia="zh-CN"/>
        </w:rPr>
        <w:t>9467.39</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98.04</w:t>
      </w:r>
      <w:r>
        <w:rPr>
          <w:rFonts w:hint="eastAsia" w:ascii="Times New Roman" w:hAnsi="Times New Roman" w:eastAsia="仿宋_GB2312"/>
          <w:sz w:val="32"/>
          <w:szCs w:val="32"/>
          <w:highlight w:val="none"/>
        </w:rPr>
        <w:t>%；上级补助收入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%；事业收入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%；附属单位上缴收入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%；其他收入</w:t>
      </w:r>
      <w:r>
        <w:rPr>
          <w:rFonts w:hint="eastAsia" w:ascii="Times New Roman" w:hAnsi="Times New Roman" w:eastAsia="仿宋_GB2312"/>
          <w:sz w:val="32"/>
          <w:szCs w:val="32"/>
          <w:highlight w:val="none"/>
          <w:lang w:val="en-US" w:eastAsia="zh-CN"/>
        </w:rPr>
        <w:t>189.30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1.96</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年度支出合计</w:t>
      </w:r>
      <w:r>
        <w:rPr>
          <w:rFonts w:hint="eastAsia" w:ascii="Times New Roman" w:hAnsi="Times New Roman" w:eastAsia="仿宋_GB2312"/>
          <w:sz w:val="32"/>
          <w:szCs w:val="32"/>
          <w:highlight w:val="none"/>
          <w:lang w:val="en-US" w:eastAsia="zh-CN"/>
        </w:rPr>
        <w:t>9296.04</w:t>
      </w:r>
      <w:r>
        <w:rPr>
          <w:rFonts w:hint="eastAsia" w:ascii="Times New Roman" w:hAnsi="Times New Roman" w:eastAsia="仿宋_GB2312"/>
          <w:sz w:val="32"/>
          <w:szCs w:val="32"/>
          <w:highlight w:val="none"/>
        </w:rPr>
        <w:t>万元，其中：基本支出</w:t>
      </w:r>
      <w:r>
        <w:rPr>
          <w:rFonts w:hint="eastAsia" w:ascii="Times New Roman" w:hAnsi="Times New Roman" w:eastAsia="仿宋_GB2312"/>
          <w:sz w:val="32"/>
          <w:szCs w:val="32"/>
          <w:highlight w:val="none"/>
          <w:lang w:val="en-US" w:eastAsia="zh-CN"/>
        </w:rPr>
        <w:t>3516.91</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37.83</w:t>
      </w:r>
      <w:r>
        <w:rPr>
          <w:rFonts w:hint="eastAsia" w:ascii="Times New Roman" w:hAnsi="Times New Roman" w:eastAsia="仿宋_GB2312"/>
          <w:sz w:val="32"/>
          <w:szCs w:val="32"/>
          <w:highlight w:val="none"/>
        </w:rPr>
        <w:t>%；项目支出</w:t>
      </w:r>
      <w:r>
        <w:rPr>
          <w:rFonts w:hint="eastAsia" w:ascii="Times New Roman" w:hAnsi="Times New Roman" w:eastAsia="仿宋_GB2312"/>
          <w:sz w:val="32"/>
          <w:szCs w:val="32"/>
          <w:highlight w:val="none"/>
          <w:lang w:val="en-US" w:eastAsia="zh-CN"/>
        </w:rPr>
        <w:t>5779.10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62.17</w:t>
      </w:r>
      <w:r>
        <w:rPr>
          <w:rFonts w:hint="eastAsia" w:ascii="Times New Roman" w:hAnsi="Times New Roman" w:eastAsia="仿宋_GB2312"/>
          <w:sz w:val="32"/>
          <w:szCs w:val="32"/>
          <w:highlight w:val="none"/>
        </w:rPr>
        <w:t>%；上缴上级支出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%；对附属单位补助支出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四、财政拨款收入支出决算总体情况说明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年度财政拨款收、支总计</w:t>
      </w:r>
      <w:r>
        <w:rPr>
          <w:rFonts w:hint="eastAsia" w:ascii="Times New Roman" w:hAnsi="Times New Roman" w:eastAsia="仿宋_GB2312"/>
          <w:sz w:val="32"/>
          <w:szCs w:val="32"/>
          <w:highlight w:val="none"/>
          <w:lang w:val="en-US" w:eastAsia="zh-CN"/>
        </w:rPr>
        <w:t>10245.62</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4091.19</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28.54</w:t>
      </w:r>
      <w:r>
        <w:rPr>
          <w:rFonts w:hint="eastAsia" w:ascii="Times New Roman" w:hAnsi="Times New Roman" w:eastAsia="仿宋_GB2312"/>
          <w:sz w:val="32"/>
          <w:szCs w:val="32"/>
          <w:highlight w:val="none"/>
        </w:rPr>
        <w:t>%，主要是因</w:t>
      </w:r>
      <w:r>
        <w:rPr>
          <w:rFonts w:hint="default" w:ascii="Times New Roman" w:hAnsi="Times New Roman" w:eastAsia="仿宋_GB2312" w:cs="Times New Roman"/>
          <w:sz w:val="32"/>
          <w:szCs w:val="32"/>
          <w:highlight w:val="none"/>
        </w:rPr>
        <w:t>为</w:t>
      </w:r>
      <w:r>
        <w:rPr>
          <w:rFonts w:hint="default" w:ascii="Times New Roman" w:hAnsi="Times New Roman" w:eastAsia="仿宋_GB2312" w:cs="Times New Roman"/>
          <w:sz w:val="32"/>
          <w:szCs w:val="32"/>
          <w:highlight w:val="none"/>
          <w:lang w:eastAsia="zh-CN"/>
        </w:rPr>
        <w:t>2023年</w:t>
      </w:r>
      <w:r>
        <w:rPr>
          <w:rFonts w:hint="default" w:ascii="Times New Roman" w:hAnsi="Times New Roman" w:eastAsia="仿宋_GB2312" w:cs="Times New Roman"/>
          <w:sz w:val="32"/>
          <w:szCs w:val="32"/>
          <w:highlight w:val="none"/>
        </w:rPr>
        <w:t>度上级财政补助收入减少</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w:t>
      </w:r>
      <w:r>
        <w:rPr>
          <w:rFonts w:hint="eastAsia" w:ascii="Times New Roman" w:hAnsi="Times New Roman" w:eastAsia="仿宋_GB2312"/>
          <w:sz w:val="32"/>
          <w:szCs w:val="32"/>
          <w:highlight w:val="none"/>
          <w:lang w:val="en-US" w:eastAsia="zh-CN"/>
        </w:rPr>
        <w:t>9107.76</w:t>
      </w:r>
      <w:r>
        <w:rPr>
          <w:rFonts w:hint="eastAsia" w:ascii="Times New Roman" w:hAnsi="Times New Roman" w:eastAsia="仿宋_GB2312"/>
          <w:sz w:val="32"/>
          <w:szCs w:val="32"/>
          <w:highlight w:val="none"/>
        </w:rPr>
        <w:t>万元，占本年支出合计的</w:t>
      </w:r>
      <w:r>
        <w:rPr>
          <w:rFonts w:hint="eastAsia" w:ascii="Times New Roman" w:hAnsi="Times New Roman" w:eastAsia="仿宋_GB2312"/>
          <w:sz w:val="32"/>
          <w:szCs w:val="32"/>
          <w:highlight w:val="none"/>
          <w:lang w:val="en-US" w:eastAsia="zh-CN"/>
        </w:rPr>
        <w:t>94.32</w:t>
      </w:r>
      <w:r>
        <w:rPr>
          <w:rFonts w:hint="eastAsia" w:ascii="Times New Roman" w:hAnsi="Times New Roman" w:eastAsia="仿宋_GB2312"/>
          <w:sz w:val="32"/>
          <w:szCs w:val="32"/>
          <w:highlight w:val="none"/>
        </w:rPr>
        <w:t>%，与上年相比，财政拨款支出增减少</w:t>
      </w:r>
      <w:r>
        <w:rPr>
          <w:rFonts w:hint="eastAsia" w:ascii="Times New Roman" w:hAnsi="Times New Roman" w:eastAsia="仿宋_GB2312"/>
          <w:sz w:val="32"/>
          <w:szCs w:val="32"/>
          <w:highlight w:val="none"/>
          <w:lang w:val="en-US" w:eastAsia="zh-CN"/>
        </w:rPr>
        <w:t>3929.97</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30.14</w:t>
      </w:r>
      <w:r>
        <w:rPr>
          <w:rFonts w:hint="eastAsia" w:ascii="Times New Roman" w:hAnsi="Times New Roman" w:eastAsia="仿宋_GB2312"/>
          <w:sz w:val="32"/>
          <w:szCs w:val="32"/>
          <w:highlight w:val="none"/>
        </w:rPr>
        <w:t>%，主要是因为</w:t>
      </w:r>
      <w:r>
        <w:rPr>
          <w:rFonts w:hint="default" w:ascii="Times New Roman" w:hAnsi="Times New Roman" w:eastAsia="仿宋_GB2312" w:cs="Times New Roman"/>
          <w:sz w:val="32"/>
          <w:szCs w:val="32"/>
          <w:highlight w:val="none"/>
          <w:lang w:eastAsia="zh-CN"/>
        </w:rPr>
        <w:t>2023年</w:t>
      </w:r>
      <w:r>
        <w:rPr>
          <w:rFonts w:hint="default" w:ascii="Times New Roman" w:hAnsi="Times New Roman" w:eastAsia="仿宋_GB2312" w:cs="Times New Roman"/>
          <w:sz w:val="32"/>
          <w:szCs w:val="32"/>
          <w:highlight w:val="none"/>
        </w:rPr>
        <w:t>度上级财政补助收入减少</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相应支出减少</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w:t>
      </w:r>
      <w:r>
        <w:rPr>
          <w:rFonts w:hint="eastAsia" w:ascii="Times New Roman" w:hAnsi="Times New Roman" w:eastAsia="仿宋_GB2312"/>
          <w:sz w:val="32"/>
          <w:szCs w:val="32"/>
          <w:highlight w:val="none"/>
          <w:lang w:val="en-US" w:eastAsia="zh-CN"/>
        </w:rPr>
        <w:t>9107.76</w:t>
      </w:r>
      <w:r>
        <w:rPr>
          <w:rFonts w:hint="eastAsia" w:ascii="Times New Roman" w:hAnsi="Times New Roman" w:eastAsia="仿宋_GB2312"/>
          <w:sz w:val="32"/>
          <w:szCs w:val="32"/>
          <w:highlight w:val="none"/>
        </w:rPr>
        <w:t>万元，主要用于以下方面：社会保障和就业（类）支出</w:t>
      </w:r>
      <w:r>
        <w:rPr>
          <w:rFonts w:hint="eastAsia" w:ascii="Times New Roman" w:hAnsi="Times New Roman" w:eastAsia="仿宋_GB2312"/>
          <w:sz w:val="32"/>
          <w:szCs w:val="32"/>
          <w:highlight w:val="none"/>
          <w:lang w:val="en-US" w:eastAsia="zh-CN"/>
        </w:rPr>
        <w:t>216.89</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2.38</w:t>
      </w:r>
      <w:r>
        <w:rPr>
          <w:rFonts w:hint="eastAsia" w:ascii="Times New Roman" w:hAnsi="Times New Roman" w:eastAsia="仿宋_GB2312"/>
          <w:sz w:val="32"/>
          <w:szCs w:val="32"/>
          <w:highlight w:val="none"/>
        </w:rPr>
        <w:t>%；公共卫生（类）支出</w:t>
      </w:r>
      <w:r>
        <w:rPr>
          <w:rFonts w:hint="eastAsia" w:ascii="Times New Roman" w:hAnsi="Times New Roman" w:eastAsia="仿宋_GB2312"/>
          <w:sz w:val="32"/>
          <w:szCs w:val="32"/>
          <w:highlight w:val="none"/>
          <w:lang w:val="en-US" w:eastAsia="zh-CN"/>
        </w:rPr>
        <w:t>1.44</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0.02</w:t>
      </w:r>
      <w:r>
        <w:rPr>
          <w:rFonts w:hint="eastAsia" w:ascii="Times New Roman" w:hAnsi="Times New Roman" w:eastAsia="仿宋_GB2312"/>
          <w:sz w:val="32"/>
          <w:szCs w:val="32"/>
          <w:highlight w:val="none"/>
        </w:rPr>
        <w:t>%;农林水（类）支出</w:t>
      </w:r>
      <w:r>
        <w:rPr>
          <w:rFonts w:hint="eastAsia" w:ascii="Times New Roman" w:hAnsi="Times New Roman" w:eastAsia="仿宋_GB2312"/>
          <w:sz w:val="32"/>
          <w:szCs w:val="32"/>
          <w:highlight w:val="none"/>
          <w:lang w:val="en-US" w:eastAsia="zh-CN"/>
        </w:rPr>
        <w:t>8898.43</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97.60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年度财政拨款支出年初预算数为</w:t>
      </w:r>
      <w:r>
        <w:rPr>
          <w:rFonts w:hint="eastAsia" w:ascii="Times New Roman" w:hAnsi="Times New Roman" w:eastAsia="仿宋_GB2312"/>
          <w:sz w:val="32"/>
          <w:szCs w:val="32"/>
          <w:highlight w:val="none"/>
          <w:lang w:val="en-US" w:eastAsia="zh-CN"/>
        </w:rPr>
        <w:t>9791.74</w:t>
      </w:r>
      <w:r>
        <w:rPr>
          <w:rFonts w:hint="eastAsia" w:ascii="Times New Roman" w:hAnsi="Times New Roman" w:eastAsia="仿宋_GB2312"/>
          <w:sz w:val="32"/>
          <w:szCs w:val="32"/>
          <w:highlight w:val="none"/>
        </w:rPr>
        <w:t>万元，支出决算数为</w:t>
      </w:r>
      <w:r>
        <w:rPr>
          <w:rFonts w:hint="eastAsia" w:ascii="Times New Roman" w:hAnsi="Times New Roman" w:eastAsia="仿宋_GB2312"/>
          <w:sz w:val="32"/>
          <w:szCs w:val="32"/>
          <w:highlight w:val="none"/>
          <w:lang w:val="en-US" w:eastAsia="zh-CN"/>
        </w:rPr>
        <w:t>9107.76</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93.01</w:t>
      </w:r>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1、社会保障和就业（类）行政事业单位养老支出（款）机关事业单位基本养老保险缴费支出（项）。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227.00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216.89</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95.55</w:t>
      </w:r>
      <w:r>
        <w:rPr>
          <w:rFonts w:hint="eastAsia" w:ascii="Times New Roman" w:hAnsi="Times New Roman" w:eastAsia="仿宋_GB2312"/>
          <w:sz w:val="32"/>
          <w:szCs w:val="32"/>
          <w:highlight w:val="none"/>
        </w:rPr>
        <w:t>%，决算数小于年初预算数的主要原因是：机关事业单位基本养老保险缴费支出</w:t>
      </w:r>
      <w:r>
        <w:rPr>
          <w:rFonts w:hint="eastAsia" w:ascii="Times New Roman" w:hAnsi="Times New Roman" w:eastAsia="仿宋_GB2312"/>
          <w:sz w:val="32"/>
          <w:szCs w:val="32"/>
          <w:highlight w:val="none"/>
          <w:lang w:val="en-US" w:eastAsia="zh-CN"/>
        </w:rPr>
        <w:t>费用有结余。</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、社会保障和就业（类）抚恤（款）死亡抚恤（项）。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27.00</w:t>
      </w:r>
      <w:r>
        <w:rPr>
          <w:rFonts w:hint="eastAsia" w:ascii="Times New Roman" w:hAnsi="Times New Roman" w:eastAsia="仿宋_GB2312"/>
          <w:sz w:val="32"/>
          <w:szCs w:val="32"/>
          <w:highlight w:val="none"/>
        </w:rPr>
        <w:t>万元，决算数大于年初预算数的主要原因是：</w:t>
      </w:r>
      <w:r>
        <w:rPr>
          <w:rFonts w:hint="eastAsia" w:ascii="Times New Roman" w:hAnsi="Times New Roman" w:eastAsia="仿宋_GB2312"/>
          <w:sz w:val="32"/>
          <w:szCs w:val="32"/>
          <w:highlight w:val="none"/>
          <w:lang w:val="en-US" w:eastAsia="zh-CN"/>
        </w:rPr>
        <w:t>年中追加死</w:t>
      </w:r>
      <w:r>
        <w:rPr>
          <w:rFonts w:hint="eastAsia" w:ascii="Times New Roman" w:hAnsi="Times New Roman" w:eastAsia="仿宋_GB2312"/>
          <w:sz w:val="32"/>
          <w:szCs w:val="32"/>
          <w:highlight w:val="none"/>
        </w:rPr>
        <w:t>亡抚恤</w:t>
      </w:r>
      <w:r>
        <w:rPr>
          <w:rFonts w:hint="eastAsia" w:ascii="Times New Roman" w:hAnsi="Times New Roman" w:eastAsia="仿宋_GB2312"/>
          <w:sz w:val="32"/>
          <w:szCs w:val="32"/>
          <w:highlight w:val="none"/>
          <w:lang w:val="en-US" w:eastAsia="zh-CN"/>
        </w:rPr>
        <w:t>资金。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、卫生健康（类）行政事业单位医疗（款）行政单位医疗（项）。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23.00</w:t>
      </w:r>
      <w:r>
        <w:rPr>
          <w:rFonts w:hint="eastAsia" w:ascii="Times New Roman" w:hAnsi="Times New Roman" w:eastAsia="仿宋_GB2312"/>
          <w:sz w:val="32"/>
          <w:szCs w:val="32"/>
          <w:highlight w:val="none"/>
        </w:rPr>
        <w:t>万元，决算数大于年初预算数的主要原因是：</w:t>
      </w:r>
      <w:r>
        <w:rPr>
          <w:rFonts w:hint="eastAsia" w:ascii="Times New Roman" w:hAnsi="Times New Roman" w:eastAsia="仿宋_GB2312"/>
          <w:color w:val="auto"/>
          <w:sz w:val="32"/>
          <w:szCs w:val="32"/>
          <w:highlight w:val="none"/>
          <w:lang w:val="en-US" w:eastAsia="zh-CN"/>
        </w:rPr>
        <w:t>年中追加离休人员医疗费补助</w:t>
      </w:r>
      <w:r>
        <w:rPr>
          <w:rFonts w:hint="eastAsia" w:ascii="Times New Roman" w:hAnsi="Times New Roman" w:eastAsia="仿宋_GB2312"/>
          <w:sz w:val="32"/>
          <w:szCs w:val="32"/>
          <w:highlight w:val="none"/>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卫生健康（类）公共卫生（款）重大公共卫生服务（项）。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1.44</w:t>
      </w:r>
      <w:r>
        <w:rPr>
          <w:rFonts w:hint="eastAsia" w:ascii="Times New Roman" w:hAnsi="Times New Roman" w:eastAsia="仿宋_GB2312"/>
          <w:sz w:val="32"/>
          <w:szCs w:val="32"/>
          <w:highlight w:val="none"/>
        </w:rPr>
        <w:t>万元，决算数大于年初预算数的主要原因是：</w:t>
      </w:r>
      <w:r>
        <w:rPr>
          <w:rFonts w:hint="eastAsia" w:ascii="Times New Roman" w:hAnsi="Times New Roman" w:eastAsia="仿宋_GB2312"/>
          <w:sz w:val="32"/>
          <w:szCs w:val="32"/>
          <w:highlight w:val="none"/>
          <w:lang w:val="en-US" w:eastAsia="zh-CN"/>
        </w:rPr>
        <w:t>年中追加中央补助重大传染病防控项目经费。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（类）农业农村（款）行政运行（项）。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b/>
          <w:bCs/>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3424.29</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3310.80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96.69</w:t>
      </w:r>
      <w:r>
        <w:rPr>
          <w:rFonts w:hint="eastAsia" w:ascii="Times New Roman" w:hAnsi="Times New Roman" w:eastAsia="仿宋_GB2312"/>
          <w:sz w:val="32"/>
          <w:szCs w:val="32"/>
          <w:highlight w:val="none"/>
        </w:rPr>
        <w:t>%，决算</w:t>
      </w:r>
      <w:r>
        <w:rPr>
          <w:rFonts w:hint="eastAsia" w:ascii="Times New Roman" w:hAnsi="Times New Roman" w:eastAsia="仿宋_GB2312"/>
          <w:color w:val="auto"/>
          <w:sz w:val="32"/>
          <w:szCs w:val="32"/>
          <w:highlight w:val="none"/>
        </w:rPr>
        <w:t>数</w:t>
      </w:r>
      <w:r>
        <w:rPr>
          <w:rFonts w:hint="eastAsia" w:ascii="Times New Roman" w:hAnsi="Times New Roman" w:eastAsia="仿宋_GB2312"/>
          <w:color w:val="auto"/>
          <w:sz w:val="32"/>
          <w:szCs w:val="32"/>
          <w:highlight w:val="none"/>
          <w:lang w:val="en-US" w:eastAsia="zh-CN"/>
        </w:rPr>
        <w:t>小</w:t>
      </w:r>
      <w:r>
        <w:rPr>
          <w:rFonts w:hint="eastAsia" w:ascii="Times New Roman" w:hAnsi="Times New Roman" w:eastAsia="仿宋_GB2312"/>
          <w:color w:val="auto"/>
          <w:sz w:val="32"/>
          <w:szCs w:val="32"/>
          <w:highlight w:val="none"/>
        </w:rPr>
        <w:t>于年初预算数</w:t>
      </w:r>
      <w:r>
        <w:rPr>
          <w:rFonts w:hint="eastAsia" w:ascii="Times New Roman" w:hAnsi="Times New Roman" w:eastAsia="仿宋_GB2312"/>
          <w:sz w:val="32"/>
          <w:szCs w:val="32"/>
          <w:highlight w:val="none"/>
        </w:rPr>
        <w:t>的主要原因是：</w:t>
      </w:r>
      <w:r>
        <w:rPr>
          <w:rFonts w:hint="eastAsia" w:eastAsia="仿宋_GB2312"/>
          <w:color w:val="000000"/>
          <w:sz w:val="32"/>
          <w:szCs w:val="32"/>
          <w:highlight w:val="none"/>
          <w:lang w:val="en-US" w:eastAsia="zh-CN"/>
        </w:rPr>
        <w:t>我单位厉行节约，压减运行经费。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（类）农业农村（款）科技转化与推广服务（项）。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474.98</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176.59</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37.18</w:t>
      </w:r>
      <w:r>
        <w:rPr>
          <w:rFonts w:hint="eastAsia" w:ascii="Times New Roman" w:hAnsi="Times New Roman" w:eastAsia="仿宋_GB2312"/>
          <w:sz w:val="32"/>
          <w:szCs w:val="32"/>
          <w:highlight w:val="none"/>
        </w:rPr>
        <w:t>%，决算</w:t>
      </w:r>
      <w:r>
        <w:rPr>
          <w:rFonts w:hint="eastAsia" w:ascii="Times New Roman" w:hAnsi="Times New Roman" w:eastAsia="仿宋_GB2312"/>
          <w:color w:val="auto"/>
          <w:sz w:val="32"/>
          <w:szCs w:val="32"/>
          <w:highlight w:val="none"/>
        </w:rPr>
        <w:t>数小于年初预算数</w:t>
      </w:r>
      <w:r>
        <w:rPr>
          <w:rFonts w:hint="eastAsia" w:ascii="Times New Roman" w:hAnsi="Times New Roman" w:eastAsia="仿宋_GB2312"/>
          <w:sz w:val="32"/>
          <w:szCs w:val="32"/>
          <w:highlight w:val="none"/>
        </w:rPr>
        <w:t>的主要原因是：</w:t>
      </w:r>
      <w:r>
        <w:rPr>
          <w:rFonts w:hint="eastAsia" w:ascii="Times New Roman" w:hAnsi="Times New Roman" w:eastAsia="仿宋_GB2312"/>
          <w:sz w:val="32"/>
          <w:szCs w:val="32"/>
          <w:highlight w:val="none"/>
          <w:lang w:val="en-US" w:eastAsia="zh-CN"/>
        </w:rPr>
        <w:t>根据本年度工作安排，年中调整部分金额至其他项。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（类）农业农村（款）病虫害控制（项）。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4785.77</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4415.60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92.27</w:t>
      </w:r>
      <w:r>
        <w:rPr>
          <w:rFonts w:hint="eastAsia" w:ascii="Times New Roman" w:hAnsi="Times New Roman" w:eastAsia="仿宋_GB2312"/>
          <w:sz w:val="32"/>
          <w:szCs w:val="32"/>
          <w:highlight w:val="none"/>
        </w:rPr>
        <w:t>%，决算数小</w:t>
      </w:r>
      <w:r>
        <w:rPr>
          <w:rFonts w:hint="eastAsia" w:ascii="Times New Roman" w:hAnsi="Times New Roman" w:eastAsia="仿宋_GB2312"/>
          <w:color w:val="auto"/>
          <w:sz w:val="32"/>
          <w:szCs w:val="32"/>
          <w:highlight w:val="none"/>
        </w:rPr>
        <w:t>于年初预</w:t>
      </w:r>
      <w:r>
        <w:rPr>
          <w:rFonts w:hint="eastAsia" w:ascii="Times New Roman" w:hAnsi="Times New Roman" w:eastAsia="仿宋_GB2312"/>
          <w:sz w:val="32"/>
          <w:szCs w:val="32"/>
          <w:highlight w:val="none"/>
        </w:rPr>
        <w:t>算数的主要原因是：疫苗采购质保金</w:t>
      </w:r>
      <w:r>
        <w:rPr>
          <w:rFonts w:hint="eastAsia" w:ascii="Times New Roman" w:hAnsi="Times New Roman" w:eastAsia="仿宋_GB2312"/>
          <w:sz w:val="32"/>
          <w:szCs w:val="32"/>
          <w:highlight w:val="none"/>
          <w:lang w:val="en-US" w:eastAsia="zh-CN"/>
        </w:rPr>
        <w:t>暂未支付</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（类）农业农村（款）农产品质量安全（项）。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490.84</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745.13</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color w:val="auto"/>
          <w:sz w:val="32"/>
          <w:szCs w:val="32"/>
          <w:highlight w:val="none"/>
        </w:rPr>
        <w:t>决算数大于年初预算数的主要原因是：</w:t>
      </w:r>
      <w:r>
        <w:rPr>
          <w:rFonts w:hint="eastAsia" w:ascii="Times New Roman" w:hAnsi="Times New Roman" w:eastAsia="仿宋_GB2312"/>
          <w:color w:val="auto"/>
          <w:sz w:val="32"/>
          <w:szCs w:val="32"/>
          <w:highlight w:val="none"/>
          <w:lang w:val="en-US" w:eastAsia="zh-CN"/>
        </w:rPr>
        <w:t>年中追加</w:t>
      </w:r>
      <w:r>
        <w:rPr>
          <w:rFonts w:hint="eastAsia" w:ascii="Times New Roman" w:hAnsi="Times New Roman" w:eastAsia="仿宋_GB2312"/>
          <w:color w:val="auto"/>
          <w:sz w:val="32"/>
          <w:szCs w:val="32"/>
          <w:highlight w:val="none"/>
        </w:rPr>
        <w:t>农作物、畜禽种业安全监管</w:t>
      </w:r>
      <w:r>
        <w:rPr>
          <w:rFonts w:hint="eastAsia" w:ascii="Times New Roman" w:hAnsi="Times New Roman" w:eastAsia="仿宋_GB2312"/>
          <w:color w:val="auto"/>
          <w:sz w:val="32"/>
          <w:szCs w:val="32"/>
          <w:highlight w:val="none"/>
          <w:lang w:val="en-US" w:eastAsia="zh-CN"/>
        </w:rPr>
        <w:t>项目资金。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（类）农业农村（款）执法监管（项）。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279.40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104.94</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37.56</w:t>
      </w:r>
      <w:r>
        <w:rPr>
          <w:rFonts w:hint="eastAsia" w:ascii="Times New Roman" w:hAnsi="Times New Roman" w:eastAsia="仿宋_GB2312"/>
          <w:sz w:val="32"/>
          <w:szCs w:val="32"/>
          <w:highlight w:val="none"/>
        </w:rPr>
        <w:t>%，决算</w:t>
      </w:r>
      <w:r>
        <w:rPr>
          <w:rFonts w:hint="eastAsia" w:ascii="Times New Roman" w:hAnsi="Times New Roman" w:eastAsia="仿宋_GB2312"/>
          <w:color w:val="auto"/>
          <w:sz w:val="32"/>
          <w:szCs w:val="32"/>
          <w:highlight w:val="none"/>
        </w:rPr>
        <w:t>数小于年初预算数的主要原因是：</w:t>
      </w:r>
      <w:r>
        <w:rPr>
          <w:rFonts w:hint="eastAsia" w:ascii="Times New Roman" w:hAnsi="Times New Roman" w:eastAsia="仿宋_GB2312"/>
          <w:color w:val="auto"/>
          <w:sz w:val="32"/>
          <w:szCs w:val="32"/>
          <w:highlight w:val="none"/>
          <w:lang w:val="en-US" w:eastAsia="zh-CN"/>
        </w:rPr>
        <w:t>部分项目因流标导致本年内无法支付。</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（类）农业农村（款）统计监测与信息服务（项）。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78.28</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61.84</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79</w:t>
      </w:r>
      <w:r>
        <w:rPr>
          <w:rFonts w:hint="eastAsia" w:ascii="Times New Roman" w:hAnsi="Times New Roman" w:eastAsia="仿宋_GB2312"/>
          <w:sz w:val="32"/>
          <w:szCs w:val="32"/>
          <w:highlight w:val="none"/>
        </w:rPr>
        <w:t>%，决算数小</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因工作安排部分项目调整推迟至明年。</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（类）农业农村（款）其他农业农村支出（项）。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31.18</w:t>
      </w:r>
      <w:r>
        <w:rPr>
          <w:rFonts w:hint="eastAsia" w:ascii="Times New Roman" w:hAnsi="Times New Roman" w:eastAsia="仿宋_GB2312"/>
          <w:sz w:val="32"/>
          <w:szCs w:val="32"/>
          <w:highlight w:val="none"/>
        </w:rPr>
        <w:t>万元，支出决算</w:t>
      </w:r>
      <w:r>
        <w:rPr>
          <w:rFonts w:hint="eastAsia" w:ascii="Times New Roman" w:hAnsi="Times New Roman" w:eastAsia="仿宋_GB2312"/>
          <w:sz w:val="32"/>
          <w:szCs w:val="32"/>
          <w:highlight w:val="none"/>
          <w:lang w:val="en-US" w:eastAsia="zh-CN"/>
        </w:rPr>
        <w:t>24.53</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78.67</w:t>
      </w:r>
      <w:r>
        <w:rPr>
          <w:rFonts w:hint="eastAsia" w:ascii="Times New Roman" w:hAnsi="Times New Roman" w:eastAsia="仿宋_GB2312"/>
          <w:sz w:val="32"/>
          <w:szCs w:val="32"/>
          <w:highlight w:val="none"/>
        </w:rPr>
        <w:t>%，决算数</w:t>
      </w:r>
      <w:r>
        <w:rPr>
          <w:rFonts w:hint="eastAsia" w:ascii="Times New Roman" w:hAnsi="Times New Roman" w:eastAsia="仿宋_GB2312"/>
          <w:color w:val="auto"/>
          <w:sz w:val="32"/>
          <w:szCs w:val="32"/>
          <w:highlight w:val="none"/>
          <w:lang w:val="en-US" w:eastAsia="zh-CN"/>
        </w:rPr>
        <w:t>小</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val="en-US" w:eastAsia="zh-CN"/>
        </w:rPr>
        <w:t>项目实施完毕后部分经费结余。</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年度财政拨款基本支出</w:t>
      </w:r>
      <w:r>
        <w:rPr>
          <w:rFonts w:hint="eastAsia" w:ascii="Times New Roman" w:hAnsi="Times New Roman" w:eastAsia="仿宋_GB2312"/>
          <w:sz w:val="32"/>
          <w:szCs w:val="32"/>
          <w:highlight w:val="none"/>
          <w:lang w:val="en-US" w:eastAsia="zh-CN"/>
        </w:rPr>
        <w:t>3516.91</w:t>
      </w:r>
      <w:r>
        <w:rPr>
          <w:rFonts w:hint="eastAsia" w:ascii="Times New Roman" w:hAnsi="Times New Roman" w:eastAsia="仿宋_GB2312"/>
          <w:sz w:val="32"/>
          <w:szCs w:val="32"/>
          <w:highlight w:val="none"/>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rPr>
        <w:t>人员经费</w:t>
      </w:r>
      <w:r>
        <w:rPr>
          <w:rFonts w:hint="eastAsia" w:ascii="Times New Roman" w:hAnsi="Times New Roman" w:eastAsia="仿宋_GB2312"/>
          <w:sz w:val="32"/>
          <w:szCs w:val="32"/>
          <w:highlight w:val="none"/>
          <w:lang w:val="en-US" w:eastAsia="zh-CN"/>
        </w:rPr>
        <w:t>2888.41</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82.13</w:t>
      </w:r>
      <w:r>
        <w:rPr>
          <w:rFonts w:hint="eastAsia" w:ascii="Times New Roman" w:hAnsi="Times New Roman" w:eastAsia="仿宋_GB2312"/>
          <w:sz w:val="32"/>
          <w:szCs w:val="32"/>
          <w:highlight w:val="none"/>
        </w:rPr>
        <w:t>%,主要包括基本工资、津贴补贴、奖金、伙食补助费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退休费、机关事业单位基本养老保险缴费、职工基本医疗保险缴费、 公务员医疗补助缴费、住房公积金等。</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rPr>
        <w:t>公用经费</w:t>
      </w:r>
      <w:r>
        <w:rPr>
          <w:rFonts w:hint="eastAsia" w:ascii="Times New Roman" w:hAnsi="Times New Roman" w:eastAsia="仿宋_GB2312"/>
          <w:sz w:val="32"/>
          <w:szCs w:val="32"/>
          <w:highlight w:val="none"/>
          <w:lang w:val="en-US" w:eastAsia="zh-CN"/>
        </w:rPr>
        <w:t>628.49</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17.87</w:t>
      </w:r>
      <w:r>
        <w:rPr>
          <w:rFonts w:hint="eastAsia" w:ascii="Times New Roman" w:hAnsi="Times New Roman" w:eastAsia="仿宋_GB2312"/>
          <w:sz w:val="32"/>
          <w:szCs w:val="32"/>
          <w:highlight w:val="none"/>
        </w:rPr>
        <w:t>%，主要包括办公费、印刷费、</w:t>
      </w:r>
      <w:r>
        <w:rPr>
          <w:rFonts w:hint="eastAsia" w:ascii="Times New Roman" w:hAnsi="Times New Roman" w:eastAsia="仿宋_GB2312"/>
          <w:sz w:val="32"/>
          <w:szCs w:val="32"/>
          <w:highlight w:val="none"/>
          <w:lang w:val="en-US" w:eastAsia="zh-CN"/>
        </w:rPr>
        <w:t>差旅</w:t>
      </w:r>
      <w:r>
        <w:rPr>
          <w:rFonts w:hint="eastAsia" w:ascii="Times New Roman" w:hAnsi="Times New Roman" w:eastAsia="仿宋_GB2312"/>
          <w:sz w:val="32"/>
          <w:szCs w:val="32"/>
          <w:highlight w:val="none"/>
        </w:rPr>
        <w:t>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物业管理费、维修（护）费、劳务费、其他交通费用、公务用车运行维护费、工会经费、福利费等。</w:t>
      </w:r>
    </w:p>
    <w:p>
      <w:pPr>
        <w:pStyle w:val="15"/>
        <w:keepNext w:val="0"/>
        <w:keepLines w:val="0"/>
        <w:pageBreakBefore w:val="0"/>
        <w:widowControl w:val="0"/>
        <w:numPr>
          <w:ilvl w:val="0"/>
          <w:numId w:val="1"/>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财政拨款三公经费支出决算情况说明</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“三公”经费财政拨款支出预算为</w:t>
      </w:r>
      <w:r>
        <w:rPr>
          <w:rFonts w:hint="eastAsia" w:ascii="Times New Roman" w:hAnsi="Times New Roman" w:eastAsia="仿宋_GB2312"/>
          <w:sz w:val="32"/>
          <w:szCs w:val="32"/>
          <w:highlight w:val="none"/>
          <w:lang w:val="en-US" w:eastAsia="zh-CN"/>
        </w:rPr>
        <w:t>103</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51.62</w:t>
      </w:r>
      <w:r>
        <w:rPr>
          <w:rFonts w:hint="eastAsia" w:ascii="Times New Roman" w:hAnsi="Times New Roman" w:eastAsia="仿宋_GB2312"/>
          <w:sz w:val="32"/>
          <w:szCs w:val="32"/>
          <w:highlight w:val="none"/>
        </w:rPr>
        <w:t>万元，完成预算的</w:t>
      </w:r>
      <w:r>
        <w:rPr>
          <w:rFonts w:hint="eastAsia" w:ascii="Times New Roman" w:hAnsi="Times New Roman" w:eastAsia="仿宋_GB2312"/>
          <w:sz w:val="32"/>
          <w:szCs w:val="32"/>
          <w:highlight w:val="none"/>
          <w:lang w:val="en-US" w:eastAsia="zh-CN"/>
        </w:rPr>
        <w:t>50.12</w:t>
      </w:r>
      <w:r>
        <w:rPr>
          <w:rFonts w:hint="eastAsia" w:ascii="Times New Roman" w:hAnsi="Times New Roman" w:eastAsia="仿宋_GB2312"/>
          <w:sz w:val="32"/>
          <w:szCs w:val="32"/>
          <w:highlight w:val="none"/>
        </w:rPr>
        <w:t>%，决算数小于预算数的主要原因是</w:t>
      </w:r>
      <w:r>
        <w:rPr>
          <w:rFonts w:hint="eastAsia" w:ascii="Times New Roman" w:hAnsi="Times New Roman" w:eastAsia="仿宋_GB2312"/>
          <w:sz w:val="32"/>
          <w:szCs w:val="32"/>
          <w:highlight w:val="none"/>
          <w:lang w:val="en-US" w:eastAsia="zh-CN"/>
        </w:rPr>
        <w:t>我单位严控“三公”经费开支，各项费用均控制在预算范围内</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与上年相比增加</w:t>
      </w:r>
      <w:r>
        <w:rPr>
          <w:rFonts w:hint="eastAsia" w:ascii="Times New Roman" w:hAnsi="Times New Roman" w:eastAsia="仿宋_GB2312"/>
          <w:sz w:val="32"/>
          <w:szCs w:val="32"/>
          <w:highlight w:val="none"/>
          <w:lang w:val="en-US" w:eastAsia="zh-CN"/>
        </w:rPr>
        <w:t>19.58</w:t>
      </w:r>
      <w:r>
        <w:rPr>
          <w:rFonts w:hint="eastAsia" w:ascii="Times New Roman" w:hAnsi="Times New Roman" w:eastAsia="仿宋_GB2312"/>
          <w:sz w:val="32"/>
          <w:szCs w:val="32"/>
          <w:highlight w:val="none"/>
        </w:rPr>
        <w:t>万元，增长</w:t>
      </w:r>
      <w:r>
        <w:rPr>
          <w:rFonts w:hint="eastAsia" w:ascii="Times New Roman" w:hAnsi="Times New Roman" w:eastAsia="仿宋_GB2312"/>
          <w:sz w:val="32"/>
          <w:szCs w:val="32"/>
          <w:highlight w:val="none"/>
          <w:lang w:val="en-US" w:eastAsia="zh-CN"/>
        </w:rPr>
        <w:t>61.11</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增长的主要原因是</w:t>
      </w:r>
      <w:r>
        <w:rPr>
          <w:rFonts w:hint="eastAsia" w:ascii="Times New Roman" w:hAnsi="Times New Roman" w:eastAsia="仿宋_GB2312"/>
          <w:sz w:val="32"/>
          <w:szCs w:val="32"/>
          <w:highlight w:val="none"/>
          <w:lang w:val="en-US" w:eastAsia="zh-CN"/>
        </w:rPr>
        <w:t>本年因工作需要，更新购置了一台公车</w:t>
      </w:r>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因公出国（境）费支出预算为</w:t>
      </w:r>
      <w:r>
        <w:rPr>
          <w:rFonts w:hint="eastAsia" w:ascii="Times New Roman" w:hAnsi="Times New Roman" w:eastAsia="仿宋_GB2312"/>
          <w:sz w:val="32"/>
          <w:szCs w:val="32"/>
          <w:highlight w:val="none"/>
          <w:lang w:val="en-US" w:eastAsia="zh-CN"/>
        </w:rPr>
        <w:t>13</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万元，成预算的</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%，决算数小于预算数的主要原因是</w:t>
      </w:r>
      <w:r>
        <w:rPr>
          <w:rFonts w:hint="eastAsia" w:ascii="Times New Roman" w:hAnsi="Times New Roman" w:eastAsia="仿宋_GB2312"/>
          <w:sz w:val="32"/>
          <w:szCs w:val="32"/>
          <w:highlight w:val="none"/>
          <w:lang w:val="en-US" w:eastAsia="zh-CN"/>
        </w:rPr>
        <w:t>本年未安排因公出国任务</w:t>
      </w:r>
      <w:r>
        <w:rPr>
          <w:rFonts w:hint="eastAsia" w:ascii="Times New Roman" w:hAnsi="Times New Roman" w:eastAsia="仿宋_GB2312"/>
          <w:sz w:val="32"/>
          <w:szCs w:val="32"/>
          <w:highlight w:val="none"/>
        </w:rPr>
        <w:t>，与上年</w:t>
      </w:r>
      <w:r>
        <w:rPr>
          <w:rFonts w:hint="eastAsia" w:ascii="Times New Roman" w:hAnsi="Times New Roman" w:eastAsia="仿宋_GB2312"/>
          <w:sz w:val="32"/>
          <w:szCs w:val="32"/>
          <w:highlight w:val="none"/>
          <w:lang w:val="en-US" w:eastAsia="zh-CN"/>
        </w:rPr>
        <w:t>持平</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公务接待费支出预算为</w:t>
      </w:r>
      <w:r>
        <w:rPr>
          <w:rFonts w:hint="eastAsia" w:ascii="Times New Roman" w:hAnsi="Times New Roman" w:eastAsia="仿宋_GB2312"/>
          <w:sz w:val="32"/>
          <w:szCs w:val="32"/>
          <w:highlight w:val="none"/>
          <w:lang w:val="en-US" w:eastAsia="zh-CN"/>
        </w:rPr>
        <w:t>20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1.90</w:t>
      </w:r>
      <w:r>
        <w:rPr>
          <w:rFonts w:hint="eastAsia" w:ascii="Times New Roman" w:hAnsi="Times New Roman" w:eastAsia="仿宋_GB2312"/>
          <w:sz w:val="32"/>
          <w:szCs w:val="32"/>
          <w:highlight w:val="none"/>
        </w:rPr>
        <w:t>万元，完成预算的</w:t>
      </w:r>
      <w:r>
        <w:rPr>
          <w:rFonts w:hint="eastAsia" w:ascii="Times New Roman" w:hAnsi="Times New Roman" w:eastAsia="仿宋_GB2312"/>
          <w:sz w:val="32"/>
          <w:szCs w:val="32"/>
          <w:highlight w:val="none"/>
          <w:lang w:val="en-US" w:eastAsia="zh-CN"/>
        </w:rPr>
        <w:t>9.50</w:t>
      </w:r>
      <w:r>
        <w:rPr>
          <w:rFonts w:hint="eastAsia" w:ascii="Times New Roman" w:hAnsi="Times New Roman" w:eastAsia="仿宋_GB2312"/>
          <w:sz w:val="32"/>
          <w:szCs w:val="32"/>
          <w:highlight w:val="none"/>
        </w:rPr>
        <w:t>%，决算数大于（小于）预算数的主要原因是厉行节约</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严格控制“三公经费”使用</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与上年相比增加</w:t>
      </w:r>
      <w:r>
        <w:rPr>
          <w:rFonts w:hint="eastAsia" w:ascii="Times New Roman" w:hAnsi="Times New Roman" w:eastAsia="仿宋_GB2312"/>
          <w:sz w:val="32"/>
          <w:szCs w:val="32"/>
          <w:highlight w:val="none"/>
          <w:lang w:val="en-US" w:eastAsia="zh-CN"/>
        </w:rPr>
        <w:t>1.03</w:t>
      </w:r>
      <w:r>
        <w:rPr>
          <w:rFonts w:hint="eastAsia" w:ascii="Times New Roman" w:hAnsi="Times New Roman" w:eastAsia="仿宋_GB2312"/>
          <w:sz w:val="32"/>
          <w:szCs w:val="32"/>
          <w:highlight w:val="none"/>
        </w:rPr>
        <w:t>万元，增长</w:t>
      </w:r>
      <w:r>
        <w:rPr>
          <w:rFonts w:hint="eastAsia" w:ascii="Times New Roman" w:hAnsi="Times New Roman" w:eastAsia="仿宋_GB2312"/>
          <w:sz w:val="32"/>
          <w:szCs w:val="32"/>
          <w:highlight w:val="none"/>
          <w:lang w:val="en-US" w:eastAsia="zh-CN"/>
        </w:rPr>
        <w:t>118.39</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增长的主要原因是</w:t>
      </w:r>
      <w:r>
        <w:rPr>
          <w:rFonts w:hint="eastAsia" w:ascii="Times New Roman" w:hAnsi="Times New Roman" w:eastAsia="仿宋_GB2312"/>
          <w:sz w:val="32"/>
          <w:szCs w:val="32"/>
          <w:highlight w:val="none"/>
          <w:lang w:val="en-US" w:eastAsia="zh-CN"/>
        </w:rPr>
        <w:t>本年来访业务咨询增加，接待任务增加</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公务用车购置费支出预算为</w:t>
      </w:r>
      <w:r>
        <w:rPr>
          <w:rFonts w:hint="eastAsia" w:ascii="Times New Roman" w:hAnsi="Times New Roman" w:eastAsia="仿宋_GB2312"/>
          <w:sz w:val="32"/>
          <w:szCs w:val="32"/>
          <w:highlight w:val="none"/>
          <w:lang w:val="en-US" w:eastAsia="zh-CN"/>
        </w:rPr>
        <w:t>18</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17.98</w:t>
      </w:r>
      <w:r>
        <w:rPr>
          <w:rFonts w:hint="eastAsia" w:ascii="Times New Roman" w:hAnsi="Times New Roman" w:eastAsia="仿宋_GB2312"/>
          <w:sz w:val="32"/>
          <w:szCs w:val="32"/>
          <w:highlight w:val="none"/>
        </w:rPr>
        <w:t>万元，完成预算的</w:t>
      </w:r>
      <w:r>
        <w:rPr>
          <w:rFonts w:hint="eastAsia" w:ascii="Times New Roman" w:hAnsi="Times New Roman" w:eastAsia="仿宋_GB2312"/>
          <w:sz w:val="32"/>
          <w:szCs w:val="32"/>
          <w:highlight w:val="none"/>
          <w:lang w:val="en-US" w:eastAsia="zh-CN"/>
        </w:rPr>
        <w:t>99.89</w:t>
      </w:r>
      <w:r>
        <w:rPr>
          <w:rFonts w:hint="eastAsia" w:ascii="Times New Roman" w:hAnsi="Times New Roman" w:eastAsia="仿宋_GB2312"/>
          <w:sz w:val="32"/>
          <w:szCs w:val="32"/>
          <w:highlight w:val="none"/>
        </w:rPr>
        <w:t>%，决算数小于预算数的主要原因是</w:t>
      </w:r>
      <w:r>
        <w:rPr>
          <w:rFonts w:hint="eastAsia" w:ascii="Times New Roman" w:hAnsi="Times New Roman" w:eastAsia="仿宋_GB2312"/>
          <w:sz w:val="32"/>
          <w:szCs w:val="32"/>
          <w:highlight w:val="none"/>
          <w:lang w:val="en-US" w:eastAsia="zh-CN"/>
        </w:rPr>
        <w:t>严格按预算执行，</w:t>
      </w:r>
      <w:r>
        <w:rPr>
          <w:rFonts w:hint="eastAsia" w:ascii="Times New Roman" w:hAnsi="Times New Roman" w:eastAsia="仿宋_GB2312"/>
          <w:sz w:val="32"/>
          <w:szCs w:val="32"/>
          <w:highlight w:val="none"/>
        </w:rPr>
        <w:t>公务用车</w:t>
      </w:r>
      <w:r>
        <w:rPr>
          <w:rFonts w:hint="eastAsia" w:ascii="Times New Roman" w:hAnsi="Times New Roman" w:eastAsia="仿宋_GB2312"/>
          <w:sz w:val="32"/>
          <w:szCs w:val="32"/>
          <w:highlight w:val="none"/>
          <w:lang w:val="en-US" w:eastAsia="zh-CN"/>
        </w:rPr>
        <w:t>购置费支出略有节余</w:t>
      </w:r>
      <w:r>
        <w:rPr>
          <w:rFonts w:hint="eastAsia" w:ascii="Times New Roman" w:hAnsi="Times New Roman" w:eastAsia="仿宋_GB2312"/>
          <w:sz w:val="32"/>
          <w:szCs w:val="32"/>
          <w:highlight w:val="none"/>
        </w:rPr>
        <w:t>，与上年相比增加</w:t>
      </w:r>
      <w:r>
        <w:rPr>
          <w:rFonts w:hint="eastAsia" w:ascii="Times New Roman" w:hAnsi="Times New Roman" w:eastAsia="仿宋_GB2312"/>
          <w:sz w:val="32"/>
          <w:szCs w:val="32"/>
          <w:highlight w:val="none"/>
          <w:lang w:val="en-US" w:eastAsia="zh-CN"/>
        </w:rPr>
        <w:t>17.98</w:t>
      </w:r>
      <w:r>
        <w:rPr>
          <w:rFonts w:hint="eastAsia" w:ascii="Times New Roman" w:hAnsi="Times New Roman" w:eastAsia="仿宋_GB2312"/>
          <w:sz w:val="32"/>
          <w:szCs w:val="32"/>
          <w:highlight w:val="none"/>
        </w:rPr>
        <w:t>万元，增长的主要原因是</w:t>
      </w:r>
      <w:r>
        <w:rPr>
          <w:rFonts w:hint="eastAsia" w:ascii="Times New Roman" w:hAnsi="Times New Roman" w:eastAsia="仿宋_GB2312"/>
          <w:sz w:val="32"/>
          <w:szCs w:val="32"/>
          <w:highlight w:val="none"/>
          <w:lang w:val="en-US" w:eastAsia="zh-CN"/>
        </w:rPr>
        <w:t>本单位按正常程序更新购置了一台公务用车</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公务用车运行维护费支出预算为</w:t>
      </w:r>
      <w:r>
        <w:rPr>
          <w:rFonts w:hint="eastAsia" w:ascii="Times New Roman" w:hAnsi="Times New Roman" w:eastAsia="仿宋_GB2312"/>
          <w:sz w:val="32"/>
          <w:szCs w:val="32"/>
          <w:highlight w:val="none"/>
          <w:lang w:val="en-US" w:eastAsia="zh-CN"/>
        </w:rPr>
        <w:t>70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31.17</w:t>
      </w:r>
      <w:r>
        <w:rPr>
          <w:rFonts w:hint="eastAsia" w:ascii="Times New Roman" w:hAnsi="Times New Roman" w:eastAsia="仿宋_GB2312"/>
          <w:sz w:val="32"/>
          <w:szCs w:val="32"/>
          <w:highlight w:val="none"/>
        </w:rPr>
        <w:t>万元，完成预算的</w:t>
      </w:r>
      <w:r>
        <w:rPr>
          <w:rFonts w:hint="eastAsia" w:ascii="Times New Roman" w:hAnsi="Times New Roman" w:eastAsia="仿宋_GB2312"/>
          <w:sz w:val="32"/>
          <w:szCs w:val="32"/>
          <w:highlight w:val="none"/>
          <w:lang w:val="en-US" w:eastAsia="zh-CN"/>
        </w:rPr>
        <w:t>61.04</w:t>
      </w:r>
      <w:r>
        <w:rPr>
          <w:rFonts w:hint="eastAsia" w:ascii="Times New Roman" w:hAnsi="Times New Roman" w:eastAsia="仿宋_GB2312"/>
          <w:sz w:val="32"/>
          <w:szCs w:val="32"/>
          <w:highlight w:val="none"/>
        </w:rPr>
        <w:t>%，决算数小于预算数的主要原因是厉行节约</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在预算范围</w:t>
      </w:r>
      <w:r>
        <w:rPr>
          <w:rFonts w:hint="eastAsia" w:ascii="Times New Roman" w:hAnsi="Times New Roman" w:eastAsia="仿宋_GB2312"/>
          <w:sz w:val="32"/>
          <w:szCs w:val="32"/>
          <w:highlight w:val="none"/>
        </w:rPr>
        <w:t>控制“三公经费”使用</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与上年相比增加</w:t>
      </w:r>
      <w:r>
        <w:rPr>
          <w:rFonts w:hint="eastAsia" w:ascii="Times New Roman" w:hAnsi="Times New Roman" w:eastAsia="仿宋_GB2312"/>
          <w:sz w:val="32"/>
          <w:szCs w:val="32"/>
          <w:highlight w:val="none"/>
          <w:lang w:val="en-US" w:eastAsia="zh-CN"/>
        </w:rPr>
        <w:t>0.57</w:t>
      </w:r>
      <w:r>
        <w:rPr>
          <w:rFonts w:hint="eastAsia" w:ascii="Times New Roman" w:hAnsi="Times New Roman" w:eastAsia="仿宋_GB2312"/>
          <w:sz w:val="32"/>
          <w:szCs w:val="32"/>
          <w:highlight w:val="none"/>
        </w:rPr>
        <w:t>万元，增长</w:t>
      </w:r>
      <w:r>
        <w:rPr>
          <w:rFonts w:hint="eastAsia" w:ascii="Times New Roman" w:hAnsi="Times New Roman" w:eastAsia="仿宋_GB2312"/>
          <w:sz w:val="32"/>
          <w:szCs w:val="32"/>
          <w:highlight w:val="none"/>
          <w:lang w:val="en-US" w:eastAsia="zh-CN"/>
        </w:rPr>
        <w:t>1.83</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增长的主要原因是</w:t>
      </w:r>
      <w:r>
        <w:rPr>
          <w:rFonts w:hint="eastAsia" w:ascii="Times New Roman" w:hAnsi="Times New Roman" w:eastAsia="仿宋_GB2312"/>
          <w:sz w:val="32"/>
          <w:szCs w:val="32"/>
          <w:highlight w:val="none"/>
          <w:lang w:val="en-US" w:eastAsia="zh-CN"/>
        </w:rPr>
        <w:t>因公务出行任务增加，公</w:t>
      </w:r>
      <w:r>
        <w:rPr>
          <w:rFonts w:hint="eastAsia" w:ascii="Times New Roman" w:hAnsi="Times New Roman" w:eastAsia="仿宋_GB2312"/>
          <w:sz w:val="32"/>
          <w:szCs w:val="32"/>
          <w:highlight w:val="none"/>
        </w:rPr>
        <w:t>务用车运行维护费</w:t>
      </w:r>
      <w:r>
        <w:rPr>
          <w:rFonts w:hint="eastAsia" w:ascii="Times New Roman" w:hAnsi="Times New Roman" w:eastAsia="仿宋_GB2312"/>
          <w:sz w:val="32"/>
          <w:szCs w:val="32"/>
          <w:highlight w:val="none"/>
          <w:lang w:val="en-US" w:eastAsia="zh-CN"/>
        </w:rPr>
        <w:t>费用较上年略有增加</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年度“三公”经费财政拨款支出决算中，公务接待费支出决算</w:t>
      </w:r>
      <w:r>
        <w:rPr>
          <w:rFonts w:hint="eastAsia" w:ascii="Times New Roman" w:hAnsi="Times New Roman" w:eastAsia="仿宋_GB2312"/>
          <w:sz w:val="32"/>
          <w:szCs w:val="32"/>
          <w:highlight w:val="none"/>
          <w:lang w:val="en-US" w:eastAsia="zh-CN"/>
        </w:rPr>
        <w:t>1.90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3.66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因公出国（境）费支出决算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%,公务用车购置费及运行维护费支出决算</w:t>
      </w:r>
      <w:r>
        <w:rPr>
          <w:rFonts w:hint="eastAsia" w:ascii="Times New Roman" w:hAnsi="Times New Roman" w:eastAsia="仿宋_GB2312"/>
          <w:sz w:val="32"/>
          <w:szCs w:val="32"/>
          <w:highlight w:val="none"/>
          <w:lang w:val="en-US" w:eastAsia="zh-CN"/>
        </w:rPr>
        <w:t>49.72</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3.68</w:t>
      </w:r>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highlight w:val="none"/>
          <w:lang w:val="en-US" w:eastAsia="zh-CN"/>
        </w:rPr>
      </w:pP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因公出国（境）费支出决算为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万元，全年安排因公出国（境）团组</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个，累计</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人次</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2、公务接待费支出决算为</w:t>
      </w:r>
      <w:r>
        <w:rPr>
          <w:rFonts w:hint="eastAsia" w:ascii="Times New Roman" w:hAnsi="Times New Roman" w:eastAsia="仿宋_GB2312"/>
          <w:sz w:val="32"/>
          <w:szCs w:val="32"/>
          <w:highlight w:val="none"/>
          <w:lang w:val="en-US" w:eastAsia="zh-CN"/>
        </w:rPr>
        <w:t>1.90</w:t>
      </w:r>
      <w:r>
        <w:rPr>
          <w:rFonts w:hint="eastAsia" w:ascii="Times New Roman" w:hAnsi="Times New Roman" w:eastAsia="仿宋_GB2312"/>
          <w:sz w:val="32"/>
          <w:szCs w:val="32"/>
          <w:highlight w:val="none"/>
        </w:rPr>
        <w:t>万元，全年共接待来访团组</w:t>
      </w:r>
      <w:r>
        <w:rPr>
          <w:rFonts w:hint="eastAsia" w:ascii="Times New Roman" w:hAnsi="Times New Roman" w:eastAsia="仿宋_GB2312"/>
          <w:sz w:val="32"/>
          <w:szCs w:val="32"/>
          <w:highlight w:val="none"/>
          <w:lang w:val="en-US" w:eastAsia="zh-CN"/>
        </w:rPr>
        <w:t>24</w:t>
      </w:r>
      <w:r>
        <w:rPr>
          <w:rFonts w:hint="eastAsia" w:ascii="Times New Roman" w:hAnsi="Times New Roman" w:eastAsia="仿宋_GB2312"/>
          <w:sz w:val="32"/>
          <w:szCs w:val="32"/>
          <w:highlight w:val="none"/>
        </w:rPr>
        <w:t>个、来宾</w:t>
      </w:r>
      <w:r>
        <w:rPr>
          <w:rFonts w:hint="eastAsia" w:ascii="Times New Roman" w:hAnsi="Times New Roman" w:eastAsia="仿宋_GB2312"/>
          <w:sz w:val="32"/>
          <w:szCs w:val="32"/>
          <w:highlight w:val="none"/>
          <w:lang w:val="en-US" w:eastAsia="zh-CN"/>
        </w:rPr>
        <w:t>105</w:t>
      </w:r>
      <w:r>
        <w:rPr>
          <w:rFonts w:hint="eastAsia" w:ascii="Times New Roman" w:hAnsi="Times New Roman" w:eastAsia="仿宋_GB2312"/>
          <w:sz w:val="32"/>
          <w:szCs w:val="32"/>
          <w:highlight w:val="none"/>
        </w:rPr>
        <w:t>人次</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主要是</w:t>
      </w:r>
      <w:r>
        <w:rPr>
          <w:rFonts w:hint="eastAsia" w:ascii="Times New Roman" w:hAnsi="Times New Roman" w:eastAsia="仿宋_GB2312"/>
          <w:sz w:val="32"/>
          <w:szCs w:val="32"/>
          <w:highlight w:val="none"/>
          <w:lang w:val="en-US" w:eastAsia="zh-CN"/>
        </w:rPr>
        <w:t>外省农业农村厅调研、</w:t>
      </w:r>
      <w:r>
        <w:rPr>
          <w:rFonts w:hint="eastAsia" w:ascii="Times New Roman" w:hAnsi="Times New Roman" w:eastAsia="仿宋_GB2312"/>
          <w:sz w:val="32"/>
          <w:szCs w:val="32"/>
          <w:highlight w:val="none"/>
        </w:rPr>
        <w:t>市州、县市区农业部门等单位联系</w:t>
      </w:r>
      <w:r>
        <w:rPr>
          <w:rFonts w:hint="eastAsia" w:ascii="Times New Roman" w:hAnsi="Times New Roman" w:eastAsia="仿宋_GB2312"/>
          <w:sz w:val="32"/>
          <w:szCs w:val="32"/>
          <w:highlight w:val="none"/>
          <w:lang w:val="en-US" w:eastAsia="zh-CN"/>
        </w:rPr>
        <w:t>汇报</w:t>
      </w:r>
      <w:r>
        <w:rPr>
          <w:rFonts w:hint="eastAsia" w:ascii="Times New Roman" w:hAnsi="Times New Roman" w:eastAsia="仿宋_GB2312"/>
          <w:sz w:val="32"/>
          <w:szCs w:val="32"/>
          <w:highlight w:val="none"/>
        </w:rPr>
        <w:t>工作发生的接待支出。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highlight w:val="none"/>
          <w:lang w:val="en-US" w:eastAsia="zh-CN" w:bidi="ar-SA"/>
        </w:rPr>
      </w:pPr>
      <w:r>
        <w:rPr>
          <w:rFonts w:hint="eastAsia" w:ascii="Times New Roman" w:hAnsi="Times New Roman" w:eastAsia="仿宋_GB2312"/>
          <w:sz w:val="32"/>
          <w:szCs w:val="32"/>
          <w:highlight w:val="none"/>
        </w:rPr>
        <w:t>3、公务用车购置费及运行维护费支出决算为</w:t>
      </w:r>
      <w:r>
        <w:rPr>
          <w:rFonts w:hint="eastAsia" w:ascii="Times New Roman" w:hAnsi="Times New Roman" w:eastAsia="仿宋_GB2312"/>
          <w:sz w:val="32"/>
          <w:szCs w:val="32"/>
          <w:highlight w:val="none"/>
          <w:lang w:val="en-US" w:eastAsia="zh-CN"/>
        </w:rPr>
        <w:t>49.72</w:t>
      </w:r>
      <w:r>
        <w:rPr>
          <w:rFonts w:hint="eastAsia" w:ascii="Times New Roman" w:hAnsi="Times New Roman" w:eastAsia="仿宋_GB2312"/>
          <w:sz w:val="32"/>
          <w:szCs w:val="32"/>
          <w:highlight w:val="none"/>
        </w:rPr>
        <w:t>万元，其中：公务用车购置费</w:t>
      </w:r>
      <w:r>
        <w:rPr>
          <w:rFonts w:hint="eastAsia" w:ascii="Times New Roman" w:hAnsi="Times New Roman" w:eastAsia="仿宋_GB2312"/>
          <w:sz w:val="32"/>
          <w:szCs w:val="32"/>
          <w:highlight w:val="none"/>
          <w:lang w:val="en-US" w:eastAsia="zh-CN"/>
        </w:rPr>
        <w:t>17.98</w:t>
      </w:r>
      <w:r>
        <w:rPr>
          <w:rFonts w:hint="eastAsia" w:ascii="Times New Roman" w:hAnsi="Times New Roman" w:eastAsia="仿宋_GB2312"/>
          <w:sz w:val="32"/>
          <w:szCs w:val="32"/>
          <w:highlight w:val="none"/>
        </w:rPr>
        <w:t>万元，单位本级更新公务用车</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辆</w:t>
      </w:r>
      <w:r>
        <w:rPr>
          <w:rFonts w:hint="eastAsia"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sz w:val="32"/>
          <w:szCs w:val="32"/>
          <w:highlight w:val="none"/>
        </w:rPr>
        <w:t>公务用车运行维护费</w:t>
      </w:r>
      <w:r>
        <w:rPr>
          <w:rFonts w:hint="eastAsia" w:ascii="Times New Roman" w:hAnsi="Times New Roman" w:eastAsia="仿宋_GB2312"/>
          <w:sz w:val="32"/>
          <w:szCs w:val="32"/>
          <w:highlight w:val="none"/>
          <w:lang w:val="en-US" w:eastAsia="zh-CN"/>
        </w:rPr>
        <w:t>31.74</w:t>
      </w:r>
      <w:r>
        <w:rPr>
          <w:rFonts w:hint="eastAsia" w:ascii="Times New Roman" w:hAnsi="Times New Roman" w:eastAsia="仿宋_GB2312"/>
          <w:sz w:val="32"/>
          <w:szCs w:val="32"/>
          <w:highlight w:val="none"/>
        </w:rPr>
        <w:t>万元，主要是车辆运行油料、维修维护及过路过桥费用支出，截止202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年12月31日，我单位开支财政拨款的公务用车保有量为</w:t>
      </w: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rPr>
        <w:t>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八、政府性基金预算收入支出决算情况</w:t>
      </w:r>
    </w:p>
    <w:p>
      <w:pPr>
        <w:pStyle w:val="15"/>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 xml:space="preserve">    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w:t>
      </w:r>
      <w:r>
        <w:rPr>
          <w:rFonts w:hint="eastAsia" w:ascii="Times New Roman" w:hAnsi="Times New Roman" w:eastAsia="仿宋_GB2312"/>
          <w:sz w:val="32"/>
          <w:szCs w:val="32"/>
          <w:highlight w:val="none"/>
          <w:lang w:val="en-US" w:eastAsia="zh-CN"/>
        </w:rPr>
        <w:t>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highlight w:val="none"/>
        </w:rPr>
      </w:pPr>
      <w:r>
        <w:rPr>
          <w:rFonts w:hint="eastAsia" w:ascii="Times New Roman" w:hAnsi="Times New Roman" w:eastAsia="仿宋_GB2312"/>
          <w:b/>
          <w:color w:val="auto"/>
          <w:sz w:val="32"/>
          <w:szCs w:val="32"/>
          <w:highlight w:val="none"/>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本部门202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年度机关运行经费支出</w:t>
      </w:r>
      <w:r>
        <w:rPr>
          <w:rFonts w:hint="eastAsia" w:ascii="Times New Roman" w:hAnsi="Times New Roman" w:eastAsia="仿宋_GB2312"/>
          <w:sz w:val="32"/>
          <w:szCs w:val="32"/>
          <w:highlight w:val="none"/>
          <w:lang w:val="en-US" w:eastAsia="zh-CN"/>
        </w:rPr>
        <w:t>628.49</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比年初预算数减少</w:t>
      </w:r>
      <w:r>
        <w:rPr>
          <w:rFonts w:hint="eastAsia" w:ascii="Times New Roman" w:hAnsi="Times New Roman" w:eastAsia="仿宋_GB2312"/>
          <w:sz w:val="32"/>
          <w:szCs w:val="32"/>
          <w:highlight w:val="none"/>
          <w:lang w:val="en-US" w:eastAsia="zh-CN"/>
        </w:rPr>
        <w:t>88.51</w:t>
      </w:r>
      <w:r>
        <w:rPr>
          <w:rFonts w:hint="eastAsia" w:ascii="Times New Roman" w:hAnsi="Times New Roman" w:eastAsia="仿宋_GB2312"/>
          <w:sz w:val="32"/>
          <w:szCs w:val="32"/>
          <w:highlight w:val="none"/>
        </w:rPr>
        <w:t xml:space="preserve"> 万元，降低</w:t>
      </w:r>
      <w:r>
        <w:rPr>
          <w:rFonts w:hint="eastAsia" w:ascii="Times New Roman" w:hAnsi="Times New Roman" w:eastAsia="仿宋_GB2312"/>
          <w:sz w:val="32"/>
          <w:szCs w:val="32"/>
          <w:highlight w:val="none"/>
          <w:lang w:val="en-US" w:eastAsia="zh-CN"/>
        </w:rPr>
        <w:t>12.42</w:t>
      </w:r>
      <w:r>
        <w:rPr>
          <w:rFonts w:hint="eastAsia" w:ascii="Times New Roman" w:hAnsi="Times New Roman" w:eastAsia="仿宋_GB2312"/>
          <w:sz w:val="32"/>
          <w:szCs w:val="32"/>
          <w:highlight w:val="none"/>
        </w:rPr>
        <w:t>%。主要原因是：厉行节约</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严格</w:t>
      </w:r>
      <w:r>
        <w:rPr>
          <w:rFonts w:hint="eastAsia" w:ascii="Times New Roman" w:hAnsi="Times New Roman" w:eastAsia="仿宋_GB2312"/>
          <w:sz w:val="32"/>
          <w:szCs w:val="32"/>
          <w:highlight w:val="none"/>
        </w:rPr>
        <w:t>压缩公用经费开支。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年本部门开支会议费</w:t>
      </w:r>
      <w:r>
        <w:rPr>
          <w:rFonts w:hint="eastAsia" w:ascii="Times New Roman" w:hAnsi="Times New Roman" w:eastAsia="仿宋_GB2312"/>
          <w:sz w:val="32"/>
          <w:szCs w:val="32"/>
          <w:highlight w:val="none"/>
          <w:lang w:val="en-US" w:eastAsia="zh-CN"/>
        </w:rPr>
        <w:t>4.98</w:t>
      </w:r>
      <w:r>
        <w:rPr>
          <w:rFonts w:hint="eastAsia" w:ascii="Times New Roman" w:hAnsi="Times New Roman" w:eastAsia="仿宋_GB2312"/>
          <w:sz w:val="32"/>
          <w:szCs w:val="32"/>
          <w:highlight w:val="none"/>
        </w:rPr>
        <w:t>万元，用于召开习近平新时代中国特色社会主义思想学习讨论会议，</w:t>
      </w:r>
      <w:r>
        <w:rPr>
          <w:rFonts w:hint="eastAsia" w:ascii="Times New Roman" w:hAnsi="Times New Roman" w:eastAsia="仿宋_GB2312"/>
          <w:sz w:val="32"/>
          <w:szCs w:val="32"/>
          <w:highlight w:val="none"/>
          <w:lang w:val="en-US" w:eastAsia="zh-CN"/>
        </w:rPr>
        <w:t>开支4.86万元，</w:t>
      </w:r>
      <w:r>
        <w:rPr>
          <w:rFonts w:hint="eastAsia" w:ascii="Times New Roman" w:hAnsi="Times New Roman" w:eastAsia="仿宋_GB2312"/>
          <w:sz w:val="32"/>
          <w:szCs w:val="32"/>
          <w:highlight w:val="none"/>
        </w:rPr>
        <w:t>人数</w:t>
      </w:r>
      <w:r>
        <w:rPr>
          <w:rFonts w:hint="eastAsia" w:ascii="Times New Roman" w:hAnsi="Times New Roman" w:eastAsia="仿宋_GB2312"/>
          <w:sz w:val="32"/>
          <w:szCs w:val="32"/>
          <w:highlight w:val="none"/>
          <w:lang w:val="en-US" w:eastAsia="zh-CN"/>
        </w:rPr>
        <w:t>43</w:t>
      </w:r>
      <w:r>
        <w:rPr>
          <w:rFonts w:hint="eastAsia" w:ascii="Times New Roman" w:hAnsi="Times New Roman" w:eastAsia="仿宋_GB2312"/>
          <w:sz w:val="32"/>
          <w:szCs w:val="32"/>
          <w:highlight w:val="none"/>
        </w:rPr>
        <w:t>人，内容</w:t>
      </w:r>
      <w:r>
        <w:rPr>
          <w:rFonts w:hint="eastAsia" w:ascii="Times New Roman" w:hAnsi="Times New Roman" w:eastAsia="仿宋_GB2312"/>
          <w:sz w:val="32"/>
          <w:szCs w:val="32"/>
          <w:highlight w:val="none"/>
          <w:lang w:val="en-US" w:eastAsia="zh-CN"/>
        </w:rPr>
        <w:t>为习近平新时代中国特色社会主义思想学习讨论；</w:t>
      </w:r>
      <w:r>
        <w:rPr>
          <w:rFonts w:hint="eastAsia" w:ascii="Times New Roman" w:hAnsi="Times New Roman" w:eastAsia="仿宋_GB2312"/>
          <w:sz w:val="32"/>
          <w:szCs w:val="32"/>
          <w:highlight w:val="none"/>
        </w:rPr>
        <w:t>畜禽种业市场监管会议</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开支0.12万元，人数39人，</w:t>
      </w:r>
      <w:r>
        <w:rPr>
          <w:rFonts w:hint="eastAsia" w:ascii="Times New Roman" w:hAnsi="Times New Roman" w:eastAsia="仿宋_GB2312"/>
          <w:sz w:val="32"/>
          <w:szCs w:val="32"/>
          <w:highlight w:val="none"/>
        </w:rPr>
        <w:t>内容为畜禽种业市场监管现场检查详解、抽样详解</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highlight w:val="none"/>
          <w:lang w:val="en-US"/>
        </w:rPr>
      </w:pPr>
      <w:r>
        <w:rPr>
          <w:rFonts w:hint="eastAsia" w:ascii="Times New Roman" w:hAnsi="Times New Roman" w:eastAsia="仿宋_GB2312"/>
          <w:sz w:val="32"/>
          <w:szCs w:val="32"/>
          <w:highlight w:val="none"/>
        </w:rPr>
        <w:t>开支培训费</w:t>
      </w:r>
      <w:r>
        <w:rPr>
          <w:rFonts w:hint="eastAsia" w:ascii="Times New Roman" w:hAnsi="Times New Roman" w:eastAsia="仿宋_GB2312"/>
          <w:sz w:val="32"/>
          <w:szCs w:val="32"/>
          <w:highlight w:val="none"/>
          <w:lang w:val="en-US" w:eastAsia="zh-CN"/>
        </w:rPr>
        <w:t>1.67</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val="en-US" w:eastAsia="zh-CN"/>
        </w:rPr>
        <w:t>主要培训内容：</w:t>
      </w:r>
      <w:r>
        <w:rPr>
          <w:rFonts w:hint="eastAsia" w:ascii="Times New Roman" w:hAnsi="Times New Roman" w:eastAsia="仿宋_GB2312"/>
          <w:sz w:val="32"/>
          <w:szCs w:val="32"/>
          <w:highlight w:val="none"/>
        </w:rPr>
        <w:t>开展</w:t>
      </w:r>
      <w:r>
        <w:rPr>
          <w:rFonts w:hint="eastAsia" w:ascii="Times New Roman" w:hAnsi="Times New Roman" w:eastAsia="仿宋_GB2312"/>
          <w:sz w:val="32"/>
          <w:szCs w:val="32"/>
          <w:highlight w:val="none"/>
          <w:lang w:val="en-US" w:eastAsia="zh-CN"/>
        </w:rPr>
        <w:t>全国农业行业职业技能大赛水产赛项裁判员资格认证培训</w:t>
      </w:r>
      <w:r>
        <w:rPr>
          <w:rFonts w:hint="eastAsia" w:ascii="Times New Roman" w:hAnsi="Times New Roman" w:eastAsia="仿宋_GB2312"/>
          <w:sz w:val="32"/>
          <w:szCs w:val="32"/>
          <w:highlight w:val="none"/>
        </w:rPr>
        <w:t>培训，</w:t>
      </w:r>
      <w:r>
        <w:rPr>
          <w:rFonts w:hint="eastAsia" w:ascii="Times New Roman" w:hAnsi="Times New Roman" w:eastAsia="仿宋_GB2312"/>
          <w:sz w:val="32"/>
          <w:szCs w:val="32"/>
          <w:highlight w:val="none"/>
          <w:lang w:val="en-US" w:eastAsia="zh-CN"/>
        </w:rPr>
        <w:t>开支1万元，</w:t>
      </w:r>
      <w:r>
        <w:rPr>
          <w:rFonts w:hint="eastAsia" w:ascii="Times New Roman" w:hAnsi="Times New Roman" w:eastAsia="仿宋_GB2312"/>
          <w:sz w:val="32"/>
          <w:szCs w:val="32"/>
          <w:highlight w:val="none"/>
        </w:rPr>
        <w:t>人数</w:t>
      </w: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人，内容为解读国家职业技能大赛制度和规程</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介绍国家职业技能大赛裁判员相关规定，大赛裁判工作守则和方式方法；讲解水产赛实操试题评判要点；现代水产育种技术培训班</w:t>
      </w:r>
      <w:r>
        <w:rPr>
          <w:rFonts w:hint="eastAsia" w:ascii="Times New Roman" w:hAnsi="Times New Roman" w:eastAsia="仿宋_GB2312"/>
          <w:sz w:val="32"/>
          <w:szCs w:val="32"/>
          <w:highlight w:val="none"/>
          <w:lang w:val="en-US" w:eastAsia="zh-CN"/>
        </w:rPr>
        <w:t>开支0.60万元，</w:t>
      </w:r>
      <w:r>
        <w:rPr>
          <w:rFonts w:hint="eastAsia" w:ascii="Times New Roman" w:hAnsi="Times New Roman" w:eastAsia="仿宋_GB2312"/>
          <w:sz w:val="32"/>
          <w:szCs w:val="32"/>
          <w:highlight w:val="none"/>
        </w:rPr>
        <w:t>人数</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人，内容</w:t>
      </w:r>
      <w:r>
        <w:rPr>
          <w:rFonts w:hint="eastAsia" w:ascii="Times New Roman" w:hAnsi="Times New Roman" w:eastAsia="仿宋_GB2312"/>
          <w:sz w:val="32"/>
          <w:szCs w:val="32"/>
          <w:highlight w:val="none"/>
          <w:lang w:val="en-US" w:eastAsia="zh-CN"/>
        </w:rPr>
        <w:t>为现代育种技术概论、育种方案设计、育繁推一体化搭建、水产新品种审定技术规范释义、新品种申报材料要求及现场教学等；事业单位工作人员培训开支0.07万元，</w:t>
      </w:r>
      <w:r>
        <w:rPr>
          <w:rFonts w:hint="eastAsia" w:ascii="Times New Roman" w:hAnsi="Times New Roman" w:eastAsia="仿宋_GB2312"/>
          <w:sz w:val="32"/>
          <w:szCs w:val="32"/>
          <w:highlight w:val="none"/>
        </w:rPr>
        <w:t>人数</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人，内容</w:t>
      </w:r>
      <w:r>
        <w:rPr>
          <w:rFonts w:hint="eastAsia" w:ascii="Times New Roman" w:hAnsi="Times New Roman" w:eastAsia="仿宋_GB2312"/>
          <w:sz w:val="32"/>
          <w:szCs w:val="32"/>
          <w:highlight w:val="none"/>
          <w:lang w:val="en-US" w:eastAsia="zh-CN"/>
        </w:rPr>
        <w:t>为公共科目、专业科目培训。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sz w:val="32"/>
          <w:szCs w:val="32"/>
          <w:highlight w:val="none"/>
        </w:rPr>
        <w:t>本部门202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年度政府采购支出总额</w:t>
      </w:r>
      <w:r>
        <w:rPr>
          <w:rFonts w:hint="eastAsia" w:ascii="Times New Roman" w:hAnsi="Times New Roman" w:eastAsia="仿宋_GB2312"/>
          <w:sz w:val="32"/>
          <w:szCs w:val="32"/>
          <w:highlight w:val="none"/>
          <w:lang w:val="en-US" w:eastAsia="zh-CN"/>
        </w:rPr>
        <w:t>5189.93</w:t>
      </w:r>
      <w:r>
        <w:rPr>
          <w:rFonts w:hint="eastAsia" w:ascii="Times New Roman" w:hAnsi="Times New Roman" w:eastAsia="仿宋_GB2312"/>
          <w:sz w:val="32"/>
          <w:szCs w:val="32"/>
          <w:highlight w:val="none"/>
        </w:rPr>
        <w:t>万元，其中：政府采购货物支出</w:t>
      </w:r>
      <w:r>
        <w:rPr>
          <w:rFonts w:hint="eastAsia" w:ascii="Times New Roman" w:hAnsi="Times New Roman" w:eastAsia="仿宋_GB2312"/>
          <w:sz w:val="32"/>
          <w:szCs w:val="32"/>
          <w:highlight w:val="none"/>
          <w:lang w:val="en-US" w:eastAsia="zh-CN"/>
        </w:rPr>
        <w:t>4903.71</w:t>
      </w:r>
      <w:r>
        <w:rPr>
          <w:rFonts w:hint="eastAsia" w:ascii="Times New Roman" w:hAnsi="Times New Roman" w:eastAsia="仿宋_GB2312"/>
          <w:sz w:val="32"/>
          <w:szCs w:val="32"/>
          <w:highlight w:val="none"/>
        </w:rPr>
        <w:t>万元、政府采购工程支出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万元、政府采购服务支出</w:t>
      </w:r>
      <w:r>
        <w:rPr>
          <w:rFonts w:hint="eastAsia" w:ascii="Times New Roman" w:hAnsi="Times New Roman" w:eastAsia="仿宋_GB2312"/>
          <w:sz w:val="32"/>
          <w:szCs w:val="32"/>
          <w:highlight w:val="none"/>
          <w:lang w:val="en-US" w:eastAsia="zh-CN"/>
        </w:rPr>
        <w:t>286.22</w:t>
      </w:r>
      <w:r>
        <w:rPr>
          <w:rFonts w:hint="eastAsia" w:ascii="Times New Roman" w:hAnsi="Times New Roman" w:eastAsia="仿宋_GB2312"/>
          <w:sz w:val="32"/>
          <w:szCs w:val="32"/>
          <w:highlight w:val="none"/>
        </w:rPr>
        <w:t>万元。授予中小企业合同金额</w:t>
      </w:r>
      <w:r>
        <w:rPr>
          <w:rFonts w:hint="eastAsia" w:ascii="Times New Roman" w:hAnsi="Times New Roman" w:eastAsia="仿宋_GB2312"/>
          <w:sz w:val="32"/>
          <w:szCs w:val="32"/>
          <w:highlight w:val="none"/>
          <w:lang w:val="en-US" w:eastAsia="zh-CN"/>
        </w:rPr>
        <w:t>104.00</w:t>
      </w:r>
      <w:r>
        <w:rPr>
          <w:rFonts w:hint="eastAsia" w:ascii="Times New Roman" w:hAnsi="Times New Roman" w:eastAsia="仿宋_GB2312"/>
          <w:sz w:val="32"/>
          <w:szCs w:val="32"/>
          <w:highlight w:val="none"/>
        </w:rPr>
        <w:t>万元，占政府采购支出总额的</w:t>
      </w:r>
      <w:r>
        <w:rPr>
          <w:rFonts w:hint="eastAsia" w:ascii="Times New Roman" w:hAnsi="Times New Roman" w:eastAsia="仿宋_GB2312"/>
          <w:sz w:val="32"/>
          <w:szCs w:val="32"/>
          <w:highlight w:val="none"/>
          <w:lang w:val="en-US" w:eastAsia="zh-CN"/>
        </w:rPr>
        <w:t>2.00</w:t>
      </w:r>
      <w:r>
        <w:rPr>
          <w:rFonts w:hint="eastAsia" w:ascii="Times New Roman" w:hAnsi="Times New Roman" w:eastAsia="仿宋_GB2312"/>
          <w:sz w:val="32"/>
          <w:szCs w:val="32"/>
          <w:highlight w:val="none"/>
        </w:rPr>
        <w:t>%，其中：授予小微企业合同金额</w:t>
      </w:r>
      <w:r>
        <w:rPr>
          <w:rFonts w:hint="eastAsia" w:ascii="Times New Roman" w:hAnsi="Times New Roman" w:eastAsia="仿宋_GB2312"/>
          <w:sz w:val="32"/>
          <w:szCs w:val="32"/>
          <w:highlight w:val="none"/>
          <w:lang w:val="en-US" w:eastAsia="zh-CN"/>
        </w:rPr>
        <w:t>104.00</w:t>
      </w:r>
      <w:r>
        <w:rPr>
          <w:rFonts w:hint="eastAsia" w:ascii="Times New Roman" w:hAnsi="Times New Roman" w:eastAsia="仿宋_GB2312"/>
          <w:sz w:val="32"/>
          <w:szCs w:val="32"/>
          <w:highlight w:val="none"/>
        </w:rPr>
        <w:t>万元，</w:t>
      </w:r>
      <w:r>
        <w:rPr>
          <w:rFonts w:hint="eastAsia" w:ascii="Times New Roman" w:hAnsi="Times New Roman" w:eastAsia="仿宋_GB2312"/>
          <w:color w:val="auto"/>
          <w:sz w:val="32"/>
          <w:szCs w:val="32"/>
          <w:highlight w:val="none"/>
        </w:rPr>
        <w:t>占</w:t>
      </w:r>
      <w:r>
        <w:rPr>
          <w:rFonts w:hint="eastAsia" w:ascii="Times New Roman" w:hAnsi="Times New Roman" w:eastAsia="仿宋_GB2312"/>
          <w:color w:val="auto"/>
          <w:sz w:val="32"/>
          <w:szCs w:val="32"/>
          <w:highlight w:val="none"/>
          <w:lang w:eastAsia="zh-CN"/>
        </w:rPr>
        <w:t>授予中小企业合同金额</w:t>
      </w:r>
      <w:r>
        <w:rPr>
          <w:rFonts w:hint="eastAsia" w:ascii="Times New Roman" w:hAnsi="Times New Roman" w:eastAsia="仿宋_GB2312"/>
          <w:color w:val="auto"/>
          <w:sz w:val="32"/>
          <w:szCs w:val="32"/>
          <w:highlight w:val="none"/>
        </w:rPr>
        <w:t>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%。货物采购授予中小企业合同金额占货物支出金额的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%，服务采购授予中小企业合同金额占服务支出金额的</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十二、关于国有资产占用情况说明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截至202</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年12月31日，</w:t>
      </w:r>
      <w:r>
        <w:rPr>
          <w:rFonts w:hint="eastAsia" w:ascii="Times New Roman" w:hAnsi="Times New Roman" w:eastAsia="仿宋_GB2312"/>
          <w:color w:val="auto"/>
          <w:sz w:val="32"/>
          <w:szCs w:val="32"/>
          <w:highlight w:val="none"/>
          <w:lang w:eastAsia="zh-CN"/>
        </w:rPr>
        <w:t>单位</w:t>
      </w:r>
      <w:r>
        <w:rPr>
          <w:rFonts w:hint="eastAsia" w:ascii="Times New Roman" w:hAnsi="Times New Roman" w:eastAsia="仿宋_GB2312"/>
          <w:color w:val="auto"/>
          <w:sz w:val="32"/>
          <w:szCs w:val="32"/>
          <w:highlight w:val="none"/>
        </w:rPr>
        <w:t>共有车辆</w:t>
      </w:r>
      <w:r>
        <w:rPr>
          <w:rFonts w:hint="eastAsia" w:ascii="Times New Roman" w:hAnsi="Times New Roman" w:eastAsia="仿宋_GB2312"/>
          <w:color w:val="auto"/>
          <w:sz w:val="32"/>
          <w:szCs w:val="32"/>
          <w:highlight w:val="none"/>
          <w:lang w:val="en-US" w:eastAsia="zh-CN"/>
        </w:rPr>
        <w:t>9</w:t>
      </w:r>
      <w:r>
        <w:rPr>
          <w:rFonts w:hint="eastAsia" w:ascii="Times New Roman" w:hAnsi="Times New Roman" w:eastAsia="仿宋_GB2312"/>
          <w:color w:val="auto"/>
          <w:sz w:val="32"/>
          <w:szCs w:val="32"/>
          <w:highlight w:val="none"/>
        </w:rPr>
        <w:t>辆，其中</w:t>
      </w:r>
      <w:r>
        <w:rPr>
          <w:rFonts w:hint="eastAsia" w:ascii="Times New Roman" w:hAnsi="Times New Roman" w:eastAsia="仿宋_GB2312"/>
          <w:color w:val="auto"/>
          <w:sz w:val="32"/>
          <w:szCs w:val="32"/>
          <w:highlight w:val="none"/>
          <w:lang w:eastAsia="zh-CN"/>
        </w:rPr>
        <w:t>，副部（省）级及以上领导用车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主要</w:t>
      </w:r>
      <w:r>
        <w:rPr>
          <w:rFonts w:hint="eastAsia" w:ascii="Times New Roman" w:hAnsi="Times New Roman" w:eastAsia="仿宋_GB2312"/>
          <w:color w:val="auto"/>
          <w:sz w:val="32"/>
          <w:szCs w:val="32"/>
          <w:highlight w:val="none"/>
          <w:lang w:eastAsia="zh-CN"/>
        </w:rPr>
        <w:t>负责人</w:t>
      </w:r>
      <w:r>
        <w:rPr>
          <w:rFonts w:hint="eastAsia" w:ascii="Times New Roman" w:hAnsi="Times New Roman" w:eastAsia="仿宋_GB2312"/>
          <w:color w:val="auto"/>
          <w:sz w:val="32"/>
          <w:szCs w:val="32"/>
          <w:highlight w:val="none"/>
        </w:rPr>
        <w:t>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机要通信用车</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辆、应急保障用车</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辆、执法执勤用车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辆、特种专业技术用车</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离退休干部服务用车</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辆、其他用车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辆；单位价值100万元以上设备</w:t>
      </w:r>
      <w:r>
        <w:rPr>
          <w:rFonts w:hint="eastAsia" w:ascii="Times New Roman" w:hAnsi="Times New Roman" w:eastAsia="仿宋_GB2312"/>
          <w:color w:val="auto"/>
          <w:sz w:val="32"/>
          <w:szCs w:val="32"/>
          <w:highlight w:val="none"/>
          <w:lang w:eastAsia="zh-CN"/>
        </w:rPr>
        <w:t>（不含车辆）</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十三、关于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3</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（一）绩效管理工作开展情况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本年度绩效管理工作有序进行，年初预算时针对各项工作内容分别填写绩效目标，分季度检视目标完成情况，年末针对本年度绩效目标进行分项自评。</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highlight w:val="none"/>
        </w:rPr>
      </w:pPr>
      <w:r>
        <w:rPr>
          <w:rFonts w:hint="eastAsia" w:ascii="楷体" w:hAnsi="楷体" w:eastAsia="楷体" w:cs="楷体"/>
          <w:b/>
          <w:bCs/>
          <w:sz w:val="32"/>
          <w:szCs w:val="32"/>
          <w:highlight w:val="none"/>
          <w:lang w:eastAsia="zh-CN"/>
        </w:rPr>
        <w:t>（二）单位</w:t>
      </w:r>
      <w:r>
        <w:rPr>
          <w:rFonts w:hint="eastAsia" w:ascii="楷体" w:hAnsi="楷体" w:eastAsia="楷体" w:cs="楷体"/>
          <w:b/>
          <w:bCs/>
          <w:sz w:val="32"/>
          <w:szCs w:val="32"/>
          <w:highlight w:val="none"/>
        </w:rPr>
        <w:t>整体支出绩效情况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w:t>
      </w:r>
      <w:r>
        <w:rPr>
          <w:rFonts w:hint="eastAsia" w:ascii="Times New Roman" w:hAnsi="Times New Roman" w:eastAsia="仿宋_GB2312"/>
          <w:sz w:val="32"/>
          <w:szCs w:val="32"/>
          <w:highlight w:val="none"/>
          <w:lang w:val="en-US" w:eastAsia="zh-CN"/>
        </w:rPr>
        <w:t>本单位</w:t>
      </w:r>
      <w:r>
        <w:rPr>
          <w:rFonts w:hint="eastAsia" w:ascii="Times New Roman" w:hAnsi="Times New Roman" w:eastAsia="仿宋_GB2312"/>
          <w:sz w:val="32"/>
          <w:szCs w:val="32"/>
          <w:highlight w:val="none"/>
        </w:rPr>
        <w:t>坚持以习近平新时代中国特色社会主义思想为指导，深入落实省委、省政府的决策部署，根据年初工作计划和监督工作计划等要求，认真履行职责，较好地完成了年初确定的各项工作任务。现从运行成本、管理效率、履职效能、社会效应、可持续发展能力和服务对象满意度这六个方面进行自评</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运行成本</w:t>
      </w:r>
      <w:r>
        <w:rPr>
          <w:rFonts w:hint="eastAsia" w:ascii="Times New Roman" w:hAnsi="Times New Roman" w:eastAsia="仿宋_GB2312"/>
          <w:sz w:val="32"/>
          <w:szCs w:val="32"/>
          <w:highlight w:val="none"/>
          <w:lang w:val="en-US" w:eastAsia="zh-CN"/>
        </w:rPr>
        <w:t>方面</w:t>
      </w:r>
    </w:p>
    <w:p>
      <w:pPr>
        <w:spacing w:line="580" w:lineRule="exact"/>
        <w:ind w:right="-340" w:rightChars="-162" w:firstLine="640" w:firstLineChars="200"/>
        <w:rPr>
          <w:rFonts w:hint="eastAsia" w:ascii="Times New Roman" w:hAnsi="Times New Roman" w:eastAsia="仿宋_GB2312"/>
          <w:b w:val="0"/>
          <w:bCs w:val="0"/>
          <w:color w:val="000000"/>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年部门财政拨款收入</w:t>
      </w:r>
      <w:r>
        <w:rPr>
          <w:rFonts w:hint="eastAsia" w:ascii="Times New Roman" w:hAnsi="Times New Roman" w:eastAsia="仿宋_GB2312"/>
          <w:sz w:val="32"/>
          <w:szCs w:val="32"/>
          <w:highlight w:val="none"/>
          <w:lang w:val="en-US" w:eastAsia="zh-CN"/>
        </w:rPr>
        <w:t>9656.69</w:t>
      </w:r>
      <w:r>
        <w:rPr>
          <w:rFonts w:hint="eastAsia" w:ascii="Times New Roman" w:hAnsi="Times New Roman" w:eastAsia="仿宋_GB2312"/>
          <w:sz w:val="32"/>
          <w:szCs w:val="32"/>
          <w:highlight w:val="none"/>
        </w:rPr>
        <w:t xml:space="preserve">万元，支出 </w:t>
      </w:r>
      <w:r>
        <w:rPr>
          <w:rFonts w:hint="eastAsia" w:ascii="Times New Roman" w:hAnsi="Times New Roman" w:eastAsia="仿宋_GB2312"/>
          <w:sz w:val="32"/>
          <w:szCs w:val="32"/>
          <w:highlight w:val="none"/>
          <w:lang w:val="en-US" w:eastAsia="zh-CN"/>
        </w:rPr>
        <w:t>9296.01</w:t>
      </w:r>
      <w:r>
        <w:rPr>
          <w:rFonts w:hint="eastAsia" w:ascii="Times New Roman" w:hAnsi="Times New Roman" w:eastAsia="仿宋_GB2312"/>
          <w:sz w:val="32"/>
          <w:szCs w:val="32"/>
          <w:highlight w:val="none"/>
        </w:rPr>
        <w:t>万元，预算执行率为</w:t>
      </w:r>
      <w:r>
        <w:rPr>
          <w:rFonts w:hint="eastAsia" w:ascii="Times New Roman" w:hAnsi="Times New Roman" w:eastAsia="仿宋_GB2312"/>
          <w:sz w:val="32"/>
          <w:szCs w:val="32"/>
          <w:highlight w:val="none"/>
          <w:lang w:val="en-US" w:eastAsia="zh-CN"/>
        </w:rPr>
        <w:t>96.26%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其中：</w:t>
      </w: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 xml:space="preserve"> 年“三公”经费支出</w:t>
      </w:r>
      <w:r>
        <w:rPr>
          <w:rFonts w:hint="eastAsia" w:ascii="Times New Roman" w:hAnsi="Times New Roman" w:eastAsia="仿宋_GB2312"/>
          <w:sz w:val="32"/>
          <w:szCs w:val="32"/>
          <w:highlight w:val="none"/>
          <w:lang w:val="en-US" w:eastAsia="zh-CN"/>
        </w:rPr>
        <w:t>33.76</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包括</w:t>
      </w:r>
      <w:r>
        <w:rPr>
          <w:rFonts w:hint="eastAsia" w:ascii="Times New Roman" w:hAnsi="Times New Roman" w:eastAsia="仿宋_GB2312"/>
          <w:sz w:val="32"/>
          <w:szCs w:val="32"/>
          <w:highlight w:val="none"/>
        </w:rPr>
        <w:t>公务接待费</w:t>
      </w:r>
      <w:r>
        <w:rPr>
          <w:rFonts w:hint="eastAsia" w:ascii="Times New Roman" w:hAnsi="Times New Roman" w:eastAsia="仿宋_GB2312"/>
          <w:sz w:val="32"/>
          <w:szCs w:val="32"/>
          <w:highlight w:val="none"/>
          <w:lang w:val="en-US" w:eastAsia="zh-CN"/>
        </w:rPr>
        <w:t>1.9</w:t>
      </w:r>
      <w:r>
        <w:rPr>
          <w:rFonts w:hint="eastAsia" w:ascii="Times New Roman" w:hAnsi="Times New Roman" w:eastAsia="仿宋_GB2312"/>
          <w:sz w:val="32"/>
          <w:szCs w:val="32"/>
          <w:highlight w:val="none"/>
        </w:rPr>
        <w:t>万元、</w:t>
      </w:r>
      <w:r>
        <w:rPr>
          <w:rFonts w:hint="eastAsia" w:ascii="Times New Roman" w:hAnsi="Times New Roman" w:eastAsia="仿宋_GB2312"/>
          <w:b w:val="0"/>
          <w:bCs w:val="0"/>
          <w:color w:val="000000"/>
          <w:sz w:val="32"/>
          <w:szCs w:val="32"/>
          <w:highlight w:val="none"/>
        </w:rPr>
        <w:t>公务用车运行维护费</w:t>
      </w:r>
      <w:r>
        <w:rPr>
          <w:rFonts w:hint="eastAsia" w:ascii="Times New Roman" w:hAnsi="Times New Roman" w:eastAsia="仿宋_GB2312"/>
          <w:b w:val="0"/>
          <w:bCs w:val="0"/>
          <w:color w:val="000000"/>
          <w:sz w:val="32"/>
          <w:szCs w:val="32"/>
          <w:highlight w:val="none"/>
          <w:lang w:val="en-US" w:eastAsia="zh-CN"/>
        </w:rPr>
        <w:t>31.86</w:t>
      </w:r>
      <w:r>
        <w:rPr>
          <w:rFonts w:hint="eastAsia" w:ascii="Times New Roman" w:hAnsi="Times New Roman" w:eastAsia="仿宋_GB2312"/>
          <w:b w:val="0"/>
          <w:bCs w:val="0"/>
          <w:color w:val="000000"/>
          <w:sz w:val="32"/>
          <w:szCs w:val="32"/>
          <w:highlight w:val="none"/>
        </w:rPr>
        <w:t>万元、</w:t>
      </w:r>
      <w:r>
        <w:rPr>
          <w:rFonts w:hint="eastAsia" w:ascii="Times New Roman" w:hAnsi="Times New Roman" w:eastAsia="仿宋_GB2312"/>
          <w:b w:val="0"/>
          <w:bCs w:val="0"/>
          <w:color w:val="000000"/>
          <w:sz w:val="32"/>
          <w:szCs w:val="32"/>
          <w:highlight w:val="none"/>
          <w:lang w:val="en-US" w:eastAsia="zh-CN"/>
        </w:rPr>
        <w:t>因公出国(境)费</w:t>
      </w:r>
      <w:r>
        <w:rPr>
          <w:rFonts w:hint="eastAsia" w:ascii="Times New Roman" w:hAnsi="Times New Roman" w:eastAsia="仿宋_GB2312"/>
          <w:b w:val="0"/>
          <w:bCs w:val="0"/>
          <w:color w:val="000000"/>
          <w:sz w:val="32"/>
          <w:szCs w:val="32"/>
          <w:highlight w:val="none"/>
        </w:rPr>
        <w:t>支出</w:t>
      </w:r>
      <w:r>
        <w:rPr>
          <w:rFonts w:hint="eastAsia" w:ascii="Times New Roman" w:hAnsi="Times New Roman" w:eastAsia="仿宋_GB2312"/>
          <w:b w:val="0"/>
          <w:bCs w:val="0"/>
          <w:color w:val="000000"/>
          <w:sz w:val="32"/>
          <w:szCs w:val="32"/>
          <w:highlight w:val="none"/>
          <w:lang w:val="en-US" w:eastAsia="zh-CN"/>
        </w:rPr>
        <w:t>0</w:t>
      </w:r>
      <w:r>
        <w:rPr>
          <w:rFonts w:hint="eastAsia" w:ascii="Times New Roman" w:hAnsi="Times New Roman" w:eastAsia="仿宋_GB2312"/>
          <w:b w:val="0"/>
          <w:bCs w:val="0"/>
          <w:color w:val="000000"/>
          <w:sz w:val="32"/>
          <w:szCs w:val="32"/>
          <w:highlight w:val="none"/>
        </w:rPr>
        <w:t>万元,较年初预算</w:t>
      </w:r>
      <w:r>
        <w:rPr>
          <w:rFonts w:hint="eastAsia" w:ascii="Times New Roman" w:hAnsi="Times New Roman" w:eastAsia="仿宋_GB2312"/>
          <w:b w:val="0"/>
          <w:bCs w:val="0"/>
          <w:color w:val="000000"/>
          <w:sz w:val="32"/>
          <w:szCs w:val="32"/>
          <w:highlight w:val="none"/>
          <w:lang w:val="en-US" w:eastAsia="zh-CN"/>
        </w:rPr>
        <w:t>85</w:t>
      </w:r>
      <w:r>
        <w:rPr>
          <w:rFonts w:hint="eastAsia" w:ascii="Times New Roman" w:hAnsi="Times New Roman" w:eastAsia="仿宋_GB2312"/>
          <w:b w:val="0"/>
          <w:bCs w:val="0"/>
          <w:color w:val="000000"/>
          <w:sz w:val="32"/>
          <w:szCs w:val="32"/>
          <w:highlight w:val="none"/>
        </w:rPr>
        <w:t>万元节约</w:t>
      </w:r>
      <w:r>
        <w:rPr>
          <w:rFonts w:hint="eastAsia" w:ascii="Times New Roman" w:hAnsi="Times New Roman" w:eastAsia="仿宋_GB2312"/>
          <w:b w:val="0"/>
          <w:bCs w:val="0"/>
          <w:color w:val="000000"/>
          <w:sz w:val="32"/>
          <w:szCs w:val="32"/>
          <w:highlight w:val="none"/>
          <w:lang w:val="en-US" w:eastAsia="zh-CN"/>
        </w:rPr>
        <w:t>51.24</w:t>
      </w:r>
      <w:r>
        <w:rPr>
          <w:rFonts w:hint="eastAsia" w:ascii="Times New Roman" w:hAnsi="Times New Roman" w:eastAsia="仿宋_GB2312"/>
          <w:b w:val="0"/>
          <w:bCs w:val="0"/>
          <w:color w:val="000000"/>
          <w:sz w:val="32"/>
          <w:szCs w:val="32"/>
          <w:highlight w:val="none"/>
        </w:rPr>
        <w:t>万元，节约比为</w:t>
      </w:r>
      <w:r>
        <w:rPr>
          <w:rFonts w:hint="eastAsia" w:ascii="Times New Roman" w:hAnsi="Times New Roman" w:eastAsia="仿宋_GB2312"/>
          <w:b w:val="0"/>
          <w:bCs w:val="0"/>
          <w:color w:val="000000"/>
          <w:sz w:val="32"/>
          <w:szCs w:val="32"/>
          <w:highlight w:val="none"/>
          <w:lang w:val="en-US" w:eastAsia="zh-CN"/>
        </w:rPr>
        <w:t>60.28</w:t>
      </w:r>
      <w:r>
        <w:rPr>
          <w:rFonts w:hint="eastAsia" w:ascii="Times New Roman" w:hAnsi="Times New Roman" w:eastAsia="仿宋_GB2312"/>
          <w:b w:val="0"/>
          <w:bCs w:val="0"/>
          <w:color w:val="000000"/>
          <w:sz w:val="32"/>
          <w:szCs w:val="32"/>
          <w:highlight w:val="none"/>
        </w:rPr>
        <w:t>%。</w:t>
      </w:r>
      <w:r>
        <w:rPr>
          <w:rFonts w:hint="eastAsia" w:ascii="Times New Roman" w:hAnsi="Times New Roman" w:eastAsia="仿宋_GB2312"/>
          <w:b w:val="0"/>
          <w:bCs w:val="0"/>
          <w:color w:val="000000"/>
          <w:sz w:val="32"/>
          <w:szCs w:val="32"/>
          <w:highlight w:val="none"/>
          <w:lang w:val="en-US" w:eastAsia="zh-CN"/>
        </w:rPr>
        <w:t>2023年公用经费年初预算为712.4万元，决算数为628.49万元，节约开支83.91万元。</w:t>
      </w:r>
    </w:p>
    <w:p>
      <w:pPr>
        <w:spacing w:line="580" w:lineRule="exact"/>
        <w:ind w:right="-340" w:rightChars="-162" w:firstLine="640" w:firstLineChars="20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eastAsia="仿宋_GB2312"/>
          <w:b w:val="0"/>
          <w:bCs w:val="0"/>
          <w:color w:val="000000"/>
          <w:sz w:val="32"/>
          <w:szCs w:val="32"/>
          <w:highlight w:val="none"/>
          <w:lang w:val="en-US" w:eastAsia="zh-CN"/>
        </w:rPr>
        <w:t>2、管理效率方面</w:t>
      </w:r>
    </w:p>
    <w:p>
      <w:pPr>
        <w:spacing w:line="580" w:lineRule="exact"/>
        <w:ind w:right="-340" w:rightChars="-162" w:firstLine="640" w:firstLineChars="200"/>
        <w:rPr>
          <w:rFonts w:hint="eastAsia" w:ascii="Times New Roman" w:hAnsi="Times New Roman" w:eastAsia="仿宋_GB2312"/>
          <w:b w:val="0"/>
          <w:bCs w:val="0"/>
          <w:color w:val="000000"/>
          <w:sz w:val="32"/>
          <w:szCs w:val="32"/>
          <w:highlight w:val="none"/>
          <w:lang w:val="en-US" w:eastAsia="zh-CN"/>
        </w:rPr>
      </w:pPr>
      <w:r>
        <w:rPr>
          <w:rFonts w:hint="eastAsia" w:ascii="Times New Roman" w:hAnsi="Times New Roman" w:eastAsia="仿宋_GB2312"/>
          <w:b w:val="0"/>
          <w:bCs w:val="0"/>
          <w:color w:val="000000"/>
          <w:sz w:val="32"/>
          <w:szCs w:val="32"/>
          <w:highlight w:val="none"/>
          <w:lang w:val="en-US" w:eastAsia="zh-CN"/>
        </w:rPr>
        <w:t>一</w:t>
      </w:r>
      <w:r>
        <w:rPr>
          <w:rFonts w:ascii="Times New Roman" w:hAnsi="Times New Roman" w:eastAsia="仿宋_GB2312"/>
          <w:b w:val="0"/>
          <w:bCs w:val="0"/>
          <w:color w:val="000000"/>
          <w:sz w:val="32"/>
          <w:szCs w:val="32"/>
          <w:highlight w:val="none"/>
        </w:rPr>
        <w:t>是生猪产能调控持续向好。大力夯实国家级、省级生猪产能调控基地，截至当前，累计挂牌国家级、省级生猪产能调控基地1694个（国722、省972），</w:t>
      </w:r>
      <w:r>
        <w:rPr>
          <w:rFonts w:hint="eastAsia" w:ascii="Times New Roman" w:hAnsi="Times New Roman" w:eastAsia="仿宋_GB2312"/>
          <w:b w:val="0"/>
          <w:bCs w:val="0"/>
          <w:color w:val="000000"/>
          <w:sz w:val="32"/>
          <w:szCs w:val="32"/>
          <w:highlight w:val="none"/>
        </w:rPr>
        <w:t>数量居全国前茅。</w:t>
      </w:r>
      <w:r>
        <w:rPr>
          <w:rFonts w:ascii="Times New Roman" w:hAnsi="Times New Roman" w:eastAsia="仿宋_GB2312"/>
          <w:b w:val="0"/>
          <w:bCs w:val="0"/>
          <w:color w:val="000000"/>
          <w:sz w:val="32"/>
          <w:szCs w:val="32"/>
          <w:highlight w:val="none"/>
        </w:rPr>
        <w:t>全省能繁母猪存栏</w:t>
      </w:r>
      <w:r>
        <w:rPr>
          <w:rFonts w:hint="eastAsia" w:ascii="Times New Roman" w:hAnsi="Times New Roman" w:eastAsia="仿宋_GB2312"/>
          <w:b w:val="0"/>
          <w:bCs w:val="0"/>
          <w:color w:val="000000"/>
          <w:sz w:val="32"/>
          <w:szCs w:val="32"/>
          <w:highlight w:val="none"/>
          <w:lang w:val="en-US" w:eastAsia="zh-CN"/>
        </w:rPr>
        <w:t>350.1</w:t>
      </w:r>
      <w:r>
        <w:rPr>
          <w:rFonts w:ascii="Times New Roman" w:hAnsi="Times New Roman" w:eastAsia="仿宋_GB2312"/>
          <w:b w:val="0"/>
          <w:bCs w:val="0"/>
          <w:color w:val="000000"/>
          <w:sz w:val="32"/>
          <w:szCs w:val="32"/>
          <w:highlight w:val="none"/>
        </w:rPr>
        <w:t>万头，处于产能调控绿色合理区间。全年出栏生猪超过62</w:t>
      </w:r>
      <w:r>
        <w:rPr>
          <w:rFonts w:hint="eastAsia" w:ascii="Times New Roman" w:hAnsi="Times New Roman" w:eastAsia="仿宋_GB2312"/>
          <w:b w:val="0"/>
          <w:bCs w:val="0"/>
          <w:color w:val="000000"/>
          <w:sz w:val="32"/>
          <w:szCs w:val="32"/>
          <w:highlight w:val="none"/>
          <w:lang w:val="en-US" w:eastAsia="zh-CN"/>
        </w:rPr>
        <w:t>86.3</w:t>
      </w:r>
      <w:r>
        <w:rPr>
          <w:rFonts w:ascii="Times New Roman" w:hAnsi="Times New Roman" w:eastAsia="仿宋_GB2312"/>
          <w:b w:val="0"/>
          <w:bCs w:val="0"/>
          <w:color w:val="000000"/>
          <w:sz w:val="32"/>
          <w:szCs w:val="32"/>
          <w:highlight w:val="none"/>
        </w:rPr>
        <w:t>万头，</w:t>
      </w:r>
      <w:r>
        <w:rPr>
          <w:rFonts w:hint="eastAsia" w:ascii="Times New Roman" w:hAnsi="Times New Roman" w:eastAsia="仿宋_GB2312"/>
          <w:b w:val="0"/>
          <w:bCs w:val="0"/>
          <w:color w:val="000000"/>
          <w:sz w:val="32"/>
          <w:szCs w:val="32"/>
          <w:highlight w:val="none"/>
          <w:lang w:val="en-US" w:eastAsia="zh-CN"/>
        </w:rPr>
        <w:t>同</w:t>
      </w:r>
      <w:r>
        <w:rPr>
          <w:rFonts w:hint="eastAsia" w:ascii="Times New Roman" w:hAnsi="Times New Roman" w:eastAsia="仿宋_GB2312"/>
          <w:b w:val="0"/>
          <w:bCs w:val="0"/>
          <w:color w:val="000000"/>
          <w:sz w:val="32"/>
          <w:szCs w:val="32"/>
          <w:highlight w:val="none"/>
        </w:rPr>
        <w:t>比增长0.61%，出栏量排名全国第二、中部省份第一</w:t>
      </w:r>
      <w:r>
        <w:rPr>
          <w:rFonts w:ascii="Times New Roman" w:hAnsi="Times New Roman" w:eastAsia="仿宋_GB2312"/>
          <w:b w:val="0"/>
          <w:bCs w:val="0"/>
          <w:color w:val="000000"/>
          <w:sz w:val="32"/>
          <w:szCs w:val="32"/>
          <w:highlight w:val="none"/>
        </w:rPr>
        <w:t>。二是草食牧业发展力明显增强。以肉牛肉羊增量提质行动项目、粮改饲项目、奶业新型经营主体培育项目</w:t>
      </w:r>
      <w:r>
        <w:rPr>
          <w:rFonts w:hint="eastAsia" w:ascii="Times New Roman" w:hAnsi="Times New Roman" w:eastAsia="仿宋_GB2312"/>
          <w:b w:val="0"/>
          <w:bCs w:val="0"/>
          <w:color w:val="000000"/>
          <w:sz w:val="32"/>
          <w:szCs w:val="32"/>
          <w:highlight w:val="none"/>
        </w:rPr>
        <w:t>三</w:t>
      </w:r>
      <w:r>
        <w:rPr>
          <w:rFonts w:ascii="Times New Roman" w:hAnsi="Times New Roman" w:eastAsia="仿宋_GB2312"/>
          <w:b w:val="0"/>
          <w:bCs w:val="0"/>
          <w:color w:val="000000"/>
          <w:sz w:val="32"/>
          <w:szCs w:val="32"/>
          <w:highlight w:val="none"/>
        </w:rPr>
        <w:t>类项目为抓手，推动全省草</w:t>
      </w:r>
      <w:r>
        <w:rPr>
          <w:rFonts w:hint="eastAsia" w:ascii="Times New Roman" w:hAnsi="Times New Roman" w:eastAsia="仿宋_GB2312"/>
          <w:b w:val="0"/>
          <w:bCs w:val="0"/>
          <w:color w:val="000000"/>
          <w:sz w:val="32"/>
          <w:szCs w:val="32"/>
          <w:highlight w:val="none"/>
        </w:rPr>
        <w:t>食</w:t>
      </w:r>
      <w:r>
        <w:rPr>
          <w:rFonts w:ascii="Times New Roman" w:hAnsi="Times New Roman" w:eastAsia="仿宋_GB2312"/>
          <w:b w:val="0"/>
          <w:bCs w:val="0"/>
          <w:color w:val="000000"/>
          <w:sz w:val="32"/>
          <w:szCs w:val="32"/>
          <w:highlight w:val="none"/>
        </w:rPr>
        <w:t>牧业发展。三是水产千亿产业稳步提升。全年各项数据同比均有增长，水产品总产量28</w:t>
      </w:r>
      <w:r>
        <w:rPr>
          <w:rFonts w:hint="eastAsia" w:ascii="Times New Roman" w:hAnsi="Times New Roman" w:eastAsia="仿宋_GB2312"/>
          <w:b w:val="0"/>
          <w:bCs w:val="0"/>
          <w:color w:val="000000"/>
          <w:sz w:val="32"/>
          <w:szCs w:val="32"/>
          <w:highlight w:val="none"/>
        </w:rPr>
        <w:t>6</w:t>
      </w:r>
      <w:r>
        <w:rPr>
          <w:rFonts w:hint="eastAsia" w:ascii="Times New Roman" w:hAnsi="Times New Roman" w:eastAsia="仿宋_GB2312"/>
          <w:b w:val="0"/>
          <w:bCs w:val="0"/>
          <w:color w:val="000000"/>
          <w:sz w:val="32"/>
          <w:szCs w:val="32"/>
          <w:highlight w:val="none"/>
          <w:lang w:val="en-US" w:eastAsia="zh-CN"/>
        </w:rPr>
        <w:t>.9</w:t>
      </w:r>
      <w:r>
        <w:rPr>
          <w:rFonts w:ascii="Times New Roman" w:hAnsi="Times New Roman" w:eastAsia="仿宋_GB2312"/>
          <w:b w:val="0"/>
          <w:bCs w:val="0"/>
          <w:color w:val="000000"/>
          <w:sz w:val="32"/>
          <w:szCs w:val="32"/>
          <w:highlight w:val="none"/>
        </w:rPr>
        <w:t>万吨、渔业经济总产值</w:t>
      </w:r>
      <w:r>
        <w:rPr>
          <w:rFonts w:hint="eastAsia" w:ascii="Times New Roman" w:hAnsi="Times New Roman" w:eastAsia="仿宋_GB2312"/>
          <w:b w:val="0"/>
          <w:bCs w:val="0"/>
          <w:color w:val="000000"/>
          <w:sz w:val="32"/>
          <w:szCs w:val="32"/>
          <w:highlight w:val="none"/>
          <w:lang w:val="en-US" w:eastAsia="zh-CN"/>
        </w:rPr>
        <w:t>1193.26</w:t>
      </w:r>
      <w:r>
        <w:rPr>
          <w:rFonts w:ascii="Times New Roman" w:hAnsi="Times New Roman" w:eastAsia="仿宋_GB2312"/>
          <w:b w:val="0"/>
          <w:bCs w:val="0"/>
          <w:color w:val="000000"/>
          <w:sz w:val="32"/>
          <w:szCs w:val="32"/>
          <w:highlight w:val="none"/>
        </w:rPr>
        <w:t>亿元。</w:t>
      </w:r>
      <w:r>
        <w:rPr>
          <w:rFonts w:hint="eastAsia" w:ascii="Times New Roman" w:hAnsi="Times New Roman" w:eastAsia="仿宋_GB2312"/>
          <w:b w:val="0"/>
          <w:bCs w:val="0"/>
          <w:color w:val="000000"/>
          <w:sz w:val="32"/>
          <w:szCs w:val="32"/>
          <w:highlight w:val="none"/>
        </w:rPr>
        <w:t>水产养殖总面积678.26万亩、同比增长0.67%，其中，池塘411.55万亩、占60.68%，湖泊93.28万亩、占13.75%，水库154.58万亩、占22.8%，河沟及其它18.85万亩、占2.79%。年末全省渔业户22.35万户。全省渔民家庭人均纯收入22523元，同比增长2.94%；人均可支配收入21825元，同比增长3.98%。</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3、履职效能方面</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我省畜牧业统计监测工作综合考评排名全国第一；2022年度肉牛肉羊项目、2023年粮改饲项目实施进度全国第一；病死动物无害化处理、水产绿色健康养殖技术推广“五大行动”工作，分别在农业农村部相关会议上作典型发言；率先中南区开展无纸化出具动物A证试点，中南区非洲猪瘟联防联控湖南轮值工作受到部里表扬；在全国家畜繁殖员大赛中获团体第三名，全国动物检疫员大赛2人获三等奖；5人获“神内基金农技推广奖”；遴选推荐南县畜牧水产事务中心、湘阴县水产技术推广站评为全国“2022-2023年度基层水产技术推广体系建设先进单位”。</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4、社会效益方面</w:t>
      </w:r>
    </w:p>
    <w:p>
      <w:pPr>
        <w:spacing w:line="580" w:lineRule="exact"/>
        <w:ind w:right="-340" w:rightChars="-162" w:firstLine="640" w:firstLineChars="200"/>
        <w:rPr>
          <w:rFonts w:hint="eastAsia" w:ascii="Times New Roman" w:hAnsi="Times New Roman" w:eastAsia="仿宋_GB2312"/>
          <w:b w:val="0"/>
          <w:bCs w:val="0"/>
          <w:color w:val="000000"/>
          <w:sz w:val="32"/>
          <w:szCs w:val="32"/>
          <w:highlight w:val="none"/>
          <w:shd w:val="clear" w:color="auto" w:fill="FFFFFF"/>
          <w:lang w:val="en-US" w:eastAsia="zh-CN"/>
        </w:rPr>
      </w:pPr>
      <w:r>
        <w:rPr>
          <w:rFonts w:hint="eastAsia" w:ascii="Times New Roman" w:hAnsi="Times New Roman" w:eastAsia="仿宋_GB2312"/>
          <w:sz w:val="32"/>
          <w:szCs w:val="32"/>
          <w:highlight w:val="none"/>
        </w:rPr>
        <w:t>一是强制免疫全面达标。制订并实施《2023年湖南省动物疫病强制免疫计划》。开发并推广运行“牧运通”免疫板块，加快推进规模养殖场动物强制免疫“先打后补”全覆盖，116个县（市、区）9179个规模场参加“先打后补”，同比增长109%，覆盖面超过95%。全省免疫牲畜口蹄疫7760.71万头、高致病性禽流感5.55 亿羽、小反刍兽疫636.66万只，免疫密度100%。二是水生动物疫病监测加强。开展水产养殖动物病情预测预报、重大水生动物疫病监测、水生动物疫病应急处置及流行病学调查、能力建设和无规定水生动物疫病苗种场创建。推荐4家企业申报全国首批无规定水生动物疫病苗种场。组织湖南水生物病害防治员技能大赛，举办全省水产养殖重点品种监测暨投入品规范使用培训班。三是创建评估深入推进。累计创建国家级非洲猪瘟无疫小区24个，通过省级评估5个，数量排名全国第一。创建生猪屠宰标准化示范场5个。指导督促养殖场、屠宰场、无害化处理场、指定通道等场所建设标准化洗消中心（通道），严格车辆出入清洗消毒。四是宣传培训广泛覆盖。组织举办全省重大动物疫情应急演练活动。举办动物防疫专题培训班5期培训8200人。组织2023年全国（湖南考区）执业兽医资格考试，358人新取得执业资格，全面推广执业兽医资格证书电子证照。首次举办执业兽医继续教育培训班。继续在86个县市区实施动物防疫员特聘计划，招募1133人。举办全省畜禽屠宰标准化示范创建培训班。五是严格屠宰行业管理。制定出台《湖南省畜禽屠宰“严规范 促提升 保安全”三年行动实施方案（2023-2025）》，协助做好屠宰场点审批相关工作，提升行业标准，全省</w:t>
      </w:r>
      <w:r>
        <w:rPr>
          <w:rFonts w:hint="eastAsia" w:ascii="Times New Roman" w:hAnsi="Times New Roman" w:eastAsia="仿宋_GB2312"/>
          <w:b w:val="0"/>
          <w:bCs w:val="0"/>
          <w:color w:val="000000"/>
          <w:sz w:val="32"/>
          <w:szCs w:val="32"/>
          <w:highlight w:val="none"/>
          <w:shd w:val="clear" w:color="auto" w:fill="FFFFFF"/>
        </w:rPr>
        <w:t>批准新建屠宰企业13家（生猪6家、家禽4家、肉鸽1家、牛羊2家），拆、停、并、</w:t>
      </w:r>
      <w:r>
        <w:rPr>
          <w:rFonts w:hint="eastAsia" w:ascii="Times New Roman" w:hAnsi="Times New Roman" w:eastAsia="仿宋_GB2312"/>
          <w:b w:val="0"/>
          <w:bCs w:val="0"/>
          <w:color w:val="000000"/>
          <w:sz w:val="32"/>
          <w:szCs w:val="32"/>
          <w:highlight w:val="none"/>
          <w:shd w:val="clear" w:color="auto" w:fill="FFFFFF"/>
          <w:lang w:val="en-US" w:eastAsia="zh-CN"/>
        </w:rPr>
        <w:t>转不符合生猪屠宰条件的5家。开展安全生产飞行检查2次，督促屠宰企业严格落实“两项制度”。协助配合相关部门严厉打击</w:t>
      </w:r>
      <w:bookmarkStart w:id="2" w:name="_Hlk140087173"/>
      <w:r>
        <w:rPr>
          <w:rFonts w:hint="eastAsia" w:ascii="Times New Roman" w:hAnsi="Times New Roman" w:eastAsia="仿宋_GB2312"/>
          <w:b w:val="0"/>
          <w:bCs w:val="0"/>
          <w:color w:val="000000"/>
          <w:sz w:val="32"/>
          <w:szCs w:val="32"/>
          <w:highlight w:val="none"/>
          <w:shd w:val="clear" w:color="auto" w:fill="FFFFFF"/>
          <w:lang w:val="en-US" w:eastAsia="zh-CN"/>
        </w:rPr>
        <w:t>生猪私屠滥宰</w:t>
      </w:r>
      <w:bookmarkEnd w:id="2"/>
      <w:r>
        <w:rPr>
          <w:rFonts w:hint="eastAsia" w:ascii="Times New Roman" w:hAnsi="Times New Roman" w:eastAsia="仿宋_GB2312"/>
          <w:b w:val="0"/>
          <w:bCs w:val="0"/>
          <w:color w:val="000000"/>
          <w:sz w:val="32"/>
          <w:szCs w:val="32"/>
          <w:highlight w:val="none"/>
          <w:shd w:val="clear" w:color="auto" w:fill="FFFFFF"/>
          <w:lang w:val="en-US" w:eastAsia="zh-CN"/>
        </w:rPr>
        <w:t>，立案查处私屠滥宰案件71起，捣毁一批私屠滥宰窝点，关停小型屠宰点1个。对20个病原微生物实验室交叉检查。开展兽医诊疗秩序专项整治行动，立案查案23起，有效规范诊疗秩序。</w:t>
      </w:r>
    </w:p>
    <w:p>
      <w:pPr>
        <w:spacing w:line="580" w:lineRule="exact"/>
        <w:ind w:right="-340" w:rightChars="-162" w:firstLine="640" w:firstLineChars="200"/>
        <w:rPr>
          <w:rFonts w:hint="eastAsia" w:ascii="Times New Roman" w:hAnsi="Times New Roman" w:eastAsia="仿宋_GB2312"/>
          <w:b w:val="0"/>
          <w:bCs w:val="0"/>
          <w:color w:val="000000"/>
          <w:sz w:val="32"/>
          <w:szCs w:val="32"/>
          <w:highlight w:val="none"/>
          <w:shd w:val="clear" w:color="auto" w:fill="FFFFFF"/>
          <w:lang w:val="en-US" w:eastAsia="zh-CN"/>
        </w:rPr>
      </w:pPr>
      <w:r>
        <w:rPr>
          <w:rFonts w:hint="eastAsia" w:ascii="Times New Roman" w:hAnsi="Times New Roman" w:eastAsia="仿宋_GB2312"/>
          <w:b w:val="0"/>
          <w:bCs w:val="0"/>
          <w:color w:val="000000"/>
          <w:sz w:val="32"/>
          <w:szCs w:val="32"/>
          <w:highlight w:val="none"/>
          <w:shd w:val="clear" w:color="auto" w:fill="FFFFFF"/>
          <w:lang w:val="en-US" w:eastAsia="zh-CN"/>
        </w:rPr>
        <w:t>5、可持续发展能力方面</w:t>
      </w:r>
    </w:p>
    <w:p>
      <w:pPr>
        <w:spacing w:line="580" w:lineRule="exact"/>
        <w:ind w:right="-340" w:rightChars="-162" w:firstLine="640" w:firstLineChars="200"/>
        <w:rPr>
          <w:rFonts w:hint="eastAsia" w:ascii="Times New Roman" w:hAnsi="Times New Roman" w:eastAsia="仿宋_GB2312"/>
          <w:sz w:val="32"/>
          <w:szCs w:val="32"/>
          <w:highlight w:val="none"/>
          <w:lang w:val="en-US" w:eastAsia="zh-CN"/>
        </w:rPr>
      </w:pPr>
      <w:r>
        <w:rPr>
          <w:rFonts w:ascii="Times New Roman" w:hAnsi="Times New Roman" w:eastAsia="仿宋_GB2312"/>
          <w:b w:val="0"/>
          <w:bCs w:val="0"/>
          <w:color w:val="000000"/>
          <w:sz w:val="32"/>
          <w:szCs w:val="32"/>
          <w:highlight w:val="none"/>
          <w:shd w:val="clear" w:color="auto" w:fill="FFFFFF"/>
        </w:rPr>
        <w:t>一是推进粪污资源化利用。加快</w:t>
      </w:r>
      <w:r>
        <w:rPr>
          <w:rFonts w:hint="eastAsia" w:ascii="Times New Roman" w:hAnsi="Times New Roman" w:eastAsia="仿宋_GB2312"/>
          <w:b w:val="0"/>
          <w:bCs w:val="0"/>
          <w:color w:val="000000"/>
          <w:sz w:val="32"/>
          <w:szCs w:val="32"/>
          <w:highlight w:val="none"/>
          <w:shd w:val="clear" w:color="auto" w:fill="FFFFFF"/>
          <w:lang w:val="en-US" w:eastAsia="zh-CN"/>
        </w:rPr>
        <w:t>73</w:t>
      </w:r>
      <w:r>
        <w:rPr>
          <w:rFonts w:ascii="Times New Roman" w:hAnsi="Times New Roman" w:eastAsia="仿宋_GB2312"/>
          <w:b w:val="0"/>
          <w:bCs w:val="0"/>
          <w:color w:val="000000"/>
          <w:sz w:val="32"/>
          <w:szCs w:val="32"/>
          <w:highlight w:val="none"/>
          <w:shd w:val="clear" w:color="auto" w:fill="FFFFFF"/>
        </w:rPr>
        <w:t>个畜禽粪污资源化利用整县推进项目建设和验收，加强养殖场粪污处理设施设备运行监管，全省畜禽粪污综合利用率稳定在83%以上、规模场粪污处理设施设备配套率99.6%。</w:t>
      </w:r>
      <w:r>
        <w:rPr>
          <w:rFonts w:hint="eastAsia" w:ascii="Times New Roman" w:hAnsi="Times New Roman" w:eastAsia="仿宋_GB2312"/>
          <w:b w:val="0"/>
          <w:bCs w:val="0"/>
          <w:color w:val="000000"/>
          <w:sz w:val="32"/>
          <w:szCs w:val="32"/>
          <w:highlight w:val="none"/>
          <w:shd w:val="clear" w:color="auto" w:fill="FFFFFF"/>
        </w:rPr>
        <w:t>组织洞庭湖区12个县实施</w:t>
      </w:r>
      <w:r>
        <w:rPr>
          <w:rFonts w:ascii="Times New Roman" w:hAnsi="Times New Roman" w:eastAsia="仿宋_GB2312"/>
          <w:b w:val="0"/>
          <w:bCs w:val="0"/>
          <w:color w:val="000000"/>
          <w:sz w:val="32"/>
          <w:szCs w:val="32"/>
          <w:highlight w:val="none"/>
          <w:shd w:val="clear" w:color="auto" w:fill="FFFFFF"/>
        </w:rPr>
        <w:t>规模以下</w:t>
      </w:r>
      <w:r>
        <w:rPr>
          <w:rFonts w:hint="eastAsia" w:ascii="Times New Roman" w:hAnsi="Times New Roman" w:eastAsia="仿宋_GB2312"/>
          <w:b w:val="0"/>
          <w:bCs w:val="0"/>
          <w:color w:val="000000"/>
          <w:sz w:val="32"/>
          <w:szCs w:val="32"/>
          <w:highlight w:val="none"/>
          <w:shd w:val="clear" w:color="auto" w:fill="FFFFFF"/>
        </w:rPr>
        <w:t>畜禽</w:t>
      </w:r>
      <w:r>
        <w:rPr>
          <w:rFonts w:ascii="Times New Roman" w:hAnsi="Times New Roman" w:eastAsia="仿宋_GB2312"/>
          <w:b w:val="0"/>
          <w:bCs w:val="0"/>
          <w:color w:val="000000"/>
          <w:sz w:val="32"/>
          <w:szCs w:val="32"/>
          <w:highlight w:val="none"/>
          <w:shd w:val="clear" w:color="auto" w:fill="FFFFFF"/>
        </w:rPr>
        <w:t>养殖场</w:t>
      </w:r>
      <w:r>
        <w:rPr>
          <w:rFonts w:hint="eastAsia" w:ascii="Times New Roman" w:hAnsi="Times New Roman" w:eastAsia="仿宋_GB2312"/>
          <w:b w:val="0"/>
          <w:bCs w:val="0"/>
          <w:color w:val="000000"/>
          <w:sz w:val="32"/>
          <w:szCs w:val="32"/>
          <w:highlight w:val="none"/>
          <w:shd w:val="clear" w:color="auto" w:fill="FFFFFF"/>
        </w:rPr>
        <w:t>粪污</w:t>
      </w:r>
      <w:r>
        <w:rPr>
          <w:rFonts w:ascii="Times New Roman" w:hAnsi="Times New Roman" w:eastAsia="仿宋_GB2312"/>
          <w:b w:val="0"/>
          <w:bCs w:val="0"/>
          <w:color w:val="000000"/>
          <w:sz w:val="32"/>
          <w:szCs w:val="32"/>
          <w:highlight w:val="none"/>
          <w:shd w:val="clear" w:color="auto" w:fill="FFFFFF"/>
        </w:rPr>
        <w:t>资源化利用试点。总结推广了一批种养结合、农牧循环新技术新模式。二是加大养殖污染防治。组织实施洞庭湖总磷污染控制与削减攻坚行动，协助“2023夏季攻势”涉养相关工作。协同推进洞庭湖区养殖池塘生态化改造和养殖尾水处理，在6个水产养殖大县开展试点示范</w:t>
      </w:r>
      <w:r>
        <w:rPr>
          <w:rFonts w:hint="eastAsia" w:ascii="Times New Roman" w:hAnsi="Times New Roman" w:eastAsia="仿宋_GB2312"/>
          <w:b w:val="0"/>
          <w:bCs w:val="0"/>
          <w:color w:val="000000"/>
          <w:sz w:val="32"/>
          <w:szCs w:val="32"/>
          <w:highlight w:val="none"/>
          <w:shd w:val="clear" w:color="auto" w:fill="FFFFFF"/>
        </w:rPr>
        <w:t>，</w:t>
      </w:r>
      <w:r>
        <w:rPr>
          <w:rFonts w:ascii="Times New Roman" w:hAnsi="Times New Roman" w:eastAsia="仿宋_GB2312"/>
          <w:b w:val="0"/>
          <w:bCs w:val="0"/>
          <w:color w:val="000000"/>
          <w:sz w:val="32"/>
          <w:szCs w:val="32"/>
          <w:highlight w:val="none"/>
          <w:shd w:val="clear" w:color="auto" w:fill="FFFFFF"/>
        </w:rPr>
        <w:t>完成湖区水产养殖池塘生态化改造治理任务6.3万亩。继续实施水产绿色健康养殖技术推广“五大行动”，</w:t>
      </w:r>
      <w:r>
        <w:rPr>
          <w:rFonts w:hint="eastAsia" w:ascii="Times New Roman" w:hAnsi="Times New Roman" w:eastAsia="仿宋_GB2312"/>
          <w:b w:val="0"/>
          <w:bCs w:val="0"/>
          <w:color w:val="000000"/>
          <w:sz w:val="32"/>
          <w:szCs w:val="32"/>
          <w:highlight w:val="none"/>
          <w:shd w:val="clear" w:color="auto" w:fill="FFFFFF"/>
        </w:rPr>
        <w:t>年内</w:t>
      </w:r>
      <w:r>
        <w:rPr>
          <w:rFonts w:ascii="Times New Roman" w:hAnsi="Times New Roman" w:eastAsia="仿宋_GB2312"/>
          <w:b w:val="0"/>
          <w:bCs w:val="0"/>
          <w:color w:val="000000"/>
          <w:sz w:val="32"/>
          <w:szCs w:val="32"/>
          <w:highlight w:val="none"/>
          <w:shd w:val="clear" w:color="auto" w:fill="FFFFFF"/>
        </w:rPr>
        <w:t>创建国家级水产健康养殖和生态养殖示范区6个</w:t>
      </w:r>
      <w:r>
        <w:rPr>
          <w:rFonts w:hint="eastAsia" w:ascii="Times New Roman" w:hAnsi="Times New Roman" w:eastAsia="仿宋_GB2312"/>
          <w:b w:val="0"/>
          <w:bCs w:val="0"/>
          <w:color w:val="000000"/>
          <w:sz w:val="32"/>
          <w:szCs w:val="32"/>
          <w:highlight w:val="none"/>
          <w:shd w:val="clear" w:color="auto" w:fill="FFFFFF"/>
        </w:rPr>
        <w:t>、</w:t>
      </w:r>
      <w:r>
        <w:rPr>
          <w:rFonts w:ascii="Times New Roman" w:hAnsi="Times New Roman" w:eastAsia="仿宋_GB2312"/>
          <w:b w:val="0"/>
          <w:bCs w:val="0"/>
          <w:color w:val="000000"/>
          <w:sz w:val="32"/>
          <w:szCs w:val="32"/>
          <w:highlight w:val="none"/>
          <w:shd w:val="clear" w:color="auto" w:fill="FFFFFF"/>
        </w:rPr>
        <w:t>122家骨干基地通过省级初审</w:t>
      </w:r>
      <w:r>
        <w:rPr>
          <w:rFonts w:hint="eastAsia" w:ascii="Times New Roman" w:hAnsi="Times New Roman" w:eastAsia="仿宋_GB2312"/>
          <w:b w:val="0"/>
          <w:bCs w:val="0"/>
          <w:color w:val="000000"/>
          <w:sz w:val="32"/>
          <w:szCs w:val="32"/>
          <w:highlight w:val="none"/>
          <w:shd w:val="clear" w:color="auto" w:fill="FFFFFF"/>
        </w:rPr>
        <w:t>。</w:t>
      </w:r>
      <w:r>
        <w:rPr>
          <w:rFonts w:ascii="Times New Roman" w:hAnsi="Times New Roman" w:eastAsia="仿宋_GB2312"/>
          <w:b w:val="0"/>
          <w:bCs w:val="0"/>
          <w:color w:val="000000"/>
          <w:sz w:val="32"/>
          <w:szCs w:val="32"/>
          <w:highlight w:val="none"/>
          <w:shd w:val="clear" w:color="auto" w:fill="FFFFFF"/>
        </w:rPr>
        <w:t>三是</w:t>
      </w:r>
      <w:r>
        <w:rPr>
          <w:rFonts w:hint="eastAsia" w:ascii="Times New Roman" w:hAnsi="Times New Roman" w:eastAsia="仿宋_GB2312"/>
          <w:b w:val="0"/>
          <w:bCs w:val="0"/>
          <w:color w:val="000000"/>
          <w:sz w:val="32"/>
          <w:szCs w:val="32"/>
          <w:highlight w:val="none"/>
          <w:shd w:val="clear" w:color="auto" w:fill="FFFFFF"/>
        </w:rPr>
        <w:t>加快</w:t>
      </w:r>
      <w:r>
        <w:rPr>
          <w:rFonts w:ascii="Times New Roman" w:hAnsi="Times New Roman" w:eastAsia="仿宋_GB2312"/>
          <w:b w:val="0"/>
          <w:bCs w:val="0"/>
          <w:color w:val="000000"/>
          <w:sz w:val="32"/>
          <w:szCs w:val="32"/>
          <w:highlight w:val="none"/>
          <w:shd w:val="clear" w:color="auto" w:fill="FFFFFF"/>
        </w:rPr>
        <w:t>绿色渔业发展。推进省级养殖水域滩涂规划矢量数据库建设。</w:t>
      </w:r>
      <w:r>
        <w:rPr>
          <w:rFonts w:hint="eastAsia" w:ascii="Times New Roman" w:hAnsi="Times New Roman" w:eastAsia="仿宋_GB2312"/>
          <w:b w:val="0"/>
          <w:bCs w:val="0"/>
          <w:color w:val="000000"/>
          <w:sz w:val="32"/>
          <w:szCs w:val="32"/>
          <w:highlight w:val="none"/>
          <w:shd w:val="clear" w:color="auto" w:fill="FFFFFF"/>
        </w:rPr>
        <w:t>协助厅处室起草</w:t>
      </w:r>
      <w:r>
        <w:rPr>
          <w:rFonts w:ascii="Times New Roman" w:hAnsi="Times New Roman" w:eastAsia="仿宋_GB2312"/>
          <w:b w:val="0"/>
          <w:bCs w:val="0"/>
          <w:color w:val="000000"/>
          <w:sz w:val="32"/>
          <w:szCs w:val="32"/>
          <w:highlight w:val="none"/>
          <w:shd w:val="clear" w:color="auto" w:fill="FFFFFF"/>
        </w:rPr>
        <w:t>《关于推进全省稻渔综合种养产业高质量发展的实施意见》《湖南省农业种养结合绿色高质量发展规划》《湖南省现代设施渔业建设三年行动方案（2024-2026年）》，</w:t>
      </w:r>
      <w:r>
        <w:rPr>
          <w:rFonts w:hint="eastAsia" w:ascii="Times New Roman" w:hAnsi="Times New Roman" w:eastAsia="仿宋_GB2312"/>
          <w:b w:val="0"/>
          <w:bCs w:val="0"/>
          <w:color w:val="000000"/>
          <w:sz w:val="32"/>
          <w:szCs w:val="32"/>
          <w:highlight w:val="none"/>
          <w:shd w:val="clear" w:color="auto" w:fill="FFFFFF"/>
        </w:rPr>
        <w:t>大力推广</w:t>
      </w:r>
      <w:r>
        <w:rPr>
          <w:rFonts w:ascii="Times New Roman" w:hAnsi="Times New Roman" w:eastAsia="仿宋_GB2312"/>
          <w:b w:val="0"/>
          <w:bCs w:val="0"/>
          <w:color w:val="000000"/>
          <w:sz w:val="32"/>
          <w:szCs w:val="32"/>
          <w:highlight w:val="none"/>
          <w:shd w:val="clear" w:color="auto" w:fill="FFFFFF"/>
        </w:rPr>
        <w:t>稻渔综合种养</w:t>
      </w:r>
      <w:r>
        <w:rPr>
          <w:rFonts w:hint="eastAsia" w:ascii="Times New Roman" w:hAnsi="Times New Roman" w:eastAsia="仿宋_GB2312"/>
          <w:b w:val="0"/>
          <w:bCs w:val="0"/>
          <w:color w:val="000000"/>
          <w:sz w:val="32"/>
          <w:szCs w:val="32"/>
          <w:highlight w:val="none"/>
          <w:shd w:val="clear" w:color="auto" w:fill="FFFFFF"/>
        </w:rPr>
        <w:t>，积极探索</w:t>
      </w:r>
      <w:r>
        <w:rPr>
          <w:rFonts w:ascii="Times New Roman" w:hAnsi="Times New Roman" w:eastAsia="仿宋_GB2312"/>
          <w:b w:val="0"/>
          <w:bCs w:val="0"/>
          <w:color w:val="000000"/>
          <w:sz w:val="32"/>
          <w:szCs w:val="32"/>
          <w:highlight w:val="none"/>
          <w:shd w:val="clear" w:color="auto" w:fill="FFFFFF"/>
        </w:rPr>
        <w:t>大水面生态渔业</w:t>
      </w:r>
      <w:r>
        <w:rPr>
          <w:rFonts w:hint="eastAsia" w:ascii="Times New Roman" w:hAnsi="Times New Roman" w:eastAsia="仿宋_GB2312"/>
          <w:b w:val="0"/>
          <w:bCs w:val="0"/>
          <w:color w:val="000000"/>
          <w:sz w:val="32"/>
          <w:szCs w:val="32"/>
          <w:highlight w:val="none"/>
          <w:shd w:val="clear" w:color="auto" w:fill="FFFFFF"/>
        </w:rPr>
        <w:t>。配合开展“全国放鱼日”增殖放流活动</w:t>
      </w:r>
      <w:r>
        <w:rPr>
          <w:rFonts w:ascii="Times New Roman" w:hAnsi="Times New Roman" w:eastAsia="仿宋_GB2312"/>
          <w:b w:val="0"/>
          <w:bCs w:val="0"/>
          <w:color w:val="000000"/>
          <w:sz w:val="32"/>
          <w:szCs w:val="32"/>
          <w:highlight w:val="none"/>
          <w:shd w:val="clear" w:color="auto" w:fill="FFFFFF"/>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6、服务对象满意度方面</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sz w:val="32"/>
          <w:szCs w:val="32"/>
          <w:highlight w:val="none"/>
          <w:lang w:val="en-US" w:eastAsia="zh-CN"/>
        </w:rPr>
      </w:pPr>
      <w:r>
        <w:rPr>
          <w:rFonts w:hint="default" w:ascii="Times New Roman" w:hAnsi="Times New Roman" w:eastAsia="仿宋_GB2312"/>
          <w:sz w:val="32"/>
          <w:szCs w:val="32"/>
          <w:highlight w:val="none"/>
          <w:lang w:val="en-US" w:eastAsia="zh-CN"/>
        </w:rPr>
        <w:t>服务对象的满意度为90%以上。</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（三）存在的问题及原因分析</w:t>
      </w:r>
    </w:p>
    <w:p>
      <w:pPr>
        <w:pStyle w:val="15"/>
        <w:ind w:firstLine="640" w:firstLineChars="200"/>
        <w:jc w:val="both"/>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本年度预算执行中，尽管整体预算执行率</w:t>
      </w:r>
      <w:r>
        <w:rPr>
          <w:rFonts w:hint="eastAsia" w:ascii="Times New Roman" w:hAnsi="Times New Roman" w:eastAsia="仿宋_GB2312"/>
          <w:sz w:val="32"/>
          <w:szCs w:val="32"/>
          <w:highlight w:val="none"/>
          <w:lang w:val="en-US" w:eastAsia="zh-CN"/>
        </w:rPr>
        <w:t>接近</w:t>
      </w:r>
      <w:r>
        <w:rPr>
          <w:rFonts w:hint="eastAsia" w:ascii="Times New Roman" w:hAnsi="Times New Roman" w:eastAsia="仿宋_GB2312"/>
          <w:sz w:val="32"/>
          <w:szCs w:val="32"/>
          <w:highlight w:val="none"/>
        </w:rPr>
        <w:t>90%，但仍有个别项目本年度预算执行率</w:t>
      </w:r>
      <w:r>
        <w:rPr>
          <w:rFonts w:hint="eastAsia" w:ascii="Times New Roman" w:hAnsi="Times New Roman" w:eastAsia="仿宋_GB2312"/>
          <w:sz w:val="32"/>
          <w:szCs w:val="32"/>
          <w:highlight w:val="none"/>
          <w:lang w:val="en-US" w:eastAsia="zh-CN"/>
        </w:rPr>
        <w:t>较低</w:t>
      </w:r>
      <w:r>
        <w:rPr>
          <w:rFonts w:hint="eastAsia" w:ascii="Times New Roman" w:hAnsi="Times New Roman" w:eastAsia="仿宋_GB2312"/>
          <w:sz w:val="32"/>
          <w:szCs w:val="32"/>
          <w:highlight w:val="none"/>
        </w:rPr>
        <w:t>。主要原因一是</w:t>
      </w:r>
      <w:r>
        <w:rPr>
          <w:rFonts w:hint="eastAsia" w:ascii="Times New Roman" w:hAnsi="Times New Roman" w:eastAsia="仿宋_GB2312"/>
          <w:sz w:val="32"/>
          <w:szCs w:val="32"/>
          <w:highlight w:val="none"/>
          <w:lang w:val="en-US" w:eastAsia="zh-CN"/>
        </w:rPr>
        <w:t>因工作安排调整，部分项目推迟进行</w:t>
      </w:r>
      <w:r>
        <w:rPr>
          <w:rFonts w:hint="eastAsia" w:ascii="Times New Roman" w:hAnsi="Times New Roman" w:eastAsia="仿宋_GB2312"/>
          <w:sz w:val="32"/>
          <w:szCs w:val="32"/>
          <w:highlight w:val="none"/>
        </w:rPr>
        <w:t>；二是部分项目因实施周期较长，需跨年度完成，仅支出部分资金，个别项目因</w:t>
      </w:r>
      <w:r>
        <w:rPr>
          <w:rFonts w:hint="eastAsia" w:ascii="Times New Roman" w:hAnsi="Times New Roman" w:eastAsia="仿宋_GB2312"/>
          <w:sz w:val="32"/>
          <w:szCs w:val="32"/>
          <w:highlight w:val="none"/>
          <w:lang w:val="en-US" w:eastAsia="zh-CN"/>
        </w:rPr>
        <w:t>采购时流标</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本年度内</w:t>
      </w:r>
      <w:r>
        <w:rPr>
          <w:rFonts w:hint="eastAsia" w:ascii="Times New Roman" w:hAnsi="Times New Roman" w:eastAsia="仿宋_GB2312"/>
          <w:sz w:val="32"/>
          <w:szCs w:val="32"/>
          <w:highlight w:val="none"/>
        </w:rPr>
        <w:t>暂未形成支出。</w:t>
      </w:r>
    </w:p>
    <w:p>
      <w:pPr>
        <w:pStyle w:val="15"/>
        <w:ind w:firstLine="640" w:firstLineChars="200"/>
        <w:jc w:val="both"/>
        <w:rPr>
          <w:sz w:val="72"/>
          <w:szCs w:val="72"/>
          <w:highlight w:val="none"/>
        </w:rPr>
      </w:pPr>
      <w:r>
        <w:rPr>
          <w:rFonts w:hint="eastAsia" w:ascii="Times New Roman" w:hAnsi="Times New Roman" w:eastAsia="仿宋_GB2312"/>
          <w:sz w:val="32"/>
          <w:szCs w:val="32"/>
          <w:highlight w:val="none"/>
        </w:rPr>
        <w:t>下一步改进措施：一方面进一步提高预算编制的科学性、准确性和合理性，强化预算管理，提高预算执行力度。另一方面通过定期对项目实施和预算执行情况进行跟踪，及时掌握项目进度、发现问题和解决问题，督促项目实施单位早启动、早实施、早验收，对符合条件的目按照项目进度支付相关款项，将预算资金管理贯穿于项目实施全过程中。</w:t>
      </w:r>
    </w:p>
    <w:p>
      <w:pPr>
        <w:pStyle w:val="15"/>
        <w:jc w:val="center"/>
        <w:rPr>
          <w:sz w:val="72"/>
          <w:szCs w:val="72"/>
          <w:highlight w:val="none"/>
        </w:rPr>
      </w:pPr>
    </w:p>
    <w:p>
      <w:pPr>
        <w:pStyle w:val="15"/>
        <w:jc w:val="both"/>
        <w:rPr>
          <w:rFonts w:hint="eastAsia" w:ascii="方正小标宋_GBK" w:hAnsi="方正小标宋_GBK" w:eastAsia="方正小标宋_GBK" w:cs="方正小标宋_GBK"/>
          <w:sz w:val="72"/>
          <w:szCs w:val="72"/>
          <w:highlight w:val="none"/>
        </w:rPr>
      </w:pPr>
    </w:p>
    <w:p>
      <w:pPr>
        <w:pStyle w:val="15"/>
        <w:jc w:val="both"/>
        <w:rPr>
          <w:rFonts w:hint="eastAsia" w:ascii="方正小标宋_GBK" w:hAnsi="方正小标宋_GBK" w:eastAsia="方正小标宋_GBK" w:cs="方正小标宋_GBK"/>
          <w:sz w:val="72"/>
          <w:szCs w:val="72"/>
          <w:highlight w:val="none"/>
        </w:rPr>
      </w:pPr>
    </w:p>
    <w:p>
      <w:pPr>
        <w:pStyle w:val="15"/>
        <w:jc w:val="both"/>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第四部分</w:t>
      </w:r>
    </w:p>
    <w:p>
      <w:pPr>
        <w:jc w:val="center"/>
        <w:rPr>
          <w:rFonts w:hint="eastAsia" w:ascii="方正小标宋_GBK" w:hAnsi="方正小标宋_GBK" w:eastAsia="方正小标宋_GBK" w:cs="方正小标宋_GBK"/>
          <w:color w:val="000000"/>
          <w:kern w:val="0"/>
          <w:sz w:val="70"/>
          <w:szCs w:val="70"/>
          <w:highlight w:val="none"/>
        </w:rPr>
      </w:pPr>
    </w:p>
    <w:p>
      <w:pPr>
        <w:jc w:val="center"/>
        <w:rPr>
          <w:rFonts w:hint="eastAsia" w:ascii="方正小标宋_GBK" w:hAnsi="方正小标宋_GBK" w:eastAsia="方正小标宋_GBK" w:cs="方正小标宋_GBK"/>
          <w:color w:val="000000"/>
          <w:kern w:val="0"/>
          <w:sz w:val="70"/>
          <w:szCs w:val="70"/>
          <w:highlight w:val="none"/>
        </w:rPr>
      </w:pPr>
      <w:r>
        <w:rPr>
          <w:rFonts w:hint="eastAsia" w:ascii="方正小标宋_GBK" w:hAnsi="方正小标宋_GBK" w:eastAsia="方正小标宋_GBK" w:cs="方正小标宋_GBK"/>
          <w:color w:val="000000"/>
          <w:kern w:val="0"/>
          <w:sz w:val="70"/>
          <w:szCs w:val="70"/>
          <w:highlight w:val="none"/>
        </w:rPr>
        <w:t>名词解释</w:t>
      </w:r>
    </w:p>
    <w:p>
      <w:pPr>
        <w:widowControl/>
        <w:jc w:val="left"/>
        <w:rPr>
          <w:rFonts w:cs="黑体" w:asciiTheme="minorEastAsia" w:hAnsiTheme="minorEastAsia"/>
          <w:color w:val="000000"/>
          <w:kern w:val="0"/>
          <w:sz w:val="32"/>
          <w:szCs w:val="32"/>
          <w:highlight w:val="none"/>
        </w:rPr>
      </w:pPr>
      <w:r>
        <w:rPr>
          <w:rFonts w:hint="eastAsia" w:ascii="方正小标宋_GBK" w:hAnsi="方正小标宋_GBK" w:eastAsia="方正小标宋_GBK" w:cs="方正小标宋_GBK"/>
          <w:color w:val="000000"/>
          <w:kern w:val="0"/>
          <w:sz w:val="70"/>
          <w:szCs w:val="70"/>
          <w:highlight w:val="none"/>
        </w:rPr>
        <w:br w:type="page"/>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一、财政拨款收入：指省财政当年拨付的资金。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二、农林水支出（类）农业（款）行政运行（项）：指行政单位（包括实行公务员管理的事业单位）的基本支出。。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三、农林水支出（类）农业（款）一般行政管理事务（项）：指行政单位（包括实行公务员管理的事业单位）未单独设置项级科目的其他项目支出。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四、农林水支出（类）农业（款）其他农林水（项）：反映除化解债务支出以外其他用于农林水主方面的支出。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五、社会保障和就业（类）行政事业单位离退休（款） 归口管理的行政单位离退休（项）：指财政部离退休干部局统一管理的部机关离退休人员的支出，以及财政部驻各地财政监察专员办事处离退休人员的支出。 </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六、住房保障（类）住房改革支出（款）住房公积金（项）：指按照《住房公积金管理条例》的规定，由单位及其在职职工缴存的长期住房储金。该项政策始于上世纪九十年 代中期，在全国机关、企事业单位在职职工中普遍实施，缴存比例最低不低于5%，最高不超过12%，缴存基数为职工本人上 年工资，目前已实施约20年时间。行政单位缴存基数包括国家 统一规定的公务员职务工资、级别工资、机关工人岗位工资和技术等级（职务）工资、年终一次性奖金、特殊岗位津贴、艰苦边远地区津贴，规范后发放的工作性津贴、生活性补贴等； 事业单位缴存基数包括国家统一规定的岗位工资、薪级工资、绩效工资、艰苦边远地区津贴、特殊岗位津贴等。 </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七、住房保障（类）住房改革支出（款）住房补贴（项）：指按房改政策规定，行政事业单位向符合条件职工（含离退休人员）、军队（含武警）向转役复员离退休人员发放的用于购买住房的补贴。</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八、基本支出：指为保障机构正常运转、完成日常工作任务而发生的人员支出和公用支出。 </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九、项目支出：指在基本支出之外为完成特定行政任务 和事业发展目标所发生的支出。 </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十、“三公”经费：纳入中央财政预决算管理的“三 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十一、机关运行经费：为保障行政单位（含参照公务员 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十二、年初结转和结余：是指以前年度尚未完成、结转到本年按有关规定继续使用的资金。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十三、年末结转和结余：指本年度或以前年度预算安排、因客观条件发生变化无法按原计划实施，需要延迟到以后年度按有关规定继续使用的资金。</w:t>
      </w:r>
    </w:p>
    <w:p>
      <w:pPr>
        <w:pStyle w:val="15"/>
        <w:jc w:val="center"/>
        <w:rPr>
          <w:sz w:val="72"/>
          <w:szCs w:val="72"/>
          <w:highlight w:val="none"/>
        </w:rPr>
      </w:pPr>
    </w:p>
    <w:p>
      <w:pPr>
        <w:pStyle w:val="15"/>
        <w:jc w:val="center"/>
        <w:rPr>
          <w:sz w:val="72"/>
          <w:szCs w:val="72"/>
          <w:highlight w:val="none"/>
        </w:rPr>
      </w:pPr>
    </w:p>
    <w:p>
      <w:pPr>
        <w:pStyle w:val="15"/>
        <w:jc w:val="center"/>
        <w:rPr>
          <w:sz w:val="72"/>
          <w:szCs w:val="72"/>
          <w:highlight w:val="none"/>
        </w:rPr>
      </w:pPr>
    </w:p>
    <w:p>
      <w:pPr>
        <w:rPr>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p>
    <w:p>
      <w:pPr>
        <w:pStyle w:val="15"/>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w:t>
      </w:r>
      <w:r>
        <w:rPr>
          <w:rFonts w:hint="eastAsia" w:ascii="方正小标宋_GBK" w:hAnsi="方正小标宋_GBK" w:eastAsia="方正小标宋_GBK" w:cs="方正小标宋_GBK"/>
          <w:sz w:val="72"/>
          <w:szCs w:val="72"/>
          <w:highlight w:val="none"/>
          <w:lang w:eastAsia="zh-CN"/>
        </w:rPr>
        <w:t>五</w:t>
      </w:r>
      <w:r>
        <w:rPr>
          <w:rFonts w:hint="eastAsia" w:ascii="方正小标宋_GBK" w:hAnsi="方正小标宋_GBK" w:eastAsia="方正小标宋_GBK" w:cs="方正小标宋_GBK"/>
          <w:sz w:val="72"/>
          <w:szCs w:val="72"/>
          <w:highlight w:val="none"/>
        </w:rPr>
        <w:t>部分</w:t>
      </w:r>
    </w:p>
    <w:p>
      <w:pPr>
        <w:pStyle w:val="15"/>
        <w:jc w:val="center"/>
        <w:rPr>
          <w:rFonts w:hint="eastAsia" w:ascii="方正小标宋_GBK" w:hAnsi="方正小标宋_GBK" w:eastAsia="方正小标宋_GBK" w:cs="方正小标宋_GBK"/>
          <w:sz w:val="70"/>
          <w:szCs w:val="70"/>
          <w:highlight w:val="none"/>
        </w:rPr>
      </w:pPr>
    </w:p>
    <w:p>
      <w:pPr>
        <w:pStyle w:val="15"/>
        <w:jc w:val="center"/>
        <w:rPr>
          <w:rFonts w:hint="eastAsia" w:eastAsia="黑体"/>
          <w:sz w:val="72"/>
          <w:szCs w:val="72"/>
          <w:highlight w:val="none"/>
          <w:lang w:eastAsia="zh-CN"/>
        </w:rPr>
      </w:pPr>
      <w:r>
        <w:rPr>
          <w:rFonts w:hint="eastAsia" w:ascii="方正小标宋_GBK" w:hAnsi="方正小标宋_GBK" w:eastAsia="方正小标宋_GBK" w:cs="方正小标宋_GBK"/>
          <w:sz w:val="70"/>
          <w:szCs w:val="70"/>
          <w:highlight w:val="none"/>
          <w:lang w:eastAsia="zh-CN"/>
        </w:rPr>
        <w:t>附</w:t>
      </w:r>
      <w:r>
        <w:rPr>
          <w:rFonts w:hint="eastAsia" w:ascii="方正小标宋_GBK" w:hAnsi="方正小标宋_GBK" w:eastAsia="方正小标宋_GBK" w:cs="方正小标宋_GBK"/>
          <w:sz w:val="70"/>
          <w:szCs w:val="70"/>
          <w:highlight w:val="none"/>
          <w:lang w:val="en-US" w:eastAsia="zh-CN"/>
        </w:rPr>
        <w:t xml:space="preserve"> </w:t>
      </w:r>
      <w:r>
        <w:rPr>
          <w:rFonts w:hint="eastAsia" w:ascii="方正小标宋_GBK" w:hAnsi="方正小标宋_GBK" w:eastAsia="方正小标宋_GBK" w:cs="方正小标宋_GBK"/>
          <w:sz w:val="70"/>
          <w:szCs w:val="70"/>
          <w:highlight w:val="none"/>
          <w:lang w:eastAsia="zh-CN"/>
        </w:rPr>
        <w:t>件</w:t>
      </w:r>
    </w:p>
    <w:p>
      <w:pPr>
        <w:rPr>
          <w:sz w:val="72"/>
          <w:szCs w:val="72"/>
          <w:highlight w:val="none"/>
        </w:rPr>
      </w:pPr>
      <w:r>
        <w:rPr>
          <w:sz w:val="72"/>
          <w:szCs w:val="72"/>
          <w:highlight w:val="none"/>
        </w:rPr>
        <w:br w:type="page"/>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2"/>
        <w:spacing w:line="360" w:lineRule="auto"/>
        <w:rPr>
          <w:rFonts w:hint="eastAsia"/>
          <w:spacing w:val="-8"/>
          <w:highlight w:val="none"/>
        </w:rPr>
      </w:pPr>
      <w:r>
        <w:rPr>
          <w:rFonts w:hint="default" w:ascii="Times New Roman" w:hAnsi="Times New Roman" w:cs="Times New Roman"/>
          <w:spacing w:val="-8"/>
          <w:highlight w:val="none"/>
        </w:rPr>
        <w:t>2023</w:t>
      </w:r>
      <w:bookmarkStart w:id="3" w:name="_GoBack"/>
      <w:bookmarkEnd w:id="3"/>
      <w:r>
        <w:rPr>
          <w:spacing w:val="-8"/>
          <w:highlight w:val="none"/>
        </w:rPr>
        <w:t>年度</w:t>
      </w:r>
      <w:r>
        <w:rPr>
          <w:rFonts w:hint="eastAsia"/>
          <w:spacing w:val="-8"/>
          <w:highlight w:val="none"/>
        </w:rPr>
        <w:t>湖南</w:t>
      </w:r>
      <w:r>
        <w:rPr>
          <w:spacing w:val="-8"/>
          <w:highlight w:val="none"/>
        </w:rPr>
        <w:t>省</w:t>
      </w:r>
      <w:r>
        <w:rPr>
          <w:rFonts w:hint="eastAsia"/>
          <w:spacing w:val="-8"/>
          <w:highlight w:val="none"/>
          <w:lang w:val="en-US" w:eastAsia="zh-CN"/>
        </w:rPr>
        <w:t>畜牧水产事务</w:t>
      </w:r>
      <w:r>
        <w:rPr>
          <w:rFonts w:hint="eastAsia"/>
          <w:spacing w:val="-8"/>
          <w:highlight w:val="none"/>
        </w:rPr>
        <w:t>中心</w:t>
      </w:r>
    </w:p>
    <w:p>
      <w:pPr>
        <w:pStyle w:val="2"/>
        <w:spacing w:line="360" w:lineRule="auto"/>
        <w:rPr>
          <w:spacing w:val="-8"/>
          <w:highlight w:val="none"/>
        </w:rPr>
      </w:pPr>
      <w:r>
        <w:rPr>
          <w:spacing w:val="-8"/>
          <w:highlight w:val="none"/>
        </w:rPr>
        <w:t>整体支出绩效自评报告</w:t>
      </w:r>
    </w:p>
    <w:p>
      <w:pPr>
        <w:pStyle w:val="3"/>
        <w:numPr>
          <w:ilvl w:val="0"/>
          <w:numId w:val="0"/>
        </w:numPr>
        <w:spacing w:line="360" w:lineRule="auto"/>
        <w:ind w:firstLine="640" w:firstLineChars="0"/>
        <w:rPr>
          <w:rFonts w:hint="eastAsia" w:ascii="仿宋" w:hAnsi="仿宋" w:eastAsia="仿宋" w:cs="华文细黑"/>
          <w:b/>
          <w:bCs w:val="0"/>
          <w:kern w:val="2"/>
          <w:sz w:val="32"/>
          <w:szCs w:val="32"/>
          <w:highlight w:val="none"/>
          <w:lang w:val="en-US" w:eastAsia="zh-CN" w:bidi="ar-SA"/>
        </w:rPr>
      </w:pPr>
    </w:p>
    <w:p>
      <w:pPr>
        <w:pStyle w:val="3"/>
        <w:numPr>
          <w:ilvl w:val="0"/>
          <w:numId w:val="0"/>
        </w:numPr>
        <w:spacing w:line="360" w:lineRule="auto"/>
        <w:ind w:firstLine="640" w:firstLineChars="0"/>
        <w:rPr>
          <w:rFonts w:ascii="仿宋" w:hAnsi="仿宋" w:eastAsia="仿宋" w:cs="华文细黑"/>
          <w:b/>
          <w:bCs w:val="0"/>
          <w:sz w:val="32"/>
          <w:highlight w:val="none"/>
        </w:rPr>
      </w:pPr>
      <w:r>
        <w:rPr>
          <w:rFonts w:hint="eastAsia" w:ascii="仿宋" w:hAnsi="仿宋" w:eastAsia="仿宋" w:cs="华文细黑"/>
          <w:b/>
          <w:bCs w:val="0"/>
          <w:kern w:val="2"/>
          <w:sz w:val="32"/>
          <w:szCs w:val="32"/>
          <w:highlight w:val="none"/>
          <w:lang w:val="en-US" w:eastAsia="zh-CN" w:bidi="ar-SA"/>
        </w:rPr>
        <w:t>一、</w:t>
      </w:r>
      <w:r>
        <w:rPr>
          <w:rFonts w:hint="eastAsia" w:ascii="仿宋" w:hAnsi="仿宋" w:eastAsia="仿宋" w:cs="华文细黑"/>
          <w:b/>
          <w:bCs w:val="0"/>
          <w:sz w:val="32"/>
          <w:highlight w:val="none"/>
        </w:rPr>
        <w:t>单位基本情况</w:t>
      </w:r>
    </w:p>
    <w:p>
      <w:pPr>
        <w:spacing w:line="360" w:lineRule="auto"/>
        <w:ind w:firstLine="64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1.主要职能。</w:t>
      </w:r>
    </w:p>
    <w:p>
      <w:pPr>
        <w:snapToGrid w:val="0"/>
        <w:spacing w:line="520" w:lineRule="exact"/>
        <w:ind w:firstLine="640" w:firstLineChars="200"/>
        <w:rPr>
          <w:rFonts w:hint="default" w:ascii="Times New Roman" w:hAnsi="Times New Roman" w:eastAsia="仿宋_GB2312" w:cs="Times New Roman"/>
          <w:sz w:val="32"/>
          <w:szCs w:val="24"/>
          <w:highlight w:val="none"/>
        </w:rPr>
      </w:pPr>
      <w:r>
        <w:rPr>
          <w:rFonts w:hint="default" w:ascii="Times New Roman" w:hAnsi="Times New Roman" w:eastAsia="仿宋" w:cs="Times New Roman"/>
          <w:sz w:val="32"/>
          <w:szCs w:val="32"/>
          <w:highlight w:val="none"/>
          <w:lang w:val="en-US" w:eastAsia="zh-CN"/>
        </w:rPr>
        <w:t>一是</w:t>
      </w:r>
      <w:r>
        <w:rPr>
          <w:rFonts w:hint="default" w:ascii="Times New Roman" w:hAnsi="Times New Roman" w:eastAsia="仿宋_GB2312" w:cs="Times New Roman"/>
          <w:sz w:val="32"/>
          <w:szCs w:val="24"/>
          <w:highlight w:val="none"/>
        </w:rPr>
        <w:t>承担畜牧业、渔业地方标准技术体系建设相关事务性工作。负责畜牧水产新品种、新技术的引进、示范、推广等工作。承担畜牧业、渔业职业技能开发工作。</w:t>
      </w:r>
    </w:p>
    <w:p>
      <w:pPr>
        <w:snapToGrid w:val="0"/>
        <w:spacing w:line="520" w:lineRule="exact"/>
        <w:ind w:firstLine="640" w:firstLineChars="200"/>
        <w:rPr>
          <w:rFonts w:hint="default" w:ascii="Times New Roman" w:hAnsi="Times New Roman" w:eastAsia="仿宋_GB2312" w:cs="Times New Roman"/>
          <w:sz w:val="32"/>
          <w:szCs w:val="24"/>
          <w:highlight w:val="none"/>
        </w:rPr>
      </w:pPr>
      <w:r>
        <w:rPr>
          <w:rFonts w:hint="default" w:ascii="Times New Roman" w:hAnsi="Times New Roman" w:eastAsia="仿宋_GB2312" w:cs="Times New Roman"/>
          <w:sz w:val="32"/>
          <w:szCs w:val="24"/>
          <w:highlight w:val="none"/>
          <w:lang w:val="en-US" w:eastAsia="zh-CN"/>
        </w:rPr>
        <w:t>二是</w:t>
      </w:r>
      <w:r>
        <w:rPr>
          <w:rFonts w:hint="default" w:ascii="Times New Roman" w:hAnsi="Times New Roman" w:eastAsia="仿宋_GB2312" w:cs="Times New Roman"/>
          <w:sz w:val="32"/>
          <w:szCs w:val="24"/>
          <w:highlight w:val="none"/>
        </w:rPr>
        <w:t>承担畜禽水产品质量安全风险评估工作。为畜禽水产品质量安全和兽药行业管理提供服务保障。</w:t>
      </w:r>
    </w:p>
    <w:p>
      <w:pPr>
        <w:snapToGrid w:val="0"/>
        <w:spacing w:line="520" w:lineRule="exact"/>
        <w:ind w:firstLine="640" w:firstLineChars="200"/>
        <w:rPr>
          <w:rFonts w:hint="default" w:ascii="Times New Roman" w:hAnsi="Times New Roman" w:eastAsia="仿宋_GB2312" w:cs="Times New Roman"/>
          <w:sz w:val="32"/>
          <w:szCs w:val="24"/>
          <w:highlight w:val="none"/>
        </w:rPr>
      </w:pPr>
      <w:r>
        <w:rPr>
          <w:rFonts w:hint="default" w:ascii="Times New Roman" w:hAnsi="Times New Roman" w:eastAsia="仿宋_GB2312" w:cs="Times New Roman"/>
          <w:sz w:val="32"/>
          <w:szCs w:val="24"/>
          <w:highlight w:val="none"/>
          <w:lang w:val="en-US" w:eastAsia="zh-CN"/>
        </w:rPr>
        <w:t>三是</w:t>
      </w:r>
      <w:r>
        <w:rPr>
          <w:rFonts w:hint="default" w:ascii="Times New Roman" w:hAnsi="Times New Roman" w:eastAsia="仿宋_GB2312" w:cs="Times New Roman"/>
          <w:sz w:val="32"/>
          <w:szCs w:val="24"/>
          <w:highlight w:val="none"/>
        </w:rPr>
        <w:t>承担畜牧业、渔业生产、市场信息监测和统计分析工作。研究提出畜牧业、渔业产业发展政策建议和资源保护政策措施建议，承担畜牧业、渔业发展项目相关服务性工作，为畜牧业、渔业发展和资源保护提供服务保障。</w:t>
      </w:r>
    </w:p>
    <w:p>
      <w:pPr>
        <w:snapToGrid w:val="0"/>
        <w:spacing w:line="520" w:lineRule="exact"/>
        <w:ind w:firstLine="640" w:firstLineChars="200"/>
        <w:rPr>
          <w:rFonts w:hint="default" w:ascii="Times New Roman" w:hAnsi="Times New Roman" w:eastAsia="仿宋_GB2312" w:cs="Times New Roman"/>
          <w:sz w:val="32"/>
          <w:szCs w:val="24"/>
          <w:highlight w:val="none"/>
        </w:rPr>
      </w:pPr>
      <w:r>
        <w:rPr>
          <w:rFonts w:hint="default" w:ascii="Times New Roman" w:hAnsi="Times New Roman" w:eastAsia="仿宋_GB2312" w:cs="Times New Roman"/>
          <w:sz w:val="32"/>
          <w:szCs w:val="24"/>
          <w:highlight w:val="none"/>
          <w:lang w:val="en-US" w:eastAsia="zh-CN"/>
        </w:rPr>
        <w:t>四是</w:t>
      </w:r>
      <w:r>
        <w:rPr>
          <w:rFonts w:hint="default" w:ascii="Times New Roman" w:hAnsi="Times New Roman" w:eastAsia="仿宋_GB2312" w:cs="Times New Roman"/>
          <w:sz w:val="32"/>
          <w:szCs w:val="24"/>
          <w:highlight w:val="none"/>
        </w:rPr>
        <w:t>承担动物疫病（包括人畜共患病）防控、动物和动物产品检疫及动物血防相关事务性工作。为动物诊疗机构和</w:t>
      </w:r>
    </w:p>
    <w:p>
      <w:pPr>
        <w:adjustRightInd w:val="0"/>
        <w:snapToGrid w:val="0"/>
        <w:spacing w:line="570" w:lineRule="exact"/>
        <w:rPr>
          <w:rFonts w:hint="default" w:ascii="Times New Roman" w:hAnsi="Times New Roman" w:eastAsia="仿宋_GB2312" w:cs="Times New Roman"/>
          <w:sz w:val="32"/>
          <w:szCs w:val="24"/>
          <w:highlight w:val="none"/>
        </w:rPr>
      </w:pPr>
      <w:r>
        <w:rPr>
          <w:rFonts w:hint="default" w:ascii="Times New Roman" w:hAnsi="Times New Roman" w:eastAsia="仿宋_GB2312" w:cs="Times New Roman"/>
          <w:sz w:val="32"/>
          <w:szCs w:val="24"/>
          <w:highlight w:val="none"/>
        </w:rPr>
        <w:t>从业人员管理提供服务保障。</w:t>
      </w:r>
    </w:p>
    <w:p>
      <w:pPr>
        <w:adjustRightInd w:val="0"/>
        <w:snapToGrid w:val="0"/>
        <w:spacing w:line="570" w:lineRule="exact"/>
        <w:ind w:firstLine="640" w:firstLineChars="200"/>
        <w:rPr>
          <w:rFonts w:hint="default" w:ascii="Times New Roman" w:hAnsi="Times New Roman" w:eastAsia="仿宋_GB2312" w:cs="Times New Roman"/>
          <w:sz w:val="32"/>
          <w:szCs w:val="24"/>
          <w:highlight w:val="none"/>
        </w:rPr>
      </w:pPr>
      <w:r>
        <w:rPr>
          <w:rFonts w:hint="default" w:ascii="Times New Roman" w:hAnsi="Times New Roman" w:eastAsia="仿宋_GB2312" w:cs="Times New Roman"/>
          <w:sz w:val="32"/>
          <w:szCs w:val="24"/>
          <w:highlight w:val="none"/>
          <w:lang w:val="en-US" w:eastAsia="zh-CN"/>
        </w:rPr>
        <w:t>五是</w:t>
      </w:r>
      <w:r>
        <w:rPr>
          <w:rFonts w:hint="default" w:ascii="Times New Roman" w:hAnsi="Times New Roman" w:eastAsia="仿宋_GB2312" w:cs="Times New Roman"/>
          <w:sz w:val="32"/>
          <w:szCs w:val="24"/>
          <w:highlight w:val="none"/>
        </w:rPr>
        <w:t>为全省畜禽屠宰行业管理提供服务保障。</w:t>
      </w:r>
    </w:p>
    <w:p>
      <w:pPr>
        <w:adjustRightInd w:val="0"/>
        <w:snapToGrid w:val="0"/>
        <w:spacing w:line="570" w:lineRule="exact"/>
        <w:ind w:firstLine="640" w:firstLineChars="200"/>
        <w:rPr>
          <w:rFonts w:hint="default" w:ascii="Times New Roman" w:hAnsi="Times New Roman" w:eastAsia="仿宋_GB2312" w:cs="Times New Roman"/>
          <w:sz w:val="32"/>
          <w:szCs w:val="24"/>
          <w:highlight w:val="none"/>
        </w:rPr>
      </w:pPr>
      <w:r>
        <w:rPr>
          <w:rFonts w:hint="default" w:ascii="Times New Roman" w:hAnsi="Times New Roman" w:eastAsia="仿宋_GB2312" w:cs="Times New Roman"/>
          <w:sz w:val="32"/>
          <w:szCs w:val="24"/>
          <w:highlight w:val="none"/>
          <w:lang w:val="en-US" w:eastAsia="zh-CN"/>
        </w:rPr>
        <w:t>六是</w:t>
      </w:r>
      <w:r>
        <w:rPr>
          <w:rFonts w:hint="default" w:ascii="Times New Roman" w:hAnsi="Times New Roman" w:eastAsia="仿宋_GB2312" w:cs="Times New Roman"/>
          <w:sz w:val="32"/>
          <w:szCs w:val="32"/>
          <w:highlight w:val="none"/>
        </w:rPr>
        <w:t>对市县畜牧水产事务中心进行业务指导。联系畜牧业、渔业行业协会、学会。</w:t>
      </w:r>
    </w:p>
    <w:p>
      <w:pPr>
        <w:adjustRightInd w:val="0"/>
        <w:snapToGrid w:val="0"/>
        <w:spacing w:line="57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24"/>
          <w:highlight w:val="none"/>
          <w:lang w:val="en-US" w:eastAsia="zh-CN"/>
        </w:rPr>
        <w:t>七是</w:t>
      </w:r>
      <w:r>
        <w:rPr>
          <w:rFonts w:hint="default" w:ascii="Times New Roman" w:hAnsi="Times New Roman" w:eastAsia="仿宋_GB2312" w:cs="Times New Roman"/>
          <w:sz w:val="32"/>
          <w:szCs w:val="24"/>
          <w:highlight w:val="none"/>
        </w:rPr>
        <w:t>承担省农业农村厅交办的其他工作。</w:t>
      </w:r>
    </w:p>
    <w:p>
      <w:pPr>
        <w:spacing w:line="360" w:lineRule="auto"/>
        <w:ind w:firstLine="64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2．人员情况</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中心编制</w:t>
      </w:r>
      <w:r>
        <w:rPr>
          <w:rFonts w:hint="default" w:ascii="Times New Roman" w:hAnsi="Times New Roman" w:eastAsia="仿宋" w:cs="Times New Roman"/>
          <w:sz w:val="32"/>
          <w:szCs w:val="32"/>
          <w:highlight w:val="none"/>
          <w:lang w:val="en-US" w:eastAsia="zh-CN"/>
        </w:rPr>
        <w:t>113</w:t>
      </w:r>
      <w:r>
        <w:rPr>
          <w:rFonts w:hint="default" w:ascii="Times New Roman" w:hAnsi="Times New Roman" w:eastAsia="仿宋" w:cs="Times New Roman"/>
          <w:sz w:val="32"/>
          <w:szCs w:val="32"/>
          <w:highlight w:val="none"/>
        </w:rPr>
        <w:t>人，现有在职人数</w:t>
      </w:r>
      <w:r>
        <w:rPr>
          <w:rFonts w:hint="default" w:ascii="Times New Roman" w:hAnsi="Times New Roman" w:eastAsia="仿宋" w:cs="Times New Roman"/>
          <w:sz w:val="32"/>
          <w:szCs w:val="32"/>
          <w:highlight w:val="none"/>
          <w:lang w:val="en-US" w:eastAsia="zh-CN"/>
        </w:rPr>
        <w:t>104</w:t>
      </w:r>
      <w:r>
        <w:rPr>
          <w:rFonts w:hint="default" w:ascii="Times New Roman" w:hAnsi="Times New Roman" w:eastAsia="仿宋" w:cs="Times New Roman"/>
          <w:sz w:val="32"/>
          <w:szCs w:val="32"/>
          <w:highlight w:val="none"/>
        </w:rPr>
        <w:t>人</w:t>
      </w:r>
      <w:r>
        <w:rPr>
          <w:rFonts w:hint="eastAsia"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退休人数</w:t>
      </w:r>
      <w:r>
        <w:rPr>
          <w:rFonts w:hint="default" w:ascii="Times New Roman" w:hAnsi="Times New Roman" w:eastAsia="仿宋" w:cs="Times New Roman"/>
          <w:sz w:val="32"/>
          <w:szCs w:val="32"/>
          <w:highlight w:val="none"/>
          <w:lang w:val="en-US" w:eastAsia="zh-CN"/>
        </w:rPr>
        <w:t>91</w:t>
      </w:r>
      <w:r>
        <w:rPr>
          <w:rFonts w:hint="default" w:ascii="Times New Roman" w:hAnsi="Times New Roman" w:eastAsia="仿宋" w:cs="Times New Roman"/>
          <w:sz w:val="32"/>
          <w:szCs w:val="32"/>
          <w:highlight w:val="none"/>
        </w:rPr>
        <w:t>人。</w:t>
      </w:r>
    </w:p>
    <w:p>
      <w:pPr>
        <w:pStyle w:val="3"/>
        <w:spacing w:line="360" w:lineRule="auto"/>
        <w:ind w:firstLine="640" w:firstLineChars="200"/>
        <w:rPr>
          <w:rFonts w:hint="default" w:ascii="仿宋" w:hAnsi="仿宋" w:eastAsia="仿宋" w:cs="华文细黑"/>
          <w:b/>
          <w:bCs w:val="0"/>
          <w:sz w:val="32"/>
          <w:highlight w:val="none"/>
          <w:lang w:val="en-US" w:eastAsia="zh-CN"/>
        </w:rPr>
      </w:pPr>
      <w:r>
        <w:rPr>
          <w:rFonts w:hint="eastAsia" w:ascii="仿宋" w:hAnsi="仿宋" w:eastAsia="仿宋" w:cs="华文细黑"/>
          <w:b/>
          <w:bCs w:val="0"/>
          <w:sz w:val="32"/>
          <w:highlight w:val="none"/>
          <w:lang w:val="en-US" w:eastAsia="zh-CN"/>
        </w:rPr>
        <w:t>二、基本支出情况</w:t>
      </w:r>
    </w:p>
    <w:p>
      <w:pPr>
        <w:spacing w:line="360" w:lineRule="auto"/>
        <w:ind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2023年度基本支出</w:t>
      </w:r>
      <w:r>
        <w:rPr>
          <w:rFonts w:hint="default" w:ascii="Times New Roman" w:hAnsi="Times New Roman" w:eastAsia="仿宋_GB2312" w:cs="Times New Roman"/>
          <w:sz w:val="32"/>
          <w:szCs w:val="32"/>
          <w:highlight w:val="none"/>
          <w:lang w:val="en-US" w:eastAsia="zh-CN"/>
        </w:rPr>
        <w:t>年初</w:t>
      </w:r>
      <w:r>
        <w:rPr>
          <w:rFonts w:hint="default" w:ascii="Times New Roman" w:hAnsi="Times New Roman" w:eastAsia="仿宋_GB2312" w:cs="Times New Roman"/>
          <w:sz w:val="32"/>
          <w:szCs w:val="32"/>
          <w:highlight w:val="none"/>
        </w:rPr>
        <w:t>预算</w:t>
      </w:r>
      <w:r>
        <w:rPr>
          <w:rFonts w:hint="default" w:ascii="Times New Roman" w:hAnsi="Times New Roman" w:eastAsia="仿宋_GB2312" w:cs="Times New Roman"/>
          <w:sz w:val="32"/>
          <w:szCs w:val="32"/>
          <w:highlight w:val="none"/>
          <w:lang w:val="en-US" w:eastAsia="zh-CN"/>
        </w:rPr>
        <w:t>数为3570.29</w:t>
      </w:r>
      <w:r>
        <w:rPr>
          <w:rFonts w:hint="default" w:ascii="Times New Roman" w:hAnsi="Times New Roman" w:eastAsia="仿宋_GB2312" w:cs="Times New Roman"/>
          <w:sz w:val="32"/>
          <w:szCs w:val="32"/>
          <w:highlight w:val="none"/>
        </w:rPr>
        <w:t>万</w:t>
      </w:r>
      <w:r>
        <w:rPr>
          <w:rFonts w:hint="default" w:ascii="Times New Roman" w:hAnsi="Times New Roman" w:eastAsia="仿宋_GB2312" w:cs="Times New Roman"/>
          <w:sz w:val="32"/>
          <w:szCs w:val="32"/>
          <w:highlight w:val="none"/>
          <w:lang w:val="en-US" w:eastAsia="zh-CN"/>
        </w:rPr>
        <w:t>元（不含年中调整），其中人员经费2587.89万元，公用经费712.4万元。</w:t>
      </w:r>
      <w:r>
        <w:rPr>
          <w:rFonts w:hint="default" w:ascii="Times New Roman" w:hAnsi="Times New Roman" w:eastAsia="仿宋_GB2312" w:cs="Times New Roman"/>
          <w:sz w:val="32"/>
          <w:szCs w:val="32"/>
          <w:highlight w:val="none"/>
        </w:rPr>
        <w:t>基本支出决算数为</w:t>
      </w:r>
      <w:r>
        <w:rPr>
          <w:rFonts w:hint="default" w:ascii="Times New Roman" w:hAnsi="Times New Roman" w:eastAsia="仿宋_GB2312" w:cs="Times New Roman"/>
          <w:sz w:val="32"/>
          <w:szCs w:val="32"/>
          <w:highlight w:val="none"/>
          <w:lang w:val="en-US" w:eastAsia="zh-CN"/>
        </w:rPr>
        <w:t>3516.91</w:t>
      </w:r>
      <w:r>
        <w:rPr>
          <w:rFonts w:hint="default" w:ascii="Times New Roman" w:hAnsi="Times New Roman" w:eastAsia="仿宋_GB2312" w:cs="Times New Roman"/>
          <w:sz w:val="32"/>
          <w:szCs w:val="32"/>
          <w:highlight w:val="none"/>
        </w:rPr>
        <w:t>万元。其中人员经费</w:t>
      </w:r>
      <w:r>
        <w:rPr>
          <w:rFonts w:hint="default" w:ascii="Times New Roman" w:hAnsi="Times New Roman" w:eastAsia="仿宋_GB2312" w:cs="Times New Roman"/>
          <w:sz w:val="32"/>
          <w:szCs w:val="32"/>
          <w:highlight w:val="none"/>
          <w:lang w:val="en-US" w:eastAsia="zh-CN"/>
        </w:rPr>
        <w:t>2888.42</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公用经费</w:t>
      </w:r>
      <w:r>
        <w:rPr>
          <w:rFonts w:hint="default" w:ascii="Times New Roman" w:hAnsi="Times New Roman" w:eastAsia="仿宋_GB2312" w:cs="Times New Roman"/>
          <w:sz w:val="32"/>
          <w:szCs w:val="32"/>
          <w:highlight w:val="none"/>
          <w:lang w:val="en-US" w:eastAsia="zh-CN"/>
        </w:rPr>
        <w:t>628.49</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基本支出较年初预算数</w:t>
      </w:r>
      <w:r>
        <w:rPr>
          <w:rFonts w:hint="default" w:ascii="Times New Roman" w:hAnsi="Times New Roman" w:eastAsia="仿宋_GB2312" w:cs="Times New Roman"/>
          <w:sz w:val="32"/>
          <w:szCs w:val="32"/>
          <w:highlight w:val="none"/>
        </w:rPr>
        <w:t>结余</w:t>
      </w:r>
      <w:r>
        <w:rPr>
          <w:rFonts w:hint="default" w:ascii="Times New Roman" w:hAnsi="Times New Roman" w:eastAsia="仿宋_GB2312" w:cs="Times New Roman"/>
          <w:sz w:val="32"/>
          <w:szCs w:val="32"/>
          <w:highlight w:val="none"/>
          <w:lang w:val="en-US" w:eastAsia="zh-CN"/>
        </w:rPr>
        <w:t>53.38</w:t>
      </w:r>
      <w:r>
        <w:rPr>
          <w:rFonts w:hint="default" w:ascii="Times New Roman" w:hAnsi="Times New Roman" w:eastAsia="仿宋_GB2312" w:cs="Times New Roman"/>
          <w:sz w:val="32"/>
          <w:szCs w:val="32"/>
          <w:highlight w:val="none"/>
        </w:rPr>
        <w:t>万元。</w:t>
      </w:r>
    </w:p>
    <w:p>
      <w:pPr>
        <w:pStyle w:val="9"/>
        <w:numPr>
          <w:ilvl w:val="0"/>
          <w:numId w:val="0"/>
        </w:numPr>
        <w:spacing w:line="360" w:lineRule="auto"/>
        <w:ind w:left="0" w:leftChars="0" w:firstLine="640" w:firstLineChars="0"/>
        <w:rPr>
          <w:rFonts w:hint="eastAsia" w:ascii="仿宋" w:hAnsi="仿宋" w:eastAsia="仿宋" w:cs="仿宋_GB2312"/>
          <w:b/>
          <w:bCs/>
          <w:sz w:val="32"/>
          <w:szCs w:val="32"/>
          <w:highlight w:val="none"/>
          <w:lang w:val="en-US" w:eastAsia="zh-CN"/>
        </w:rPr>
      </w:pPr>
      <w:r>
        <w:rPr>
          <w:rFonts w:hint="eastAsia" w:ascii="仿宋" w:hAnsi="仿宋" w:eastAsia="仿宋" w:cs="仿宋_GB2312"/>
          <w:b/>
          <w:bCs/>
          <w:kern w:val="2"/>
          <w:sz w:val="32"/>
          <w:szCs w:val="32"/>
          <w:highlight w:val="none"/>
          <w:lang w:val="en-US" w:eastAsia="zh-CN" w:bidi="ar-SA"/>
        </w:rPr>
        <w:t>三、</w:t>
      </w:r>
      <w:r>
        <w:rPr>
          <w:rFonts w:hint="eastAsia" w:ascii="仿宋" w:hAnsi="仿宋" w:eastAsia="仿宋" w:cs="仿宋_GB2312"/>
          <w:b/>
          <w:bCs/>
          <w:sz w:val="32"/>
          <w:szCs w:val="32"/>
          <w:highlight w:val="none"/>
          <w:lang w:val="en-US" w:eastAsia="zh-CN"/>
        </w:rPr>
        <w:t>项目支出情况</w:t>
      </w:r>
    </w:p>
    <w:p>
      <w:pPr>
        <w:pStyle w:val="9"/>
        <w:numPr>
          <w:ilvl w:val="0"/>
          <w:numId w:val="0"/>
        </w:numPr>
        <w:spacing w:line="360" w:lineRule="auto"/>
        <w:ind w:firstLine="640" w:firstLineChars="200"/>
        <w:jc w:val="both"/>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2023年度，我中心项目支出年初预算数为6221.45万元（不含年中调整），决算数为5779.1万元。其中重大公共卫生服务支出1.44万元，其他农业农村支出支出24.53万元，统计监测与信息服务支出61.84万元，行业业务管理支出77.21万元，执法监管支出104.94万元，科技转化与推广服务支出176.59万元，农产品质量安全支出745.13万元，病虫害控制支出4415.6万元，行政运行支出171.82万元。</w:t>
      </w:r>
    </w:p>
    <w:p>
      <w:pPr>
        <w:spacing w:line="540" w:lineRule="exact"/>
        <w:ind w:firstLine="668" w:firstLineChars="209"/>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四、部门整体支出绩效情况</w:t>
      </w:r>
    </w:p>
    <w:p>
      <w:pPr>
        <w:spacing w:line="580" w:lineRule="exact"/>
        <w:ind w:right="-340" w:rightChars="-162" w:firstLine="640" w:firstLineChars="200"/>
        <w:jc w:val="both"/>
        <w:rPr>
          <w:rFonts w:hint="default" w:ascii="Times New Roman" w:hAnsi="Times New Roman" w:eastAsia="仿宋_GB2312" w:cs="Times New Roman"/>
          <w:b w:val="0"/>
          <w:bCs w:val="0"/>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rPr>
        <w:t>2023年，全省畜牧业渔业经济运行平稳、经济总量稳定增长，行业转型升级稳中有进，保持了持续健康发展。</w:t>
      </w:r>
    </w:p>
    <w:p>
      <w:pPr>
        <w:numPr>
          <w:ilvl w:val="0"/>
          <w:numId w:val="0"/>
        </w:numPr>
        <w:spacing w:line="580" w:lineRule="exact"/>
        <w:ind w:right="-340" w:rightChars="-162" w:firstLine="640" w:firstLineChars="200"/>
        <w:jc w:val="both"/>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kern w:val="2"/>
          <w:sz w:val="32"/>
          <w:szCs w:val="32"/>
          <w:highlight w:val="none"/>
          <w:lang w:val="en-US" w:eastAsia="zh-CN" w:bidi="ar-SA"/>
        </w:rPr>
        <w:t>1.</w:t>
      </w:r>
      <w:r>
        <w:rPr>
          <w:rFonts w:hint="default" w:ascii="Times New Roman" w:hAnsi="Times New Roman" w:eastAsia="仿宋_GB2312" w:cs="Times New Roman"/>
          <w:b w:val="0"/>
          <w:bCs w:val="0"/>
          <w:color w:val="auto"/>
          <w:sz w:val="32"/>
          <w:szCs w:val="32"/>
          <w:highlight w:val="none"/>
        </w:rPr>
        <w:t>稳产保供坚实有力。</w:t>
      </w:r>
      <w:r>
        <w:rPr>
          <w:rFonts w:hint="default" w:ascii="Times New Roman" w:hAnsi="Times New Roman" w:eastAsia="仿宋_GB2312" w:cs="Times New Roman"/>
          <w:b w:val="0"/>
          <w:bCs w:val="0"/>
          <w:color w:val="000000"/>
          <w:sz w:val="32"/>
          <w:szCs w:val="32"/>
          <w:highlight w:val="none"/>
          <w:lang w:val="en-US" w:eastAsia="zh-CN"/>
        </w:rPr>
        <w:t>一</w:t>
      </w:r>
      <w:r>
        <w:rPr>
          <w:rFonts w:hint="default" w:ascii="Times New Roman" w:hAnsi="Times New Roman" w:eastAsia="仿宋_GB2312" w:cs="Times New Roman"/>
          <w:b w:val="0"/>
          <w:bCs w:val="0"/>
          <w:color w:val="000000"/>
          <w:sz w:val="32"/>
          <w:szCs w:val="32"/>
          <w:highlight w:val="none"/>
        </w:rPr>
        <w:t>是生猪产能调控持续向好。大力夯实国家级、省级生猪产能调控基地，截至当前，累计挂牌国家级、省级生猪产能调控基地1694个（国722、省972），数量居全国前茅。全省能繁母猪存栏</w:t>
      </w:r>
      <w:r>
        <w:rPr>
          <w:rFonts w:hint="default" w:ascii="Times New Roman" w:hAnsi="Times New Roman" w:eastAsia="仿宋_GB2312" w:cs="Times New Roman"/>
          <w:b w:val="0"/>
          <w:bCs w:val="0"/>
          <w:color w:val="000000"/>
          <w:sz w:val="32"/>
          <w:szCs w:val="32"/>
          <w:highlight w:val="none"/>
          <w:lang w:val="en-US" w:eastAsia="zh-CN"/>
        </w:rPr>
        <w:t>350.1</w:t>
      </w:r>
      <w:r>
        <w:rPr>
          <w:rFonts w:hint="default" w:ascii="Times New Roman" w:hAnsi="Times New Roman" w:eastAsia="仿宋_GB2312" w:cs="Times New Roman"/>
          <w:b w:val="0"/>
          <w:bCs w:val="0"/>
          <w:color w:val="000000"/>
          <w:sz w:val="32"/>
          <w:szCs w:val="32"/>
          <w:highlight w:val="none"/>
        </w:rPr>
        <w:t>万头，处于产能调控绿色合理区间。全年出栏生猪超过62</w:t>
      </w:r>
      <w:r>
        <w:rPr>
          <w:rFonts w:hint="default" w:ascii="Times New Roman" w:hAnsi="Times New Roman" w:eastAsia="仿宋_GB2312" w:cs="Times New Roman"/>
          <w:b w:val="0"/>
          <w:bCs w:val="0"/>
          <w:color w:val="000000"/>
          <w:sz w:val="32"/>
          <w:szCs w:val="32"/>
          <w:highlight w:val="none"/>
          <w:lang w:val="en-US" w:eastAsia="zh-CN"/>
        </w:rPr>
        <w:t>86.3</w:t>
      </w:r>
      <w:r>
        <w:rPr>
          <w:rFonts w:hint="default" w:ascii="Times New Roman" w:hAnsi="Times New Roman" w:eastAsia="仿宋_GB2312" w:cs="Times New Roman"/>
          <w:b w:val="0"/>
          <w:bCs w:val="0"/>
          <w:color w:val="000000"/>
          <w:sz w:val="32"/>
          <w:szCs w:val="32"/>
          <w:highlight w:val="none"/>
        </w:rPr>
        <w:t>万头，</w:t>
      </w:r>
      <w:r>
        <w:rPr>
          <w:rFonts w:hint="default" w:ascii="Times New Roman" w:hAnsi="Times New Roman" w:eastAsia="仿宋_GB2312" w:cs="Times New Roman"/>
          <w:b w:val="0"/>
          <w:bCs w:val="0"/>
          <w:color w:val="000000"/>
          <w:sz w:val="32"/>
          <w:szCs w:val="32"/>
          <w:highlight w:val="none"/>
          <w:lang w:val="en-US" w:eastAsia="zh-CN"/>
        </w:rPr>
        <w:t>同</w:t>
      </w:r>
      <w:r>
        <w:rPr>
          <w:rFonts w:hint="default" w:ascii="Times New Roman" w:hAnsi="Times New Roman" w:eastAsia="仿宋_GB2312" w:cs="Times New Roman"/>
          <w:b w:val="0"/>
          <w:bCs w:val="0"/>
          <w:color w:val="000000"/>
          <w:sz w:val="32"/>
          <w:szCs w:val="32"/>
          <w:highlight w:val="none"/>
        </w:rPr>
        <w:t>比增长0.61%，出栏量排名全国第二、中部省份第一。二是草食牧业发展力明显增强。以肉牛肉羊增量提质行动项目、粮改饲项目、奶业新型经营主体培育项目三类项目为抓手，推动全省草食牧业发展。三是水产千亿产业稳步提升。全年各项数据同比均有增长，水产品总产量286</w:t>
      </w:r>
      <w:r>
        <w:rPr>
          <w:rFonts w:hint="default" w:ascii="Times New Roman" w:hAnsi="Times New Roman" w:eastAsia="仿宋_GB2312" w:cs="Times New Roman"/>
          <w:b w:val="0"/>
          <w:bCs w:val="0"/>
          <w:color w:val="000000"/>
          <w:sz w:val="32"/>
          <w:szCs w:val="32"/>
          <w:highlight w:val="none"/>
          <w:lang w:val="en-US" w:eastAsia="zh-CN"/>
        </w:rPr>
        <w:t>.9</w:t>
      </w:r>
      <w:r>
        <w:rPr>
          <w:rFonts w:hint="default" w:ascii="Times New Roman" w:hAnsi="Times New Roman" w:eastAsia="仿宋_GB2312" w:cs="Times New Roman"/>
          <w:b w:val="0"/>
          <w:bCs w:val="0"/>
          <w:color w:val="000000"/>
          <w:sz w:val="32"/>
          <w:szCs w:val="32"/>
          <w:highlight w:val="none"/>
        </w:rPr>
        <w:t>万吨、渔业经济总产值</w:t>
      </w:r>
      <w:r>
        <w:rPr>
          <w:rFonts w:hint="default" w:ascii="Times New Roman" w:hAnsi="Times New Roman" w:eastAsia="仿宋_GB2312" w:cs="Times New Roman"/>
          <w:b w:val="0"/>
          <w:bCs w:val="0"/>
          <w:color w:val="000000"/>
          <w:sz w:val="32"/>
          <w:szCs w:val="32"/>
          <w:highlight w:val="none"/>
          <w:lang w:val="en-US" w:eastAsia="zh-CN"/>
        </w:rPr>
        <w:t>1193.26</w:t>
      </w:r>
      <w:r>
        <w:rPr>
          <w:rFonts w:hint="default" w:ascii="Times New Roman" w:hAnsi="Times New Roman" w:eastAsia="仿宋_GB2312" w:cs="Times New Roman"/>
          <w:b w:val="0"/>
          <w:bCs w:val="0"/>
          <w:color w:val="000000"/>
          <w:sz w:val="32"/>
          <w:szCs w:val="32"/>
          <w:highlight w:val="none"/>
        </w:rPr>
        <w:t>亿元。水产养殖总面积678.26万亩、同比增长0.67%，其中，池塘411.55万亩、占60.68%，湖泊93.28万亩、占13.75%，水库154.58万亩、占22.8%，河沟及其它18.85万亩、占2.79%。年末全省渔业户22.35万户。全省渔民家庭人均纯收入22523元，同比增长2.94%；人均可支配收入21825元，同比增长3.98%。</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Cs/>
          <w:color w:val="000000"/>
          <w:sz w:val="32"/>
          <w:szCs w:val="32"/>
          <w:highlight w:val="none"/>
          <w:lang w:val="en-US" w:eastAsia="zh-CN"/>
        </w:rPr>
        <w:t>2.</w:t>
      </w:r>
      <w:r>
        <w:rPr>
          <w:rFonts w:hint="default" w:ascii="Times New Roman" w:hAnsi="Times New Roman" w:eastAsia="仿宋_GB2312" w:cs="Times New Roman"/>
          <w:bCs/>
          <w:color w:val="000000"/>
          <w:sz w:val="32"/>
          <w:szCs w:val="32"/>
          <w:highlight w:val="none"/>
        </w:rPr>
        <w:t>扎实推进各项工作，取得良显成绩。</w:t>
      </w:r>
      <w:r>
        <w:rPr>
          <w:rFonts w:hint="default" w:ascii="Times New Roman" w:hAnsi="Times New Roman" w:eastAsia="仿宋_GB2312" w:cs="Times New Roman"/>
          <w:sz w:val="32"/>
          <w:szCs w:val="32"/>
          <w:highlight w:val="none"/>
        </w:rPr>
        <w:t>我省畜牧业统计监测工作综合考评排名全国第一；2022年度肉牛肉羊项目、2023年粮改饲项目实施进度全国第一；病死动物无害化处理、水产绿色健康养殖技术推广“五大行动”工作，分别在农业农村部相关会议上作典型发言；率先中南区开展无纸化出具动物A证试点，中南区非洲猪瘟联防联控湖南轮值工作受到部里表扬；在全国家畜繁殖员大赛中获团体第三名，全国动物检疫员大赛2人获三等奖；5人获“神内基金农技推广奖”；遴选推荐南县畜牧水产事务中心、湘阴县水产技术推广站评为全国“2022-2023年度基层水产技术推广体系建设先进单位”。</w:t>
      </w:r>
    </w:p>
    <w:p>
      <w:pPr>
        <w:pStyle w:val="9"/>
        <w:keepNext w:val="0"/>
        <w:keepLines w:val="0"/>
        <w:pageBreakBefore w:val="0"/>
        <w:numPr>
          <w:ilvl w:val="0"/>
          <w:numId w:val="0"/>
        </w:numPr>
        <w:kinsoku/>
        <w:wordWrap/>
        <w:overflowPunct/>
        <w:topLinePunct w:val="0"/>
        <w:bidi w:val="0"/>
        <w:snapToGrid/>
        <w:spacing w:line="360" w:lineRule="auto"/>
        <w:ind w:left="0" w:leftChars="0" w:firstLine="640"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default" w:ascii="Times New Roman" w:hAnsi="Times New Roman" w:eastAsia="仿宋_GB2312" w:cs="Times New Roman"/>
          <w:b w:val="0"/>
          <w:bCs w:val="0"/>
          <w:color w:val="auto"/>
          <w:sz w:val="32"/>
          <w:szCs w:val="32"/>
          <w:highlight w:val="none"/>
          <w:lang w:val="en-US" w:eastAsia="zh-CN"/>
        </w:rPr>
        <w:t>重大动物疫情保持平稳。一是强制免疫全面达标。制订并实施《2023年湖南省动物疫病强制免疫计划》。开发并推广运行“牧运通”免疫板块，加快推进规模养殖场动物强制免疫“先打后补”全覆盖，116个县（市、区）9179个规模场参加“先打后补”，同比增长109%，覆盖面超过95%。全省免疫牲畜口蹄疫7760.71万头、高致病性禽流感5.55 亿羽、小反刍兽疫636.66万只，免疫密度100%。二是水生动物疫病监测加强。开展水产养殖动物病情预测预报、重大水生动物疫病监测、水生动物疫病应急处置及流行病学调查、能力建设和无规定水生动物疫病苗种场创建。推荐4家企业申报全国首批无规定水生动物疫病苗种场。组织湖南水生物病害防治员技能大赛，举办全省水产养殖重点品种监测暨投入品规范使用培训班。三是创建评估深入推进。累计创建国家级非洲猪瘟无疫小区24个，通过省级评估5个，数量排名全国第一。创建生猪屠宰标准化示范场5个。指导督促养殖场、屠宰场、无害化处理场、指定通道等场所建设标准化洗消中心（通道），严格车辆出入清洗消毒。四是宣传培训广泛覆盖。组织举办全省重大动物疫情应急演练活动。举办动物防疫专题培训班5期培训8200人。组织2023年全国（湖南考区）执业兽医资格考试，358人新取得执业资格，全面推广执业兽医资格证书电子证照。首次举办执业兽医继续教育培训班。继续在86个县市区实施动物防疫员特聘计划，招募1133人。举办全省畜禽屠宰标准化示范创建培训班。五是严格屠宰行业管理。制定出台《湖南省畜禽屠宰“严规范 促提升 保安全”三年行动实施方案（2023-2025）》，协助做好屠宰场点审批相关工作，提升行业标准，全省批准新建屠宰企业13家（生猪6家、家禽4家、肉鸽1家、牛羊2家），拆、停、并、转不符合生猪屠宰条件的5家。开展安全生产飞行检查2次，督促屠宰企业严格落实“两项制度”。协助配合相关部门严厉打击生猪私屠滥宰，立案查处私屠滥宰案件71起，捣毁一批私屠滥宰窝点，关停小型屠宰点1个。对20个病原微生物实验室交叉检查。开展兽医诊疗秩序专项整治行动，立案查案23起，有效规范诊疗秩序。</w:t>
      </w:r>
    </w:p>
    <w:p>
      <w:pPr>
        <w:pStyle w:val="9"/>
        <w:keepNext w:val="0"/>
        <w:keepLines w:val="0"/>
        <w:pageBreakBefore w:val="0"/>
        <w:numPr>
          <w:ilvl w:val="0"/>
          <w:numId w:val="0"/>
        </w:numPr>
        <w:kinsoku/>
        <w:wordWrap/>
        <w:overflowPunct/>
        <w:topLinePunct w:val="0"/>
        <w:bidi w:val="0"/>
        <w:snapToGrid/>
        <w:spacing w:line="360" w:lineRule="auto"/>
        <w:ind w:left="0" w:leftChars="0" w:firstLine="640"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kern w:val="0"/>
          <w:sz w:val="32"/>
          <w:szCs w:val="32"/>
          <w:highlight w:val="none"/>
          <w:lang w:val="en-US" w:eastAsia="zh-CN" w:bidi="ar-SA"/>
        </w:rPr>
        <w:t>4.</w:t>
      </w:r>
      <w:r>
        <w:rPr>
          <w:rFonts w:hint="default" w:ascii="Times New Roman" w:hAnsi="Times New Roman" w:eastAsia="仿宋_GB2312" w:cs="Times New Roman"/>
          <w:b w:val="0"/>
          <w:bCs w:val="0"/>
          <w:color w:val="auto"/>
          <w:sz w:val="32"/>
          <w:szCs w:val="32"/>
          <w:highlight w:val="none"/>
          <w:lang w:val="en-US" w:eastAsia="zh-CN"/>
        </w:rPr>
        <w:t>养殖生态环境持续转好。一是推进粪污资源化利用。加快73个畜禽粪污资源化利用整县推进项目建设和验收，加强养殖场粪污处理设施设备运行监管，全省畜禽粪污综合利用率稳定在83%以上、规模场粪污处理设施设备配套率99.6%。组织洞庭湖区12个县实施规模以下畜禽养殖场粪污资源化利用试点。总结推广了一批种养结合、农牧循环新技术新模式。二是加大养殖污染防治。组织实施洞庭湖总磷污染控制与削减攻坚行动，协助“2023夏季攻势”涉养相关工作。协同推进洞庭湖区养殖池塘生态化改造和养殖尾水处理，在6个水产养殖大县开展试点示范，完成湖区水产养殖池塘生态化改造治理任务6.3万亩。继续实施水产绿色健康养殖技术推广“五大行动”，年内创建国家级水产健康养殖和生态养殖示范区6个、122家骨干基地通过省级初审。三是加快绿色渔业发展。推进省级养殖水域滩涂规划矢量数据库建设。协助厅处室起草《关于推进全省稻渔综合种养产业高质量发展的实施意见》《湖南省农业种养结合绿色高质量发展规划》《湖南省现代设施渔业建设三年行动方案（2024-2026年）》，大力推广稻渔综合种养，积极探索大水面生态渔业。配合开展“全国放鱼日”增殖放流活动。</w:t>
      </w:r>
    </w:p>
    <w:p>
      <w:pPr>
        <w:pStyle w:val="15"/>
        <w:numPr>
          <w:ilvl w:val="0"/>
          <w:numId w:val="2"/>
        </w:numPr>
        <w:ind w:firstLine="640" w:firstLineChars="200"/>
        <w:jc w:val="both"/>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bCs/>
          <w:sz w:val="32"/>
          <w:szCs w:val="32"/>
          <w:highlight w:val="none"/>
          <w:lang w:val="en-US" w:eastAsia="zh-CN"/>
        </w:rPr>
        <w:t>绩效自评结果</w:t>
      </w:r>
    </w:p>
    <w:p>
      <w:pPr>
        <w:spacing w:line="50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202</w:t>
      </w:r>
      <w:r>
        <w:rPr>
          <w:rFonts w:hint="default" w:ascii="Times New Roman" w:hAnsi="Times New Roman" w:eastAsia="仿宋_GB2312" w:cs="Times New Roman"/>
          <w:color w:val="000000"/>
          <w:sz w:val="32"/>
          <w:szCs w:val="32"/>
          <w:highlight w:val="none"/>
          <w:lang w:val="en-US" w:eastAsia="zh-CN"/>
        </w:rPr>
        <w:t>3</w:t>
      </w:r>
      <w:r>
        <w:rPr>
          <w:rFonts w:hint="default" w:ascii="Times New Roman" w:hAnsi="Times New Roman" w:eastAsia="仿宋_GB2312" w:cs="Times New Roman"/>
          <w:color w:val="000000"/>
          <w:sz w:val="32"/>
          <w:szCs w:val="32"/>
          <w:highlight w:val="none"/>
        </w:rPr>
        <w:t>年，我中心部门整体支出符合《预算法》，符合行业发展的需要，在部门整体支出的安排、管理、评价环节做到了严谨、科学、合理，资金使用管理规范，各项工作务实、高效。</w:t>
      </w:r>
    </w:p>
    <w:p>
      <w:pPr>
        <w:spacing w:line="500" w:lineRule="exact"/>
        <w:rPr>
          <w:rFonts w:hint="default" w:ascii="Times New Roman" w:hAnsi="Times New Roman" w:eastAsia="仿宋_GB2312" w:cs="Times New Roman"/>
          <w:color w:val="000000"/>
          <w:sz w:val="32"/>
          <w:szCs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hint="default" w:ascii="Times New Roman" w:hAnsi="Times New Roman" w:eastAsia="仿宋" w:cs="Times New Roman"/>
          <w:color w:val="000000"/>
          <w:sz w:val="32"/>
          <w:highlight w:val="none"/>
        </w:rPr>
      </w:pPr>
    </w:p>
    <w:p>
      <w:pPr>
        <w:spacing w:line="500" w:lineRule="exact"/>
        <w:rPr>
          <w:rFonts w:eastAsia="黑体"/>
          <w:color w:val="000000"/>
          <w:kern w:val="0"/>
          <w:sz w:val="32"/>
          <w:szCs w:val="32"/>
          <w:highlight w:val="none"/>
        </w:rPr>
      </w:pPr>
    </w:p>
    <w:p>
      <w:pPr>
        <w:spacing w:line="500" w:lineRule="exact"/>
        <w:rPr>
          <w:rFonts w:eastAsia="黑体"/>
          <w:color w:val="000000"/>
          <w:kern w:val="0"/>
          <w:sz w:val="32"/>
          <w:szCs w:val="32"/>
          <w:highlight w:val="none"/>
        </w:rPr>
      </w:pPr>
      <w:r>
        <w:rPr>
          <w:rFonts w:eastAsia="黑体"/>
          <w:color w:val="000000"/>
          <w:kern w:val="0"/>
          <w:sz w:val="32"/>
          <w:szCs w:val="32"/>
          <w:highlight w:val="none"/>
        </w:rPr>
        <w:t>附表1</w:t>
      </w:r>
    </w:p>
    <w:p>
      <w:pPr>
        <w:spacing w:line="500" w:lineRule="exact"/>
        <w:jc w:val="center"/>
        <w:rPr>
          <w:rFonts w:eastAsia="方正小标宋_GBK"/>
          <w:b/>
          <w:kern w:val="0"/>
          <w:sz w:val="36"/>
          <w:szCs w:val="36"/>
          <w:highlight w:val="none"/>
        </w:rPr>
      </w:pPr>
      <w:r>
        <w:rPr>
          <w:rFonts w:eastAsia="方正小标宋_GBK"/>
          <w:b/>
          <w:kern w:val="0"/>
          <w:sz w:val="36"/>
          <w:szCs w:val="36"/>
          <w:highlight w:val="none"/>
        </w:rPr>
        <w:t>部门整体支出绩效评价基础数据表</w:t>
      </w:r>
    </w:p>
    <w:p>
      <w:pPr>
        <w:spacing w:line="500" w:lineRule="exact"/>
        <w:rPr>
          <w:rFonts w:hint="default" w:eastAsia="方正小标宋_GBK"/>
          <w:color w:val="000000"/>
          <w:kern w:val="0"/>
          <w:sz w:val="24"/>
          <w:highlight w:val="none"/>
          <w:lang w:val="en-US" w:eastAsia="zh-CN"/>
        </w:rPr>
      </w:pPr>
      <w:r>
        <w:rPr>
          <w:rFonts w:eastAsia="方正小标宋_GBK"/>
          <w:color w:val="000000"/>
          <w:kern w:val="0"/>
          <w:sz w:val="24"/>
          <w:highlight w:val="none"/>
        </w:rPr>
        <w:t>填报部门:</w:t>
      </w:r>
      <w:r>
        <w:rPr>
          <w:rFonts w:hint="eastAsia" w:eastAsia="方正小标宋_GBK"/>
          <w:color w:val="000000"/>
          <w:kern w:val="0"/>
          <w:sz w:val="24"/>
          <w:highlight w:val="none"/>
          <w:lang w:val="en-US" w:eastAsia="zh-CN"/>
        </w:rPr>
        <w:t>湖南省畜牧水产事务中心</w:t>
      </w:r>
    </w:p>
    <w:tbl>
      <w:tblPr>
        <w:tblStyle w:val="11"/>
        <w:tblW w:w="10490" w:type="dxa"/>
        <w:jc w:val="center"/>
        <w:tblInd w:w="0" w:type="dxa"/>
        <w:tblLayout w:type="fixed"/>
        <w:tblCellMar>
          <w:top w:w="0" w:type="dxa"/>
          <w:left w:w="108" w:type="dxa"/>
          <w:bottom w:w="0" w:type="dxa"/>
          <w:right w:w="108" w:type="dxa"/>
        </w:tblCellMar>
      </w:tblPr>
      <w:tblGrid>
        <w:gridCol w:w="3125"/>
        <w:gridCol w:w="1260"/>
        <w:gridCol w:w="1260"/>
        <w:gridCol w:w="1155"/>
        <w:gridCol w:w="1470"/>
        <w:gridCol w:w="1155"/>
        <w:gridCol w:w="1065"/>
      </w:tblGrid>
      <w:tr>
        <w:tblPrEx>
          <w:tblLayout w:type="fixed"/>
          <w:tblCellMar>
            <w:top w:w="0" w:type="dxa"/>
            <w:left w:w="108" w:type="dxa"/>
            <w:bottom w:w="0" w:type="dxa"/>
            <w:right w:w="108" w:type="dxa"/>
          </w:tblCellMar>
        </w:tblPrEx>
        <w:trPr>
          <w:cantSplit/>
          <w:trHeight w:val="518" w:hRule="atLeast"/>
          <w:jc w:val="center"/>
        </w:trPr>
        <w:tc>
          <w:tcPr>
            <w:tcW w:w="312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color w:val="000000"/>
                <w:kern w:val="0"/>
                <w:szCs w:val="21"/>
                <w:highlight w:val="none"/>
              </w:rPr>
            </w:pPr>
            <w:r>
              <w:rPr>
                <w:color w:val="000000"/>
                <w:kern w:val="0"/>
                <w:szCs w:val="21"/>
                <w:highlight w:val="none"/>
              </w:rPr>
              <w:t>财政供养人员情况</w:t>
            </w:r>
          </w:p>
        </w:tc>
        <w:tc>
          <w:tcPr>
            <w:tcW w:w="2520" w:type="dxa"/>
            <w:gridSpan w:val="2"/>
            <w:tcBorders>
              <w:top w:val="single" w:color="auto" w:sz="4" w:space="0"/>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编制数</w:t>
            </w:r>
          </w:p>
        </w:tc>
        <w:tc>
          <w:tcPr>
            <w:tcW w:w="2625" w:type="dxa"/>
            <w:gridSpan w:val="2"/>
            <w:tcBorders>
              <w:top w:val="single" w:color="auto" w:sz="4" w:space="0"/>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20</w:t>
            </w:r>
            <w:r>
              <w:rPr>
                <w:rFonts w:hint="eastAsia"/>
                <w:b/>
                <w:bCs/>
                <w:color w:val="000000"/>
                <w:kern w:val="0"/>
                <w:szCs w:val="21"/>
                <w:highlight w:val="none"/>
              </w:rPr>
              <w:t>2</w:t>
            </w:r>
            <w:r>
              <w:rPr>
                <w:rFonts w:hint="eastAsia"/>
                <w:b/>
                <w:bCs/>
                <w:color w:val="000000"/>
                <w:kern w:val="0"/>
                <w:szCs w:val="21"/>
                <w:highlight w:val="none"/>
                <w:lang w:val="en-US" w:eastAsia="zh-CN"/>
              </w:rPr>
              <w:t>3</w:t>
            </w:r>
            <w:r>
              <w:rPr>
                <w:b/>
                <w:bCs/>
                <w:color w:val="000000"/>
                <w:kern w:val="0"/>
                <w:szCs w:val="21"/>
                <w:highlight w:val="none"/>
              </w:rPr>
              <w:t>年实际在职人数</w:t>
            </w:r>
          </w:p>
        </w:tc>
        <w:tc>
          <w:tcPr>
            <w:tcW w:w="2220" w:type="dxa"/>
            <w:gridSpan w:val="2"/>
            <w:tcBorders>
              <w:top w:val="single" w:color="auto" w:sz="4" w:space="0"/>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控制率</w:t>
            </w:r>
          </w:p>
        </w:tc>
      </w:tr>
      <w:tr>
        <w:tblPrEx>
          <w:tblLayout w:type="fixed"/>
          <w:tblCellMar>
            <w:top w:w="0" w:type="dxa"/>
            <w:left w:w="108" w:type="dxa"/>
            <w:bottom w:w="0" w:type="dxa"/>
            <w:right w:w="108" w:type="dxa"/>
          </w:tblCellMar>
        </w:tblPrEx>
        <w:trPr>
          <w:cantSplit/>
          <w:trHeight w:val="454" w:hRule="atLeast"/>
          <w:jc w:val="center"/>
        </w:trPr>
        <w:tc>
          <w:tcPr>
            <w:tcW w:w="31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p>
        </w:tc>
        <w:tc>
          <w:tcPr>
            <w:tcW w:w="2520" w:type="dxa"/>
            <w:gridSpan w:val="2"/>
            <w:tcBorders>
              <w:top w:val="single" w:color="auto" w:sz="4" w:space="0"/>
              <w:left w:val="nil"/>
              <w:bottom w:val="single" w:color="auto" w:sz="4" w:space="0"/>
              <w:right w:val="single" w:color="auto" w:sz="4" w:space="0"/>
            </w:tcBorders>
            <w:noWrap w:val="0"/>
            <w:vAlign w:val="center"/>
          </w:tcPr>
          <w:p>
            <w:pPr>
              <w:widowControl/>
              <w:spacing w:line="440" w:lineRule="exact"/>
              <w:jc w:val="center"/>
              <w:rPr>
                <w:color w:val="000000"/>
                <w:kern w:val="0"/>
                <w:szCs w:val="21"/>
                <w:highlight w:val="none"/>
              </w:rPr>
            </w:pPr>
            <w:r>
              <w:rPr>
                <w:rFonts w:hint="eastAsia"/>
                <w:color w:val="000000"/>
                <w:kern w:val="0"/>
                <w:szCs w:val="21"/>
                <w:highlight w:val="none"/>
              </w:rPr>
              <w:t>113</w:t>
            </w:r>
          </w:p>
        </w:tc>
        <w:tc>
          <w:tcPr>
            <w:tcW w:w="2625" w:type="dxa"/>
            <w:gridSpan w:val="2"/>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color w:val="000000"/>
                <w:kern w:val="0"/>
                <w:szCs w:val="21"/>
                <w:highlight w:val="none"/>
              </w:rPr>
              <w:t>　</w:t>
            </w:r>
            <w:r>
              <w:rPr>
                <w:rFonts w:hint="eastAsia"/>
                <w:color w:val="000000"/>
                <w:kern w:val="0"/>
                <w:szCs w:val="21"/>
                <w:highlight w:val="none"/>
                <w:lang w:val="en-US" w:eastAsia="zh-CN"/>
              </w:rPr>
              <w:t>104</w:t>
            </w:r>
          </w:p>
        </w:tc>
        <w:tc>
          <w:tcPr>
            <w:tcW w:w="2220" w:type="dxa"/>
            <w:gridSpan w:val="2"/>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color w:val="000000"/>
                <w:kern w:val="0"/>
                <w:szCs w:val="21"/>
                <w:highlight w:val="none"/>
              </w:rPr>
              <w:t>　</w:t>
            </w:r>
            <w:r>
              <w:rPr>
                <w:rFonts w:hint="eastAsia"/>
                <w:color w:val="000000"/>
                <w:kern w:val="0"/>
                <w:szCs w:val="21"/>
                <w:highlight w:val="none"/>
                <w:lang w:val="en-US" w:eastAsia="zh-CN"/>
              </w:rPr>
              <w:t>92.04%</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color w:val="000000"/>
                <w:kern w:val="0"/>
                <w:szCs w:val="21"/>
                <w:highlight w:val="none"/>
              </w:rPr>
            </w:pPr>
            <w:r>
              <w:rPr>
                <w:color w:val="000000"/>
                <w:kern w:val="0"/>
                <w:szCs w:val="21"/>
                <w:highlight w:val="none"/>
              </w:rPr>
              <w:t>经费控制情况</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20</w:t>
            </w:r>
            <w:r>
              <w:rPr>
                <w:rFonts w:hint="eastAsia"/>
                <w:b/>
                <w:bCs/>
                <w:color w:val="000000"/>
                <w:kern w:val="0"/>
                <w:szCs w:val="21"/>
                <w:highlight w:val="none"/>
                <w:lang w:val="en-US" w:eastAsia="zh-CN"/>
              </w:rPr>
              <w:t>22</w:t>
            </w:r>
            <w:r>
              <w:rPr>
                <w:b/>
                <w:bCs/>
                <w:color w:val="000000"/>
                <w:kern w:val="0"/>
                <w:szCs w:val="21"/>
                <w:highlight w:val="none"/>
              </w:rPr>
              <w:t>年决算数</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20</w:t>
            </w:r>
            <w:r>
              <w:rPr>
                <w:rFonts w:hint="eastAsia"/>
                <w:b/>
                <w:bCs/>
                <w:color w:val="000000"/>
                <w:kern w:val="0"/>
                <w:szCs w:val="21"/>
                <w:highlight w:val="none"/>
              </w:rPr>
              <w:t>2</w:t>
            </w:r>
            <w:r>
              <w:rPr>
                <w:rFonts w:hint="eastAsia"/>
                <w:b/>
                <w:bCs/>
                <w:color w:val="000000"/>
                <w:kern w:val="0"/>
                <w:szCs w:val="21"/>
                <w:highlight w:val="none"/>
                <w:lang w:val="en-US" w:eastAsia="zh-CN"/>
              </w:rPr>
              <w:t>3</w:t>
            </w:r>
            <w:r>
              <w:rPr>
                <w:b/>
                <w:bCs/>
                <w:color w:val="000000"/>
                <w:kern w:val="0"/>
                <w:szCs w:val="21"/>
                <w:highlight w:val="none"/>
              </w:rPr>
              <w:t>年预算数</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b/>
                <w:bCs/>
                <w:color w:val="C00000"/>
                <w:kern w:val="0"/>
                <w:szCs w:val="21"/>
                <w:highlight w:val="none"/>
              </w:rPr>
            </w:pPr>
            <w:r>
              <w:rPr>
                <w:b/>
                <w:bCs/>
                <w:color w:val="000000"/>
                <w:kern w:val="0"/>
                <w:szCs w:val="21"/>
                <w:highlight w:val="none"/>
              </w:rPr>
              <w:t>20</w:t>
            </w:r>
            <w:r>
              <w:rPr>
                <w:rFonts w:hint="eastAsia"/>
                <w:b/>
                <w:bCs/>
                <w:color w:val="000000"/>
                <w:kern w:val="0"/>
                <w:szCs w:val="21"/>
                <w:highlight w:val="none"/>
              </w:rPr>
              <w:t>2</w:t>
            </w:r>
            <w:r>
              <w:rPr>
                <w:rFonts w:hint="eastAsia"/>
                <w:b/>
                <w:bCs/>
                <w:color w:val="000000"/>
                <w:kern w:val="0"/>
                <w:szCs w:val="21"/>
                <w:highlight w:val="none"/>
                <w:lang w:val="en-US" w:eastAsia="zh-CN"/>
              </w:rPr>
              <w:t>3</w:t>
            </w:r>
            <w:r>
              <w:rPr>
                <w:b/>
                <w:bCs/>
                <w:color w:val="000000"/>
                <w:kern w:val="0"/>
                <w:szCs w:val="21"/>
                <w:highlight w:val="none"/>
              </w:rPr>
              <w:t>年决算数</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三公经费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32.04</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103</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51.62</w:t>
            </w:r>
          </w:p>
        </w:tc>
      </w:tr>
      <w:tr>
        <w:tblPrEx>
          <w:tblLayout w:type="fixed"/>
          <w:tblCellMar>
            <w:top w:w="0" w:type="dxa"/>
            <w:left w:w="108" w:type="dxa"/>
            <w:bottom w:w="0" w:type="dxa"/>
            <w:right w:w="108" w:type="dxa"/>
          </w:tblCellMar>
        </w:tblPrEx>
        <w:trPr>
          <w:trHeight w:val="39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1、公务用车购置和维护经费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31.17</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70</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49.72</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其中：公车购置</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val="en-US" w:eastAsia="zh-CN"/>
              </w:rPr>
            </w:pPr>
            <w:r>
              <w:rPr>
                <w:rFonts w:hint="eastAsia"/>
                <w:color w:val="000000"/>
                <w:kern w:val="0"/>
                <w:szCs w:val="21"/>
                <w:highlight w:val="none"/>
                <w:lang w:val="en-US" w:eastAsia="zh-CN"/>
              </w:rPr>
              <w:t>0</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18</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17.98</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公车运行维护</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31.17</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52</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31.74</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2、出国经费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val="en-US" w:eastAsia="zh-CN"/>
              </w:rPr>
            </w:pPr>
            <w:r>
              <w:rPr>
                <w:rFonts w:hint="eastAsia"/>
                <w:color w:val="000000"/>
                <w:kern w:val="0"/>
                <w:szCs w:val="21"/>
                <w:highlight w:val="none"/>
                <w:lang w:val="en-US" w:eastAsia="zh-CN"/>
              </w:rPr>
              <w:t>0</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13</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val="en-US" w:eastAsia="zh-CN"/>
              </w:rPr>
            </w:pPr>
            <w:r>
              <w:rPr>
                <w:rFonts w:hint="eastAsia"/>
                <w:color w:val="000000"/>
                <w:kern w:val="0"/>
                <w:szCs w:val="21"/>
                <w:highlight w:val="none"/>
                <w:lang w:val="en-US" w:eastAsia="zh-CN"/>
              </w:rPr>
              <w:t>0</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3、公务接待</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0.87</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20</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1.9</w:t>
            </w:r>
          </w:p>
        </w:tc>
      </w:tr>
      <w:tr>
        <w:tblPrEx>
          <w:tblLayout w:type="fixed"/>
          <w:tblCellMar>
            <w:top w:w="0" w:type="dxa"/>
            <w:left w:w="108" w:type="dxa"/>
            <w:bottom w:w="0" w:type="dxa"/>
            <w:right w:w="108" w:type="dxa"/>
          </w:tblCellMar>
        </w:tblPrEx>
        <w:trPr>
          <w:trHeight w:val="39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项目支出：</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color w:val="000000"/>
                <w:kern w:val="0"/>
                <w:szCs w:val="21"/>
                <w:highlight w:val="none"/>
              </w:rPr>
            </w:pP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color w:val="000000"/>
                <w:kern w:val="0"/>
                <w:szCs w:val="21"/>
                <w:highlight w:val="none"/>
              </w:rPr>
            </w:pP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color w:val="000000"/>
                <w:kern w:val="0"/>
                <w:szCs w:val="21"/>
                <w:highlight w:val="none"/>
              </w:rPr>
            </w:pP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1、业务工作专项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45.44</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50</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42.8</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2、运行维护专项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val="en-US" w:eastAsia="zh-CN"/>
              </w:rPr>
            </w:pPr>
            <w:r>
              <w:rPr>
                <w:rFonts w:hint="eastAsia"/>
                <w:color w:val="000000"/>
                <w:kern w:val="0"/>
                <w:szCs w:val="21"/>
                <w:highlight w:val="none"/>
                <w:lang w:val="en-US" w:eastAsia="zh-CN"/>
              </w:rPr>
              <w:t>0</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31</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17.98</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公用经费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color w:val="000000"/>
                <w:kern w:val="0"/>
                <w:szCs w:val="21"/>
                <w:highlight w:val="none"/>
              </w:rPr>
            </w:pP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color w:val="000000"/>
                <w:kern w:val="0"/>
                <w:szCs w:val="21"/>
                <w:highlight w:val="none"/>
              </w:rPr>
            </w:pP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color w:val="000000"/>
                <w:kern w:val="0"/>
                <w:szCs w:val="21"/>
                <w:highlight w:val="none"/>
              </w:rPr>
            </w:pPr>
          </w:p>
        </w:tc>
      </w:tr>
      <w:tr>
        <w:tblPrEx>
          <w:tblLayout w:type="fixed"/>
          <w:tblCellMar>
            <w:top w:w="0" w:type="dxa"/>
            <w:left w:w="108" w:type="dxa"/>
            <w:bottom w:w="0" w:type="dxa"/>
            <w:right w:w="108" w:type="dxa"/>
          </w:tblCellMar>
        </w:tblPrEx>
        <w:trPr>
          <w:trHeight w:val="39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其中：办公经费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322.27</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361</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338.32</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水费、电费、差旅费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140.29</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155</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151.46</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 xml:space="preserve">          会议费、培训费</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0.21</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25</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6.65</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政府采购金额</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8885.68</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color w:val="000000"/>
                <w:kern w:val="0"/>
                <w:szCs w:val="21"/>
                <w:highlight w:val="none"/>
                <w:lang w:val="en-US" w:eastAsia="zh-CN"/>
              </w:rPr>
            </w:pPr>
            <w:r>
              <w:rPr>
                <w:rFonts w:hint="eastAsia"/>
                <w:color w:val="000000"/>
                <w:kern w:val="0"/>
                <w:szCs w:val="21"/>
                <w:highlight w:val="none"/>
                <w:lang w:val="en-US" w:eastAsia="zh-CN"/>
              </w:rPr>
              <w:t>4794</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default" w:eastAsia="宋体"/>
                <w:kern w:val="0"/>
                <w:szCs w:val="21"/>
                <w:highlight w:val="none"/>
                <w:lang w:val="en-US" w:eastAsia="zh-CN"/>
              </w:rPr>
            </w:pPr>
            <w:r>
              <w:rPr>
                <w:rFonts w:hint="eastAsia"/>
                <w:kern w:val="0"/>
                <w:szCs w:val="21"/>
                <w:highlight w:val="none"/>
                <w:lang w:val="en-US" w:eastAsia="zh-CN"/>
              </w:rPr>
              <w:t>5189.93</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r>
              <w:rPr>
                <w:color w:val="000000"/>
                <w:kern w:val="0"/>
                <w:szCs w:val="21"/>
                <w:highlight w:val="none"/>
              </w:rPr>
              <w:t>部门</w:t>
            </w:r>
            <w:r>
              <w:rPr>
                <w:rFonts w:hint="eastAsia"/>
                <w:color w:val="000000"/>
                <w:kern w:val="0"/>
                <w:szCs w:val="21"/>
                <w:highlight w:val="none"/>
                <w:lang w:val="en-US" w:eastAsia="zh-CN"/>
              </w:rPr>
              <w:t>基本</w:t>
            </w:r>
            <w:r>
              <w:rPr>
                <w:color w:val="000000"/>
                <w:kern w:val="0"/>
                <w:szCs w:val="21"/>
                <w:highlight w:val="none"/>
              </w:rPr>
              <w:t xml:space="preserve">支出预算调整 </w:t>
            </w:r>
          </w:p>
        </w:tc>
        <w:tc>
          <w:tcPr>
            <w:tcW w:w="25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c>
          <w:tcPr>
            <w:tcW w:w="2625"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c>
          <w:tcPr>
            <w:tcW w:w="2220" w:type="dxa"/>
            <w:gridSpan w:val="2"/>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r>
      <w:tr>
        <w:tblPrEx>
          <w:tblLayout w:type="fixed"/>
          <w:tblCellMar>
            <w:top w:w="0" w:type="dxa"/>
            <w:left w:w="108" w:type="dxa"/>
            <w:bottom w:w="0" w:type="dxa"/>
            <w:right w:w="108" w:type="dxa"/>
          </w:tblCellMar>
        </w:tblPrEx>
        <w:trPr>
          <w:cantSplit/>
          <w:trHeight w:val="893" w:hRule="atLeast"/>
          <w:jc w:val="center"/>
        </w:trPr>
        <w:tc>
          <w:tcPr>
            <w:tcW w:w="3125" w:type="dxa"/>
            <w:vMerge w:val="restart"/>
            <w:tcBorders>
              <w:top w:val="nil"/>
              <w:left w:val="single" w:color="auto" w:sz="4" w:space="0"/>
              <w:bottom w:val="single" w:color="auto" w:sz="4" w:space="0"/>
              <w:right w:val="single" w:color="auto" w:sz="4" w:space="0"/>
            </w:tcBorders>
            <w:noWrap w:val="0"/>
            <w:vAlign w:val="center"/>
          </w:tcPr>
          <w:p>
            <w:pPr>
              <w:widowControl/>
              <w:spacing w:line="440" w:lineRule="exact"/>
              <w:jc w:val="center"/>
              <w:rPr>
                <w:color w:val="000000"/>
                <w:kern w:val="0"/>
                <w:szCs w:val="21"/>
                <w:highlight w:val="none"/>
              </w:rPr>
            </w:pPr>
            <w:r>
              <w:rPr>
                <w:color w:val="000000"/>
                <w:kern w:val="0"/>
                <w:szCs w:val="21"/>
                <w:highlight w:val="none"/>
              </w:rPr>
              <w:t>楼堂馆所控制情况</w:t>
            </w:r>
            <w:r>
              <w:rPr>
                <w:color w:val="000000"/>
                <w:kern w:val="0"/>
                <w:szCs w:val="21"/>
                <w:highlight w:val="none"/>
              </w:rPr>
              <w:br w:type="textWrapping"/>
            </w:r>
            <w:r>
              <w:rPr>
                <w:color w:val="000000"/>
                <w:kern w:val="0"/>
                <w:szCs w:val="21"/>
                <w:highlight w:val="none"/>
              </w:rPr>
              <w:t>（</w:t>
            </w:r>
            <w:r>
              <w:rPr>
                <w:rFonts w:hint="eastAsia"/>
                <w:color w:val="000000"/>
                <w:kern w:val="0"/>
                <w:szCs w:val="21"/>
                <w:highlight w:val="none"/>
              </w:rPr>
              <w:t>202</w:t>
            </w:r>
            <w:r>
              <w:rPr>
                <w:rFonts w:hint="eastAsia"/>
                <w:color w:val="000000"/>
                <w:kern w:val="0"/>
                <w:szCs w:val="21"/>
                <w:highlight w:val="none"/>
                <w:lang w:val="en-US" w:eastAsia="zh-CN"/>
              </w:rPr>
              <w:t>3</w:t>
            </w:r>
            <w:r>
              <w:rPr>
                <w:color w:val="000000"/>
                <w:kern w:val="0"/>
                <w:szCs w:val="21"/>
                <w:highlight w:val="none"/>
              </w:rPr>
              <w:t>年完工项目）</w:t>
            </w:r>
          </w:p>
        </w:tc>
        <w:tc>
          <w:tcPr>
            <w:tcW w:w="1260" w:type="dxa"/>
            <w:tcBorders>
              <w:top w:val="nil"/>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批复规模</w:t>
            </w:r>
            <w:r>
              <w:rPr>
                <w:b/>
                <w:bCs/>
                <w:color w:val="000000"/>
                <w:kern w:val="0"/>
                <w:szCs w:val="21"/>
                <w:highlight w:val="none"/>
              </w:rPr>
              <w:br w:type="textWrapping"/>
            </w:r>
            <w:r>
              <w:rPr>
                <w:b/>
                <w:bCs/>
                <w:color w:val="000000"/>
                <w:kern w:val="0"/>
                <w:szCs w:val="21"/>
                <w:highlight w:val="none"/>
              </w:rPr>
              <w:t>（㎡）</w:t>
            </w:r>
          </w:p>
        </w:tc>
        <w:tc>
          <w:tcPr>
            <w:tcW w:w="1260" w:type="dxa"/>
            <w:tcBorders>
              <w:top w:val="nil"/>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实际规模</w:t>
            </w:r>
            <w:r>
              <w:rPr>
                <w:b/>
                <w:bCs/>
                <w:color w:val="000000"/>
                <w:kern w:val="0"/>
                <w:szCs w:val="21"/>
                <w:highlight w:val="none"/>
              </w:rPr>
              <w:br w:type="textWrapping"/>
            </w:r>
            <w:r>
              <w:rPr>
                <w:b/>
                <w:bCs/>
                <w:color w:val="000000"/>
                <w:kern w:val="0"/>
                <w:szCs w:val="21"/>
                <w:highlight w:val="none"/>
              </w:rPr>
              <w:t>（㎡）</w:t>
            </w:r>
          </w:p>
        </w:tc>
        <w:tc>
          <w:tcPr>
            <w:tcW w:w="1155" w:type="dxa"/>
            <w:tcBorders>
              <w:top w:val="nil"/>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规模控制率</w:t>
            </w:r>
          </w:p>
        </w:tc>
        <w:tc>
          <w:tcPr>
            <w:tcW w:w="1470" w:type="dxa"/>
            <w:tcBorders>
              <w:top w:val="nil"/>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预算投资</w:t>
            </w:r>
            <w:r>
              <w:rPr>
                <w:b/>
                <w:bCs/>
                <w:color w:val="000000"/>
                <w:kern w:val="0"/>
                <w:szCs w:val="21"/>
                <w:highlight w:val="none"/>
              </w:rPr>
              <w:br w:type="textWrapping"/>
            </w:r>
            <w:r>
              <w:rPr>
                <w:b/>
                <w:bCs/>
                <w:color w:val="000000"/>
                <w:kern w:val="0"/>
                <w:szCs w:val="21"/>
                <w:highlight w:val="none"/>
              </w:rPr>
              <w:t>（万元）</w:t>
            </w:r>
          </w:p>
        </w:tc>
        <w:tc>
          <w:tcPr>
            <w:tcW w:w="1155" w:type="dxa"/>
            <w:tcBorders>
              <w:top w:val="nil"/>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实际投资</w:t>
            </w:r>
            <w:r>
              <w:rPr>
                <w:b/>
                <w:bCs/>
                <w:color w:val="000000"/>
                <w:kern w:val="0"/>
                <w:szCs w:val="21"/>
                <w:highlight w:val="none"/>
              </w:rPr>
              <w:br w:type="textWrapping"/>
            </w:r>
            <w:r>
              <w:rPr>
                <w:b/>
                <w:bCs/>
                <w:color w:val="000000"/>
                <w:kern w:val="0"/>
                <w:szCs w:val="21"/>
                <w:highlight w:val="none"/>
              </w:rPr>
              <w:t>（万元）</w:t>
            </w:r>
          </w:p>
        </w:tc>
        <w:tc>
          <w:tcPr>
            <w:tcW w:w="1065" w:type="dxa"/>
            <w:tcBorders>
              <w:top w:val="nil"/>
              <w:left w:val="nil"/>
              <w:bottom w:val="single" w:color="auto" w:sz="4" w:space="0"/>
              <w:right w:val="single" w:color="auto" w:sz="4" w:space="0"/>
            </w:tcBorders>
            <w:noWrap w:val="0"/>
            <w:vAlign w:val="center"/>
          </w:tcPr>
          <w:p>
            <w:pPr>
              <w:widowControl/>
              <w:spacing w:line="440" w:lineRule="exact"/>
              <w:jc w:val="center"/>
              <w:rPr>
                <w:b/>
                <w:bCs/>
                <w:color w:val="000000"/>
                <w:kern w:val="0"/>
                <w:szCs w:val="21"/>
                <w:highlight w:val="none"/>
              </w:rPr>
            </w:pPr>
            <w:r>
              <w:rPr>
                <w:b/>
                <w:bCs/>
                <w:color w:val="000000"/>
                <w:kern w:val="0"/>
                <w:szCs w:val="21"/>
                <w:highlight w:val="none"/>
              </w:rPr>
              <w:t>投资概算控制率</w:t>
            </w:r>
          </w:p>
        </w:tc>
      </w:tr>
      <w:tr>
        <w:tblPrEx>
          <w:tblLayout w:type="fixed"/>
          <w:tblCellMar>
            <w:top w:w="0" w:type="dxa"/>
            <w:left w:w="108" w:type="dxa"/>
            <w:bottom w:w="0" w:type="dxa"/>
            <w:right w:w="108" w:type="dxa"/>
          </w:tblCellMar>
        </w:tblPrEx>
        <w:trPr>
          <w:cantSplit/>
          <w:trHeight w:val="270" w:hRule="atLeast"/>
          <w:jc w:val="center"/>
        </w:trPr>
        <w:tc>
          <w:tcPr>
            <w:tcW w:w="3125" w:type="dxa"/>
            <w:vMerge w:val="continue"/>
            <w:tcBorders>
              <w:top w:val="nil"/>
              <w:left w:val="single" w:color="auto" w:sz="4" w:space="0"/>
              <w:bottom w:val="single" w:color="auto" w:sz="4" w:space="0"/>
              <w:right w:val="single" w:color="auto" w:sz="4" w:space="0"/>
            </w:tcBorders>
            <w:noWrap w:val="0"/>
            <w:vAlign w:val="center"/>
          </w:tcPr>
          <w:p>
            <w:pPr>
              <w:widowControl/>
              <w:spacing w:line="440" w:lineRule="exact"/>
              <w:jc w:val="left"/>
              <w:rPr>
                <w:color w:val="000000"/>
                <w:kern w:val="0"/>
                <w:szCs w:val="21"/>
                <w:highlight w:val="none"/>
              </w:rPr>
            </w:pPr>
          </w:p>
        </w:tc>
        <w:tc>
          <w:tcPr>
            <w:tcW w:w="1260"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c>
          <w:tcPr>
            <w:tcW w:w="1260"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c>
          <w:tcPr>
            <w:tcW w:w="1155"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c>
          <w:tcPr>
            <w:tcW w:w="1470"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c>
          <w:tcPr>
            <w:tcW w:w="1155"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c>
          <w:tcPr>
            <w:tcW w:w="1065" w:type="dxa"/>
            <w:tcBorders>
              <w:top w:val="nil"/>
              <w:left w:val="nil"/>
              <w:bottom w:val="single" w:color="auto" w:sz="4" w:space="0"/>
              <w:right w:val="single" w:color="auto" w:sz="4" w:space="0"/>
            </w:tcBorders>
            <w:noWrap w:val="0"/>
            <w:vAlign w:val="center"/>
          </w:tcPr>
          <w:p>
            <w:pPr>
              <w:widowControl/>
              <w:spacing w:line="440" w:lineRule="exact"/>
              <w:jc w:val="center"/>
              <w:rPr>
                <w:rFonts w:hint="eastAsia" w:eastAsia="宋体"/>
                <w:color w:val="000000"/>
                <w:kern w:val="0"/>
                <w:szCs w:val="21"/>
                <w:highlight w:val="none"/>
                <w:lang w:eastAsia="zh-CN"/>
              </w:rPr>
            </w:pPr>
            <w:r>
              <w:rPr>
                <w:rFonts w:hint="eastAsia"/>
                <w:color w:val="000000"/>
                <w:kern w:val="0"/>
                <w:szCs w:val="21"/>
                <w:highlight w:val="none"/>
                <w:lang w:eastAsia="zh-CN"/>
              </w:rPr>
              <w:t>——</w:t>
            </w:r>
          </w:p>
        </w:tc>
      </w:tr>
      <w:tr>
        <w:tblPrEx>
          <w:tblLayout w:type="fixed"/>
          <w:tblCellMar>
            <w:top w:w="0" w:type="dxa"/>
            <w:left w:w="108" w:type="dxa"/>
            <w:bottom w:w="0" w:type="dxa"/>
            <w:right w:w="108" w:type="dxa"/>
          </w:tblCellMar>
        </w:tblPrEx>
        <w:trPr>
          <w:trHeight w:val="371" w:hRule="atLeast"/>
          <w:jc w:val="center"/>
        </w:trPr>
        <w:tc>
          <w:tcPr>
            <w:tcW w:w="3125"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color w:val="000000"/>
                <w:kern w:val="0"/>
                <w:szCs w:val="21"/>
                <w:highlight w:val="none"/>
              </w:rPr>
            </w:pPr>
            <w:r>
              <w:rPr>
                <w:color w:val="000000"/>
                <w:kern w:val="0"/>
                <w:szCs w:val="21"/>
                <w:highlight w:val="none"/>
              </w:rPr>
              <w:t>厉行节约保障措施</w:t>
            </w:r>
          </w:p>
        </w:tc>
        <w:tc>
          <w:tcPr>
            <w:tcW w:w="7365" w:type="dxa"/>
            <w:gridSpan w:val="6"/>
            <w:tcBorders>
              <w:top w:val="single" w:color="auto" w:sz="4" w:space="0"/>
              <w:left w:val="nil"/>
              <w:bottom w:val="single" w:color="auto" w:sz="4" w:space="0"/>
              <w:right w:val="single" w:color="000000" w:sz="4" w:space="0"/>
            </w:tcBorders>
            <w:noWrap w:val="0"/>
            <w:vAlign w:val="center"/>
          </w:tcPr>
          <w:p>
            <w:pPr>
              <w:widowControl/>
              <w:spacing w:line="440" w:lineRule="exact"/>
              <w:jc w:val="center"/>
              <w:rPr>
                <w:rFonts w:hint="eastAsia" w:eastAsia="宋体"/>
                <w:color w:val="000000"/>
                <w:kern w:val="0"/>
                <w:szCs w:val="21"/>
                <w:highlight w:val="none"/>
                <w:lang w:eastAsia="zh-CN"/>
              </w:rPr>
            </w:pPr>
            <w:r>
              <w:rPr>
                <w:color w:val="000000"/>
                <w:kern w:val="0"/>
                <w:szCs w:val="21"/>
                <w:highlight w:val="none"/>
              </w:rPr>
              <w:t>　</w:t>
            </w:r>
            <w:r>
              <w:rPr>
                <w:rFonts w:hint="eastAsia"/>
                <w:color w:val="000000"/>
                <w:kern w:val="0"/>
                <w:szCs w:val="21"/>
                <w:highlight w:val="none"/>
                <w:lang w:eastAsia="zh-CN"/>
              </w:rPr>
              <w:t>——</w:t>
            </w:r>
          </w:p>
        </w:tc>
      </w:tr>
      <w:tr>
        <w:tblPrEx>
          <w:tblLayout w:type="fixed"/>
          <w:tblCellMar>
            <w:top w:w="0" w:type="dxa"/>
            <w:left w:w="108" w:type="dxa"/>
            <w:bottom w:w="0" w:type="dxa"/>
            <w:right w:w="108" w:type="dxa"/>
          </w:tblCellMar>
        </w:tblPrEx>
        <w:trPr>
          <w:trHeight w:val="700" w:hRule="atLeast"/>
          <w:jc w:val="center"/>
        </w:trPr>
        <w:tc>
          <w:tcPr>
            <w:tcW w:w="10490" w:type="dxa"/>
            <w:gridSpan w:val="7"/>
            <w:tcBorders>
              <w:top w:val="single" w:color="auto" w:sz="4" w:space="0"/>
              <w:left w:val="nil"/>
              <w:bottom w:val="nil"/>
              <w:right w:val="nil"/>
            </w:tcBorders>
            <w:noWrap w:val="0"/>
            <w:vAlign w:val="center"/>
          </w:tcPr>
          <w:p>
            <w:pPr>
              <w:widowControl/>
              <w:spacing w:line="400" w:lineRule="exact"/>
              <w:jc w:val="left"/>
              <w:rPr>
                <w:color w:val="000000"/>
                <w:kern w:val="0"/>
                <w:sz w:val="22"/>
                <w:szCs w:val="22"/>
                <w:highlight w:val="none"/>
              </w:rPr>
            </w:pPr>
          </w:p>
        </w:tc>
      </w:tr>
    </w:tbl>
    <w:p>
      <w:pPr>
        <w:spacing w:line="580" w:lineRule="exact"/>
        <w:rPr>
          <w:rFonts w:eastAsia="仿宋_GB2312"/>
          <w:color w:val="000000"/>
          <w:sz w:val="32"/>
          <w:szCs w:val="32"/>
          <w:highlight w:val="none"/>
        </w:rPr>
      </w:pPr>
    </w:p>
    <w:p>
      <w:pPr>
        <w:spacing w:line="500" w:lineRule="exact"/>
        <w:rPr>
          <w:rFonts w:eastAsia="黑体"/>
          <w:color w:val="000000"/>
          <w:kern w:val="0"/>
          <w:sz w:val="32"/>
          <w:szCs w:val="32"/>
          <w:highlight w:val="none"/>
        </w:rPr>
      </w:pPr>
    </w:p>
    <w:p>
      <w:pPr>
        <w:spacing w:line="500" w:lineRule="exact"/>
        <w:rPr>
          <w:rFonts w:eastAsia="黑体"/>
          <w:color w:val="000000"/>
          <w:kern w:val="0"/>
          <w:sz w:val="32"/>
          <w:szCs w:val="32"/>
          <w:highlight w:val="none"/>
        </w:rPr>
      </w:pPr>
      <w:r>
        <w:rPr>
          <w:rFonts w:eastAsia="黑体"/>
          <w:color w:val="000000"/>
          <w:kern w:val="0"/>
          <w:sz w:val="32"/>
          <w:szCs w:val="32"/>
          <w:highlight w:val="none"/>
        </w:rPr>
        <w:t>附表</w:t>
      </w:r>
      <w:r>
        <w:rPr>
          <w:rFonts w:hint="eastAsia" w:eastAsia="黑体"/>
          <w:color w:val="000000"/>
          <w:kern w:val="0"/>
          <w:sz w:val="32"/>
          <w:szCs w:val="32"/>
          <w:highlight w:val="none"/>
        </w:rPr>
        <w:t>2</w:t>
      </w:r>
    </w:p>
    <w:p>
      <w:pPr>
        <w:widowControl/>
        <w:jc w:val="center"/>
        <w:rPr>
          <w:rFonts w:ascii="方正小标宋_GBK" w:hAnsi="宋体" w:eastAsia="方正小标宋_GBK" w:cs="宋体"/>
          <w:b/>
          <w:bCs/>
          <w:kern w:val="0"/>
          <w:sz w:val="36"/>
          <w:szCs w:val="36"/>
          <w:highlight w:val="none"/>
        </w:rPr>
      </w:pPr>
      <w:r>
        <w:rPr>
          <w:rFonts w:hint="eastAsia" w:ascii="方正小标宋_GBK" w:hAnsi="宋体" w:eastAsia="方正小标宋_GBK" w:cs="宋体"/>
          <w:b/>
          <w:bCs/>
          <w:kern w:val="0"/>
          <w:sz w:val="36"/>
          <w:szCs w:val="36"/>
          <w:highlight w:val="none"/>
        </w:rPr>
        <w:t>202</w:t>
      </w:r>
      <w:r>
        <w:rPr>
          <w:rFonts w:hint="eastAsia" w:ascii="方正小标宋_GBK" w:hAnsi="宋体" w:eastAsia="方正小标宋_GBK" w:cs="宋体"/>
          <w:b/>
          <w:bCs/>
          <w:kern w:val="0"/>
          <w:sz w:val="36"/>
          <w:szCs w:val="36"/>
          <w:highlight w:val="none"/>
          <w:lang w:val="en-US" w:eastAsia="zh-CN"/>
        </w:rPr>
        <w:t>3</w:t>
      </w:r>
      <w:r>
        <w:rPr>
          <w:rFonts w:hint="eastAsia" w:ascii="方正小标宋_GBK" w:hAnsi="宋体" w:eastAsia="方正小标宋_GBK" w:cs="宋体"/>
          <w:b/>
          <w:bCs/>
          <w:kern w:val="0"/>
          <w:sz w:val="36"/>
          <w:szCs w:val="36"/>
          <w:highlight w:val="none"/>
        </w:rPr>
        <w:t>年度部门整体支出绩效自评表</w:t>
      </w:r>
    </w:p>
    <w:tbl>
      <w:tblPr>
        <w:tblStyle w:val="11"/>
        <w:tblW w:w="10204" w:type="dxa"/>
        <w:jc w:val="center"/>
        <w:tblInd w:w="0" w:type="dxa"/>
        <w:tblLayout w:type="fixed"/>
        <w:tblCellMar>
          <w:top w:w="0" w:type="dxa"/>
          <w:left w:w="108" w:type="dxa"/>
          <w:bottom w:w="0" w:type="dxa"/>
          <w:right w:w="108" w:type="dxa"/>
        </w:tblCellMar>
      </w:tblPr>
      <w:tblGrid>
        <w:gridCol w:w="778"/>
        <w:gridCol w:w="694"/>
        <w:gridCol w:w="1034"/>
        <w:gridCol w:w="1483"/>
        <w:gridCol w:w="267"/>
        <w:gridCol w:w="1383"/>
        <w:gridCol w:w="1467"/>
        <w:gridCol w:w="757"/>
        <w:gridCol w:w="159"/>
        <w:gridCol w:w="1100"/>
        <w:gridCol w:w="1082"/>
      </w:tblGrid>
      <w:tr>
        <w:tblPrEx>
          <w:tblLayout w:type="fixed"/>
          <w:tblCellMar>
            <w:top w:w="0" w:type="dxa"/>
            <w:left w:w="108" w:type="dxa"/>
            <w:bottom w:w="0" w:type="dxa"/>
            <w:right w:w="108" w:type="dxa"/>
          </w:tblCellMar>
        </w:tblPrEx>
        <w:trPr>
          <w:trHeight w:val="574" w:hRule="atLeast"/>
          <w:jc w:val="center"/>
        </w:trPr>
        <w:tc>
          <w:tcPr>
            <w:tcW w:w="778" w:type="dxa"/>
            <w:tcBorders>
              <w:top w:val="single" w:color="000000" w:sz="8" w:space="0"/>
              <w:left w:val="single" w:color="000000" w:sz="8" w:space="0"/>
              <w:bottom w:val="single" w:color="000000" w:sz="8" w:space="0"/>
              <w:right w:val="single" w:color="auto" w:sz="4" w:space="0"/>
            </w:tcBorders>
            <w:shd w:val="clear" w:color="auto" w:fill="FFFFFF"/>
            <w:noWrap w:val="0"/>
            <w:vAlign w:val="center"/>
          </w:tcPr>
          <w:p>
            <w:pPr>
              <w:jc w:val="center"/>
              <w:rPr>
                <w:rFonts w:hint="eastAsia" w:asciiTheme="minorEastAsia" w:hAnsiTheme="minorEastAsia" w:eastAsiaTheme="minorEastAsia" w:cstheme="minorEastAsia"/>
                <w:b/>
                <w:bCs/>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部门名称</w:t>
            </w:r>
          </w:p>
        </w:tc>
        <w:tc>
          <w:tcPr>
            <w:tcW w:w="9426" w:type="dxa"/>
            <w:gridSpan w:val="10"/>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b/>
                <w:bCs/>
                <w:color w:val="000000"/>
                <w:kern w:val="0"/>
                <w:sz w:val="21"/>
                <w:szCs w:val="21"/>
                <w:highlight w:val="none"/>
                <w:lang w:val="en-US" w:eastAsia="zh-CN"/>
              </w:rPr>
            </w:pPr>
            <w:r>
              <w:rPr>
                <w:rFonts w:hint="eastAsia" w:asciiTheme="minorEastAsia" w:hAnsiTheme="minorEastAsia" w:eastAsiaTheme="minorEastAsia" w:cstheme="minorEastAsia"/>
                <w:b/>
                <w:bCs/>
                <w:color w:val="000000"/>
                <w:kern w:val="0"/>
                <w:sz w:val="21"/>
                <w:szCs w:val="21"/>
                <w:highlight w:val="none"/>
                <w:lang w:val="en-US" w:eastAsia="zh-CN"/>
              </w:rPr>
              <w:t>湖南省畜牧水产事务中心</w:t>
            </w:r>
          </w:p>
        </w:tc>
      </w:tr>
      <w:tr>
        <w:tblPrEx>
          <w:tblLayout w:type="fixed"/>
          <w:tblCellMar>
            <w:top w:w="0" w:type="dxa"/>
            <w:left w:w="108" w:type="dxa"/>
            <w:bottom w:w="0" w:type="dxa"/>
            <w:right w:w="108" w:type="dxa"/>
          </w:tblCellMar>
        </w:tblPrEx>
        <w:trPr>
          <w:trHeight w:val="340" w:hRule="atLeast"/>
          <w:jc w:val="center"/>
        </w:trPr>
        <w:tc>
          <w:tcPr>
            <w:tcW w:w="778" w:type="dxa"/>
            <w:vMerge w:val="restart"/>
            <w:tcBorders>
              <w:top w:val="single" w:color="000000" w:sz="8" w:space="0"/>
              <w:left w:val="single" w:color="000000" w:sz="8" w:space="0"/>
              <w:right w:val="single" w:color="auto" w:sz="4" w:space="0"/>
            </w:tcBorders>
            <w:shd w:val="clear" w:color="auto" w:fill="FFFFFF"/>
            <w:noWrap/>
            <w:vAlign w:val="center"/>
          </w:tcPr>
          <w:p>
            <w:pPr>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年度预算申请资金（万元）</w:t>
            </w:r>
          </w:p>
        </w:tc>
        <w:tc>
          <w:tcPr>
            <w:tcW w:w="1728" w:type="dxa"/>
            <w:gridSpan w:val="2"/>
            <w:vMerge w:val="restart"/>
            <w:tcBorders>
              <w:top w:val="single" w:color="000000" w:sz="8" w:space="0"/>
              <w:left w:val="single" w:color="auto" w:sz="4" w:space="0"/>
              <w:right w:val="single" w:color="auto" w:sz="4" w:space="0"/>
            </w:tcBorders>
            <w:shd w:val="clear" w:color="auto" w:fill="FFFFFF"/>
            <w:noWrap/>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资金总额</w:t>
            </w:r>
          </w:p>
        </w:tc>
        <w:tc>
          <w:tcPr>
            <w:tcW w:w="1483" w:type="dxa"/>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年初预算数</w:t>
            </w:r>
          </w:p>
        </w:tc>
        <w:tc>
          <w:tcPr>
            <w:tcW w:w="1650" w:type="dxa"/>
            <w:gridSpan w:val="2"/>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全年预算数</w:t>
            </w:r>
          </w:p>
        </w:tc>
        <w:tc>
          <w:tcPr>
            <w:tcW w:w="1467" w:type="dxa"/>
            <w:tcBorders>
              <w:top w:val="single" w:color="000000" w:sz="8" w:space="0"/>
              <w:left w:val="single" w:color="auto" w:sz="4" w:space="0"/>
              <w:bottom w:val="single" w:color="000000" w:sz="8" w:space="0"/>
              <w:right w:val="single" w:color="auto" w:sz="4" w:space="0"/>
            </w:tcBorders>
            <w:shd w:val="clear" w:color="auto" w:fill="FFFFFF"/>
            <w:noWrap/>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全年执行数</w:t>
            </w:r>
          </w:p>
        </w:tc>
        <w:tc>
          <w:tcPr>
            <w:tcW w:w="757" w:type="dxa"/>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cstheme="minorEastAsia"/>
                <w:color w:val="000000"/>
                <w:kern w:val="0"/>
                <w:sz w:val="21"/>
                <w:szCs w:val="21"/>
                <w:highlight w:val="none"/>
                <w:lang w:val="en-US" w:eastAsia="zh-CN"/>
              </w:rPr>
              <w:t>分值</w:t>
            </w:r>
          </w:p>
        </w:tc>
        <w:tc>
          <w:tcPr>
            <w:tcW w:w="1259" w:type="dxa"/>
            <w:gridSpan w:val="2"/>
            <w:tcBorders>
              <w:top w:val="single" w:color="000000" w:sz="8" w:space="0"/>
              <w:left w:val="single" w:color="auto" w:sz="4" w:space="0"/>
              <w:bottom w:val="single" w:color="000000" w:sz="8" w:space="0"/>
              <w:right w:val="single" w:color="auto" w:sz="4" w:space="0"/>
            </w:tcBorders>
            <w:shd w:val="clear" w:color="auto" w:fill="FFFFFF"/>
            <w:noWrap w:val="0"/>
            <w:vAlign w:val="center"/>
          </w:tcPr>
          <w:p>
            <w:pPr>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执行率</w:t>
            </w:r>
          </w:p>
        </w:tc>
        <w:tc>
          <w:tcPr>
            <w:tcW w:w="1082"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得分</w:t>
            </w:r>
          </w:p>
        </w:tc>
      </w:tr>
      <w:tr>
        <w:tblPrEx>
          <w:tblLayout w:type="fixed"/>
          <w:tblCellMar>
            <w:top w:w="0" w:type="dxa"/>
            <w:left w:w="108" w:type="dxa"/>
            <w:bottom w:w="0" w:type="dxa"/>
            <w:right w:w="108" w:type="dxa"/>
          </w:tblCellMar>
        </w:tblPrEx>
        <w:trPr>
          <w:trHeight w:val="425" w:hRule="atLeast"/>
          <w:jc w:val="center"/>
        </w:trPr>
        <w:tc>
          <w:tcPr>
            <w:tcW w:w="778" w:type="dxa"/>
            <w:vMerge w:val="continue"/>
            <w:tcBorders>
              <w:left w:val="single" w:color="000000" w:sz="8" w:space="0"/>
              <w:right w:val="single" w:color="auto" w:sz="4" w:space="0"/>
            </w:tcBorders>
            <w:shd w:val="clear" w:color="auto" w:fill="FFFFFF"/>
            <w:noWrap/>
            <w:vAlign w:val="center"/>
          </w:tcPr>
          <w:p>
            <w:pPr>
              <w:jc w:val="center"/>
              <w:rPr>
                <w:rFonts w:hint="eastAsia" w:asciiTheme="minorEastAsia" w:hAnsiTheme="minorEastAsia" w:eastAsiaTheme="minorEastAsia" w:cstheme="minorEastAsia"/>
                <w:color w:val="000000"/>
                <w:kern w:val="0"/>
                <w:sz w:val="21"/>
                <w:szCs w:val="21"/>
                <w:highlight w:val="none"/>
              </w:rPr>
            </w:pPr>
          </w:p>
        </w:tc>
        <w:tc>
          <w:tcPr>
            <w:tcW w:w="1728" w:type="dxa"/>
            <w:gridSpan w:val="2"/>
            <w:vMerge w:val="continue"/>
            <w:tcBorders>
              <w:left w:val="single" w:color="auto" w:sz="4" w:space="0"/>
              <w:bottom w:val="single" w:color="000000" w:sz="8" w:space="0"/>
              <w:right w:val="single" w:color="auto" w:sz="4"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p>
        </w:tc>
        <w:tc>
          <w:tcPr>
            <w:tcW w:w="1483" w:type="dxa"/>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9791.74</w:t>
            </w:r>
          </w:p>
        </w:tc>
        <w:tc>
          <w:tcPr>
            <w:tcW w:w="1650" w:type="dxa"/>
            <w:gridSpan w:val="2"/>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10773.46</w:t>
            </w:r>
          </w:p>
        </w:tc>
        <w:tc>
          <w:tcPr>
            <w:tcW w:w="1467" w:type="dxa"/>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9296.01</w:t>
            </w:r>
          </w:p>
        </w:tc>
        <w:tc>
          <w:tcPr>
            <w:tcW w:w="757" w:type="dxa"/>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c>
          <w:tcPr>
            <w:tcW w:w="1259" w:type="dxa"/>
            <w:gridSpan w:val="2"/>
            <w:tcBorders>
              <w:top w:val="single" w:color="000000" w:sz="8" w:space="0"/>
              <w:left w:val="single" w:color="auto" w:sz="4" w:space="0"/>
              <w:bottom w:val="single" w:color="000000" w:sz="8" w:space="0"/>
              <w:right w:val="single" w:color="auto" w:sz="4"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86.29%</w:t>
            </w:r>
          </w:p>
        </w:tc>
        <w:tc>
          <w:tcPr>
            <w:tcW w:w="1082"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8.63</w:t>
            </w:r>
          </w:p>
        </w:tc>
      </w:tr>
      <w:tr>
        <w:tblPrEx>
          <w:tblLayout w:type="fixed"/>
          <w:tblCellMar>
            <w:top w:w="0" w:type="dxa"/>
            <w:left w:w="108" w:type="dxa"/>
            <w:bottom w:w="0" w:type="dxa"/>
            <w:right w:w="108" w:type="dxa"/>
          </w:tblCellMar>
        </w:tblPrEx>
        <w:trPr>
          <w:trHeight w:val="425" w:hRule="atLeast"/>
          <w:jc w:val="center"/>
        </w:trPr>
        <w:tc>
          <w:tcPr>
            <w:tcW w:w="778" w:type="dxa"/>
            <w:vMerge w:val="continue"/>
            <w:tcBorders>
              <w:left w:val="single" w:color="000000" w:sz="8" w:space="0"/>
              <w:right w:val="single" w:color="auto" w:sz="4" w:space="0"/>
            </w:tcBorders>
            <w:shd w:val="clear" w:color="auto" w:fill="FFFFFF"/>
            <w:noWrap/>
            <w:vAlign w:val="center"/>
          </w:tcPr>
          <w:p>
            <w:pPr>
              <w:jc w:val="center"/>
              <w:rPr>
                <w:rFonts w:hint="eastAsia" w:asciiTheme="minorEastAsia" w:hAnsiTheme="minorEastAsia" w:eastAsiaTheme="minorEastAsia" w:cstheme="minorEastAsia"/>
                <w:color w:val="000000"/>
                <w:kern w:val="0"/>
                <w:sz w:val="21"/>
                <w:szCs w:val="21"/>
                <w:highlight w:val="none"/>
              </w:rPr>
            </w:pPr>
          </w:p>
        </w:tc>
        <w:tc>
          <w:tcPr>
            <w:tcW w:w="4861" w:type="dxa"/>
            <w:gridSpan w:val="5"/>
            <w:tcBorders>
              <w:top w:val="single" w:color="000000" w:sz="8" w:space="0"/>
              <w:left w:val="single" w:color="auto" w:sz="4" w:space="0"/>
              <w:bottom w:val="single" w:color="000000" w:sz="8" w:space="0"/>
              <w:right w:val="single" w:color="000000" w:sz="8" w:space="0"/>
            </w:tcBorders>
            <w:shd w:val="clear" w:color="auto" w:fill="FFFFFF"/>
            <w:noWrap/>
            <w:vAlign w:val="center"/>
          </w:tcPr>
          <w:p>
            <w:pPr>
              <w:widowControl/>
              <w:jc w:val="left"/>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按收入性质分</w:t>
            </w:r>
          </w:p>
        </w:tc>
        <w:tc>
          <w:tcPr>
            <w:tcW w:w="4565"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ind w:firstLine="630" w:firstLineChars="300"/>
              <w:jc w:val="left"/>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按支出性质分</w:t>
            </w:r>
          </w:p>
        </w:tc>
      </w:tr>
      <w:tr>
        <w:tblPrEx>
          <w:tblLayout w:type="fixed"/>
          <w:tblCellMar>
            <w:top w:w="0" w:type="dxa"/>
            <w:left w:w="108" w:type="dxa"/>
            <w:bottom w:w="0" w:type="dxa"/>
            <w:right w:w="108" w:type="dxa"/>
          </w:tblCellMar>
        </w:tblPrEx>
        <w:trPr>
          <w:trHeight w:val="425" w:hRule="atLeast"/>
          <w:jc w:val="center"/>
        </w:trPr>
        <w:tc>
          <w:tcPr>
            <w:tcW w:w="778" w:type="dxa"/>
            <w:vMerge w:val="continue"/>
            <w:tcBorders>
              <w:left w:val="single" w:color="000000" w:sz="8" w:space="0"/>
              <w:right w:val="single" w:color="auto" w:sz="4"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p>
        </w:tc>
        <w:tc>
          <w:tcPr>
            <w:tcW w:w="4861" w:type="dxa"/>
            <w:gridSpan w:val="5"/>
            <w:tcBorders>
              <w:top w:val="single" w:color="000000" w:sz="8" w:space="0"/>
              <w:left w:val="single" w:color="auto" w:sz="4" w:space="0"/>
              <w:bottom w:val="single" w:color="000000" w:sz="8" w:space="0"/>
              <w:right w:val="single" w:color="000000" w:sz="8" w:space="0"/>
            </w:tcBorders>
            <w:shd w:val="clear" w:color="auto" w:fill="FFFFFF"/>
            <w:noWrap/>
            <w:vAlign w:val="center"/>
          </w:tcPr>
          <w:p>
            <w:pPr>
              <w:widowControl/>
              <w:ind w:firstLine="210" w:firstLineChars="100"/>
              <w:jc w:val="left"/>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rPr>
              <w:t>其中：一般公共预算</w:t>
            </w:r>
            <w:r>
              <w:rPr>
                <w:rFonts w:hint="eastAsia" w:asciiTheme="minorEastAsia" w:hAnsiTheme="minorEastAsia" w:eastAsiaTheme="minorEastAsia" w:cstheme="minorEastAsia"/>
                <w:color w:val="000000"/>
                <w:kern w:val="0"/>
                <w:sz w:val="21"/>
                <w:szCs w:val="21"/>
                <w:highlight w:val="none"/>
                <w:lang w:eastAsia="zh-CN"/>
              </w:rPr>
              <w:t>：</w:t>
            </w:r>
            <w:r>
              <w:rPr>
                <w:rFonts w:hint="eastAsia" w:asciiTheme="minorEastAsia" w:hAnsiTheme="minorEastAsia" w:eastAsiaTheme="minorEastAsia" w:cstheme="minorEastAsia"/>
                <w:color w:val="000000"/>
                <w:kern w:val="0"/>
                <w:sz w:val="21"/>
                <w:szCs w:val="21"/>
                <w:highlight w:val="none"/>
                <w:lang w:val="en-US" w:eastAsia="zh-CN"/>
              </w:rPr>
              <w:t>9467.39</w:t>
            </w:r>
          </w:p>
        </w:tc>
        <w:tc>
          <w:tcPr>
            <w:tcW w:w="4565"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left"/>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其中</w:t>
            </w:r>
          </w:p>
        </w:tc>
      </w:tr>
      <w:tr>
        <w:tblPrEx>
          <w:tblLayout w:type="fixed"/>
          <w:tblCellMar>
            <w:top w:w="0" w:type="dxa"/>
            <w:left w:w="108" w:type="dxa"/>
            <w:bottom w:w="0" w:type="dxa"/>
            <w:right w:w="108" w:type="dxa"/>
          </w:tblCellMar>
        </w:tblPrEx>
        <w:trPr>
          <w:trHeight w:val="425" w:hRule="atLeast"/>
          <w:jc w:val="center"/>
        </w:trPr>
        <w:tc>
          <w:tcPr>
            <w:tcW w:w="778" w:type="dxa"/>
            <w:vMerge w:val="continue"/>
            <w:tcBorders>
              <w:left w:val="single" w:color="000000" w:sz="8" w:space="0"/>
              <w:right w:val="single" w:color="auto" w:sz="4"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4861" w:type="dxa"/>
            <w:gridSpan w:val="5"/>
            <w:tcBorders>
              <w:top w:val="single" w:color="000000" w:sz="8" w:space="0"/>
              <w:left w:val="single" w:color="auto" w:sz="4" w:space="0"/>
              <w:bottom w:val="single" w:color="000000" w:sz="8" w:space="0"/>
              <w:right w:val="single" w:color="000000" w:sz="8" w:space="0"/>
            </w:tcBorders>
            <w:shd w:val="clear" w:color="auto" w:fill="FFFFFF"/>
            <w:noWrap/>
            <w:vAlign w:val="center"/>
          </w:tcPr>
          <w:p>
            <w:pPr>
              <w:widowControl/>
              <w:ind w:firstLine="1050" w:firstLineChars="500"/>
              <w:jc w:val="left"/>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政府性基金拨款</w:t>
            </w:r>
          </w:p>
        </w:tc>
        <w:tc>
          <w:tcPr>
            <w:tcW w:w="4565"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left"/>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rPr>
              <w:t>基本支出：</w:t>
            </w:r>
            <w:r>
              <w:rPr>
                <w:rFonts w:hint="eastAsia" w:asciiTheme="minorEastAsia" w:hAnsiTheme="minorEastAsia" w:eastAsiaTheme="minorEastAsia" w:cstheme="minorEastAsia"/>
                <w:color w:val="000000"/>
                <w:kern w:val="0"/>
                <w:sz w:val="21"/>
                <w:szCs w:val="21"/>
                <w:highlight w:val="none"/>
                <w:lang w:val="en-US" w:eastAsia="zh-CN"/>
              </w:rPr>
              <w:t>3762.39</w:t>
            </w:r>
          </w:p>
        </w:tc>
      </w:tr>
      <w:tr>
        <w:tblPrEx>
          <w:tblLayout w:type="fixed"/>
          <w:tblCellMar>
            <w:top w:w="0" w:type="dxa"/>
            <w:left w:w="108" w:type="dxa"/>
            <w:bottom w:w="0" w:type="dxa"/>
            <w:right w:w="108" w:type="dxa"/>
          </w:tblCellMar>
        </w:tblPrEx>
        <w:trPr>
          <w:trHeight w:val="425" w:hRule="atLeast"/>
          <w:jc w:val="center"/>
        </w:trPr>
        <w:tc>
          <w:tcPr>
            <w:tcW w:w="778" w:type="dxa"/>
            <w:vMerge w:val="continue"/>
            <w:tcBorders>
              <w:left w:val="single" w:color="000000" w:sz="8" w:space="0"/>
              <w:right w:val="single" w:color="auto" w:sz="4"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4861" w:type="dxa"/>
            <w:gridSpan w:val="5"/>
            <w:tcBorders>
              <w:top w:val="single" w:color="000000" w:sz="8" w:space="0"/>
              <w:left w:val="single" w:color="auto" w:sz="4" w:space="0"/>
              <w:bottom w:val="single" w:color="000000" w:sz="8" w:space="0"/>
              <w:right w:val="single" w:color="000000" w:sz="8" w:space="0"/>
            </w:tcBorders>
            <w:shd w:val="clear" w:color="auto" w:fill="FFFFFF"/>
            <w:noWrap/>
            <w:vAlign w:val="center"/>
          </w:tcPr>
          <w:p>
            <w:pPr>
              <w:widowControl/>
              <w:ind w:firstLine="105" w:firstLineChars="50"/>
              <w:jc w:val="left"/>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纳入专户管理的非税拨款</w:t>
            </w:r>
          </w:p>
        </w:tc>
        <w:tc>
          <w:tcPr>
            <w:tcW w:w="4565"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ind w:firstLine="630" w:firstLineChars="300"/>
              <w:jc w:val="left"/>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rPr>
              <w:t>项目支出：</w:t>
            </w:r>
            <w:r>
              <w:rPr>
                <w:rFonts w:hint="eastAsia" w:asciiTheme="minorEastAsia" w:hAnsiTheme="minorEastAsia" w:eastAsiaTheme="minorEastAsia" w:cstheme="minorEastAsia"/>
                <w:color w:val="000000"/>
                <w:kern w:val="0"/>
                <w:sz w:val="21"/>
                <w:szCs w:val="21"/>
                <w:highlight w:val="none"/>
                <w:lang w:val="en-US" w:eastAsia="zh-CN"/>
              </w:rPr>
              <w:t>7011.07</w:t>
            </w:r>
          </w:p>
        </w:tc>
      </w:tr>
      <w:tr>
        <w:tblPrEx>
          <w:tblLayout w:type="fixed"/>
          <w:tblCellMar>
            <w:top w:w="0" w:type="dxa"/>
            <w:left w:w="108" w:type="dxa"/>
            <w:bottom w:w="0" w:type="dxa"/>
            <w:right w:w="108" w:type="dxa"/>
          </w:tblCellMar>
        </w:tblPrEx>
        <w:trPr>
          <w:trHeight w:val="424" w:hRule="atLeast"/>
          <w:jc w:val="center"/>
        </w:trPr>
        <w:tc>
          <w:tcPr>
            <w:tcW w:w="778" w:type="dxa"/>
            <w:vMerge w:val="continue"/>
            <w:tcBorders>
              <w:left w:val="single" w:color="000000" w:sz="8" w:space="0"/>
              <w:right w:val="single" w:color="auto" w:sz="4"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4861" w:type="dxa"/>
            <w:gridSpan w:val="5"/>
            <w:tcBorders>
              <w:top w:val="single" w:color="000000" w:sz="8" w:space="0"/>
              <w:left w:val="single" w:color="auto" w:sz="4" w:space="0"/>
              <w:right w:val="single" w:color="000000" w:sz="8" w:space="0"/>
            </w:tcBorders>
            <w:shd w:val="clear" w:color="auto" w:fill="FFFFFF"/>
            <w:noWrap/>
            <w:vAlign w:val="center"/>
          </w:tcPr>
          <w:p>
            <w:pPr>
              <w:widowControl/>
              <w:jc w:val="left"/>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rPr>
              <w:t>其他资金</w:t>
            </w:r>
            <w:r>
              <w:rPr>
                <w:rFonts w:hint="eastAsia" w:asciiTheme="minorEastAsia" w:hAnsiTheme="minorEastAsia" w:eastAsiaTheme="minorEastAsia" w:cstheme="minorEastAsia"/>
                <w:color w:val="000000"/>
                <w:kern w:val="0"/>
                <w:sz w:val="21"/>
                <w:szCs w:val="21"/>
                <w:highlight w:val="none"/>
                <w:lang w:eastAsia="zh-CN"/>
              </w:rPr>
              <w:t>：</w:t>
            </w:r>
            <w:r>
              <w:rPr>
                <w:rFonts w:hint="eastAsia" w:asciiTheme="minorEastAsia" w:hAnsiTheme="minorEastAsia" w:eastAsiaTheme="minorEastAsia" w:cstheme="minorEastAsia"/>
                <w:color w:val="000000"/>
                <w:kern w:val="0"/>
                <w:sz w:val="21"/>
                <w:szCs w:val="21"/>
                <w:highlight w:val="none"/>
                <w:lang w:val="en-US" w:eastAsia="zh-CN"/>
              </w:rPr>
              <w:t>189.3</w:t>
            </w:r>
          </w:p>
        </w:tc>
        <w:tc>
          <w:tcPr>
            <w:tcW w:w="4565" w:type="dxa"/>
            <w:gridSpan w:val="5"/>
            <w:tcBorders>
              <w:top w:val="single" w:color="000000" w:sz="8" w:space="0"/>
              <w:left w:val="single" w:color="000000" w:sz="8" w:space="0"/>
              <w:right w:val="single" w:color="000000" w:sz="8" w:space="0"/>
            </w:tcBorders>
            <w:shd w:val="clear" w:color="auto" w:fill="FFFFFF"/>
            <w:noWrap/>
            <w:vAlign w:val="center"/>
          </w:tcPr>
          <w:p>
            <w:pPr>
              <w:widowControl/>
              <w:jc w:val="left"/>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cstheme="minorEastAsia"/>
                <w:color w:val="000000"/>
                <w:kern w:val="0"/>
                <w:sz w:val="21"/>
                <w:szCs w:val="21"/>
                <w:highlight w:val="none"/>
                <w:lang w:val="en-US" w:eastAsia="zh-CN"/>
              </w:rPr>
              <w:t xml:space="preserve"> </w:t>
            </w:r>
          </w:p>
        </w:tc>
      </w:tr>
      <w:tr>
        <w:tblPrEx>
          <w:tblLayout w:type="fixed"/>
          <w:tblCellMar>
            <w:top w:w="0" w:type="dxa"/>
            <w:left w:w="108" w:type="dxa"/>
            <w:bottom w:w="0" w:type="dxa"/>
            <w:right w:w="108" w:type="dxa"/>
          </w:tblCellMar>
        </w:tblPrEx>
        <w:trPr>
          <w:trHeight w:val="425" w:hRule="atLeast"/>
          <w:jc w:val="center"/>
        </w:trPr>
        <w:tc>
          <w:tcPr>
            <w:tcW w:w="778"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年度总体目标</w:t>
            </w:r>
          </w:p>
        </w:tc>
        <w:tc>
          <w:tcPr>
            <w:tcW w:w="4861" w:type="dxa"/>
            <w:gridSpan w:val="5"/>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年初设定目标</w:t>
            </w:r>
          </w:p>
        </w:tc>
        <w:tc>
          <w:tcPr>
            <w:tcW w:w="4565" w:type="dxa"/>
            <w:gridSpan w:val="5"/>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全年实际完成情况</w:t>
            </w:r>
          </w:p>
        </w:tc>
      </w:tr>
      <w:tr>
        <w:tblPrEx>
          <w:tblLayout w:type="fixed"/>
          <w:tblCellMar>
            <w:top w:w="0" w:type="dxa"/>
            <w:left w:w="108" w:type="dxa"/>
            <w:bottom w:w="0" w:type="dxa"/>
            <w:right w:w="108" w:type="dxa"/>
          </w:tblCellMar>
        </w:tblPrEx>
        <w:trPr>
          <w:trHeight w:val="1206" w:hRule="atLeast"/>
          <w:jc w:val="center"/>
        </w:trPr>
        <w:tc>
          <w:tcPr>
            <w:tcW w:w="778"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4861"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按照农业部、省委省政府以及省农业农村厅的统一部署，全年认真落实好各项工作任务；加强调查研究，积极当好政府参谋；强力推进养殖业结构调整，发展现代养殖业。</w:t>
            </w:r>
          </w:p>
        </w:tc>
        <w:tc>
          <w:tcPr>
            <w:tcW w:w="4565" w:type="dxa"/>
            <w:gridSpan w:val="5"/>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全部完成</w:t>
            </w:r>
          </w:p>
        </w:tc>
      </w:tr>
      <w:tr>
        <w:tblPrEx>
          <w:tblLayout w:type="fixed"/>
          <w:tblCellMar>
            <w:top w:w="0" w:type="dxa"/>
            <w:left w:w="108" w:type="dxa"/>
            <w:bottom w:w="0" w:type="dxa"/>
            <w:right w:w="108" w:type="dxa"/>
          </w:tblCellMar>
        </w:tblPrEx>
        <w:trPr>
          <w:trHeight w:val="425" w:hRule="atLeast"/>
          <w:jc w:val="center"/>
        </w:trPr>
        <w:tc>
          <w:tcPr>
            <w:tcW w:w="778" w:type="dxa"/>
            <w:vMerge w:val="restart"/>
            <w:tcBorders>
              <w:top w:val="single" w:color="000000" w:sz="8" w:space="0"/>
              <w:left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绩效指标</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一级指标</w:t>
            </w:r>
          </w:p>
        </w:tc>
        <w:tc>
          <w:tcPr>
            <w:tcW w:w="103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二级指标</w:t>
            </w:r>
          </w:p>
        </w:tc>
        <w:tc>
          <w:tcPr>
            <w:tcW w:w="1750"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三级指标</w:t>
            </w:r>
          </w:p>
        </w:tc>
        <w:tc>
          <w:tcPr>
            <w:tcW w:w="13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年度指标值</w:t>
            </w:r>
          </w:p>
        </w:tc>
        <w:tc>
          <w:tcPr>
            <w:tcW w:w="2383" w:type="dxa"/>
            <w:gridSpan w:val="3"/>
            <w:tcBorders>
              <w:top w:val="single" w:color="000000" w:sz="8" w:space="0"/>
              <w:left w:val="single" w:color="000000" w:sz="8" w:space="0"/>
              <w:bottom w:val="single" w:color="000000" w:sz="8" w:space="0"/>
              <w:right w:val="single" w:color="auto" w:sz="4"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实际完成指标值</w:t>
            </w:r>
          </w:p>
        </w:tc>
        <w:tc>
          <w:tcPr>
            <w:tcW w:w="1100"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分值</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lang w:val="en-US" w:eastAsia="zh-CN"/>
              </w:rPr>
              <w:t>自评</w:t>
            </w:r>
            <w:r>
              <w:rPr>
                <w:rFonts w:hint="eastAsia" w:asciiTheme="minorEastAsia" w:hAnsiTheme="minorEastAsia" w:eastAsiaTheme="minorEastAsia" w:cstheme="minorEastAsia"/>
                <w:color w:val="000000"/>
                <w:kern w:val="0"/>
                <w:sz w:val="21"/>
                <w:szCs w:val="21"/>
                <w:highlight w:val="none"/>
              </w:rPr>
              <w:t>得分</w:t>
            </w:r>
          </w:p>
        </w:tc>
      </w:tr>
      <w:tr>
        <w:tblPrEx>
          <w:tblLayout w:type="fixed"/>
          <w:tblCellMar>
            <w:top w:w="0" w:type="dxa"/>
            <w:left w:w="108" w:type="dxa"/>
            <w:bottom w:w="0" w:type="dxa"/>
            <w:right w:w="108" w:type="dxa"/>
          </w:tblCellMar>
        </w:tblPrEx>
        <w:trPr>
          <w:trHeight w:val="634"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694"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产出   指标</w:t>
            </w:r>
          </w:p>
        </w:tc>
        <w:tc>
          <w:tcPr>
            <w:tcW w:w="1034" w:type="dxa"/>
            <w:tcBorders>
              <w:top w:val="single" w:color="000000" w:sz="8" w:space="0"/>
              <w:left w:val="single" w:color="000000" w:sz="8" w:space="0"/>
              <w:bottom w:val="single" w:color="auto" w:sz="4"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数量指标</w:t>
            </w:r>
          </w:p>
        </w:tc>
        <w:tc>
          <w:tcPr>
            <w:tcW w:w="1750" w:type="dxa"/>
            <w:gridSpan w:val="2"/>
            <w:tcBorders>
              <w:top w:val="single" w:color="000000" w:sz="8" w:space="0"/>
              <w:left w:val="single" w:color="000000" w:sz="8" w:space="0"/>
              <w:bottom w:val="single" w:color="auto" w:sz="4" w:space="0"/>
              <w:right w:val="single" w:color="000000" w:sz="8" w:space="0"/>
            </w:tcBorders>
            <w:shd w:val="clear" w:color="auto" w:fill="FFFFFF"/>
            <w:noWrap/>
            <w:vAlign w:val="center"/>
          </w:tcPr>
          <w:p>
            <w:pPr>
              <w:bidi w:val="0"/>
              <w:spacing w:afterAutospacing="0"/>
              <w:ind w:firstLine="0" w:firstLineChars="0"/>
              <w:jc w:val="center"/>
              <w:rPr>
                <w:rFonts w:hint="default" w:asciiTheme="minorEastAsia" w:hAnsiTheme="minorEastAsia" w:eastAsiaTheme="minorEastAsia" w:cstheme="minorEastAsia"/>
                <w:color w:val="000000"/>
                <w:kern w:val="0"/>
                <w:szCs w:val="21"/>
                <w:highlight w:val="none"/>
                <w:lang w:val="en-US" w:eastAsia="zh-CN"/>
              </w:rPr>
            </w:pPr>
            <w:r>
              <w:rPr>
                <w:rFonts w:hint="eastAsia" w:asciiTheme="minorEastAsia" w:hAnsiTheme="minorEastAsia" w:eastAsiaTheme="minorEastAsia" w:cstheme="minorEastAsia"/>
                <w:color w:val="000000"/>
                <w:kern w:val="0"/>
                <w:szCs w:val="21"/>
                <w:highlight w:val="none"/>
                <w:lang w:val="en-US" w:eastAsia="zh-CN"/>
              </w:rPr>
              <w:t>生猪出栏量</w:t>
            </w:r>
          </w:p>
        </w:tc>
        <w:tc>
          <w:tcPr>
            <w:tcW w:w="13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6000万头左右</w:t>
            </w:r>
          </w:p>
        </w:tc>
        <w:tc>
          <w:tcPr>
            <w:tcW w:w="2383" w:type="dxa"/>
            <w:gridSpan w:val="3"/>
            <w:tcBorders>
              <w:top w:val="single" w:color="000000" w:sz="8" w:space="0"/>
              <w:left w:val="single" w:color="000000" w:sz="8" w:space="0"/>
              <w:bottom w:val="single" w:color="000000" w:sz="8" w:space="0"/>
              <w:right w:val="single" w:color="auto" w:sz="4" w:space="0"/>
            </w:tcBorders>
            <w:shd w:val="clear" w:color="auto" w:fill="FFFFFF"/>
            <w:noWrap/>
            <w:vAlign w:val="center"/>
          </w:tcPr>
          <w:p>
            <w:pPr>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超6200万头</w:t>
            </w:r>
          </w:p>
        </w:tc>
        <w:tc>
          <w:tcPr>
            <w:tcW w:w="1100"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20</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20</w:t>
            </w:r>
          </w:p>
        </w:tc>
      </w:tr>
      <w:tr>
        <w:tblPrEx>
          <w:tblLayout w:type="fixed"/>
          <w:tblCellMar>
            <w:top w:w="0" w:type="dxa"/>
            <w:left w:w="108" w:type="dxa"/>
            <w:bottom w:w="0" w:type="dxa"/>
            <w:right w:w="108" w:type="dxa"/>
          </w:tblCellMar>
        </w:tblPrEx>
        <w:trPr>
          <w:trHeight w:val="621"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694"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p>
        </w:tc>
        <w:tc>
          <w:tcPr>
            <w:tcW w:w="1034" w:type="dxa"/>
            <w:tcBorders>
              <w:top w:val="single" w:color="auto" w:sz="4" w:space="0"/>
              <w:left w:val="single" w:color="000000" w:sz="8" w:space="0"/>
              <w:bottom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质量指标</w:t>
            </w:r>
          </w:p>
        </w:tc>
        <w:tc>
          <w:tcPr>
            <w:tcW w:w="1750" w:type="dxa"/>
            <w:gridSpan w:val="2"/>
            <w:tcBorders>
              <w:top w:val="single" w:color="auto" w:sz="4"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养殖新品种、新技术</w:t>
            </w:r>
          </w:p>
        </w:tc>
        <w:tc>
          <w:tcPr>
            <w:tcW w:w="13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推广发展</w:t>
            </w:r>
          </w:p>
        </w:tc>
        <w:tc>
          <w:tcPr>
            <w:tcW w:w="2383" w:type="dxa"/>
            <w:gridSpan w:val="3"/>
            <w:tcBorders>
              <w:top w:val="single" w:color="000000" w:sz="8" w:space="0"/>
              <w:left w:val="single" w:color="000000" w:sz="8" w:space="0"/>
              <w:bottom w:val="single" w:color="000000" w:sz="8" w:space="0"/>
              <w:right w:val="single" w:color="auto" w:sz="4" w:space="0"/>
            </w:tcBorders>
            <w:shd w:val="clear" w:color="auto" w:fill="FFFFFF"/>
            <w:noWrap/>
            <w:vAlign w:val="center"/>
          </w:tcPr>
          <w:p>
            <w:pPr>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完成推广</w:t>
            </w:r>
          </w:p>
        </w:tc>
        <w:tc>
          <w:tcPr>
            <w:tcW w:w="1100"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r>
      <w:tr>
        <w:tblPrEx>
          <w:tblLayout w:type="fixed"/>
          <w:tblCellMar>
            <w:top w:w="0" w:type="dxa"/>
            <w:left w:w="108" w:type="dxa"/>
            <w:bottom w:w="0" w:type="dxa"/>
            <w:right w:w="108" w:type="dxa"/>
          </w:tblCellMar>
        </w:tblPrEx>
        <w:trPr>
          <w:trHeight w:val="318"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694" w:type="dxa"/>
            <w:vMerge w:val="continue"/>
            <w:tcBorders>
              <w:top w:val="single" w:color="000000" w:sz="8" w:space="0"/>
              <w:left w:val="single" w:color="000000" w:sz="8" w:space="0"/>
              <w:bottom w:val="single" w:color="auto" w:sz="4"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p>
        </w:tc>
        <w:tc>
          <w:tcPr>
            <w:tcW w:w="1034" w:type="dxa"/>
            <w:tcBorders>
              <w:top w:val="single" w:color="000000" w:sz="8" w:space="0"/>
              <w:left w:val="single" w:color="000000" w:sz="8" w:space="0"/>
              <w:bottom w:val="single" w:color="auto" w:sz="4" w:space="0"/>
              <w:right w:val="single" w:color="000000" w:sz="8" w:space="0"/>
            </w:tcBorders>
            <w:shd w:val="clear" w:color="auto" w:fill="FFFFFF"/>
            <w:noWrap w:val="0"/>
            <w:vAlign w:val="center"/>
          </w:tcPr>
          <w:p>
            <w:pPr>
              <w:bidi w:val="0"/>
              <w:jc w:val="center"/>
              <w:rPr>
                <w:rFonts w:hint="default" w:ascii="Calibri" w:hAnsi="Calibri" w:eastAsia="宋体" w:cs="Times New Roman"/>
                <w:kern w:val="2"/>
                <w:sz w:val="21"/>
                <w:szCs w:val="24"/>
                <w:highlight w:val="none"/>
                <w:lang w:val="en-US" w:eastAsia="zh-CN" w:bidi="ar-SA"/>
              </w:rPr>
            </w:pPr>
            <w:r>
              <w:rPr>
                <w:rFonts w:hint="eastAsia" w:cs="Times New Roman"/>
                <w:kern w:val="2"/>
                <w:sz w:val="21"/>
                <w:szCs w:val="24"/>
                <w:highlight w:val="none"/>
                <w:lang w:val="en-US" w:eastAsia="zh-CN" w:bidi="ar-SA"/>
              </w:rPr>
              <w:t>时效指标</w:t>
            </w:r>
          </w:p>
        </w:tc>
        <w:tc>
          <w:tcPr>
            <w:tcW w:w="1750"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完成时间</w:t>
            </w:r>
          </w:p>
        </w:tc>
        <w:tc>
          <w:tcPr>
            <w:tcW w:w="13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12月底前</w:t>
            </w:r>
          </w:p>
        </w:tc>
        <w:tc>
          <w:tcPr>
            <w:tcW w:w="2383" w:type="dxa"/>
            <w:gridSpan w:val="3"/>
            <w:tcBorders>
              <w:top w:val="single" w:color="000000" w:sz="8" w:space="0"/>
              <w:left w:val="single" w:color="000000" w:sz="8" w:space="0"/>
              <w:bottom w:val="single" w:color="000000" w:sz="8" w:space="0"/>
              <w:right w:val="single" w:color="auto" w:sz="4"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12月底前已完成全部工作任务</w:t>
            </w:r>
          </w:p>
        </w:tc>
        <w:tc>
          <w:tcPr>
            <w:tcW w:w="1100"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20</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20</w:t>
            </w:r>
          </w:p>
        </w:tc>
      </w:tr>
      <w:tr>
        <w:tblPrEx>
          <w:tblLayout w:type="fixed"/>
          <w:tblCellMar>
            <w:top w:w="0" w:type="dxa"/>
            <w:left w:w="108" w:type="dxa"/>
            <w:bottom w:w="0" w:type="dxa"/>
            <w:right w:w="108" w:type="dxa"/>
          </w:tblCellMar>
        </w:tblPrEx>
        <w:trPr>
          <w:trHeight w:val="941"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694" w:type="dxa"/>
            <w:vMerge w:val="restart"/>
            <w:tcBorders>
              <w:top w:val="single" w:color="auto" w:sz="4" w:space="0"/>
              <w:left w:val="single" w:color="000000" w:sz="8" w:space="0"/>
              <w:right w:val="single" w:color="000000" w:sz="8" w:space="0"/>
            </w:tcBorders>
            <w:shd w:val="clear" w:color="auto" w:fill="FFFFFF"/>
            <w:noWrap w:val="0"/>
            <w:vAlign w:val="center"/>
          </w:tcPr>
          <w:p>
            <w:pPr>
              <w:jc w:val="center"/>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效益   指标</w:t>
            </w:r>
          </w:p>
        </w:tc>
        <w:tc>
          <w:tcPr>
            <w:tcW w:w="1034" w:type="dxa"/>
            <w:tcBorders>
              <w:top w:val="single" w:color="auto" w:sz="4" w:space="0"/>
              <w:left w:val="single" w:color="000000" w:sz="8" w:space="0"/>
              <w:bottom w:val="single" w:color="000000" w:sz="8"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经济效益指标</w:t>
            </w:r>
          </w:p>
        </w:tc>
        <w:tc>
          <w:tcPr>
            <w:tcW w:w="1750"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大水面生态渔业发展</w:t>
            </w:r>
          </w:p>
        </w:tc>
        <w:tc>
          <w:tcPr>
            <w:tcW w:w="13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巩固壮大水产千亿产业</w:t>
            </w:r>
          </w:p>
        </w:tc>
        <w:tc>
          <w:tcPr>
            <w:tcW w:w="2383" w:type="dxa"/>
            <w:gridSpan w:val="3"/>
            <w:tcBorders>
              <w:top w:val="single" w:color="000000" w:sz="8" w:space="0"/>
              <w:left w:val="single" w:color="000000" w:sz="8" w:space="0"/>
              <w:bottom w:val="single" w:color="000000" w:sz="8" w:space="0"/>
              <w:right w:val="single" w:color="auto" w:sz="4"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渔业经济总产值超千亿</w:t>
            </w:r>
          </w:p>
        </w:tc>
        <w:tc>
          <w:tcPr>
            <w:tcW w:w="1100"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r>
      <w:tr>
        <w:tblPrEx>
          <w:tblLayout w:type="fixed"/>
          <w:tblCellMar>
            <w:top w:w="0" w:type="dxa"/>
            <w:left w:w="108" w:type="dxa"/>
            <w:bottom w:w="0" w:type="dxa"/>
            <w:right w:w="108" w:type="dxa"/>
          </w:tblCellMar>
        </w:tblPrEx>
        <w:trPr>
          <w:trHeight w:val="692"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694" w:type="dxa"/>
            <w:vMerge w:val="continue"/>
            <w:tcBorders>
              <w:left w:val="single" w:color="000000" w:sz="8"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rPr>
            </w:pPr>
          </w:p>
        </w:tc>
        <w:tc>
          <w:tcPr>
            <w:tcW w:w="10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社会效益指标</w:t>
            </w:r>
          </w:p>
        </w:tc>
        <w:tc>
          <w:tcPr>
            <w:tcW w:w="1750"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重大动物疫病和人畜共患病防控</w:t>
            </w:r>
          </w:p>
        </w:tc>
        <w:tc>
          <w:tcPr>
            <w:tcW w:w="13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不发生</w:t>
            </w:r>
          </w:p>
        </w:tc>
        <w:tc>
          <w:tcPr>
            <w:tcW w:w="2383" w:type="dxa"/>
            <w:gridSpan w:val="3"/>
            <w:tcBorders>
              <w:top w:val="single" w:color="000000" w:sz="8" w:space="0"/>
              <w:left w:val="single" w:color="000000" w:sz="8" w:space="0"/>
              <w:bottom w:val="single" w:color="000000" w:sz="8" w:space="0"/>
              <w:right w:val="single" w:color="auto" w:sz="4" w:space="0"/>
            </w:tcBorders>
            <w:shd w:val="clear" w:color="auto" w:fill="FFFFFF"/>
            <w:noWrap/>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未发生重大动物疫病和人畜共患病</w:t>
            </w:r>
          </w:p>
        </w:tc>
        <w:tc>
          <w:tcPr>
            <w:tcW w:w="1100"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r>
      <w:tr>
        <w:tblPrEx>
          <w:tblLayout w:type="fixed"/>
          <w:tblCellMar>
            <w:top w:w="0" w:type="dxa"/>
            <w:left w:w="108" w:type="dxa"/>
            <w:bottom w:w="0" w:type="dxa"/>
            <w:right w:w="108" w:type="dxa"/>
          </w:tblCellMar>
        </w:tblPrEx>
        <w:trPr>
          <w:trHeight w:val="425"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widowControl/>
              <w:jc w:val="left"/>
              <w:rPr>
                <w:rFonts w:hint="eastAsia" w:asciiTheme="minorEastAsia" w:hAnsiTheme="minorEastAsia" w:eastAsiaTheme="minorEastAsia" w:cstheme="minorEastAsia"/>
                <w:color w:val="000000"/>
                <w:kern w:val="0"/>
                <w:sz w:val="21"/>
                <w:szCs w:val="21"/>
                <w:highlight w:val="none"/>
              </w:rPr>
            </w:pPr>
          </w:p>
        </w:tc>
        <w:tc>
          <w:tcPr>
            <w:tcW w:w="694" w:type="dxa"/>
            <w:vMerge w:val="continue"/>
            <w:tcBorders>
              <w:left w:val="single" w:color="000000" w:sz="8" w:space="0"/>
              <w:bottom w:val="single" w:color="auto" w:sz="4" w:space="0"/>
              <w:right w:val="single" w:color="000000" w:sz="8" w:space="0"/>
            </w:tcBorders>
            <w:shd w:val="clear" w:color="auto" w:fill="FFFFFF"/>
            <w:noWrap w:val="0"/>
            <w:vAlign w:val="center"/>
          </w:tcPr>
          <w:p>
            <w:pPr>
              <w:jc w:val="center"/>
              <w:rPr>
                <w:rFonts w:hint="eastAsia" w:asciiTheme="minorEastAsia" w:hAnsiTheme="minorEastAsia" w:eastAsiaTheme="minorEastAsia" w:cstheme="minorEastAsia"/>
                <w:color w:val="000000"/>
                <w:kern w:val="0"/>
                <w:sz w:val="21"/>
                <w:szCs w:val="21"/>
                <w:highlight w:val="none"/>
              </w:rPr>
            </w:pPr>
          </w:p>
        </w:tc>
        <w:tc>
          <w:tcPr>
            <w:tcW w:w="10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生态效益指标</w:t>
            </w:r>
          </w:p>
        </w:tc>
        <w:tc>
          <w:tcPr>
            <w:tcW w:w="1750"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动物检疫和</w:t>
            </w:r>
            <w:r>
              <w:rPr>
                <w:rFonts w:hint="eastAsia" w:asciiTheme="minorEastAsia" w:hAnsiTheme="minorEastAsia" w:eastAsiaTheme="minorEastAsia" w:cstheme="minorEastAsia"/>
                <w:b w:val="0"/>
                <w:bCs w:val="0"/>
                <w:color w:val="auto"/>
                <w:sz w:val="21"/>
                <w:szCs w:val="21"/>
                <w:highlight w:val="none"/>
                <w:lang w:val="en-US" w:eastAsia="zh-CN"/>
              </w:rPr>
              <w:t>畜禽粪污综合利用</w:t>
            </w:r>
          </w:p>
        </w:tc>
        <w:tc>
          <w:tcPr>
            <w:tcW w:w="1383" w:type="dxa"/>
            <w:tcBorders>
              <w:top w:val="single" w:color="000000" w:sz="8" w:space="0"/>
              <w:left w:val="single" w:color="000000" w:sz="8" w:space="0"/>
              <w:bottom w:val="single" w:color="auto" w:sz="4"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畜禽粪污综合利用率</w:t>
            </w:r>
            <w:r>
              <w:rPr>
                <w:rFonts w:hint="eastAsia" w:asciiTheme="minorEastAsia" w:hAnsiTheme="minorEastAsia" w:cstheme="minorEastAsia"/>
                <w:b w:val="0"/>
                <w:bCs w:val="0"/>
                <w:color w:val="auto"/>
                <w:sz w:val="21"/>
                <w:szCs w:val="21"/>
                <w:highlight w:val="none"/>
                <w:lang w:val="en-US" w:eastAsia="zh-CN"/>
              </w:rPr>
              <w:t>保持稳定</w:t>
            </w:r>
          </w:p>
        </w:tc>
        <w:tc>
          <w:tcPr>
            <w:tcW w:w="2383" w:type="dxa"/>
            <w:gridSpan w:val="3"/>
            <w:tcBorders>
              <w:top w:val="single" w:color="000000" w:sz="8" w:space="0"/>
              <w:left w:val="single" w:color="000000" w:sz="8" w:space="0"/>
              <w:bottom w:val="single" w:color="auto" w:sz="4" w:space="0"/>
              <w:right w:val="single" w:color="auto" w:sz="4"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畜禽粪污综合利用率</w:t>
            </w:r>
            <w:r>
              <w:rPr>
                <w:rFonts w:hint="eastAsia" w:asciiTheme="minorEastAsia" w:hAnsiTheme="minorEastAsia" w:cstheme="minorEastAsia"/>
                <w:b w:val="0"/>
                <w:bCs w:val="0"/>
                <w:color w:val="auto"/>
                <w:sz w:val="21"/>
                <w:szCs w:val="21"/>
                <w:highlight w:val="none"/>
                <w:lang w:val="en-US" w:eastAsia="zh-CN"/>
              </w:rPr>
              <w:t>稳定83%以上</w:t>
            </w:r>
          </w:p>
        </w:tc>
        <w:tc>
          <w:tcPr>
            <w:tcW w:w="1100" w:type="dxa"/>
            <w:tcBorders>
              <w:top w:val="single" w:color="000000" w:sz="8" w:space="0"/>
              <w:left w:val="single" w:color="auto" w:sz="4" w:space="0"/>
              <w:bottom w:val="single" w:color="auto" w:sz="4" w:space="0"/>
              <w:right w:val="single" w:color="000000" w:sz="8" w:space="0"/>
            </w:tcBorders>
            <w:shd w:val="clear" w:color="auto" w:fill="FFFFFF"/>
            <w:noWrap w:val="0"/>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w:t>
            </w:r>
          </w:p>
        </w:tc>
      </w:tr>
      <w:tr>
        <w:tblPrEx>
          <w:tblLayout w:type="fixed"/>
          <w:tblCellMar>
            <w:top w:w="0" w:type="dxa"/>
            <w:left w:w="108" w:type="dxa"/>
            <w:bottom w:w="0" w:type="dxa"/>
            <w:right w:w="108" w:type="dxa"/>
          </w:tblCellMar>
        </w:tblPrEx>
        <w:trPr>
          <w:trHeight w:val="527"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jc w:val="left"/>
              <w:rPr>
                <w:rFonts w:hint="eastAsia" w:asciiTheme="minorEastAsia" w:hAnsiTheme="minorEastAsia" w:eastAsiaTheme="minorEastAsia" w:cstheme="minorEastAsia"/>
                <w:color w:val="000000"/>
                <w:kern w:val="0"/>
                <w:sz w:val="21"/>
                <w:szCs w:val="21"/>
                <w:highlight w:val="none"/>
              </w:rPr>
            </w:pPr>
          </w:p>
        </w:tc>
        <w:tc>
          <w:tcPr>
            <w:tcW w:w="694" w:type="dxa"/>
            <w:tcBorders>
              <w:top w:val="single" w:color="auto" w:sz="4" w:space="0"/>
              <w:left w:val="single" w:color="000000" w:sz="8" w:space="0"/>
              <w:bottom w:val="single" w:color="auto" w:sz="4" w:space="0"/>
              <w:right w:val="single" w:color="000000" w:sz="8" w:space="0"/>
            </w:tcBorders>
            <w:shd w:val="clear" w:color="auto" w:fill="FFFFFF"/>
            <w:noWrap w:val="0"/>
            <w:vAlign w:val="center"/>
          </w:tcPr>
          <w:p>
            <w:pPr>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成本指标</w:t>
            </w:r>
          </w:p>
        </w:tc>
        <w:tc>
          <w:tcPr>
            <w:tcW w:w="1034" w:type="dxa"/>
            <w:tcBorders>
              <w:top w:val="single" w:color="000000" w:sz="8" w:space="0"/>
              <w:left w:val="single" w:color="000000" w:sz="8" w:space="0"/>
              <w:bottom w:val="single" w:color="000000" w:sz="8" w:space="0"/>
              <w:right w:val="single" w:color="auto" w:sz="4" w:space="0"/>
            </w:tcBorders>
            <w:shd w:val="clear" w:color="auto" w:fill="FFFFFF"/>
            <w:noWrap w:val="0"/>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经济成本指标</w:t>
            </w:r>
          </w:p>
        </w:tc>
        <w:tc>
          <w:tcPr>
            <w:tcW w:w="1750" w:type="dxa"/>
            <w:gridSpan w:val="2"/>
            <w:tcBorders>
              <w:top w:val="single" w:color="000000" w:sz="8" w:space="0"/>
              <w:left w:val="single" w:color="auto" w:sz="4" w:space="0"/>
              <w:bottom w:val="single" w:color="000000" w:sz="8" w:space="0"/>
              <w:right w:val="single" w:color="000000" w:sz="8"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经费使用</w:t>
            </w:r>
          </w:p>
        </w:tc>
        <w:tc>
          <w:tcPr>
            <w:tcW w:w="1383"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widowControl/>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预算范围内</w:t>
            </w:r>
          </w:p>
        </w:tc>
        <w:tc>
          <w:tcPr>
            <w:tcW w:w="2383" w:type="dxa"/>
            <w:gridSpan w:val="3"/>
            <w:tcBorders>
              <w:top w:val="single" w:color="auto" w:sz="4" w:space="0"/>
              <w:left w:val="single" w:color="000000" w:sz="8" w:space="0"/>
              <w:bottom w:val="single" w:color="auto" w:sz="4" w:space="0"/>
              <w:right w:val="single" w:color="auto" w:sz="4"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未超出本年度预算</w:t>
            </w:r>
          </w:p>
        </w:tc>
        <w:tc>
          <w:tcPr>
            <w:tcW w:w="1100" w:type="dxa"/>
            <w:tcBorders>
              <w:top w:val="single" w:color="auto" w:sz="4" w:space="0"/>
              <w:left w:val="single" w:color="auto" w:sz="4" w:space="0"/>
              <w:bottom w:val="single" w:color="auto" w:sz="4"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5</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5</w:t>
            </w:r>
          </w:p>
        </w:tc>
      </w:tr>
      <w:tr>
        <w:tblPrEx>
          <w:tblLayout w:type="fixed"/>
          <w:tblCellMar>
            <w:top w:w="0" w:type="dxa"/>
            <w:left w:w="108" w:type="dxa"/>
            <w:bottom w:w="0" w:type="dxa"/>
            <w:right w:w="108" w:type="dxa"/>
          </w:tblCellMar>
        </w:tblPrEx>
        <w:trPr>
          <w:trHeight w:val="840" w:hRule="atLeast"/>
          <w:jc w:val="center"/>
        </w:trPr>
        <w:tc>
          <w:tcPr>
            <w:tcW w:w="778" w:type="dxa"/>
            <w:vMerge w:val="continue"/>
            <w:tcBorders>
              <w:left w:val="single" w:color="000000" w:sz="8" w:space="0"/>
              <w:right w:val="single" w:color="000000" w:sz="8" w:space="0"/>
            </w:tcBorders>
            <w:shd w:val="clear" w:color="auto" w:fill="FFFFFF"/>
            <w:noWrap w:val="0"/>
            <w:vAlign w:val="center"/>
          </w:tcPr>
          <w:p>
            <w:pPr>
              <w:jc w:val="left"/>
              <w:rPr>
                <w:rFonts w:hint="eastAsia" w:asciiTheme="minorEastAsia" w:hAnsiTheme="minorEastAsia" w:eastAsiaTheme="minorEastAsia" w:cstheme="minorEastAsia"/>
                <w:color w:val="000000"/>
                <w:kern w:val="0"/>
                <w:sz w:val="21"/>
                <w:szCs w:val="21"/>
                <w:highlight w:val="none"/>
              </w:rPr>
            </w:pPr>
          </w:p>
        </w:tc>
        <w:tc>
          <w:tcPr>
            <w:tcW w:w="694" w:type="dxa"/>
            <w:tcBorders>
              <w:top w:val="single" w:color="auto" w:sz="4" w:space="0"/>
              <w:left w:val="single" w:color="000000" w:sz="8" w:space="0"/>
              <w:bottom w:val="single" w:color="auto" w:sz="4" w:space="0"/>
              <w:right w:val="single" w:color="000000" w:sz="8" w:space="0"/>
            </w:tcBorders>
            <w:shd w:val="clear" w:color="auto" w:fill="FFFFFF"/>
            <w:noWrap w:val="0"/>
            <w:vAlign w:val="center"/>
          </w:tcPr>
          <w:p>
            <w:pPr>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满意度指标</w:t>
            </w:r>
          </w:p>
        </w:tc>
        <w:tc>
          <w:tcPr>
            <w:tcW w:w="1034" w:type="dxa"/>
            <w:tcBorders>
              <w:top w:val="single" w:color="000000" w:sz="8" w:space="0"/>
              <w:left w:val="single" w:color="000000" w:sz="8" w:space="0"/>
              <w:bottom w:val="single" w:color="000000" w:sz="8" w:space="0"/>
              <w:right w:val="single" w:color="auto" w:sz="4" w:space="0"/>
            </w:tcBorders>
            <w:shd w:val="clear" w:color="auto" w:fill="FFFFFF"/>
            <w:noWrap w:val="0"/>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服务对象满意度指标</w:t>
            </w:r>
          </w:p>
          <w:p>
            <w:pPr>
              <w:widowControl/>
              <w:spacing w:line="280" w:lineRule="exact"/>
              <w:jc w:val="center"/>
              <w:rPr>
                <w:rFonts w:hint="eastAsia" w:asciiTheme="minorEastAsia" w:hAnsiTheme="minorEastAsia" w:eastAsiaTheme="minorEastAsia" w:cstheme="minorEastAsia"/>
                <w:color w:val="000000"/>
                <w:sz w:val="21"/>
                <w:szCs w:val="21"/>
                <w:highlight w:val="none"/>
              </w:rPr>
            </w:pPr>
          </w:p>
        </w:tc>
        <w:tc>
          <w:tcPr>
            <w:tcW w:w="1750" w:type="dxa"/>
            <w:gridSpan w:val="2"/>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widowControl/>
              <w:spacing w:line="280" w:lineRule="exact"/>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社会公众或服务对象的满意程度</w:t>
            </w:r>
          </w:p>
        </w:tc>
        <w:tc>
          <w:tcPr>
            <w:tcW w:w="1383"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widowControl/>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90%以上</w:t>
            </w:r>
          </w:p>
        </w:tc>
        <w:tc>
          <w:tcPr>
            <w:tcW w:w="2383" w:type="dxa"/>
            <w:gridSpan w:val="3"/>
            <w:tcBorders>
              <w:top w:val="single" w:color="auto" w:sz="4" w:space="0"/>
              <w:left w:val="single" w:color="000000" w:sz="8" w:space="0"/>
              <w:bottom w:val="single" w:color="auto" w:sz="4" w:space="0"/>
              <w:right w:val="single" w:color="auto" w:sz="4"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90%以上</w:t>
            </w:r>
          </w:p>
        </w:tc>
        <w:tc>
          <w:tcPr>
            <w:tcW w:w="1100" w:type="dxa"/>
            <w:tcBorders>
              <w:top w:val="single" w:color="auto" w:sz="4" w:space="0"/>
              <w:left w:val="single" w:color="auto" w:sz="4" w:space="0"/>
              <w:bottom w:val="single" w:color="auto" w:sz="4" w:space="0"/>
              <w:right w:val="single" w:color="000000" w:sz="8" w:space="0"/>
            </w:tcBorders>
            <w:shd w:val="clear" w:color="auto" w:fill="FFFFFF"/>
            <w:noWrap w:val="0"/>
            <w:vAlign w:val="center"/>
          </w:tcPr>
          <w:p>
            <w:pPr>
              <w:widowControl/>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5</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eastAsia"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5</w:t>
            </w:r>
          </w:p>
        </w:tc>
      </w:tr>
      <w:tr>
        <w:tblPrEx>
          <w:tblLayout w:type="fixed"/>
          <w:tblCellMar>
            <w:top w:w="0" w:type="dxa"/>
            <w:left w:w="108" w:type="dxa"/>
            <w:bottom w:w="0" w:type="dxa"/>
            <w:right w:w="108" w:type="dxa"/>
          </w:tblCellMar>
        </w:tblPrEx>
        <w:trPr>
          <w:jc w:val="center"/>
        </w:trPr>
        <w:tc>
          <w:tcPr>
            <w:tcW w:w="8022" w:type="dxa"/>
            <w:gridSpan w:val="9"/>
            <w:tcBorders>
              <w:left w:val="single" w:color="000000" w:sz="8" w:space="0"/>
              <w:bottom w:val="single" w:color="auto" w:sz="4" w:space="0"/>
              <w:right w:val="single" w:color="auto" w:sz="4" w:space="0"/>
            </w:tcBorders>
            <w:shd w:val="clear" w:color="auto" w:fill="FFFFFF"/>
            <w:noWrap w:val="0"/>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总分</w:t>
            </w:r>
          </w:p>
        </w:tc>
        <w:tc>
          <w:tcPr>
            <w:tcW w:w="1100" w:type="dxa"/>
            <w:tcBorders>
              <w:top w:val="single" w:color="auto" w:sz="4" w:space="0"/>
              <w:left w:val="single" w:color="auto" w:sz="4" w:space="0"/>
              <w:bottom w:val="single" w:color="000000" w:sz="8" w:space="0"/>
              <w:right w:val="single" w:color="000000" w:sz="8" w:space="0"/>
            </w:tcBorders>
            <w:shd w:val="clear" w:color="auto" w:fill="FFFFFF"/>
            <w:noWrap w:val="0"/>
            <w:vAlign w:val="center"/>
          </w:tcPr>
          <w:p>
            <w:pPr>
              <w:widowControl/>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100</w:t>
            </w:r>
          </w:p>
        </w:tc>
        <w:tc>
          <w:tcPr>
            <w:tcW w:w="108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280" w:lineRule="exact"/>
              <w:jc w:val="center"/>
              <w:rPr>
                <w:rFonts w:hint="default" w:asciiTheme="minorEastAsia" w:hAnsiTheme="minorEastAsia" w:eastAsiaTheme="minorEastAsia" w:cstheme="minorEastAsia"/>
                <w:color w:val="000000"/>
                <w:kern w:val="0"/>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rPr>
              <w:t>98.63</w:t>
            </w:r>
          </w:p>
        </w:tc>
      </w:tr>
    </w:tbl>
    <w:p>
      <w:pPr>
        <w:tabs>
          <w:tab w:val="left" w:pos="734"/>
        </w:tabs>
        <w:bidi w:val="0"/>
        <w:jc w:val="left"/>
        <w:rPr>
          <w:highlight w:val="none"/>
          <w:lang w:val="en-US" w:eastAsia="zh-CN"/>
        </w:rPr>
      </w:pPr>
    </w:p>
    <w:sectPr>
      <w:pgSz w:w="11906" w:h="16838"/>
      <w:pgMar w:top="1440" w:right="866"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63172"/>
    <w:multiLevelType w:val="singleLevel"/>
    <w:tmpl w:val="A6B63172"/>
    <w:lvl w:ilvl="0" w:tentative="0">
      <w:start w:val="5"/>
      <w:numFmt w:val="chineseCounting"/>
      <w:suff w:val="nothing"/>
      <w:lvlText w:val="%1、"/>
      <w:lvlJc w:val="left"/>
      <w:rPr>
        <w:rFonts w:hint="eastAsia" w:ascii="仿宋" w:hAnsi="仿宋" w:eastAsia="仿宋" w:cs="仿宋"/>
        <w:b/>
        <w:bCs/>
      </w:rPr>
    </w:lvl>
  </w:abstractNum>
  <w:abstractNum w:abstractNumId="1">
    <w:nsid w:val="4866135D"/>
    <w:multiLevelType w:val="singleLevel"/>
    <w:tmpl w:val="4866135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yZDhmMjQyMmFkYWYwMWJjNTkzZGI3OWFkMDMzMTE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104241EA"/>
    <w:rsid w:val="114E7BDE"/>
    <w:rsid w:val="136642C1"/>
    <w:rsid w:val="144F0320"/>
    <w:rsid w:val="1859252B"/>
    <w:rsid w:val="190D676E"/>
    <w:rsid w:val="19E2425A"/>
    <w:rsid w:val="1A471573"/>
    <w:rsid w:val="1D97DEFF"/>
    <w:rsid w:val="1DFF72E5"/>
    <w:rsid w:val="1EFC6F07"/>
    <w:rsid w:val="1FF57F5C"/>
    <w:rsid w:val="20C732F0"/>
    <w:rsid w:val="251948CF"/>
    <w:rsid w:val="26BD4D14"/>
    <w:rsid w:val="27743E5C"/>
    <w:rsid w:val="2F441597"/>
    <w:rsid w:val="2FDF85B8"/>
    <w:rsid w:val="2FFFEE04"/>
    <w:rsid w:val="30587FC6"/>
    <w:rsid w:val="34DF85B0"/>
    <w:rsid w:val="35DC154A"/>
    <w:rsid w:val="371819CF"/>
    <w:rsid w:val="3B717532"/>
    <w:rsid w:val="3B8F36BC"/>
    <w:rsid w:val="3C6329C5"/>
    <w:rsid w:val="3FE1257F"/>
    <w:rsid w:val="462F622D"/>
    <w:rsid w:val="491FF225"/>
    <w:rsid w:val="4928139C"/>
    <w:rsid w:val="4FFD214C"/>
    <w:rsid w:val="50377F99"/>
    <w:rsid w:val="519731EA"/>
    <w:rsid w:val="56A8574D"/>
    <w:rsid w:val="5777D4F5"/>
    <w:rsid w:val="57BD5228"/>
    <w:rsid w:val="58831FCD"/>
    <w:rsid w:val="5973729E"/>
    <w:rsid w:val="59DD8326"/>
    <w:rsid w:val="5B386973"/>
    <w:rsid w:val="5DEF592A"/>
    <w:rsid w:val="5FC6BB1E"/>
    <w:rsid w:val="5FF720F1"/>
    <w:rsid w:val="625E5962"/>
    <w:rsid w:val="67FF5C0B"/>
    <w:rsid w:val="6EFC0924"/>
    <w:rsid w:val="6FB74722"/>
    <w:rsid w:val="6FEF8B7E"/>
    <w:rsid w:val="71A6591B"/>
    <w:rsid w:val="737D59BA"/>
    <w:rsid w:val="76876CD5"/>
    <w:rsid w:val="76DB2034"/>
    <w:rsid w:val="77C37683"/>
    <w:rsid w:val="794E5638"/>
    <w:rsid w:val="798F27CF"/>
    <w:rsid w:val="79FF515B"/>
    <w:rsid w:val="7BF546E1"/>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line="700" w:lineRule="exact"/>
      <w:jc w:val="center"/>
      <w:outlineLvl w:val="0"/>
    </w:pPr>
    <w:rPr>
      <w:rFonts w:eastAsia="方正小标宋简体"/>
      <w:bCs/>
      <w:kern w:val="44"/>
      <w:sz w:val="44"/>
      <w:szCs w:val="44"/>
    </w:rPr>
  </w:style>
  <w:style w:type="paragraph" w:styleId="3">
    <w:name w:val="heading 2"/>
    <w:basedOn w:val="1"/>
    <w:next w:val="1"/>
    <w:qFormat/>
    <w:uiPriority w:val="0"/>
    <w:pPr>
      <w:outlineLvl w:val="1"/>
    </w:pPr>
    <w:rPr>
      <w:rFonts w:eastAsia="黑体"/>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9"/>
    <w:semiHidden/>
    <w:qFormat/>
    <w:uiPriority w:val="0"/>
    <w:pPr>
      <w:snapToGrid w:val="0"/>
      <w:jc w:val="left"/>
    </w:pPr>
    <w:rPr>
      <w:sz w:val="18"/>
      <w:szCs w:val="18"/>
    </w:rPr>
  </w:style>
  <w:style w:type="paragraph" w:styleId="9">
    <w:name w:val="Body Text First Indent 2"/>
    <w:basedOn w:val="4"/>
    <w:unhideWhenUsed/>
    <w:qFormat/>
    <w:uiPriority w:val="99"/>
    <w:pPr>
      <w:ind w:firstLine="420" w:firstLineChars="200"/>
    </w:pPr>
  </w:style>
  <w:style w:type="paragraph" w:styleId="10">
    <w:name w:val="Title"/>
    <w:basedOn w:val="1"/>
    <w:next w:val="1"/>
    <w:qFormat/>
    <w:uiPriority w:val="10"/>
    <w:pPr>
      <w:spacing w:before="240" w:after="60"/>
      <w:jc w:val="center"/>
      <w:outlineLvl w:val="0"/>
    </w:pPr>
    <w:rPr>
      <w:rFonts w:ascii="Cambria" w:hAnsi="Cambria" w:cs="Times New Roman"/>
      <w:b/>
      <w:bCs/>
      <w:sz w:val="32"/>
      <w:szCs w:val="32"/>
    </w:rPr>
  </w:style>
  <w:style w:type="character" w:customStyle="1" w:styleId="13">
    <w:name w:val="页眉 Char"/>
    <w:basedOn w:val="12"/>
    <w:link w:val="7"/>
    <w:qFormat/>
    <w:uiPriority w:val="99"/>
    <w:rPr>
      <w:sz w:val="18"/>
      <w:szCs w:val="18"/>
    </w:rPr>
  </w:style>
  <w:style w:type="character" w:customStyle="1" w:styleId="14">
    <w:name w:val="页脚 Char"/>
    <w:basedOn w:val="12"/>
    <w:link w:val="6"/>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5"/>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7317</Words>
  <Characters>9965</Characters>
  <Lines>63</Lines>
  <Paragraphs>18</Paragraphs>
  <TotalTime>0</TotalTime>
  <ScaleCrop>false</ScaleCrop>
  <LinksUpToDate>false</LinksUpToDate>
  <CharactersWithSpaces>10011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2024-08-29T09:22:00Z</cp:lastPrinted>
  <dcterms:modified xsi:type="dcterms:W3CDTF">2024-09-06T07:19:24Z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AE7AD42CD7EE47DBB16768FC52ECA073_12</vt:lpwstr>
  </property>
</Properties>
</file>