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p>
    <w:p>
      <w:pPr>
        <w:pStyle w:val="14"/>
        <w:jc w:val="center"/>
        <w:rPr>
          <w:sz w:val="56"/>
          <w:szCs w:val="56"/>
        </w:rPr>
      </w:pPr>
    </w:p>
    <w:p>
      <w:pPr>
        <w:pStyle w:val="14"/>
        <w:jc w:val="center"/>
        <w:rPr>
          <w:sz w:val="84"/>
          <w:szCs w:val="84"/>
        </w:rPr>
      </w:pPr>
    </w:p>
    <w:p>
      <w:pPr>
        <w:pStyle w:val="14"/>
        <w:jc w:val="center"/>
        <w:rPr>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4"/>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湖南省水产科学研究所</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4"/>
        <w:jc w:val="center"/>
        <w:rPr>
          <w:rFonts w:hint="eastAsia" w:ascii="方正小标宋_GBK" w:hAnsi="方正小标宋_GBK" w:eastAsia="方正小标宋_GBK" w:cs="方正小标宋_GBK"/>
          <w:sz w:val="56"/>
          <w:szCs w:val="56"/>
        </w:rPr>
      </w:pPr>
    </w:p>
    <w:p>
      <w:pPr>
        <w:pStyle w:val="14"/>
        <w:jc w:val="center"/>
        <w:rPr>
          <w:sz w:val="56"/>
          <w:szCs w:val="56"/>
        </w:rPr>
      </w:pPr>
    </w:p>
    <w:p>
      <w:pPr>
        <w:pStyle w:val="14"/>
        <w:jc w:val="center"/>
        <w:rPr>
          <w:sz w:val="56"/>
          <w:szCs w:val="56"/>
        </w:rPr>
      </w:pPr>
    </w:p>
    <w:p>
      <w:pPr>
        <w:pStyle w:val="14"/>
        <w:jc w:val="center"/>
        <w:rPr>
          <w:sz w:val="56"/>
          <w:szCs w:val="56"/>
        </w:rPr>
      </w:pPr>
    </w:p>
    <w:p>
      <w:pPr>
        <w:pStyle w:val="14"/>
        <w:jc w:val="center"/>
        <w:rPr>
          <w:sz w:val="32"/>
          <w:szCs w:val="32"/>
        </w:rPr>
      </w:pPr>
    </w:p>
    <w:p>
      <w:pPr>
        <w:pStyle w:val="14"/>
        <w:jc w:val="center"/>
        <w:rPr>
          <w:sz w:val="32"/>
          <w:szCs w:val="32"/>
        </w:rPr>
      </w:pPr>
    </w:p>
    <w:p>
      <w:pPr>
        <w:pStyle w:val="14"/>
        <w:jc w:val="both"/>
        <w:rPr>
          <w:sz w:val="32"/>
          <w:szCs w:val="32"/>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湖南省水产科学研究所单位</w:t>
      </w:r>
      <w:r>
        <w:rPr>
          <w:rFonts w:hint="eastAsia" w:ascii="黑体" w:hAnsi="黑体" w:eastAsia="黑体" w:cs="黑体"/>
          <w:b w:val="0"/>
          <w:bCs/>
          <w:sz w:val="28"/>
          <w:szCs w:val="28"/>
        </w:rPr>
        <w:t>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4"/>
        <w:spacing w:line="500" w:lineRule="exact"/>
        <w:rPr>
          <w:rFonts w:hint="eastAsia" w:ascii="黑体" w:hAnsi="黑体" w:eastAsia="黑体" w:cs="黑体"/>
          <w:b w:val="0"/>
          <w:bCs/>
          <w:sz w:val="28"/>
          <w:szCs w:val="28"/>
          <w:lang w:eastAsia="zh-CN"/>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4"/>
        <w:jc w:val="center"/>
        <w:rPr>
          <w:rFonts w:hint="eastAsia" w:ascii="方正小标宋_GBK" w:hAnsi="方正小标宋_GBK" w:eastAsia="方正小标宋_GBK" w:cs="方正小标宋_GBK"/>
          <w:sz w:val="84"/>
          <w:szCs w:val="84"/>
        </w:rPr>
      </w:pPr>
    </w:p>
    <w:p>
      <w:pPr>
        <w:pStyle w:val="14"/>
        <w:jc w:val="center"/>
        <w:rPr>
          <w:rFonts w:hint="default" w:ascii="方正小标宋_GBK" w:hAnsi="方正小标宋_GBK" w:eastAsia="方正小标宋_GBK" w:cs="方正小标宋_GBK"/>
          <w:sz w:val="84"/>
          <w:szCs w:val="84"/>
          <w:lang w:val="en-US" w:eastAsia="zh-CN"/>
        </w:rPr>
      </w:pPr>
      <w:r>
        <w:rPr>
          <w:rFonts w:hint="eastAsia" w:ascii="方正小标宋_GBK" w:hAnsi="方正小标宋_GBK" w:eastAsia="方正小标宋_GBK" w:cs="方正小标宋_GBK"/>
          <w:sz w:val="84"/>
          <w:szCs w:val="84"/>
        </w:rPr>
        <w:t>湖南省水产</w:t>
      </w:r>
      <w:r>
        <w:rPr>
          <w:rFonts w:hint="eastAsia" w:ascii="方正小标宋_GBK" w:hAnsi="方正小标宋_GBK" w:eastAsia="方正小标宋_GBK" w:cs="方正小标宋_GBK"/>
          <w:sz w:val="84"/>
          <w:szCs w:val="84"/>
          <w:lang w:val="en-US" w:eastAsia="zh-CN"/>
        </w:rPr>
        <w:t>科学研究所</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both"/>
        <w:rPr>
          <w:sz w:val="72"/>
          <w:szCs w:val="72"/>
        </w:rPr>
      </w:pPr>
    </w:p>
    <w:p>
      <w:pPr>
        <w:jc w:val="both"/>
        <w:rPr>
          <w:sz w:val="72"/>
          <w:szCs w:val="72"/>
        </w:rPr>
      </w:pPr>
    </w:p>
    <w:p>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湖南省水产科学研究所是湖南省农业农村厅直属的公益一类事业单位，主要承担水产行业基础研究、资源调查与保护、渔业产品检验监督、相关社会技术支撑与服务等方面的职责，为全省水产养殖业高质量发展做出了突出贡献。</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（一）内设机构设置。湖南省水产科学研究所</w:t>
      </w:r>
      <w:r>
        <w:rPr>
          <w:rFonts w:hint="eastAsia" w:ascii="Times New Roman" w:hAnsi="Times New Roman" w:eastAsia="仿宋_GB2312" w:cs="仿宋_GB2312"/>
          <w:bCs/>
          <w:kern w:val="0"/>
          <w:sz w:val="32"/>
          <w:szCs w:val="32"/>
          <w:lang w:eastAsia="zh-CN"/>
        </w:rPr>
        <w:t>内设机构</w:t>
      </w:r>
      <w:r>
        <w:rPr>
          <w:rFonts w:hint="eastAsia" w:ascii="Times New Roman" w:hAnsi="Times New Roman" w:eastAsia="仿宋_GB2312" w:cs="仿宋_GB2312"/>
          <w:bCs/>
          <w:kern w:val="0"/>
          <w:sz w:val="32"/>
          <w:szCs w:val="32"/>
        </w:rPr>
        <w:t>包括：</w:t>
      </w:r>
      <w:r>
        <w:rPr>
          <w:rFonts w:hint="eastAsia" w:ascii="Times New Roman" w:hAnsi="Times New Roman" w:eastAsia="仿宋_GB2312" w:cs="仿宋_GB2312"/>
          <w:bCs/>
          <w:kern w:val="0"/>
          <w:sz w:val="32"/>
          <w:szCs w:val="32"/>
          <w:lang w:val="en-US" w:eastAsia="zh-CN"/>
        </w:rPr>
        <w:t>党政办公室、纪检监察室、人事科、财务科、后勤管理科、科研管理科、沅江基地办、遗传育种研究室、鱼病研究室、营养与饲料研究室、渔业资源与保护研究室（省渔业环境监测站）、养殖工程研究室、农业农村部渔业产品质量检测监督测试中心（长沙）（水产品质量安全研究室）、渔业经济研究中心。</w:t>
      </w:r>
    </w:p>
    <w:p>
      <w:pPr>
        <w:widowControl/>
        <w:spacing w:line="600" w:lineRule="exact"/>
        <w:ind w:firstLine="640" w:firstLineChars="200"/>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w:t>
      </w:r>
      <w:r>
        <w:rPr>
          <w:rFonts w:hint="eastAsia" w:ascii="Times New Roman" w:hAnsi="Times New Roman" w:eastAsia="仿宋_GB2312" w:cs="仿宋_GB2312"/>
          <w:bCs/>
          <w:kern w:val="0"/>
          <w:sz w:val="32"/>
          <w:szCs w:val="32"/>
          <w:lang w:val="en-US" w:eastAsia="zh-CN"/>
        </w:rPr>
        <w:t>二）决算单位构成。湖南省水产科学研究所2023年部门决算汇总公开单位构成包括：湖南省水产科学研究所本级。</w:t>
      </w:r>
    </w:p>
    <w:p>
      <w:pPr>
        <w:widowControl/>
        <w:spacing w:line="600" w:lineRule="exact"/>
        <w:rPr>
          <w:rFonts w:hint="eastAsia" w:ascii="Times New Roman" w:hAnsi="Times New Roman" w:eastAsia="仿宋_GB2312" w:cs="仿宋_GB2312"/>
          <w:bCs/>
          <w:kern w:val="0"/>
          <w:sz w:val="32"/>
          <w:szCs w:val="32"/>
          <w:lang w:val="en-US" w:eastAsia="zh-CN"/>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both"/>
        <w:rPr>
          <w:sz w:val="72"/>
          <w:szCs w:val="72"/>
        </w:rPr>
      </w:pPr>
    </w:p>
    <w:p>
      <w:pPr>
        <w:pStyle w:val="14"/>
        <w:jc w:val="both"/>
        <w:rPr>
          <w:rFonts w:hint="eastAsia" w:ascii="方正小标宋_GBK" w:hAnsi="方正小标宋_GBK" w:eastAsia="方正小标宋_GBK" w:cs="方正小标宋_GBK"/>
          <w:sz w:val="84"/>
          <w:szCs w:val="84"/>
        </w:rPr>
      </w:pPr>
    </w:p>
    <w:p>
      <w:pPr>
        <w:pStyle w:val="14"/>
        <w:jc w:val="both"/>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9"/>
        <w:tblW w:w="15428" w:type="dxa"/>
        <w:tblInd w:w="0" w:type="dxa"/>
        <w:tblLayout w:type="fixed"/>
        <w:tblCellMar>
          <w:top w:w="0" w:type="dxa"/>
          <w:left w:w="0" w:type="dxa"/>
          <w:bottom w:w="0" w:type="dxa"/>
          <w:right w:w="0" w:type="dxa"/>
        </w:tblCellMar>
      </w:tblPr>
      <w:tblGrid>
        <w:gridCol w:w="280"/>
        <w:gridCol w:w="512"/>
        <w:gridCol w:w="3930"/>
        <w:gridCol w:w="1365"/>
        <w:gridCol w:w="1515"/>
        <w:gridCol w:w="1830"/>
        <w:gridCol w:w="1950"/>
        <w:gridCol w:w="1515"/>
        <w:gridCol w:w="1170"/>
        <w:gridCol w:w="1361"/>
      </w:tblGrid>
      <w:tr>
        <w:tblPrEx>
          <w:tblLayout w:type="fixed"/>
          <w:tblCellMar>
            <w:top w:w="0" w:type="dxa"/>
            <w:left w:w="0" w:type="dxa"/>
            <w:bottom w:w="0" w:type="dxa"/>
            <w:right w:w="0" w:type="dxa"/>
          </w:tblCellMar>
        </w:tblPrEx>
        <w:trPr>
          <w:trHeight w:val="435" w:hRule="atLeast"/>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tbl>
            <w:tblPr>
              <w:tblStyle w:val="9"/>
              <w:tblW w:w="15398" w:type="dxa"/>
              <w:tblInd w:w="-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47"/>
              <w:gridCol w:w="573"/>
              <w:gridCol w:w="1204"/>
              <w:gridCol w:w="4242"/>
              <w:gridCol w:w="2189"/>
              <w:gridCol w:w="454"/>
              <w:gridCol w:w="536"/>
              <w:gridCol w:w="24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4" w:hRule="atLeast"/>
              </w:trPr>
              <w:tc>
                <w:tcPr>
                  <w:tcW w:w="3747" w:type="dxa"/>
                  <w:tcBorders>
                    <w:top w:val="nil"/>
                    <w:left w:val="nil"/>
                    <w:bottom w:val="nil"/>
                    <w:right w:val="nil"/>
                  </w:tcBorders>
                  <w:shd w:val="clear" w:color="auto" w:fill="auto"/>
                  <w:noWrap/>
                  <w:vAlign w:val="center"/>
                </w:tcPr>
                <w:p>
                  <w:pPr>
                    <w:jc w:val="left"/>
                    <w:rPr>
                      <w:rFonts w:hint="eastAsia" w:ascii="黑体" w:hAnsi="宋体" w:eastAsia="黑体" w:cs="黑体"/>
                      <w:i w:val="0"/>
                      <w:color w:val="000000"/>
                      <w:sz w:val="24"/>
                      <w:szCs w:val="24"/>
                      <w:u w:val="none"/>
                    </w:rPr>
                  </w:pPr>
                </w:p>
              </w:tc>
              <w:tc>
                <w:tcPr>
                  <w:tcW w:w="573"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1204"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4242"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2643" w:type="dxa"/>
                  <w:gridSpan w:val="2"/>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2989" w:type="dxa"/>
                  <w:gridSpan w:val="2"/>
                  <w:tcBorders>
                    <w:top w:val="nil"/>
                    <w:left w:val="nil"/>
                    <w:bottom w:val="nil"/>
                    <w:right w:val="nil"/>
                  </w:tcBorders>
                  <w:shd w:val="clear" w:color="auto" w:fill="auto"/>
                  <w:noWrap/>
                  <w:vAlign w:val="center"/>
                </w:tcPr>
                <w:p>
                  <w:pPr>
                    <w:jc w:val="right"/>
                    <w:rPr>
                      <w:rFonts w:hint="eastAsia" w:ascii="黑体" w:hAnsi="宋体" w:eastAsia="黑体" w:cs="黑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9" w:hRule="atLeast"/>
              </w:trPr>
              <w:tc>
                <w:tcPr>
                  <w:tcW w:w="15398"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4" w:hRule="atLeast"/>
              </w:trPr>
              <w:tc>
                <w:tcPr>
                  <w:tcW w:w="3747"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573"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204"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4242"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643" w:type="dxa"/>
                  <w:gridSpan w:val="2"/>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989"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4" w:hRule="atLeast"/>
              </w:trPr>
              <w:tc>
                <w:tcPr>
                  <w:tcW w:w="3747"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部门：湖南省水产科学研究所</w:t>
                  </w:r>
                </w:p>
              </w:tc>
              <w:tc>
                <w:tcPr>
                  <w:tcW w:w="573"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204"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4242"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643" w:type="dxa"/>
                  <w:gridSpan w:val="2"/>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989"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5524"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收入</w:t>
                  </w:r>
                </w:p>
              </w:tc>
              <w:tc>
                <w:tcPr>
                  <w:tcW w:w="7421"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62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    目</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行次</w:t>
                  </w:r>
                </w:p>
              </w:tc>
              <w:tc>
                <w:tcPr>
                  <w:tcW w:w="12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决算数</w:t>
                  </w:r>
                </w:p>
              </w:tc>
              <w:tc>
                <w:tcPr>
                  <w:tcW w:w="42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    目</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行次</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    次</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4"/>
                      <w:szCs w:val="24"/>
                      <w:u w:val="none"/>
                    </w:rPr>
                  </w:pPr>
                </w:p>
              </w:tc>
              <w:tc>
                <w:tcPr>
                  <w:tcW w:w="12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42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    次</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4"/>
                      <w:szCs w:val="24"/>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一、一般公共预算财政拨款收入</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3936.28</w:t>
                  </w:r>
                </w:p>
              </w:tc>
              <w:tc>
                <w:tcPr>
                  <w:tcW w:w="42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一、一般公共服务支出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kern w:val="0"/>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31</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二、政府性基金预算财政拨款收入</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2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二、外交支出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kern w:val="0"/>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32</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三、国有资本经营预算财政拨款收入</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2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三、国防支出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kern w:val="0"/>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33</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四、上级补助收入</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2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四、公共安全支出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kern w:val="0"/>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34</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五、事业收入</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1652.63</w:t>
                  </w:r>
                </w:p>
              </w:tc>
              <w:tc>
                <w:tcPr>
                  <w:tcW w:w="42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五、教育支出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kern w:val="0"/>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35</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六、经营收入</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2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六、科学技术支出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kern w:val="0"/>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36</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七、附属单位上缴收入</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22.75</w:t>
                  </w: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七、文化旅游体育与传媒支出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kern w:val="0"/>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37</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八、其他收入</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8</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rPr>
                    <w:t>八、社会保障和就业支出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38</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212.23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39</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rPr>
                  </w:pPr>
                  <w:r>
                    <w:rPr>
                      <w:rFonts w:hint="eastAsia" w:ascii="宋体" w:hAnsi="宋体" w:eastAsia="宋体" w:cs="宋体"/>
                      <w:i w:val="0"/>
                      <w:color w:val="000000"/>
                      <w:kern w:val="0"/>
                      <w:sz w:val="22"/>
                      <w:szCs w:val="22"/>
                      <w:u w:val="none"/>
                      <w:lang w:val="en-US" w:eastAsia="zh-CN"/>
                    </w:rPr>
                    <w:t>10</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40</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11</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41</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12</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42</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4013.08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13</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43</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44</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45</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46</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17</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47</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48</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19</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49</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51</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52</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二十三、其他支出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54</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25</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55</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26</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56</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本年收入合计</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27</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5611.66</w:t>
                  </w: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本年支出合计</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57</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rPr>
                    <w:t>4</w:t>
                  </w:r>
                  <w:r>
                    <w:rPr>
                      <w:rFonts w:hint="eastAsia" w:ascii="宋体" w:hAnsi="宋体" w:eastAsia="宋体" w:cs="宋体"/>
                      <w:i w:val="0"/>
                      <w:color w:val="000000"/>
                      <w:sz w:val="22"/>
                      <w:szCs w:val="22"/>
                      <w:u w:val="none"/>
                      <w:lang w:val="en-US" w:eastAsia="zh-CN"/>
                    </w:rPr>
                    <w:t>260.31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使用非财政拨款结余</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28</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结余分配</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58</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683.56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453" w:type="dxa"/>
                <w:trHeight w:val="62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年初结转和结余</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29</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1029.37</w:t>
                  </w:r>
                </w:p>
              </w:tc>
              <w:tc>
                <w:tcPr>
                  <w:tcW w:w="4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年末结转和结余</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59</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1697.16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453" w:type="dxa"/>
                <w:trHeight w:val="448" w:hRule="atLeast"/>
              </w:trPr>
              <w:tc>
                <w:tcPr>
                  <w:tcW w:w="37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总计</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30</w:t>
                  </w:r>
                </w:p>
              </w:tc>
              <w:tc>
                <w:tcPr>
                  <w:tcW w:w="12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6641.03</w:t>
                  </w:r>
                </w:p>
              </w:tc>
              <w:tc>
                <w:tcPr>
                  <w:tcW w:w="42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总计</w:t>
                  </w:r>
                </w:p>
              </w:tc>
              <w:tc>
                <w:tcPr>
                  <w:tcW w:w="218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60</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b/>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6641.03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15" w:hRule="atLeast"/>
              </w:trPr>
              <w:tc>
                <w:tcPr>
                  <w:tcW w:w="15398" w:type="dxa"/>
                  <w:gridSpan w:val="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注：1.本表反映部门本年度的总收支和年末结转结余情况。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 xml:space="preserve">    2.本套报表金额单位转换时可能存在尾数误差。</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tc>
            </w:tr>
          </w:tbl>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Layout w:type="fixed"/>
          <w:tblCellMar>
            <w:top w:w="0" w:type="dxa"/>
            <w:left w:w="0" w:type="dxa"/>
            <w:bottom w:w="0" w:type="dxa"/>
            <w:right w:w="0" w:type="dxa"/>
          </w:tblCellMar>
        </w:tblPrEx>
        <w:trPr>
          <w:trHeight w:val="285" w:hRule="atLeast"/>
        </w:trPr>
        <w:tc>
          <w:tcPr>
            <w:tcW w:w="28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51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393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6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1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3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5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1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17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6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Layout w:type="fixed"/>
          <w:tblCellMar>
            <w:top w:w="0" w:type="dxa"/>
            <w:left w:w="0" w:type="dxa"/>
            <w:bottom w:w="0" w:type="dxa"/>
            <w:right w:w="0" w:type="dxa"/>
          </w:tblCellMar>
        </w:tblPrEx>
        <w:trPr>
          <w:trHeight w:val="285" w:hRule="atLeast"/>
        </w:trPr>
        <w:tc>
          <w:tcPr>
            <w:tcW w:w="792"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p>
        </w:tc>
        <w:tc>
          <w:tcPr>
            <w:tcW w:w="5295"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both"/>
              <w:rPr>
                <w:rFonts w:ascii="宋体" w:hAnsi="宋体" w:eastAsia="宋体" w:cs="宋体"/>
                <w:sz w:val="24"/>
                <w:szCs w:val="24"/>
              </w:rPr>
            </w:pPr>
            <w:r>
              <w:rPr>
                <w:rFonts w:hint="eastAsia"/>
                <w:lang w:eastAsia="zh-CN"/>
              </w:rPr>
              <w:t>湖南省水产科学研究所</w:t>
            </w:r>
            <w:r>
              <w:rPr>
                <w:rFonts w:hint="eastAsia"/>
              </w:rPr>
              <w:t>　　</w:t>
            </w:r>
          </w:p>
        </w:tc>
        <w:tc>
          <w:tcPr>
            <w:tcW w:w="151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30"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95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1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17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36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Layout w:type="fixed"/>
          <w:tblCellMar>
            <w:top w:w="0" w:type="dxa"/>
            <w:left w:w="0" w:type="dxa"/>
            <w:bottom w:w="0" w:type="dxa"/>
            <w:right w:w="0" w:type="dxa"/>
          </w:tblCellMar>
        </w:tblPrEx>
        <w:trPr>
          <w:trHeight w:val="450" w:hRule="atLeast"/>
        </w:trPr>
        <w:tc>
          <w:tcPr>
            <w:tcW w:w="4722"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36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51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83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95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51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17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36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Layout w:type="fixed"/>
          <w:tblCellMar>
            <w:top w:w="0" w:type="dxa"/>
            <w:left w:w="0" w:type="dxa"/>
            <w:bottom w:w="0" w:type="dxa"/>
            <w:right w:w="0" w:type="dxa"/>
          </w:tblCellMar>
        </w:tblPrEx>
        <w:trPr>
          <w:trHeight w:val="450" w:hRule="atLeast"/>
        </w:trPr>
        <w:tc>
          <w:tcPr>
            <w:tcW w:w="792"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3930"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1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3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1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17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6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792"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393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6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1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3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1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17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36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472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36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51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8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9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51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117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36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Layout w:type="fixed"/>
          <w:tblCellMar>
            <w:top w:w="0" w:type="dxa"/>
            <w:left w:w="0" w:type="dxa"/>
            <w:bottom w:w="0" w:type="dxa"/>
            <w:right w:w="0" w:type="dxa"/>
          </w:tblCellMar>
        </w:tblPrEx>
        <w:trPr>
          <w:trHeight w:val="450" w:hRule="atLeast"/>
        </w:trPr>
        <w:tc>
          <w:tcPr>
            <w:tcW w:w="472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rPr>
            </w:pPr>
            <w:r>
              <w:rPr>
                <w:rFonts w:hint="eastAsia"/>
                <w:lang w:val="en-US" w:eastAsia="zh-CN"/>
              </w:rPr>
              <w:t>5611.66</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rPr>
            </w:pPr>
            <w:r>
              <w:rPr>
                <w:rFonts w:hint="eastAsia"/>
                <w:lang w:val="en-US" w:eastAsia="zh-CN"/>
              </w:rPr>
              <w:t>3936.28</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rPr>
            </w:pPr>
            <w:r>
              <w:rPr>
                <w:rFonts w:hint="eastAsia"/>
                <w:lang w:val="en-US" w:eastAsia="zh-CN"/>
              </w:rPr>
              <w:t>1652.63</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rPr>
            </w:pPr>
            <w:r>
              <w:rPr>
                <w:rFonts w:hint="eastAsia"/>
                <w:lang w:val="en-US" w:eastAsia="zh-CN"/>
              </w:rPr>
              <w:t>22.75</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208</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212.23</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212.23</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20805</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190.80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190.80</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eastAsiaTheme="minorEastAsia"/>
                <w:lang w:val="en-US" w:eastAsia="zh-CN"/>
              </w:rPr>
            </w:pPr>
            <w:r>
              <w:rPr>
                <w:rFonts w:hint="eastAsia"/>
              </w:rPr>
              <w:t>20805</w:t>
            </w:r>
            <w:r>
              <w:rPr>
                <w:rFonts w:hint="eastAsia"/>
                <w:lang w:val="en-US" w:eastAsia="zh-CN"/>
              </w:rPr>
              <w:t>05</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190.80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190.80</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eastAsiaTheme="minorEastAsia"/>
                <w:lang w:val="en-US" w:eastAsia="zh-CN"/>
              </w:rPr>
            </w:pPr>
            <w:r>
              <w:rPr>
                <w:rFonts w:hint="eastAsia"/>
                <w:lang w:val="en-US" w:eastAsia="zh-CN"/>
              </w:rPr>
              <w:t>20808</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抚恤</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21.43</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21.43</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lang w:val="en-US" w:eastAsia="zh-CN"/>
              </w:rPr>
            </w:pPr>
            <w:r>
              <w:rPr>
                <w:rFonts w:hint="eastAsia"/>
                <w:lang w:val="en-US" w:eastAsia="zh-CN"/>
              </w:rPr>
              <w:t>2080801</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死亡抚恤</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lang w:val="en-US" w:eastAsia="zh-CN"/>
              </w:rPr>
            </w:pPr>
            <w:r>
              <w:rPr>
                <w:rFonts w:hint="eastAsia"/>
                <w:lang w:val="en-US" w:eastAsia="zh-CN"/>
              </w:rPr>
              <w:t>21.43</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lang w:val="en-US" w:eastAsia="zh-CN"/>
              </w:rPr>
            </w:pPr>
            <w:r>
              <w:rPr>
                <w:rFonts w:hint="eastAsia"/>
                <w:lang w:val="en-US" w:eastAsia="zh-CN"/>
              </w:rPr>
              <w:t>21.43</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213</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农林水支出</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5399.43</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3724.05</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1652.63</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22.75</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21301</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农业农村</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5299.43</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3624.05</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1652.63</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22.75</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2130101</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行政运行</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459.57</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459.57</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2130104</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事业运行</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1621.42</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1029.14</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569.53</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22.75</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eastAsiaTheme="minorEastAsia"/>
                <w:lang w:val="en-US" w:eastAsia="zh-CN"/>
              </w:rPr>
            </w:pPr>
            <w:r>
              <w:rPr>
                <w:rFonts w:hint="eastAsia"/>
                <w:lang w:val="en-US" w:eastAsia="zh-CN"/>
              </w:rPr>
              <w:t>2130106</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1175.44</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92.34</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1083.10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2130109</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农产品质量安全</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150.00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150.00</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2130122</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农业生产发展</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460.00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460.00</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2130135</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农业资源保护修复与利用</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rPr>
            </w:pPr>
            <w:r>
              <w:rPr>
                <w:rFonts w:hint="eastAsia"/>
                <w:lang w:val="en-US" w:eastAsia="zh-CN"/>
              </w:rPr>
              <w:t>680.00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kern w:val="2"/>
                <w:sz w:val="24"/>
                <w:szCs w:val="24"/>
                <w:lang w:val="en-US" w:eastAsia="zh-CN" w:bidi="ar-SA"/>
              </w:rPr>
            </w:pPr>
            <w:r>
              <w:rPr>
                <w:rFonts w:hint="eastAsia"/>
                <w:lang w:val="en-US" w:eastAsia="zh-CN"/>
              </w:rPr>
              <w:t>680.00</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2130199　</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其他农业农村支出</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rPr>
            </w:pPr>
            <w:r>
              <w:rPr>
                <w:rFonts w:hint="eastAsia"/>
                <w:lang w:val="en-US" w:eastAsia="zh-CN"/>
              </w:rPr>
              <w:t>753.00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kern w:val="2"/>
                <w:sz w:val="24"/>
                <w:szCs w:val="24"/>
                <w:lang w:val="en-US" w:eastAsia="zh-CN" w:bidi="ar-SA"/>
              </w:rPr>
            </w:pPr>
            <w:r>
              <w:rPr>
                <w:rFonts w:hint="eastAsia"/>
                <w:lang w:val="en-US" w:eastAsia="zh-CN"/>
              </w:rPr>
              <w:t>753.00</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eastAsiaTheme="minorEastAsia"/>
                <w:lang w:val="en-US" w:eastAsia="zh-CN"/>
              </w:rPr>
            </w:pPr>
            <w:r>
              <w:rPr>
                <w:rFonts w:hint="eastAsia"/>
                <w:lang w:val="en-US" w:eastAsia="zh-CN"/>
              </w:rPr>
              <w:t>21399</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其他农林水支出</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100.00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100.00</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r>
      <w:tr>
        <w:tblPrEx>
          <w:tblLayout w:type="fixed"/>
          <w:tblCellMar>
            <w:top w:w="0" w:type="dxa"/>
            <w:left w:w="0" w:type="dxa"/>
            <w:bottom w:w="0" w:type="dxa"/>
            <w:right w:w="0" w:type="dxa"/>
          </w:tblCellMar>
        </w:tblPrEx>
        <w:trPr>
          <w:trHeight w:val="450" w:hRule="atLeast"/>
        </w:trPr>
        <w:tc>
          <w:tcPr>
            <w:tcW w:w="79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eastAsiaTheme="minorEastAsia"/>
                <w:lang w:val="en-US" w:eastAsia="zh-CN"/>
              </w:rPr>
            </w:pPr>
            <w:r>
              <w:rPr>
                <w:rFonts w:hint="eastAsia"/>
                <w:lang w:val="en-US" w:eastAsia="zh-CN"/>
              </w:rPr>
              <w:t>2139999</w:t>
            </w:r>
          </w:p>
        </w:tc>
        <w:tc>
          <w:tcPr>
            <w:tcW w:w="39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其他农林水支出</w:t>
            </w:r>
          </w:p>
        </w:tc>
        <w:tc>
          <w:tcPr>
            <w:tcW w:w="13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100.00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100.00</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9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51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1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136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r>
      <w:tr>
        <w:tblPrEx>
          <w:tblLayout w:type="fixed"/>
          <w:tblCellMar>
            <w:top w:w="0" w:type="dxa"/>
            <w:left w:w="0" w:type="dxa"/>
            <w:bottom w:w="0" w:type="dxa"/>
            <w:right w:w="0" w:type="dxa"/>
          </w:tblCellMar>
        </w:tblPrEx>
        <w:trPr>
          <w:trHeight w:val="615" w:hRule="atLeast"/>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br w:type="page"/>
      </w:r>
    </w:p>
    <w:p>
      <w:pPr>
        <w:widowControl/>
        <w:rPr>
          <w:rFonts w:ascii="Times New Roman" w:hAnsi="Times New Roman" w:eastAsia="方正小标宋_GBK" w:cs="Times New Roman"/>
          <w:color w:val="000000"/>
          <w:kern w:val="0"/>
          <w:sz w:val="36"/>
          <w:szCs w:val="36"/>
        </w:rPr>
      </w:pPr>
    </w:p>
    <w:tbl>
      <w:tblPr>
        <w:tblStyle w:val="9"/>
        <w:tblW w:w="15640" w:type="dxa"/>
        <w:tblInd w:w="93" w:type="dxa"/>
        <w:tblLayout w:type="fixed"/>
        <w:tblCellMar>
          <w:top w:w="0" w:type="dxa"/>
          <w:left w:w="108" w:type="dxa"/>
          <w:bottom w:w="0" w:type="dxa"/>
          <w:right w:w="108" w:type="dxa"/>
        </w:tblCellMar>
      </w:tblPr>
      <w:tblGrid>
        <w:gridCol w:w="1236"/>
        <w:gridCol w:w="263"/>
        <w:gridCol w:w="2443"/>
        <w:gridCol w:w="1950"/>
        <w:gridCol w:w="2025"/>
        <w:gridCol w:w="2055"/>
        <w:gridCol w:w="1920"/>
        <w:gridCol w:w="1605"/>
        <w:gridCol w:w="2143"/>
      </w:tblGrid>
      <w:tr>
        <w:tblPrEx>
          <w:tblLayout w:type="fixed"/>
          <w:tblCellMar>
            <w:top w:w="0" w:type="dxa"/>
            <w:left w:w="108" w:type="dxa"/>
            <w:bottom w:w="0" w:type="dxa"/>
            <w:right w:w="108" w:type="dxa"/>
          </w:tblCellMar>
        </w:tblPrEx>
        <w:trPr>
          <w:trHeight w:val="807" w:hRule="atLeast"/>
        </w:trPr>
        <w:tc>
          <w:tcPr>
            <w:tcW w:w="15640"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Layout w:type="fixed"/>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6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4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5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02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05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2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0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14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4656" w:type="dxa"/>
            <w:gridSpan w:val="3"/>
            <w:tcBorders>
              <w:top w:val="nil"/>
              <w:left w:val="nil"/>
              <w:bottom w:val="nil"/>
              <w:right w:val="nil"/>
            </w:tcBorders>
            <w:shd w:val="clear" w:color="000000" w:fill="FFFFFF"/>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湖南省水产科学研究所</w:t>
            </w:r>
          </w:p>
        </w:tc>
        <w:tc>
          <w:tcPr>
            <w:tcW w:w="202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055"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92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0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14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95" w:hRule="atLeast"/>
        </w:trPr>
        <w:tc>
          <w:tcPr>
            <w:tcW w:w="3942"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95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202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205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92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60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214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Layout w:type="fixed"/>
          <w:tblCellMar>
            <w:top w:w="0" w:type="dxa"/>
            <w:left w:w="108" w:type="dxa"/>
            <w:bottom w:w="0" w:type="dxa"/>
            <w:right w:w="108" w:type="dxa"/>
          </w:tblCellMar>
        </w:tblPrEx>
        <w:trPr>
          <w:trHeight w:val="595" w:hRule="atLeast"/>
        </w:trPr>
        <w:tc>
          <w:tcPr>
            <w:tcW w:w="149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443"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9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0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0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14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4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0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0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3942"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9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02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205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92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60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214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Layout w:type="fixed"/>
          <w:tblCellMar>
            <w:top w:w="0" w:type="dxa"/>
            <w:left w:w="108" w:type="dxa"/>
            <w:bottom w:w="0" w:type="dxa"/>
            <w:right w:w="108" w:type="dxa"/>
          </w:tblCellMar>
        </w:tblPrEx>
        <w:trPr>
          <w:trHeight w:val="595" w:hRule="atLeast"/>
        </w:trPr>
        <w:tc>
          <w:tcPr>
            <w:tcW w:w="3942"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9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4260.31</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2293.22</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1967.09</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201</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一般公共服务支出</w:t>
            </w:r>
          </w:p>
        </w:tc>
        <w:tc>
          <w:tcPr>
            <w:tcW w:w="195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30.00</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30.00</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20104</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发展与改革事务</w:t>
            </w:r>
          </w:p>
        </w:tc>
        <w:tc>
          <w:tcPr>
            <w:tcW w:w="195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30.00</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30.00</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2010499</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其他发展与改革事务支出</w:t>
            </w:r>
          </w:p>
        </w:tc>
        <w:tc>
          <w:tcPr>
            <w:tcW w:w="19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30.00</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kern w:val="0"/>
                <w:sz w:val="24"/>
                <w:szCs w:val="24"/>
                <w:lang w:val="en-US" w:eastAsia="zh-CN"/>
              </w:rPr>
              <w:t>30.00</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206</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科学技术支出</w:t>
            </w:r>
          </w:p>
        </w:tc>
        <w:tc>
          <w:tcPr>
            <w:tcW w:w="195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5.00</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5.00</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20607</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科学技术普及</w:t>
            </w:r>
          </w:p>
        </w:tc>
        <w:tc>
          <w:tcPr>
            <w:tcW w:w="19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5.00</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5.00</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2060799</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其他科学技术普及支出</w:t>
            </w:r>
          </w:p>
        </w:tc>
        <w:tc>
          <w:tcPr>
            <w:tcW w:w="19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5.00</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5.00</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208</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95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212.23</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212.23</w:t>
            </w:r>
          </w:p>
        </w:tc>
        <w:tc>
          <w:tcPr>
            <w:tcW w:w="20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20805</w:t>
            </w:r>
          </w:p>
          <w:p>
            <w:pPr>
              <w:widowControl/>
              <w:jc w:val="left"/>
              <w:rPr>
                <w:rFonts w:hint="eastAsia" w:ascii="宋体" w:hAnsi="宋体" w:eastAsia="宋体" w:cs="宋体"/>
                <w:kern w:val="0"/>
                <w:sz w:val="24"/>
                <w:szCs w:val="24"/>
              </w:rPr>
            </w:pP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95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190.80</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190.80</w:t>
            </w:r>
          </w:p>
        </w:tc>
        <w:tc>
          <w:tcPr>
            <w:tcW w:w="20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2080505</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95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190.80</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190.80</w:t>
            </w:r>
          </w:p>
        </w:tc>
        <w:tc>
          <w:tcPr>
            <w:tcW w:w="20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20808</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抚恤</w:t>
            </w:r>
          </w:p>
        </w:tc>
        <w:tc>
          <w:tcPr>
            <w:tcW w:w="195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21.43</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21.43</w:t>
            </w:r>
          </w:p>
        </w:tc>
        <w:tc>
          <w:tcPr>
            <w:tcW w:w="205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2080801</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死亡抚恤</w:t>
            </w:r>
          </w:p>
        </w:tc>
        <w:tc>
          <w:tcPr>
            <w:tcW w:w="195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21.43</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21.43</w:t>
            </w:r>
          </w:p>
        </w:tc>
        <w:tc>
          <w:tcPr>
            <w:tcW w:w="205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213</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农林水支出</w:t>
            </w:r>
          </w:p>
        </w:tc>
        <w:tc>
          <w:tcPr>
            <w:tcW w:w="19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4013.08</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2080.99</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1932.09</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21301</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农业农村</w:t>
            </w:r>
          </w:p>
        </w:tc>
        <w:tc>
          <w:tcPr>
            <w:tcW w:w="19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3989.66</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2080.99</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1908.67</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2130101</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行政运行</w:t>
            </w:r>
          </w:p>
        </w:tc>
        <w:tc>
          <w:tcPr>
            <w:tcW w:w="19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459.57</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459.57</w:t>
            </w:r>
          </w:p>
        </w:tc>
        <w:tc>
          <w:tcPr>
            <w:tcW w:w="205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213010</w:t>
            </w:r>
            <w:r>
              <w:rPr>
                <w:rFonts w:hint="eastAsia" w:ascii="宋体" w:hAnsi="宋体" w:eastAsia="宋体" w:cs="宋体"/>
                <w:kern w:val="0"/>
                <w:sz w:val="24"/>
                <w:szCs w:val="24"/>
                <w:lang w:val="en-US" w:eastAsia="zh-CN"/>
              </w:rPr>
              <w:t>4</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事业运行</w:t>
            </w:r>
          </w:p>
        </w:tc>
        <w:tc>
          <w:tcPr>
            <w:tcW w:w="19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1621.42</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1621.42</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213010</w:t>
            </w:r>
            <w:r>
              <w:rPr>
                <w:rFonts w:hint="eastAsia" w:ascii="宋体" w:hAnsi="宋体" w:eastAsia="宋体" w:cs="宋体"/>
                <w:kern w:val="0"/>
                <w:sz w:val="24"/>
                <w:szCs w:val="24"/>
                <w:lang w:val="en-US" w:eastAsia="zh-CN"/>
              </w:rPr>
              <w:t>6</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19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529.74</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529.74</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213010</w:t>
            </w:r>
            <w:r>
              <w:rPr>
                <w:rFonts w:hint="eastAsia" w:ascii="宋体" w:hAnsi="宋体" w:eastAsia="宋体" w:cs="宋体"/>
                <w:kern w:val="0"/>
                <w:sz w:val="24"/>
                <w:szCs w:val="24"/>
                <w:lang w:val="en-US" w:eastAsia="zh-CN"/>
              </w:rPr>
              <w:t>9</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农产品质量安全</w:t>
            </w:r>
          </w:p>
        </w:tc>
        <w:tc>
          <w:tcPr>
            <w:tcW w:w="19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28.21</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28.21</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2130122</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农业生产发展</w:t>
            </w:r>
          </w:p>
        </w:tc>
        <w:tc>
          <w:tcPr>
            <w:tcW w:w="19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477.28</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477.28</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2130135</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农业资源保护修复与利用</w:t>
            </w:r>
          </w:p>
        </w:tc>
        <w:tc>
          <w:tcPr>
            <w:tcW w:w="19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278.81</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278.81</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2130199</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其他农业农村支出</w:t>
            </w:r>
          </w:p>
        </w:tc>
        <w:tc>
          <w:tcPr>
            <w:tcW w:w="19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594.63</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594.63</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21399</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其他农林水支出</w:t>
            </w:r>
          </w:p>
        </w:tc>
        <w:tc>
          <w:tcPr>
            <w:tcW w:w="19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23.42</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23.42</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2139999</w:t>
            </w:r>
          </w:p>
        </w:tc>
        <w:tc>
          <w:tcPr>
            <w:tcW w:w="244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其他农林水支出</w:t>
            </w:r>
          </w:p>
        </w:tc>
        <w:tc>
          <w:tcPr>
            <w:tcW w:w="19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23.42</w:t>
            </w:r>
          </w:p>
        </w:tc>
        <w:tc>
          <w:tcPr>
            <w:tcW w:w="202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0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23.42</w:t>
            </w:r>
          </w:p>
        </w:tc>
        <w:tc>
          <w:tcPr>
            <w:tcW w:w="19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214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828" w:hRule="atLeast"/>
        </w:trPr>
        <w:tc>
          <w:tcPr>
            <w:tcW w:w="15640"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tbl>
      <w:tblPr>
        <w:tblStyle w:val="9"/>
        <w:tblW w:w="15521" w:type="dxa"/>
        <w:tblInd w:w="93" w:type="dxa"/>
        <w:tblLayout w:type="fixed"/>
        <w:tblCellMar>
          <w:top w:w="0" w:type="dxa"/>
          <w:left w:w="108" w:type="dxa"/>
          <w:bottom w:w="0" w:type="dxa"/>
          <w:right w:w="108" w:type="dxa"/>
        </w:tblCellMar>
      </w:tblPr>
      <w:tblGrid>
        <w:gridCol w:w="3595"/>
        <w:gridCol w:w="436"/>
        <w:gridCol w:w="1078"/>
        <w:gridCol w:w="496"/>
        <w:gridCol w:w="2915"/>
        <w:gridCol w:w="632"/>
        <w:gridCol w:w="435"/>
        <w:gridCol w:w="1573"/>
        <w:gridCol w:w="1394"/>
        <w:gridCol w:w="1394"/>
        <w:gridCol w:w="1573"/>
      </w:tblGrid>
      <w:tr>
        <w:tblPrEx>
          <w:tblLayout w:type="fixed"/>
          <w:tblCellMar>
            <w:top w:w="0" w:type="dxa"/>
            <w:left w:w="108" w:type="dxa"/>
            <w:bottom w:w="0" w:type="dxa"/>
            <w:right w:w="108" w:type="dxa"/>
          </w:tblCellMar>
        </w:tblPrEx>
        <w:trPr>
          <w:trHeight w:val="285" w:hRule="atLeast"/>
        </w:trPr>
        <w:tc>
          <w:tcPr>
            <w:tcW w:w="3595"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Layout w:type="fixed"/>
          <w:tblCellMar>
            <w:top w:w="0" w:type="dxa"/>
            <w:left w:w="108" w:type="dxa"/>
            <w:bottom w:w="0" w:type="dxa"/>
            <w:right w:w="108" w:type="dxa"/>
          </w:tblCellMar>
        </w:tblPrEx>
        <w:trPr>
          <w:trHeight w:val="199" w:hRule="atLeast"/>
        </w:trPr>
        <w:tc>
          <w:tcPr>
            <w:tcW w:w="35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Layout w:type="fixed"/>
          <w:tblCellMar>
            <w:top w:w="0" w:type="dxa"/>
            <w:left w:w="108" w:type="dxa"/>
            <w:bottom w:w="0" w:type="dxa"/>
            <w:right w:w="108" w:type="dxa"/>
          </w:tblCellMar>
        </w:tblPrEx>
        <w:trPr>
          <w:trHeight w:val="300" w:hRule="atLeast"/>
        </w:trPr>
        <w:tc>
          <w:tcPr>
            <w:tcW w:w="3595" w:type="dxa"/>
            <w:tcBorders>
              <w:top w:val="nil"/>
              <w:left w:val="nil"/>
              <w:bottom w:val="nil"/>
              <w:right w:val="nil"/>
            </w:tcBorders>
            <w:shd w:val="clear" w:color="000000" w:fill="FFFFFF"/>
            <w:noWrap/>
            <w:vAlign w:val="center"/>
          </w:tcPr>
          <w:p>
            <w:pPr>
              <w:widowControl/>
              <w:jc w:val="left"/>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eastAsia="zh-CN"/>
              </w:rPr>
              <w:t>湖南省水产科学研究所</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402" w:hRule="atLeast"/>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Layout w:type="fixed"/>
          <w:tblCellMar>
            <w:top w:w="0" w:type="dxa"/>
            <w:left w:w="108" w:type="dxa"/>
            <w:bottom w:w="0" w:type="dxa"/>
            <w:right w:w="108" w:type="dxa"/>
          </w:tblCellMar>
        </w:tblPrEx>
        <w:trPr>
          <w:trHeight w:val="63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w:t>
            </w:r>
          </w:p>
        </w:tc>
        <w:tc>
          <w:tcPr>
            <w:tcW w:w="10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3936.28</w:t>
            </w: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30.00</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w:t>
            </w: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w:t>
            </w: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　</w:t>
            </w:r>
          </w:p>
        </w:tc>
      </w:tr>
      <w:tr>
        <w:tblPrEx>
          <w:tblLayout w:type="fixed"/>
          <w:tblCellMar>
            <w:top w:w="0" w:type="dxa"/>
            <w:left w:w="108" w:type="dxa"/>
            <w:bottom w:w="0" w:type="dxa"/>
            <w:right w:w="108" w:type="dxa"/>
          </w:tblCellMar>
        </w:tblPrEx>
        <w:trPr>
          <w:trHeight w:val="9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5</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eastAsia="zh-CN"/>
              </w:rPr>
            </w:pPr>
            <w:r>
              <w:rPr>
                <w:rFonts w:hint="eastAsia" w:ascii="宋体" w:hAnsi="宋体" w:eastAsia="宋体" w:cs="宋体"/>
                <w:kern w:val="0"/>
                <w:sz w:val="22"/>
                <w:lang w:val="en-US" w:eastAsia="zh-CN"/>
              </w:rPr>
              <w:t>5</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212.23</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212.23</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九、卫生健康支出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十、节能环保支出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十一、城乡社区支出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十二、农林水支出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2969.51</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2969.51</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十三、交通运输支出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15</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16</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十六、金融支出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17</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49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18</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19</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十九、住房保障支出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21</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22</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二十三、其他支出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24</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25</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26</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p>
        </w:tc>
        <w:tc>
          <w:tcPr>
            <w:tcW w:w="341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27</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3936.28</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szCs w:val="22"/>
                <w:lang w:val="en-US" w:eastAsia="zh-CN" w:bidi="ar-SA"/>
              </w:rPr>
            </w:pPr>
            <w:r>
              <w:rPr>
                <w:rFonts w:hint="eastAsia" w:ascii="宋体" w:hAnsi="宋体" w:eastAsia="宋体" w:cs="宋体"/>
                <w:b/>
                <w:bCs/>
                <w:kern w:val="0"/>
                <w:sz w:val="22"/>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59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3216.74</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3216.74</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28</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915.86</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1635.41</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1635.41</w:t>
            </w: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29</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915.86</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31</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lang w:val="en-US" w:eastAsia="zh-CN" w:bidi="ar-SA"/>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　</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32</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4852.14</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szCs w:val="22"/>
                <w:lang w:val="en-US" w:eastAsia="zh-CN" w:bidi="ar-SA"/>
              </w:rPr>
            </w:pPr>
            <w:r>
              <w:rPr>
                <w:rFonts w:hint="eastAsia" w:ascii="宋体" w:hAnsi="宋体" w:eastAsia="宋体" w:cs="宋体"/>
                <w:b/>
                <w:bCs/>
                <w:kern w:val="0"/>
                <w:sz w:val="22"/>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64</w:t>
            </w:r>
          </w:p>
        </w:tc>
        <w:tc>
          <w:tcPr>
            <w:tcW w:w="1573"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4852.14</w:t>
            </w:r>
          </w:p>
        </w:tc>
        <w:tc>
          <w:tcPr>
            <w:tcW w:w="1394"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4852.14</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　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0</w:t>
            </w:r>
          </w:p>
        </w:tc>
      </w:tr>
      <w:tr>
        <w:tblPrEx>
          <w:tblLayout w:type="fixed"/>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eastAsia="zh-CN"/>
        </w:rPr>
        <w:t>湖南省水产科学研究所</w:t>
      </w:r>
      <w:r>
        <w:rPr>
          <w:rFonts w:hint="eastAsia" w:ascii="Times New Roman" w:hAnsi="Times New Roman" w:eastAsia="仿宋_GB2312" w:cs="Times New Roman"/>
          <w:color w:val="000000"/>
          <w:kern w:val="0"/>
          <w:szCs w:val="21"/>
          <w:lang w:val="en-US" w:eastAsia="zh-CN"/>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9"/>
        <w:tblW w:w="14219" w:type="dxa"/>
        <w:jc w:val="center"/>
        <w:tblInd w:w="0" w:type="dxa"/>
        <w:tblLayout w:type="fixed"/>
        <w:tblCellMar>
          <w:top w:w="0" w:type="dxa"/>
          <w:left w:w="108" w:type="dxa"/>
          <w:bottom w:w="0" w:type="dxa"/>
          <w:right w:w="108" w:type="dxa"/>
        </w:tblCellMar>
      </w:tblPr>
      <w:tblGrid>
        <w:gridCol w:w="1200"/>
        <w:gridCol w:w="3527"/>
        <w:gridCol w:w="3000"/>
        <w:gridCol w:w="3492"/>
        <w:gridCol w:w="3000"/>
      </w:tblGrid>
      <w:tr>
        <w:tblPrEx>
          <w:tblLayout w:type="fixed"/>
          <w:tblCellMar>
            <w:top w:w="0" w:type="dxa"/>
            <w:left w:w="108" w:type="dxa"/>
            <w:bottom w:w="0" w:type="dxa"/>
            <w:right w:w="108" w:type="dxa"/>
          </w:tblCellMar>
        </w:tblPrEx>
        <w:trPr>
          <w:trHeight w:val="40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Layout w:type="fixed"/>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Layout w:type="fixed"/>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3216.74</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1700.94</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1515.80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201</w:t>
            </w:r>
            <w:r>
              <w:rPr>
                <w:rFonts w:ascii="Times New Roman" w:hAnsi="Times New Roman" w:eastAsia="仿宋_GB2312" w:cs="Times New Roman"/>
                <w:kern w:val="0"/>
                <w:szCs w:val="21"/>
              </w:rPr>
              <w:t>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一般公共服务支出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30.00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20104</w:t>
            </w:r>
            <w:r>
              <w:rPr>
                <w:rFonts w:ascii="Times New Roman" w:hAnsi="Times New Roman" w:eastAsia="仿宋_GB2312" w:cs="Times New Roman"/>
                <w:kern w:val="0"/>
                <w:szCs w:val="21"/>
              </w:rPr>
              <w:t>　</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发展与改革事务</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both"/>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2010499</w:t>
            </w:r>
            <w:r>
              <w:rPr>
                <w:rFonts w:ascii="Times New Roman" w:hAnsi="Times New Roman" w:eastAsia="仿宋_GB2312" w:cs="Times New Roman"/>
                <w:kern w:val="0"/>
                <w:szCs w:val="21"/>
              </w:rPr>
              <w:t>　</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其他发展与改革事务支出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206</w:t>
            </w:r>
            <w:r>
              <w:rPr>
                <w:rFonts w:ascii="Times New Roman" w:hAnsi="Times New Roman" w:eastAsia="仿宋_GB2312" w:cs="Times New Roman"/>
                <w:kern w:val="0"/>
                <w:szCs w:val="21"/>
              </w:rPr>
              <w:t>　</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科学技术支出</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5.00</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20607</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科学技术普及</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5.00</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2060799</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其他科学技术普及支出</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5.00</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208</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212.23</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212.23</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20805</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190.80</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190.80</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65"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2080505</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190.80</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190.80</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65"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20808</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抚恤</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21.43</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21.43</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65"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2080801</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死亡抚恤</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21.43</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21.43</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213</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农林水支出</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2969.51</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1488.71</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1480.80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21301</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农业农村</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2946.09</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1488.71</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1457.38</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2130101</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行政运行</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459.57</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459.57</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hint="eastAsia" w:ascii="Times New Roman" w:hAnsi="Times New Roman" w:eastAsia="仿宋_GB2312" w:cs="Times New Roman"/>
                <w:kern w:val="0"/>
                <w:szCs w:val="21"/>
                <w:lang w:val="en-US" w:eastAsia="zh-CN"/>
              </w:rPr>
            </w:pPr>
            <w:r>
              <w:rPr>
                <w:rFonts w:hint="eastAsia" w:ascii="宋体" w:hAnsi="宋体" w:eastAsia="宋体" w:cs="宋体"/>
                <w:i w:val="0"/>
                <w:iCs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2130104</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事业运行</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1029.14</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1029.14</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2130106</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78.45</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78.45</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2130109</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农产品质量安全</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28.21</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28.21</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2130122</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农业生产发展</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477.28</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477.28</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2130135</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农业资源保护修复与利用</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278.81</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278.81</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2130199</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其他农业农村支出</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594.63</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594.63</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21399</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其他农林水支出</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23.42</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23.42</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both"/>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2139999</w:t>
            </w:r>
          </w:p>
        </w:tc>
        <w:tc>
          <w:tcPr>
            <w:tcW w:w="35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其他农林水支出</w:t>
            </w:r>
          </w:p>
        </w:tc>
        <w:tc>
          <w:tcPr>
            <w:tcW w:w="300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23.42</w:t>
            </w:r>
          </w:p>
        </w:tc>
        <w:tc>
          <w:tcPr>
            <w:tcW w:w="3492"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w:t>
            </w:r>
          </w:p>
        </w:tc>
        <w:tc>
          <w:tcPr>
            <w:tcW w:w="3000"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23.42</w:t>
            </w:r>
          </w:p>
        </w:tc>
      </w:tr>
      <w:tr>
        <w:tblPrEx>
          <w:tblLayout w:type="fixed"/>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br w:type="page"/>
      </w:r>
    </w:p>
    <w:tbl>
      <w:tblPr>
        <w:tblStyle w:val="9"/>
        <w:tblW w:w="15614" w:type="dxa"/>
        <w:tblInd w:w="0" w:type="dxa"/>
        <w:tblLayout w:type="fixed"/>
        <w:tblCellMar>
          <w:top w:w="0" w:type="dxa"/>
          <w:left w:w="108" w:type="dxa"/>
          <w:bottom w:w="0" w:type="dxa"/>
          <w:right w:w="108" w:type="dxa"/>
        </w:tblCellMar>
      </w:tblPr>
      <w:tblGrid>
        <w:gridCol w:w="935"/>
        <w:gridCol w:w="238"/>
        <w:gridCol w:w="88"/>
        <w:gridCol w:w="1212"/>
        <w:gridCol w:w="1607"/>
        <w:gridCol w:w="437"/>
        <w:gridCol w:w="1183"/>
        <w:gridCol w:w="945"/>
        <w:gridCol w:w="709"/>
        <w:gridCol w:w="1316"/>
        <w:gridCol w:w="673"/>
        <w:gridCol w:w="542"/>
        <w:gridCol w:w="990"/>
        <w:gridCol w:w="588"/>
        <w:gridCol w:w="1956"/>
        <w:gridCol w:w="1011"/>
        <w:gridCol w:w="945"/>
        <w:gridCol w:w="239"/>
      </w:tblGrid>
      <w:tr>
        <w:tblPrEx>
          <w:tblLayout w:type="fixed"/>
          <w:tblCellMar>
            <w:top w:w="0" w:type="dxa"/>
            <w:left w:w="108" w:type="dxa"/>
            <w:bottom w:w="0" w:type="dxa"/>
            <w:right w:w="108" w:type="dxa"/>
          </w:tblCellMar>
        </w:tblPrEx>
        <w:trPr>
          <w:trHeight w:val="113" w:hRule="atLeast"/>
        </w:trPr>
        <w:tc>
          <w:tcPr>
            <w:tcW w:w="15614"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lang w:eastAsia="zh-CN"/>
              </w:rPr>
              <w:t>湖南省水产科学研究所</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113" w:hRule="atLeast"/>
        </w:trPr>
        <w:tc>
          <w:tcPr>
            <w:tcW w:w="126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28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6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94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0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2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9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55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1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1,475.86</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rPr>
            </w:pPr>
            <w:r>
              <w:rPr>
                <w:rFonts w:hint="eastAsia" w:ascii="宋体" w:hAnsi="宋体" w:eastAsia="宋体" w:cs="宋体"/>
                <w:color w:val="000000"/>
                <w:kern w:val="0"/>
                <w:szCs w:val="20"/>
                <w:lang w:val="en-US" w:eastAsia="zh-CN"/>
              </w:rPr>
              <w:t>17.02</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371.70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70.12</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2.70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42.92</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675.77</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100.89</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78.42</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11.49</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121.85</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208.06</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186.20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21.87</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17.02</w:t>
            </w: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15.3315.3315.33</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84" w:hRule="exact"/>
        </w:trPr>
        <w:tc>
          <w:tcPr>
            <w:tcW w:w="126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2819"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94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02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121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w:t>
            </w:r>
          </w:p>
        </w:tc>
        <w:tc>
          <w:tcPr>
            <w:tcW w:w="9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555"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84" w:hRule="exact"/>
        </w:trPr>
        <w:tc>
          <w:tcPr>
            <w:tcW w:w="408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620"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1683.92</w:t>
            </w:r>
          </w:p>
        </w:tc>
        <w:tc>
          <w:tcPr>
            <w:tcW w:w="8730"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1184"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18"/>
                <w:lang w:val="en-US"/>
              </w:rPr>
            </w:pPr>
            <w:r>
              <w:rPr>
                <w:rFonts w:hint="eastAsia" w:ascii="宋体" w:hAnsi="宋体" w:eastAsia="宋体" w:cs="宋体"/>
                <w:color w:val="000000"/>
                <w:kern w:val="0"/>
                <w:szCs w:val="18"/>
                <w:lang w:val="en-US" w:eastAsia="zh-CN"/>
              </w:rPr>
              <w:t>17.02</w:t>
            </w:r>
          </w:p>
        </w:tc>
      </w:tr>
      <w:tr>
        <w:tblPrEx>
          <w:tblLayout w:type="fixed"/>
          <w:tblCellMar>
            <w:top w:w="0" w:type="dxa"/>
            <w:left w:w="108" w:type="dxa"/>
            <w:bottom w:w="0" w:type="dxa"/>
            <w:right w:w="108" w:type="dxa"/>
          </w:tblCellMar>
        </w:tblPrEx>
        <w:trPr>
          <w:trHeight w:val="284" w:hRule="exact"/>
        </w:trPr>
        <w:tc>
          <w:tcPr>
            <w:tcW w:w="15614"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690" w:hRule="atLeast"/>
        </w:trPr>
        <w:tc>
          <w:tcPr>
            <w:tcW w:w="15375" w:type="dxa"/>
            <w:gridSpan w:val="1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345" w:hRule="atLeast"/>
        </w:trPr>
        <w:tc>
          <w:tcPr>
            <w:tcW w:w="935"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38"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300"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044"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837"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98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956"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956"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690" w:hRule="atLeast"/>
        </w:trPr>
        <w:tc>
          <w:tcPr>
            <w:tcW w:w="935"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w:t>
            </w:r>
          </w:p>
        </w:tc>
        <w:tc>
          <w:tcPr>
            <w:tcW w:w="3582" w:type="dxa"/>
            <w:gridSpan w:val="5"/>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sz w:val="20"/>
                <w:szCs w:val="20"/>
                <w:u w:val="none"/>
                <w:lang w:eastAsia="zh-CN"/>
              </w:rPr>
              <w:t>湖南省水产科学研究所</w:t>
            </w:r>
          </w:p>
        </w:tc>
        <w:tc>
          <w:tcPr>
            <w:tcW w:w="2837"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98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956"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956"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459" w:hRule="atLeast"/>
        </w:trPr>
        <w:tc>
          <w:tcPr>
            <w:tcW w:w="24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Style w:val="17"/>
                <w:lang w:val="en-US" w:eastAsia="zh-CN"/>
              </w:rPr>
              <w:t xml:space="preserve">   </w:t>
            </w:r>
            <w:r>
              <w:rPr>
                <w:rStyle w:val="18"/>
                <w:lang w:val="en-US" w:eastAsia="zh-CN"/>
              </w:rPr>
              <w:t>目</w:t>
            </w:r>
          </w:p>
        </w:tc>
        <w:tc>
          <w:tcPr>
            <w:tcW w:w="20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年初结转和结余</w:t>
            </w:r>
          </w:p>
        </w:tc>
        <w:tc>
          <w:tcPr>
            <w:tcW w:w="283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本年收入</w:t>
            </w:r>
          </w:p>
        </w:tc>
        <w:tc>
          <w:tcPr>
            <w:tcW w:w="60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c>
          <w:tcPr>
            <w:tcW w:w="19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609" w:hRule="atLeast"/>
        </w:trPr>
        <w:tc>
          <w:tcPr>
            <w:tcW w:w="11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13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2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83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小计</w:t>
            </w:r>
          </w:p>
        </w:tc>
        <w:tc>
          <w:tcPr>
            <w:tcW w:w="21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19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c>
          <w:tcPr>
            <w:tcW w:w="1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409" w:hRule="atLeast"/>
        </w:trPr>
        <w:tc>
          <w:tcPr>
            <w:tcW w:w="11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83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509" w:hRule="atLeast"/>
        </w:trPr>
        <w:tc>
          <w:tcPr>
            <w:tcW w:w="11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83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509" w:hRule="atLeast"/>
        </w:trPr>
        <w:tc>
          <w:tcPr>
            <w:tcW w:w="24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20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19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w:t>
            </w: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509" w:hRule="atLeast"/>
        </w:trPr>
        <w:tc>
          <w:tcPr>
            <w:tcW w:w="24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20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509" w:hRule="atLeast"/>
        </w:trPr>
        <w:tc>
          <w:tcPr>
            <w:tcW w:w="11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0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509" w:hRule="atLeast"/>
        </w:trPr>
        <w:tc>
          <w:tcPr>
            <w:tcW w:w="11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509" w:hRule="atLeast"/>
        </w:trPr>
        <w:tc>
          <w:tcPr>
            <w:tcW w:w="11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0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509" w:hRule="atLeast"/>
        </w:trPr>
        <w:tc>
          <w:tcPr>
            <w:tcW w:w="11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509" w:hRule="atLeast"/>
        </w:trPr>
        <w:tc>
          <w:tcPr>
            <w:tcW w:w="11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509" w:hRule="atLeast"/>
        </w:trPr>
        <w:tc>
          <w:tcPr>
            <w:tcW w:w="11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0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8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39" w:type="dxa"/>
          <w:trHeight w:val="725" w:hRule="atLeast"/>
        </w:trPr>
        <w:tc>
          <w:tcPr>
            <w:tcW w:w="15375" w:type="dxa"/>
            <w:gridSpan w:val="1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9"/>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部门：湖南省水产科学研究所</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Fonts w:hint="eastAsia" w:ascii="宋体" w:hAnsi="宋体" w:eastAsia="宋体" w:cs="宋体"/>
                <w:i w:val="0"/>
                <w:color w:val="000000"/>
                <w:kern w:val="0"/>
                <w:sz w:val="22"/>
                <w:szCs w:val="22"/>
                <w:u w:val="none"/>
                <w:lang w:val="en-US" w:eastAsia="zh-CN"/>
              </w:rPr>
              <w:t xml:space="preserve">   </w:t>
            </w:r>
            <w:r>
              <w:rPr>
                <w:rStyle w:val="19"/>
                <w:lang w:val="en-US" w:eastAsia="zh-CN"/>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9"/>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部门：湖南省水产科学研究所</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rPr>
            </w:pPr>
            <w:r>
              <w:rPr>
                <w:rFonts w:hint="eastAsia" w:ascii="宋体" w:hAnsi="宋体" w:eastAsia="宋体" w:cs="宋体"/>
                <w:i w:val="0"/>
                <w:color w:val="000000"/>
                <w:kern w:val="0"/>
                <w:sz w:val="22"/>
                <w:szCs w:val="22"/>
                <w:u w:val="none"/>
                <w:lang w:val="en-US" w:eastAsia="zh-CN"/>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rPr>
            </w:pPr>
            <w:r>
              <w:rPr>
                <w:rFonts w:hint="eastAsia" w:ascii="宋体" w:hAnsi="宋体" w:eastAsia="宋体" w:cs="宋体"/>
                <w:i w:val="0"/>
                <w:color w:val="000000"/>
                <w:kern w:val="0"/>
                <w:sz w:val="22"/>
                <w:szCs w:val="22"/>
                <w:u w:val="none"/>
                <w:lang w:val="en-US" w:eastAsia="zh-CN"/>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rPr>
            </w:pPr>
            <w:r>
              <w:rPr>
                <w:rFonts w:hint="eastAsia" w:ascii="宋体" w:hAnsi="宋体" w:eastAsia="宋体" w:cs="宋体"/>
                <w:i w:val="0"/>
                <w:color w:val="000000"/>
                <w:kern w:val="0"/>
                <w:sz w:val="22"/>
                <w:szCs w:val="22"/>
                <w:u w:val="none"/>
                <w:lang w:val="en-US" w:eastAsia="zh-CN"/>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rPr>
            </w:pPr>
            <w:r>
              <w:rPr>
                <w:rFonts w:hint="eastAsia" w:ascii="宋体" w:hAnsi="宋体" w:eastAsia="宋体" w:cs="宋体"/>
                <w:i w:val="0"/>
                <w:color w:val="000000"/>
                <w:kern w:val="0"/>
                <w:sz w:val="22"/>
                <w:szCs w:val="22"/>
                <w:u w:val="none"/>
                <w:lang w:val="en-US" w:eastAsia="zh-CN"/>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说明：本单位无三公经费预算，故本表无数据。</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br w:type="page"/>
      </w:r>
    </w:p>
    <w:p>
      <w:pPr>
        <w:pStyle w:val="14"/>
        <w:rPr>
          <w:sz w:val="72"/>
          <w:szCs w:val="72"/>
        </w:rPr>
      </w:pPr>
    </w:p>
    <w:p>
      <w:pPr>
        <w:pStyle w:val="14"/>
        <w:rPr>
          <w:sz w:val="72"/>
          <w:szCs w:val="72"/>
        </w:rPr>
      </w:pPr>
    </w:p>
    <w:p>
      <w:pPr>
        <w:pStyle w:val="14"/>
        <w:rPr>
          <w:sz w:val="72"/>
          <w:szCs w:val="72"/>
        </w:rPr>
      </w:pPr>
    </w:p>
    <w:p>
      <w:pPr>
        <w:pStyle w:val="14"/>
        <w:rPr>
          <w:sz w:val="72"/>
          <w:szCs w:val="72"/>
        </w:rPr>
      </w:pPr>
    </w:p>
    <w:p>
      <w:pPr>
        <w:pStyle w:val="14"/>
        <w:jc w:val="center"/>
        <w:rPr>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br w:type="page"/>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6641.03</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1174.67</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21.49</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增加</w:t>
      </w:r>
      <w:r>
        <w:rPr>
          <w:rFonts w:hint="eastAsia" w:ascii="Times New Roman" w:hAnsi="Times New Roman" w:eastAsia="仿宋_GB2312"/>
          <w:sz w:val="32"/>
          <w:szCs w:val="32"/>
          <w:lang w:eastAsia="zh-CN"/>
        </w:rPr>
        <w:t>农产品质量安全监管、</w:t>
      </w:r>
      <w:r>
        <w:rPr>
          <w:rFonts w:hint="eastAsia" w:ascii="Times New Roman" w:hAnsi="Times New Roman" w:eastAsia="仿宋_GB2312"/>
          <w:sz w:val="32"/>
          <w:szCs w:val="32"/>
          <w:lang w:val="en-US" w:eastAsia="zh-CN"/>
        </w:rPr>
        <w:t>洞庭湖特色土著鱼类保育中心建设</w:t>
      </w:r>
      <w:r>
        <w:rPr>
          <w:rFonts w:hint="eastAsia" w:ascii="Times New Roman" w:hAnsi="Times New Roman" w:eastAsia="仿宋_GB2312"/>
          <w:sz w:val="32"/>
          <w:szCs w:val="32"/>
          <w:lang w:eastAsia="zh-CN"/>
        </w:rPr>
        <w:t>等项目。</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年度收入合计</w:t>
      </w:r>
      <w:r>
        <w:rPr>
          <w:rFonts w:hint="eastAsia" w:ascii="Times New Roman" w:hAnsi="Times New Roman" w:eastAsia="仿宋_GB2312"/>
          <w:sz w:val="32"/>
          <w:szCs w:val="32"/>
          <w:lang w:val="en-US" w:eastAsia="zh-CN"/>
        </w:rPr>
        <w:t>5611.66</w:t>
      </w:r>
      <w:r>
        <w:rPr>
          <w:rFonts w:hint="eastAsia" w:ascii="Times New Roman" w:hAnsi="Times New Roman" w:eastAsia="仿宋_GB2312"/>
          <w:sz w:val="32"/>
          <w:szCs w:val="32"/>
          <w:lang w:eastAsia="zh-CN"/>
        </w:rPr>
        <w:t>万元，其中：财政拨款收入</w:t>
      </w:r>
      <w:r>
        <w:rPr>
          <w:rFonts w:hint="eastAsia" w:ascii="Times New Roman" w:hAnsi="Times New Roman" w:eastAsia="仿宋_GB2312"/>
          <w:sz w:val="32"/>
          <w:szCs w:val="32"/>
          <w:lang w:val="en-US" w:eastAsia="zh-CN"/>
        </w:rPr>
        <w:t>3936.28</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70.14</w:t>
      </w:r>
      <w:r>
        <w:rPr>
          <w:rFonts w:hint="eastAsia" w:ascii="Times New Roman" w:hAnsi="Times New Roman" w:eastAsia="仿宋_GB2312"/>
          <w:sz w:val="32"/>
          <w:szCs w:val="32"/>
          <w:lang w:eastAsia="zh-CN"/>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万元；事业收入</w:t>
      </w:r>
      <w:r>
        <w:rPr>
          <w:rFonts w:hint="eastAsia" w:ascii="Times New Roman" w:hAnsi="Times New Roman" w:eastAsia="仿宋_GB2312"/>
          <w:sz w:val="32"/>
          <w:szCs w:val="32"/>
          <w:lang w:val="en-US" w:eastAsia="zh-CN"/>
        </w:rPr>
        <w:t>1652.63</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29.45</w:t>
      </w:r>
      <w:r>
        <w:rPr>
          <w:rFonts w:hint="eastAsia" w:ascii="Times New Roman" w:hAnsi="Times New Roman" w:eastAsia="仿宋_GB2312"/>
          <w:sz w:val="32"/>
          <w:szCs w:val="32"/>
          <w:lang w:eastAsia="zh-CN"/>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万元；其他收入</w:t>
      </w:r>
      <w:r>
        <w:rPr>
          <w:rFonts w:hint="eastAsia" w:ascii="Times New Roman" w:hAnsi="Times New Roman" w:eastAsia="仿宋_GB2312"/>
          <w:sz w:val="32"/>
          <w:szCs w:val="32"/>
          <w:lang w:val="en-US" w:eastAsia="zh-CN"/>
        </w:rPr>
        <w:t>22.75</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0.41</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年度支出合计</w:t>
      </w:r>
      <w:r>
        <w:rPr>
          <w:rFonts w:hint="eastAsia" w:ascii="Times New Roman" w:hAnsi="Times New Roman" w:eastAsia="仿宋_GB2312"/>
          <w:sz w:val="32"/>
          <w:szCs w:val="32"/>
          <w:lang w:val="en-US" w:eastAsia="zh-CN"/>
        </w:rPr>
        <w:t>4260.31</w:t>
      </w:r>
      <w:r>
        <w:rPr>
          <w:rFonts w:hint="eastAsia" w:ascii="Times New Roman" w:hAnsi="Times New Roman" w:eastAsia="仿宋_GB2312"/>
          <w:sz w:val="32"/>
          <w:szCs w:val="32"/>
          <w:lang w:eastAsia="zh-CN"/>
        </w:rPr>
        <w:t>万元，其中：基本支出</w:t>
      </w:r>
      <w:r>
        <w:rPr>
          <w:rFonts w:hint="eastAsia" w:ascii="Times New Roman" w:hAnsi="Times New Roman" w:eastAsia="仿宋_GB2312"/>
          <w:sz w:val="32"/>
          <w:szCs w:val="32"/>
          <w:lang w:val="en-US" w:eastAsia="zh-CN"/>
        </w:rPr>
        <w:t>2293.22</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53.83</w:t>
      </w:r>
      <w:r>
        <w:rPr>
          <w:rFonts w:hint="eastAsia" w:ascii="Times New Roman" w:hAnsi="Times New Roman" w:eastAsia="仿宋_GB2312"/>
          <w:sz w:val="32"/>
          <w:szCs w:val="32"/>
          <w:lang w:eastAsia="zh-CN"/>
        </w:rPr>
        <w:t>%；项目支出</w:t>
      </w:r>
      <w:r>
        <w:rPr>
          <w:rFonts w:hint="eastAsia" w:ascii="Times New Roman" w:hAnsi="Times New Roman" w:eastAsia="仿宋_GB2312"/>
          <w:sz w:val="32"/>
          <w:szCs w:val="32"/>
          <w:lang w:val="en-US" w:eastAsia="zh-CN"/>
        </w:rPr>
        <w:t>1967.09</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46.17</w:t>
      </w:r>
      <w:r>
        <w:rPr>
          <w:rFonts w:hint="eastAsia" w:ascii="Times New Roman" w:hAnsi="Times New Roman" w:eastAsia="仿宋_GB2312"/>
          <w:sz w:val="32"/>
          <w:szCs w:val="32"/>
          <w:lang w:eastAsia="zh-CN"/>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4852.14</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791.22</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19.48</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eastAsia="zh-CN"/>
        </w:rPr>
        <w:t>增加农产品质量安全监管及</w:t>
      </w:r>
      <w:r>
        <w:rPr>
          <w:rFonts w:hint="eastAsia" w:ascii="Times New Roman" w:hAnsi="Times New Roman" w:eastAsia="仿宋_GB2312"/>
          <w:sz w:val="32"/>
          <w:szCs w:val="32"/>
          <w:lang w:val="en-US" w:eastAsia="zh-CN"/>
        </w:rPr>
        <w:t>洞庭湖特色土著鱼类保育中心建设</w:t>
      </w:r>
      <w:r>
        <w:rPr>
          <w:rFonts w:hint="eastAsia" w:ascii="Times New Roman" w:hAnsi="Times New Roman" w:eastAsia="仿宋_GB2312"/>
          <w:sz w:val="32"/>
          <w:szCs w:val="32"/>
          <w:lang w:eastAsia="zh-CN"/>
        </w:rPr>
        <w:t>等项目</w:t>
      </w:r>
      <w:r>
        <w:rPr>
          <w:rFonts w:hint="eastAsia" w:ascii="Times New Roman" w:hAnsi="Times New Roman" w:eastAsia="仿宋_GB2312"/>
          <w:sz w:val="32"/>
          <w:szCs w:val="32"/>
          <w:lang w:val="en-US"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（一）财政拨款支出决算总体情况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年度财政拨款支出</w:t>
      </w:r>
      <w:r>
        <w:rPr>
          <w:rFonts w:hint="eastAsia" w:ascii="Times New Roman" w:hAnsi="Times New Roman" w:eastAsia="仿宋_GB2312"/>
          <w:sz w:val="32"/>
          <w:szCs w:val="32"/>
          <w:lang w:val="en-US" w:eastAsia="zh-CN"/>
        </w:rPr>
        <w:t>3216.74</w:t>
      </w:r>
      <w:r>
        <w:rPr>
          <w:rFonts w:hint="eastAsia" w:ascii="Times New Roman" w:hAnsi="Times New Roman" w:eastAsia="仿宋_GB2312"/>
          <w:sz w:val="32"/>
          <w:szCs w:val="32"/>
          <w:lang w:eastAsia="zh-CN"/>
        </w:rPr>
        <w:t>万元，占本年支出合计的</w:t>
      </w:r>
      <w:r>
        <w:rPr>
          <w:rFonts w:hint="eastAsia" w:ascii="Times New Roman" w:hAnsi="Times New Roman" w:eastAsia="仿宋_GB2312"/>
          <w:sz w:val="32"/>
          <w:szCs w:val="32"/>
          <w:lang w:val="en-US" w:eastAsia="zh-CN"/>
        </w:rPr>
        <w:t>75.50</w:t>
      </w:r>
      <w:r>
        <w:rPr>
          <w:rFonts w:hint="eastAsia" w:ascii="Times New Roman" w:hAnsi="Times New Roman" w:eastAsia="仿宋_GB2312"/>
          <w:sz w:val="32"/>
          <w:szCs w:val="32"/>
          <w:lang w:eastAsia="zh-CN"/>
        </w:rPr>
        <w:t>%，与上年相比，财政拨款支出增加</w:t>
      </w:r>
      <w:r>
        <w:rPr>
          <w:rFonts w:hint="eastAsia" w:ascii="Times New Roman" w:hAnsi="Times New Roman" w:eastAsia="仿宋_GB2312"/>
          <w:sz w:val="32"/>
          <w:szCs w:val="32"/>
          <w:lang w:val="en-US" w:eastAsia="zh-CN"/>
        </w:rPr>
        <w:t>77.28</w:t>
      </w:r>
      <w:r>
        <w:rPr>
          <w:rFonts w:hint="eastAsia" w:ascii="Times New Roman" w:hAnsi="Times New Roman" w:eastAsia="仿宋_GB2312"/>
          <w:sz w:val="32"/>
          <w:szCs w:val="32"/>
          <w:lang w:eastAsia="zh-CN"/>
        </w:rPr>
        <w:t>万元，增长</w:t>
      </w:r>
      <w:r>
        <w:rPr>
          <w:rFonts w:hint="eastAsia" w:ascii="Times New Roman" w:hAnsi="Times New Roman" w:eastAsia="仿宋_GB2312"/>
          <w:sz w:val="32"/>
          <w:szCs w:val="32"/>
          <w:lang w:val="en-US" w:eastAsia="zh-CN"/>
        </w:rPr>
        <w:t>2.46</w:t>
      </w:r>
      <w:r>
        <w:rPr>
          <w:rFonts w:hint="eastAsia" w:ascii="Times New Roman" w:hAnsi="Times New Roman" w:eastAsia="仿宋_GB2312"/>
          <w:sz w:val="32"/>
          <w:szCs w:val="32"/>
          <w:lang w:eastAsia="zh-CN"/>
        </w:rPr>
        <w:t>%，主要是因为农产品质量安全监管及</w:t>
      </w:r>
      <w:r>
        <w:rPr>
          <w:rFonts w:hint="eastAsia" w:ascii="Times New Roman" w:hAnsi="Times New Roman" w:eastAsia="仿宋_GB2312"/>
          <w:sz w:val="32"/>
          <w:szCs w:val="32"/>
          <w:lang w:val="en-US" w:eastAsia="zh-CN"/>
        </w:rPr>
        <w:t>洞庭湖特色土著鱼类保育中心建设</w:t>
      </w:r>
      <w:r>
        <w:rPr>
          <w:rFonts w:hint="eastAsia" w:ascii="Times New Roman" w:hAnsi="Times New Roman" w:eastAsia="仿宋_GB2312"/>
          <w:sz w:val="32"/>
          <w:szCs w:val="32"/>
          <w:lang w:eastAsia="zh-CN"/>
        </w:rPr>
        <w:t>等项目支出增加</w:t>
      </w:r>
      <w:r>
        <w:rPr>
          <w:rFonts w:hint="eastAsia" w:ascii="Times New Roman" w:hAnsi="Times New Roman" w:eastAsia="仿宋_GB2312"/>
          <w:sz w:val="32"/>
          <w:szCs w:val="32"/>
          <w:lang w:val="en-US"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年度财政拨款支出</w:t>
      </w:r>
      <w:r>
        <w:rPr>
          <w:rFonts w:hint="eastAsia" w:ascii="Times New Roman" w:hAnsi="Times New Roman" w:eastAsia="仿宋_GB2312"/>
          <w:sz w:val="32"/>
          <w:szCs w:val="32"/>
          <w:lang w:val="en-US" w:eastAsia="zh-CN"/>
        </w:rPr>
        <w:t>3216.74</w:t>
      </w:r>
      <w:r>
        <w:rPr>
          <w:rFonts w:hint="eastAsia" w:ascii="Times New Roman" w:hAnsi="Times New Roman" w:eastAsia="仿宋_GB2312"/>
          <w:sz w:val="32"/>
          <w:szCs w:val="32"/>
          <w:lang w:eastAsia="zh-CN"/>
        </w:rPr>
        <w:t>万元，主要用于以下方面：一般公共服务（类）支出</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0.93</w:t>
      </w:r>
      <w:r>
        <w:rPr>
          <w:rFonts w:hint="eastAsia" w:ascii="Times New Roman" w:hAnsi="Times New Roman" w:eastAsia="仿宋_GB2312"/>
          <w:sz w:val="32"/>
          <w:szCs w:val="32"/>
          <w:lang w:eastAsia="zh-CN"/>
        </w:rPr>
        <w:t>%；科学技术（类）支出</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0.16</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社会保障和就业（类）支出212.23万元，占6.60%；农林水（类）支出2969.51万元，占92.31%。</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（三）财政拨款支出决算具体情况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年度财政拨款支出年初预算数为</w:t>
      </w:r>
      <w:r>
        <w:rPr>
          <w:rFonts w:hint="eastAsia" w:ascii="Times New Roman" w:hAnsi="Times New Roman" w:eastAsia="仿宋_GB2312"/>
          <w:sz w:val="32"/>
          <w:szCs w:val="32"/>
          <w:lang w:val="en-US" w:eastAsia="zh-CN"/>
        </w:rPr>
        <w:t>2668.14</w:t>
      </w:r>
      <w:r>
        <w:rPr>
          <w:rFonts w:hint="eastAsia" w:ascii="Times New Roman" w:hAnsi="Times New Roman" w:eastAsia="仿宋_GB2312"/>
          <w:sz w:val="32"/>
          <w:szCs w:val="32"/>
          <w:lang w:eastAsia="zh-CN"/>
        </w:rPr>
        <w:t>万元，支出决算数为</w:t>
      </w:r>
      <w:r>
        <w:rPr>
          <w:rFonts w:hint="eastAsia" w:ascii="Times New Roman" w:hAnsi="Times New Roman" w:eastAsia="仿宋_GB2312"/>
          <w:sz w:val="32"/>
          <w:szCs w:val="32"/>
          <w:lang w:val="en-US" w:eastAsia="zh-CN"/>
        </w:rPr>
        <w:t>3216.74</w:t>
      </w:r>
      <w:r>
        <w:rPr>
          <w:rFonts w:hint="eastAsia" w:ascii="Times New Roman" w:hAnsi="Times New Roman" w:eastAsia="仿宋_GB2312"/>
          <w:sz w:val="32"/>
          <w:szCs w:val="32"/>
          <w:lang w:eastAsia="zh-CN"/>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lang w:eastAsia="zh-CN"/>
        </w:rPr>
        <w:t>%，其中：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1、一般公共服务（类）</w:t>
      </w:r>
      <w:r>
        <w:rPr>
          <w:rFonts w:hint="eastAsia" w:ascii="Times New Roman" w:hAnsi="Times New Roman" w:eastAsia="仿宋_GB2312"/>
          <w:sz w:val="32"/>
          <w:szCs w:val="32"/>
          <w:lang w:val="en-US" w:eastAsia="zh-CN"/>
        </w:rPr>
        <w:t>发展与改革事务（款）其他发展与改革事务（项）</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eastAsia="zh-CN"/>
        </w:rPr>
        <w:t>年初预算为</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lang w:eastAsia="zh-CN"/>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2、科学技术（类）</w:t>
      </w:r>
      <w:r>
        <w:rPr>
          <w:rFonts w:hint="eastAsia" w:ascii="Times New Roman" w:hAnsi="Times New Roman" w:eastAsia="仿宋_GB2312"/>
          <w:sz w:val="32"/>
          <w:szCs w:val="32"/>
          <w:lang w:val="en-US" w:eastAsia="zh-CN"/>
        </w:rPr>
        <w:t>科学技术普及</w:t>
      </w:r>
      <w:r>
        <w:rPr>
          <w:rFonts w:hint="eastAsia" w:ascii="Times New Roman" w:hAnsi="Times New Roman" w:eastAsia="仿宋_GB2312"/>
          <w:sz w:val="32"/>
          <w:szCs w:val="32"/>
          <w:lang w:eastAsia="zh-CN"/>
        </w:rPr>
        <w:t>（款）</w:t>
      </w:r>
      <w:r>
        <w:rPr>
          <w:rFonts w:hint="eastAsia" w:ascii="Times New Roman" w:hAnsi="Times New Roman" w:eastAsia="仿宋_GB2312"/>
          <w:sz w:val="32"/>
          <w:szCs w:val="32"/>
          <w:lang w:val="en-US" w:eastAsia="zh-CN"/>
        </w:rPr>
        <w:t>其他科学技术普及</w:t>
      </w:r>
      <w:r>
        <w:rPr>
          <w:rFonts w:hint="eastAsia" w:ascii="Times New Roman" w:hAnsi="Times New Roman" w:eastAsia="仿宋_GB2312"/>
          <w:sz w:val="32"/>
          <w:szCs w:val="32"/>
          <w:lang w:eastAsia="zh-CN"/>
        </w:rPr>
        <w:t>（项）。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eastAsia="zh-CN"/>
        </w:rPr>
        <w:t>年初预算为</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lang w:eastAsia="zh-CN"/>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社会保障和就业（类）行政事业单位养老（款）机关事业单位基本养老保险缴费（项）。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eastAsia="zh-CN"/>
        </w:rPr>
        <w:t>年初预算为</w:t>
      </w:r>
      <w:r>
        <w:rPr>
          <w:rFonts w:hint="eastAsia" w:ascii="Times New Roman" w:hAnsi="Times New Roman" w:eastAsia="仿宋_GB2312"/>
          <w:sz w:val="32"/>
          <w:szCs w:val="32"/>
          <w:lang w:val="en-US" w:eastAsia="zh-CN"/>
        </w:rPr>
        <w:t>190.80</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190.80</w:t>
      </w:r>
      <w:r>
        <w:rPr>
          <w:rFonts w:hint="eastAsia" w:ascii="Times New Roman" w:hAnsi="Times New Roman" w:eastAsia="仿宋_GB2312"/>
          <w:sz w:val="32"/>
          <w:szCs w:val="32"/>
          <w:lang w:eastAsia="zh-CN"/>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w:t>
      </w:r>
    </w:p>
    <w:p>
      <w:pPr>
        <w:pStyle w:val="14"/>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社会保障和就业（类）</w:t>
      </w:r>
      <w:r>
        <w:rPr>
          <w:rFonts w:hint="eastAsia" w:ascii="Times New Roman" w:hAnsi="Times New Roman" w:eastAsia="仿宋_GB2312"/>
          <w:sz w:val="32"/>
          <w:szCs w:val="32"/>
          <w:lang w:val="en-US" w:eastAsia="zh-CN"/>
        </w:rPr>
        <w:t>抚恤</w:t>
      </w:r>
      <w:r>
        <w:rPr>
          <w:rFonts w:hint="eastAsia" w:ascii="Times New Roman" w:hAnsi="Times New Roman" w:eastAsia="仿宋_GB2312"/>
          <w:sz w:val="32"/>
          <w:szCs w:val="32"/>
          <w:lang w:eastAsia="zh-CN"/>
        </w:rPr>
        <w:t>（款）</w:t>
      </w:r>
      <w:r>
        <w:rPr>
          <w:rFonts w:hint="eastAsia" w:ascii="Times New Roman" w:hAnsi="Times New Roman" w:eastAsia="仿宋_GB2312"/>
          <w:sz w:val="32"/>
          <w:szCs w:val="32"/>
          <w:lang w:val="en-US" w:eastAsia="zh-CN"/>
        </w:rPr>
        <w:t>死亡抚恤</w:t>
      </w:r>
      <w:r>
        <w:rPr>
          <w:rFonts w:hint="eastAsia" w:ascii="Times New Roman" w:hAnsi="Times New Roman" w:eastAsia="仿宋_GB2312"/>
          <w:sz w:val="32"/>
          <w:szCs w:val="32"/>
          <w:lang w:eastAsia="zh-CN"/>
        </w:rPr>
        <w:t>（项）。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eastAsia="zh-CN"/>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21.43</w:t>
      </w:r>
      <w:r>
        <w:rPr>
          <w:rFonts w:hint="eastAsia" w:ascii="Times New Roman" w:hAnsi="Times New Roman" w:eastAsia="仿宋_GB2312"/>
          <w:sz w:val="32"/>
          <w:szCs w:val="32"/>
          <w:lang w:eastAsia="zh-CN"/>
        </w:rPr>
        <w:t>万元，决算数大于年初预算数的主要原因是：</w:t>
      </w:r>
      <w:r>
        <w:rPr>
          <w:rFonts w:hint="eastAsia" w:ascii="Times New Roman" w:hAnsi="Times New Roman" w:eastAsia="仿宋_GB2312"/>
          <w:sz w:val="32"/>
          <w:szCs w:val="32"/>
          <w:lang w:val="en-US" w:eastAsia="zh-CN"/>
        </w:rPr>
        <w:t>年中追加专项资金。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lang w:eastAsia="zh-CN"/>
        </w:rPr>
        <w:t>农林水（类）农业农村（款）行政运行（项）。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eastAsia="zh-CN"/>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459.57</w:t>
      </w:r>
      <w:r>
        <w:rPr>
          <w:rFonts w:hint="eastAsia" w:ascii="Times New Roman" w:hAnsi="Times New Roman" w:eastAsia="仿宋_GB2312"/>
          <w:sz w:val="32"/>
          <w:szCs w:val="32"/>
          <w:lang w:eastAsia="zh-CN"/>
        </w:rPr>
        <w:t>万元，决算数大于年初预算数的主要原因是：</w:t>
      </w:r>
      <w:r>
        <w:rPr>
          <w:rFonts w:hint="eastAsia" w:ascii="Times New Roman" w:hAnsi="Times New Roman" w:eastAsia="仿宋_GB2312"/>
          <w:sz w:val="32"/>
          <w:szCs w:val="32"/>
          <w:lang w:val="en-US" w:eastAsia="zh-CN"/>
        </w:rPr>
        <w:t>年中追加绩效工资。</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lang w:eastAsia="zh-CN"/>
        </w:rPr>
        <w:t>农林水（类）农业农村（款）事业运行（项）。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年初预算为</w:t>
      </w:r>
      <w:r>
        <w:rPr>
          <w:rFonts w:hint="eastAsia" w:ascii="Times New Roman" w:hAnsi="Times New Roman" w:eastAsia="仿宋_GB2312"/>
          <w:sz w:val="32"/>
          <w:szCs w:val="32"/>
          <w:lang w:val="en-US" w:eastAsia="zh-CN"/>
        </w:rPr>
        <w:t>1101.48</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1029.14</w:t>
      </w:r>
      <w:r>
        <w:rPr>
          <w:rFonts w:hint="eastAsia" w:ascii="Times New Roman" w:hAnsi="Times New Roman" w:eastAsia="仿宋_GB2312"/>
          <w:sz w:val="32"/>
          <w:szCs w:val="32"/>
          <w:lang w:eastAsia="zh-CN"/>
        </w:rPr>
        <w:t>万元，完成年初预算的</w:t>
      </w:r>
      <w:r>
        <w:rPr>
          <w:rFonts w:hint="eastAsia" w:ascii="Times New Roman" w:hAnsi="Times New Roman" w:eastAsia="仿宋_GB2312"/>
          <w:sz w:val="32"/>
          <w:szCs w:val="32"/>
          <w:lang w:val="en-US" w:eastAsia="zh-CN"/>
        </w:rPr>
        <w:t>93.43</w:t>
      </w:r>
      <w:r>
        <w:rPr>
          <w:rFonts w:hint="eastAsia" w:ascii="Times New Roman" w:hAnsi="Times New Roman" w:eastAsia="仿宋_GB2312"/>
          <w:sz w:val="32"/>
          <w:szCs w:val="32"/>
          <w:lang w:eastAsia="zh-CN"/>
        </w:rPr>
        <w:t>%，决算数大小于年初预算数的主要原因是：项目跨年实施。</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lang w:eastAsia="zh-CN"/>
        </w:rPr>
        <w:t>农林水（类）农业农村（款）科技转化与推广服务（项）。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eastAsia="zh-CN"/>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78.45</w:t>
      </w:r>
      <w:r>
        <w:rPr>
          <w:rFonts w:hint="eastAsia" w:ascii="Times New Roman" w:hAnsi="Times New Roman" w:eastAsia="仿宋_GB2312"/>
          <w:sz w:val="32"/>
          <w:szCs w:val="32"/>
          <w:lang w:eastAsia="zh-CN"/>
        </w:rPr>
        <w:t>万元，决算数大于年初预算数的主要原因是：</w:t>
      </w:r>
      <w:r>
        <w:rPr>
          <w:rFonts w:hint="eastAsia" w:ascii="Times New Roman" w:hAnsi="Times New Roman" w:eastAsia="仿宋_GB2312"/>
          <w:sz w:val="32"/>
          <w:szCs w:val="32"/>
          <w:lang w:val="en-US" w:eastAsia="zh-CN"/>
        </w:rPr>
        <w:t>年中追加专项资金。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lang w:eastAsia="zh-CN"/>
        </w:rPr>
        <w:t>农林水（类）农业农村（款）农产品质量安全（项）。</w:t>
      </w:r>
    </w:p>
    <w:p>
      <w:pPr>
        <w:pStyle w:val="14"/>
        <w:keepNext w:val="0"/>
        <w:keepLines w:val="0"/>
        <w:pageBreakBefore w:val="0"/>
        <w:widowControl w:val="0"/>
        <w:kinsoku/>
        <w:wordWrap/>
        <w:overflowPunct/>
        <w:topLinePunct w:val="0"/>
        <w:bidi w:val="0"/>
        <w:snapToGrid/>
        <w:spacing w:line="600" w:lineRule="exact"/>
        <w:ind w:left="638" w:leftChars="304" w:firstLine="0" w:firstLineChars="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eastAsia="zh-CN"/>
        </w:rPr>
        <w:t>年初预算为</w:t>
      </w:r>
      <w:r>
        <w:rPr>
          <w:rFonts w:hint="eastAsia" w:ascii="Times New Roman" w:hAnsi="Times New Roman" w:eastAsia="仿宋_GB2312"/>
          <w:sz w:val="32"/>
          <w:szCs w:val="32"/>
          <w:lang w:val="en-US" w:eastAsia="zh-CN"/>
        </w:rPr>
        <w:t>18.87</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28.21</w:t>
      </w:r>
      <w:r>
        <w:rPr>
          <w:rFonts w:hint="eastAsia" w:ascii="Times New Roman" w:hAnsi="Times New Roman" w:eastAsia="仿宋_GB2312"/>
          <w:sz w:val="32"/>
          <w:szCs w:val="32"/>
          <w:lang w:eastAsia="zh-CN"/>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lang w:eastAsia="zh-CN"/>
        </w:rPr>
        <w:t>%，决算数大于年初预算数的主要原因是：</w:t>
      </w:r>
      <w:r>
        <w:rPr>
          <w:rFonts w:hint="eastAsia" w:ascii="Times New Roman" w:hAnsi="Times New Roman" w:eastAsia="仿宋_GB2312"/>
          <w:sz w:val="32"/>
          <w:szCs w:val="32"/>
          <w:lang w:val="en-US" w:eastAsia="zh-CN"/>
        </w:rPr>
        <w:t>年中追加项目资金。</w:t>
      </w:r>
    </w:p>
    <w:p>
      <w:pPr>
        <w:pStyle w:val="14"/>
        <w:keepNext w:val="0"/>
        <w:keepLines w:val="0"/>
        <w:pageBreakBefore w:val="0"/>
        <w:widowControl w:val="0"/>
        <w:kinsoku/>
        <w:wordWrap/>
        <w:overflowPunct/>
        <w:topLinePunct w:val="0"/>
        <w:bidi w:val="0"/>
        <w:snapToGrid/>
        <w:spacing w:line="600" w:lineRule="exact"/>
        <w:ind w:left="638" w:leftChars="304" w:firstLine="0" w:firstLineChars="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lang w:eastAsia="zh-CN"/>
        </w:rPr>
        <w:t>农林水（类）农业农村（款）农业生产发展（项）。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eastAsia="zh-CN"/>
        </w:rPr>
        <w:t>年初预算为</w:t>
      </w:r>
      <w:r>
        <w:rPr>
          <w:rFonts w:hint="eastAsia" w:ascii="Times New Roman" w:hAnsi="Times New Roman" w:eastAsia="仿宋_GB2312"/>
          <w:sz w:val="32"/>
          <w:szCs w:val="32"/>
          <w:lang w:val="en-US" w:eastAsia="zh-CN"/>
        </w:rPr>
        <w:t>621.79</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477.28</w:t>
      </w:r>
      <w:r>
        <w:rPr>
          <w:rFonts w:hint="eastAsia" w:ascii="Times New Roman" w:hAnsi="Times New Roman" w:eastAsia="仿宋_GB2312"/>
          <w:sz w:val="32"/>
          <w:szCs w:val="32"/>
          <w:lang w:eastAsia="zh-CN"/>
        </w:rPr>
        <w:t>万元，完成年初预算的</w:t>
      </w:r>
      <w:r>
        <w:rPr>
          <w:rFonts w:hint="eastAsia" w:ascii="Times New Roman" w:hAnsi="Times New Roman" w:eastAsia="仿宋_GB2312"/>
          <w:sz w:val="32"/>
          <w:szCs w:val="32"/>
          <w:lang w:val="en-US" w:eastAsia="zh-CN"/>
        </w:rPr>
        <w:t>76.76</w:t>
      </w:r>
      <w:r>
        <w:rPr>
          <w:rFonts w:hint="eastAsia" w:ascii="Times New Roman" w:hAnsi="Times New Roman" w:eastAsia="仿宋_GB2312"/>
          <w:sz w:val="32"/>
          <w:szCs w:val="32"/>
          <w:lang w:eastAsia="zh-CN"/>
        </w:rPr>
        <w:t>%，决算数</w:t>
      </w:r>
      <w:r>
        <w:rPr>
          <w:rFonts w:hint="eastAsia" w:ascii="Times New Roman" w:hAnsi="Times New Roman" w:eastAsia="仿宋_GB2312"/>
          <w:sz w:val="32"/>
          <w:szCs w:val="32"/>
          <w:lang w:val="en-US" w:eastAsia="zh-CN"/>
        </w:rPr>
        <w:t>小于</w:t>
      </w:r>
      <w:r>
        <w:rPr>
          <w:rFonts w:hint="eastAsia" w:ascii="Times New Roman" w:hAnsi="Times New Roman" w:eastAsia="仿宋_GB2312"/>
          <w:sz w:val="32"/>
          <w:szCs w:val="32"/>
          <w:lang w:eastAsia="zh-CN"/>
        </w:rPr>
        <w:t>年初预算数的主要原因是：</w:t>
      </w:r>
      <w:r>
        <w:rPr>
          <w:rFonts w:hint="eastAsia" w:ascii="Times New Roman" w:hAnsi="Times New Roman" w:eastAsia="仿宋_GB2312"/>
          <w:sz w:val="32"/>
          <w:szCs w:val="32"/>
          <w:lang w:val="en-US" w:eastAsia="zh-CN"/>
        </w:rPr>
        <w:t>部分项目资金下达时间较晚。</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lang w:eastAsia="zh-CN"/>
        </w:rPr>
        <w:t>农林水（类）农业农村（款）农业资源保护与修复利用（项）。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eastAsia="zh-CN"/>
        </w:rPr>
        <w:t>年初预算为</w:t>
      </w:r>
      <w:r>
        <w:rPr>
          <w:rFonts w:hint="eastAsia" w:ascii="Times New Roman" w:hAnsi="Times New Roman" w:eastAsia="仿宋_GB2312"/>
          <w:sz w:val="32"/>
          <w:szCs w:val="32"/>
          <w:lang w:val="en-US" w:eastAsia="zh-CN"/>
        </w:rPr>
        <w:t>124.74</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278.81</w:t>
      </w:r>
      <w:r>
        <w:rPr>
          <w:rFonts w:hint="eastAsia" w:ascii="Times New Roman" w:hAnsi="Times New Roman" w:eastAsia="仿宋_GB2312"/>
          <w:sz w:val="32"/>
          <w:szCs w:val="32"/>
          <w:lang w:eastAsia="zh-CN"/>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lang w:eastAsia="zh-CN"/>
        </w:rPr>
        <w:t>%，决算数</w:t>
      </w:r>
      <w:r>
        <w:rPr>
          <w:rFonts w:hint="eastAsia" w:ascii="Times New Roman" w:hAnsi="Times New Roman" w:eastAsia="仿宋_GB2312"/>
          <w:sz w:val="32"/>
          <w:szCs w:val="32"/>
          <w:lang w:val="en-US" w:eastAsia="zh-CN"/>
        </w:rPr>
        <w:t>大</w:t>
      </w:r>
      <w:r>
        <w:rPr>
          <w:rFonts w:hint="eastAsia" w:ascii="Times New Roman" w:hAnsi="Times New Roman" w:eastAsia="仿宋_GB2312"/>
          <w:sz w:val="32"/>
          <w:szCs w:val="32"/>
          <w:lang w:eastAsia="zh-CN"/>
        </w:rPr>
        <w:t>于年初预算数的主要原因是：年中</w:t>
      </w:r>
      <w:r>
        <w:rPr>
          <w:rFonts w:hint="eastAsia" w:ascii="Times New Roman" w:hAnsi="Times New Roman" w:eastAsia="仿宋_GB2312"/>
          <w:sz w:val="32"/>
          <w:szCs w:val="32"/>
          <w:lang w:val="en-US" w:eastAsia="zh-CN"/>
        </w:rPr>
        <w:t>追加项目资金。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11、</w:t>
      </w:r>
      <w:r>
        <w:rPr>
          <w:rFonts w:hint="eastAsia" w:ascii="Times New Roman" w:hAnsi="Times New Roman" w:eastAsia="仿宋_GB2312"/>
          <w:sz w:val="32"/>
          <w:szCs w:val="32"/>
          <w:lang w:eastAsia="zh-CN"/>
        </w:rPr>
        <w:t>农林水（类）农业农村（款）其他农业农村支出（项）。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eastAsia="zh-CN"/>
        </w:rPr>
        <w:t>年初预算为</w:t>
      </w:r>
      <w:r>
        <w:rPr>
          <w:rFonts w:hint="eastAsia" w:ascii="Times New Roman" w:hAnsi="Times New Roman" w:eastAsia="仿宋_GB2312"/>
          <w:sz w:val="32"/>
          <w:szCs w:val="32"/>
          <w:lang w:val="en-US" w:eastAsia="zh-CN"/>
        </w:rPr>
        <w:t>575.47</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594.63</w:t>
      </w:r>
      <w:r>
        <w:rPr>
          <w:rFonts w:hint="eastAsia" w:ascii="Times New Roman" w:hAnsi="Times New Roman" w:eastAsia="仿宋_GB2312"/>
          <w:sz w:val="32"/>
          <w:szCs w:val="32"/>
          <w:lang w:eastAsia="zh-CN"/>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lang w:eastAsia="zh-CN"/>
        </w:rPr>
        <w:t>%，决算数大于年初预算数的主要原因是：</w:t>
      </w:r>
      <w:r>
        <w:rPr>
          <w:rFonts w:hint="eastAsia" w:ascii="Times New Roman" w:hAnsi="Times New Roman" w:eastAsia="仿宋_GB2312"/>
          <w:sz w:val="32"/>
          <w:szCs w:val="32"/>
          <w:lang w:val="en-US" w:eastAsia="zh-CN"/>
        </w:rPr>
        <w:t>年中追加项目资金。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12、</w:t>
      </w:r>
      <w:r>
        <w:rPr>
          <w:rFonts w:hint="eastAsia" w:ascii="Times New Roman" w:hAnsi="Times New Roman" w:eastAsia="仿宋_GB2312"/>
          <w:sz w:val="32"/>
          <w:szCs w:val="32"/>
          <w:lang w:eastAsia="zh-CN"/>
        </w:rPr>
        <w:t>农林水（类）其他农林水支出（款）其他农林水支出（项）。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eastAsia="zh-CN"/>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万元，支出决算为</w:t>
      </w:r>
      <w:r>
        <w:rPr>
          <w:rFonts w:hint="eastAsia" w:ascii="Times New Roman" w:hAnsi="Times New Roman" w:eastAsia="仿宋_GB2312"/>
          <w:sz w:val="32"/>
          <w:szCs w:val="32"/>
          <w:lang w:val="en-US" w:eastAsia="zh-CN"/>
        </w:rPr>
        <w:t>23.42</w:t>
      </w:r>
      <w:r>
        <w:rPr>
          <w:rFonts w:hint="eastAsia" w:ascii="Times New Roman" w:hAnsi="Times New Roman" w:eastAsia="仿宋_GB2312"/>
          <w:sz w:val="32"/>
          <w:szCs w:val="32"/>
          <w:lang w:eastAsia="zh-CN"/>
        </w:rPr>
        <w:t>万元，决算数大于年初预算数的主要原因是：</w:t>
      </w:r>
      <w:r>
        <w:rPr>
          <w:rFonts w:hint="eastAsia" w:ascii="Times New Roman" w:hAnsi="Times New Roman" w:eastAsia="仿宋_GB2312"/>
          <w:sz w:val="32"/>
          <w:szCs w:val="32"/>
          <w:lang w:val="en-US" w:eastAsia="zh-CN"/>
        </w:rPr>
        <w:t>年中追加项目资金。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ind w:firstLine="640" w:firstLineChars="200"/>
        <w:rPr>
          <w:rFonts w:hint="eastAsia" w:asciiTheme="minorEastAsia" w:hAnsiTheme="minorEastAsia" w:eastAsiaTheme="minorEastAsia"/>
          <w:sz w:val="32"/>
          <w:szCs w:val="32"/>
          <w:lang w:val="en-US" w:eastAsia="zh-CN"/>
        </w:rPr>
      </w:pP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年度财政拨款基本支出</w:t>
      </w:r>
      <w:r>
        <w:rPr>
          <w:rFonts w:hint="eastAsia" w:ascii="Times New Roman" w:hAnsi="Times New Roman" w:eastAsia="仿宋_GB2312"/>
          <w:sz w:val="32"/>
          <w:szCs w:val="32"/>
          <w:lang w:val="en-US" w:eastAsia="zh-CN"/>
        </w:rPr>
        <w:t>1700.94</w:t>
      </w:r>
      <w:r>
        <w:rPr>
          <w:rFonts w:hint="eastAsia" w:ascii="Times New Roman" w:hAnsi="Times New Roman" w:eastAsia="仿宋_GB2312"/>
          <w:sz w:val="32"/>
          <w:szCs w:val="32"/>
          <w:lang w:eastAsia="zh-CN"/>
        </w:rPr>
        <w:t>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1683.92</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99.00</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绩效工资、机关事业单位基本养老保险缴费、住房公积金、奖励金等。</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17.02</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%，主要</w:t>
      </w:r>
      <w:r>
        <w:rPr>
          <w:rFonts w:hint="eastAsia" w:ascii="Times New Roman" w:hAnsi="Times New Roman" w:eastAsia="仿宋_GB2312"/>
          <w:sz w:val="32"/>
          <w:szCs w:val="32"/>
          <w:lang w:eastAsia="zh-CN"/>
        </w:rPr>
        <w:t>包括工会经费和福利费</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因公出国（境）费支出预算为0万元，支出决算为0万元。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公务接待费支出预算为0万元，支出决算为0万元。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公务用车购置费支出预算为0万元，支出决算为0万元。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公务用车运行维护费</w:t>
      </w:r>
      <w:r>
        <w:rPr>
          <w:rFonts w:hint="eastAsia" w:ascii="Times New Roman" w:hAnsi="Times New Roman" w:eastAsia="仿宋_GB2312"/>
          <w:color w:val="auto"/>
          <w:sz w:val="32"/>
          <w:szCs w:val="32"/>
          <w:lang w:val="en-US" w:eastAsia="zh-CN"/>
        </w:rPr>
        <w:t>支出预算</w:t>
      </w:r>
      <w:r>
        <w:rPr>
          <w:rFonts w:hint="eastAsia" w:ascii="Times New Roman" w:hAnsi="Times New Roman" w:eastAsia="仿宋_GB2312"/>
          <w:sz w:val="32"/>
          <w:szCs w:val="32"/>
          <w:lang w:val="en-US" w:eastAsia="zh-CN"/>
        </w:rPr>
        <w:t>为0万元，支出决算为0万元。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val="en-US"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万元，主要是</w:t>
      </w:r>
      <w:r>
        <w:rPr>
          <w:rFonts w:hint="eastAsia" w:ascii="Times New Roman" w:hAnsi="Times New Roman" w:eastAsia="仿宋_GB2312"/>
          <w:sz w:val="32"/>
          <w:szCs w:val="32"/>
          <w:lang w:eastAsia="zh-CN"/>
        </w:rPr>
        <w:t>汽车油费</w:t>
      </w:r>
      <w:r>
        <w:rPr>
          <w:rFonts w:hint="eastAsia" w:ascii="Times New Roman" w:hAnsi="Times New Roman" w:eastAsia="仿宋_GB2312"/>
          <w:sz w:val="32"/>
          <w:szCs w:val="32"/>
        </w:rPr>
        <w:t>支出，截止202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本单位无政府性基金收支。</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九、关于机关运行经费支出说明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13.92</w:t>
      </w:r>
      <w:r>
        <w:rPr>
          <w:rFonts w:hint="eastAsia" w:ascii="Times New Roman" w:hAnsi="Times New Roman" w:eastAsia="仿宋_GB2312"/>
          <w:sz w:val="32"/>
          <w:szCs w:val="32"/>
        </w:rPr>
        <w:t>万元，用于召开水生生物资源监测</w:t>
      </w:r>
      <w:r>
        <w:rPr>
          <w:rFonts w:hint="eastAsia" w:ascii="Times New Roman" w:hAnsi="Times New Roman" w:eastAsia="仿宋_GB2312"/>
          <w:sz w:val="32"/>
          <w:szCs w:val="32"/>
          <w:lang w:eastAsia="zh-CN"/>
        </w:rPr>
        <w:t>及农产品质量安全监管相关会议</w:t>
      </w:r>
      <w:r>
        <w:rPr>
          <w:rFonts w:hint="eastAsia" w:ascii="Times New Roman" w:hAnsi="Times New Roman" w:eastAsia="仿宋_GB2312"/>
          <w:sz w:val="32"/>
          <w:szCs w:val="32"/>
        </w:rPr>
        <w:t>，人数</w:t>
      </w:r>
      <w:r>
        <w:rPr>
          <w:rFonts w:hint="eastAsia" w:ascii="Times New Roman" w:hAnsi="Times New Roman" w:eastAsia="仿宋_GB2312"/>
          <w:sz w:val="32"/>
          <w:szCs w:val="32"/>
          <w:lang w:val="en-US" w:eastAsia="zh-CN"/>
        </w:rPr>
        <w:t>432</w:t>
      </w:r>
      <w:r>
        <w:rPr>
          <w:rFonts w:hint="eastAsia" w:ascii="Times New Roman" w:hAnsi="Times New Roman" w:eastAsia="仿宋_GB2312"/>
          <w:sz w:val="32"/>
          <w:szCs w:val="32"/>
        </w:rPr>
        <w:t>人，</w:t>
      </w:r>
      <w:r>
        <w:rPr>
          <w:rFonts w:hint="eastAsia" w:ascii="Times New Roman" w:hAnsi="Times New Roman" w:eastAsia="仿宋_GB2312"/>
          <w:sz w:val="32"/>
          <w:szCs w:val="32"/>
          <w:lang w:eastAsia="zh-CN"/>
        </w:rPr>
        <w:t>主要会议内容如下：</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lang w:eastAsia="zh-CN"/>
        </w:rPr>
        <w:t>湖南省水生生物资源监测体系工作培训会议，</w:t>
      </w:r>
      <w:r>
        <w:rPr>
          <w:rFonts w:hint="eastAsia" w:ascii="Times New Roman" w:hAnsi="Times New Roman" w:eastAsia="仿宋_GB2312"/>
          <w:sz w:val="32"/>
          <w:szCs w:val="32"/>
          <w:lang w:val="en-US" w:eastAsia="zh-CN"/>
        </w:rPr>
        <w:t>0.19万元，40人</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2022年度全省渔业统计年报数据会审研讨会，</w:t>
      </w:r>
      <w:r>
        <w:rPr>
          <w:rFonts w:hint="eastAsia" w:ascii="Times New Roman" w:hAnsi="Times New Roman" w:eastAsia="仿宋_GB2312"/>
          <w:sz w:val="32"/>
          <w:szCs w:val="32"/>
          <w:lang w:val="en-US" w:eastAsia="zh-CN"/>
        </w:rPr>
        <w:t>1.24万元，54</w:t>
      </w:r>
      <w:r>
        <w:rPr>
          <w:rFonts w:hint="eastAsia" w:ascii="Times New Roman" w:hAnsi="Times New Roman" w:eastAsia="仿宋_GB2312"/>
          <w:sz w:val="32"/>
          <w:szCs w:val="32"/>
        </w:rPr>
        <w:t>人</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3、省级养殖水域滩涂“三区”矢量数据库审查核对工作会议，0.07万元，28人；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4、淡水鱼类发育生物学重点实验室鱼类健康养殖分中心授牌仪式及学术交流会，0.31万元，40人；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5、三个地方标准审查会议，0.20万元，16人；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6、工厂化养鱼技术培训会议，1.12万元，35人；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7、特色土著鱼类驯养繁育与开发利用现场评议会，3.50万元，52人；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8、政府采购进口产品论证会，0.14万元,5人；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9、全省渔业统计培训会议，7.15万元,162人；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开支培训费</w:t>
      </w:r>
      <w:r>
        <w:rPr>
          <w:rFonts w:hint="eastAsia" w:ascii="Times New Roman" w:hAnsi="Times New Roman" w:eastAsia="仿宋_GB2312"/>
          <w:sz w:val="32"/>
          <w:szCs w:val="32"/>
          <w:lang w:val="en-US" w:eastAsia="zh-CN"/>
        </w:rPr>
        <w:t>10.02</w:t>
      </w:r>
      <w:r>
        <w:rPr>
          <w:rFonts w:hint="eastAsia" w:ascii="Times New Roman" w:hAnsi="Times New Roman" w:eastAsia="仿宋_GB2312"/>
          <w:sz w:val="32"/>
          <w:szCs w:val="32"/>
        </w:rPr>
        <w:t>万元，用于开展</w:t>
      </w:r>
      <w:r>
        <w:rPr>
          <w:rFonts w:hint="eastAsia" w:ascii="Times New Roman" w:hAnsi="Times New Roman" w:eastAsia="仿宋_GB2312"/>
          <w:sz w:val="32"/>
          <w:szCs w:val="32"/>
          <w:lang w:eastAsia="zh-CN"/>
        </w:rPr>
        <w:t>水产品检测技能竞赛培训及事业人员</w:t>
      </w:r>
      <w:r>
        <w:rPr>
          <w:rFonts w:hint="eastAsia" w:ascii="Times New Roman" w:hAnsi="Times New Roman" w:eastAsia="仿宋_GB2312"/>
          <w:sz w:val="32"/>
          <w:szCs w:val="32"/>
        </w:rPr>
        <w:t>培训，人数</w:t>
      </w:r>
      <w:r>
        <w:rPr>
          <w:rFonts w:hint="eastAsia" w:ascii="Times New Roman" w:hAnsi="Times New Roman" w:eastAsia="仿宋_GB2312"/>
          <w:sz w:val="32"/>
          <w:szCs w:val="32"/>
          <w:lang w:val="en-US" w:eastAsia="zh-CN"/>
        </w:rPr>
        <w:t>216</w:t>
      </w:r>
      <w:r>
        <w:rPr>
          <w:rFonts w:hint="eastAsia" w:ascii="Times New Roman" w:hAnsi="Times New Roman" w:eastAsia="仿宋_GB2312"/>
          <w:sz w:val="32"/>
          <w:szCs w:val="32"/>
        </w:rPr>
        <w:t>人，</w:t>
      </w:r>
      <w:r>
        <w:rPr>
          <w:rFonts w:hint="eastAsia" w:ascii="Times New Roman" w:hAnsi="Times New Roman" w:eastAsia="仿宋_GB2312"/>
          <w:sz w:val="32"/>
          <w:szCs w:val="32"/>
          <w:lang w:eastAsia="zh-CN"/>
        </w:rPr>
        <w:t>主要</w:t>
      </w:r>
      <w:r>
        <w:rPr>
          <w:rFonts w:hint="eastAsia" w:ascii="Times New Roman" w:hAnsi="Times New Roman" w:eastAsia="仿宋_GB2312"/>
          <w:sz w:val="32"/>
          <w:szCs w:val="32"/>
        </w:rPr>
        <w:t>内容</w:t>
      </w:r>
      <w:r>
        <w:rPr>
          <w:rFonts w:hint="eastAsia" w:ascii="Times New Roman" w:hAnsi="Times New Roman" w:eastAsia="仿宋_GB2312"/>
          <w:sz w:val="32"/>
          <w:szCs w:val="32"/>
          <w:lang w:eastAsia="zh-CN"/>
        </w:rPr>
        <w:t>如下：</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1、湄潭县农产品质量安全检测站参加检测业务技术跟班培训，0.65万元，4人；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2、基层渔业统计直报系统操作培训，1.60万元，176人；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3、水产品质量安全检测技术跟班培训，7.77万元，36人。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本部门2023年度政府采购支出总额538.46万元，其中：政府采购货物支出538.46万元、政府采购工程支出0万元、政府采购服务支出0万元。授予中小企业合同金额538.46万元，占政府采购支出总额的100%，其中：授予小微企业合同金额538.46万元，占政府采购支出总额的100%，</w:t>
      </w:r>
      <w:r>
        <w:rPr>
          <w:rFonts w:hint="eastAsia" w:ascii="Times New Roman" w:hAnsi="Times New Roman" w:eastAsia="仿宋_GB2312"/>
          <w:sz w:val="32"/>
          <w:szCs w:val="32"/>
        </w:rPr>
        <w:t>货物采购授予中小企业合同金额占货物支出金额的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十二、关于国有资产占用情况说明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年12月31日，本单位共有车辆</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辆，其他用车主要是</w:t>
      </w:r>
      <w:r>
        <w:rPr>
          <w:rFonts w:hint="eastAsia" w:ascii="Times New Roman" w:hAnsi="Times New Roman" w:eastAsia="仿宋_GB2312"/>
          <w:sz w:val="32"/>
          <w:szCs w:val="32"/>
          <w:lang w:val="en-US" w:eastAsia="zh-CN"/>
        </w:rPr>
        <w:t>业务用车</w:t>
      </w:r>
      <w:r>
        <w:rPr>
          <w:rFonts w:hint="eastAsia" w:ascii="Times New Roman" w:hAnsi="Times New Roman" w:eastAsia="仿宋_GB2312"/>
          <w:sz w:val="32"/>
          <w:szCs w:val="32"/>
        </w:rPr>
        <w:t>；单位价值100万元以上专用设备</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台（套）。</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十三、关于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黑体" w:hAnsi="黑体" w:eastAsia="黑体" w:cs="黑体"/>
          <w:b w:val="0"/>
          <w:bCs/>
          <w:sz w:val="32"/>
          <w:szCs w:val="32"/>
        </w:rPr>
        <w:t>年度预算绩效情况的说明</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部门整体支出绩效情况</w:t>
      </w:r>
    </w:p>
    <w:p>
      <w:pPr>
        <w:pStyle w:val="2"/>
        <w:ind w:left="0" w:leftChars="0" w:firstLine="640" w:firstLineChars="200"/>
        <w:rPr>
          <w:rFonts w:hint="eastAsia" w:ascii="Times New Roman" w:hAnsi="Times New Roman" w:eastAsia="仿宋_GB2312" w:cs="黑体"/>
          <w:bCs w:val="0"/>
          <w:color w:val="000000"/>
          <w:kern w:val="0"/>
          <w:sz w:val="32"/>
          <w:szCs w:val="32"/>
          <w:lang w:val="en-US" w:eastAsia="zh-CN" w:bidi="ar-SA"/>
        </w:rPr>
      </w:pPr>
      <w:r>
        <w:rPr>
          <w:rFonts w:hint="eastAsia" w:ascii="Times New Roman" w:hAnsi="Times New Roman" w:eastAsia="仿宋_GB2312" w:cs="黑体"/>
          <w:bCs w:val="0"/>
          <w:color w:val="000000"/>
          <w:kern w:val="0"/>
          <w:sz w:val="32"/>
          <w:szCs w:val="32"/>
          <w:lang w:val="en-US" w:eastAsia="zh-CN" w:bidi="ar-SA"/>
        </w:rPr>
        <w:t>2023年度我所总支出4260.31万元，其中：基本支出2293.22万元，项目支出1967.09万元，各项工作稳步推进，为全省水产科研事业发展做出了积极贡献。</w:t>
      </w:r>
    </w:p>
    <w:p>
      <w:pPr>
        <w:pStyle w:val="2"/>
        <w:numPr>
          <w:ilvl w:val="0"/>
          <w:numId w:val="0"/>
        </w:numPr>
        <w:ind w:leftChars="400"/>
        <w:rPr>
          <w:rFonts w:cs="Times New Roman"/>
        </w:rPr>
      </w:pPr>
      <w:r>
        <w:rPr>
          <w:rFonts w:hint="eastAsia" w:ascii="Times New Roman" w:hAnsi="Times New Roman" w:eastAsia="仿宋_GB2312" w:cs="黑体"/>
          <w:bCs w:val="0"/>
          <w:color w:val="000000"/>
          <w:kern w:val="0"/>
          <w:sz w:val="32"/>
          <w:szCs w:val="32"/>
          <w:lang w:val="en-US" w:eastAsia="zh-CN" w:bidi="ar-SA"/>
        </w:rPr>
        <w:t>1、聚焦种业创新</w:t>
      </w:r>
    </w:p>
    <w:p>
      <w:pPr>
        <w:pStyle w:val="2"/>
        <w:numPr>
          <w:ilvl w:val="0"/>
          <w:numId w:val="0"/>
        </w:numPr>
        <w:ind w:firstLine="640" w:firstLineChars="200"/>
        <w:rPr>
          <w:rFonts w:hint="eastAsia" w:ascii="Times New Roman" w:hAnsi="Times New Roman" w:eastAsia="仿宋_GB2312" w:cs="黑体"/>
          <w:bCs w:val="0"/>
          <w:color w:val="000000"/>
          <w:kern w:val="0"/>
          <w:sz w:val="32"/>
          <w:szCs w:val="32"/>
          <w:lang w:val="en-US" w:eastAsia="zh-CN" w:bidi="ar-SA"/>
        </w:rPr>
      </w:pPr>
      <w:r>
        <w:rPr>
          <w:rFonts w:hint="eastAsia" w:ascii="Times New Roman" w:hAnsi="Times New Roman" w:eastAsia="仿宋_GB2312" w:cs="黑体"/>
          <w:bCs w:val="0"/>
          <w:color w:val="000000"/>
          <w:kern w:val="0"/>
          <w:sz w:val="32"/>
          <w:szCs w:val="32"/>
          <w:lang w:val="en-US" w:eastAsia="zh-CN" w:bidi="ar-SA"/>
        </w:rPr>
        <w:t>积极参与省厅种业创新工程项目，湘华鲮后备亲本大批量成熟和池塘饲料驯养取得突破，饲料鳜驯食成套技术基本定型，刺鲃实现规模化人工繁育、小龙虾完成第4代家系选育，黄鳝仿生态繁育机理基本摸清，为下阶段工作推进奠定了坚实基础。成功举办特色土著鱼类驯养繁殖现场评议会，12种特色土著鱼类驯养或繁殖成功，在抢占湖南特色水产种质资源高地、打造土特产文章、应对科学增殖放流和丰富市场菜篮子等方面意义重大。</w:t>
      </w:r>
    </w:p>
    <w:p>
      <w:pPr>
        <w:pStyle w:val="2"/>
        <w:numPr>
          <w:ilvl w:val="0"/>
          <w:numId w:val="0"/>
        </w:numPr>
        <w:ind w:firstLine="640" w:firstLineChars="200"/>
        <w:rPr>
          <w:rFonts w:hint="eastAsia" w:ascii="Times New Roman" w:hAnsi="Times New Roman" w:eastAsia="仿宋_GB2312" w:cs="黑体"/>
          <w:bCs w:val="0"/>
          <w:color w:val="000000"/>
          <w:kern w:val="0"/>
          <w:sz w:val="32"/>
          <w:szCs w:val="32"/>
          <w:lang w:val="en-US" w:eastAsia="zh-CN" w:bidi="ar-SA"/>
        </w:rPr>
      </w:pPr>
      <w:r>
        <w:rPr>
          <w:rFonts w:hint="eastAsia" w:ascii="Times New Roman" w:hAnsi="Times New Roman" w:eastAsia="仿宋_GB2312" w:cs="黑体"/>
          <w:bCs w:val="0"/>
          <w:color w:val="000000"/>
          <w:kern w:val="0"/>
          <w:sz w:val="32"/>
          <w:szCs w:val="32"/>
          <w:lang w:val="en-US" w:eastAsia="zh-CN" w:bidi="ar-SA"/>
        </w:rPr>
        <w:t>2、务实抓好水生生物完整性指数评价</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s="黑体"/>
          <w:bCs w:val="0"/>
          <w:color w:val="000000"/>
          <w:kern w:val="0"/>
          <w:sz w:val="32"/>
          <w:szCs w:val="32"/>
          <w:lang w:val="en-US" w:eastAsia="zh-CN" w:bidi="ar-SA"/>
        </w:rPr>
      </w:pPr>
      <w:r>
        <w:rPr>
          <w:rFonts w:hint="eastAsia" w:ascii="Times New Roman" w:hAnsi="Times New Roman" w:eastAsia="仿宋_GB2312" w:cs="黑体"/>
          <w:bCs w:val="0"/>
          <w:color w:val="000000"/>
          <w:kern w:val="0"/>
          <w:sz w:val="32"/>
          <w:szCs w:val="32"/>
          <w:lang w:val="en-US" w:eastAsia="zh-CN" w:bidi="ar-SA"/>
        </w:rPr>
        <w:t>水生生物完整性指数将于2025年纳入生态环保部考核，我们举全所之力，坚决扛稳“守护好一江碧水”政治责任，派遣近40人次在洞庭湖组织了2次共历时90天的水生生物资源监测，如期完成了洞庭湖水生生物完整性指数评估报告。承办全国六月六放鱼日活动等增殖放流活动4次，共放流“四大家鱼”亲本1420组，夏花2000万尾，春片10万尾，珍稀土著鱼类胭脂鱼2.5万尾，湘华鲮12.5万尾，岩原鲤6尾，湖南吻鮈7万尾，花䱻5万尾，中华倒刺鲃5万尾。开展了25项涉水工程环境影响评价工作，为我省水域生态环境保护及生物多样性恢复提供了技术支撑。</w:t>
      </w:r>
    </w:p>
    <w:p>
      <w:pPr>
        <w:pStyle w:val="2"/>
        <w:numPr>
          <w:ilvl w:val="0"/>
          <w:numId w:val="0"/>
        </w:numPr>
        <w:ind w:firstLine="640" w:firstLineChars="200"/>
        <w:rPr>
          <w:rFonts w:hint="default" w:ascii="Times New Roman" w:hAnsi="Times New Roman" w:eastAsia="仿宋_GB2312" w:cs="黑体"/>
          <w:bCs w:val="0"/>
          <w:color w:val="000000"/>
          <w:kern w:val="0"/>
          <w:sz w:val="32"/>
          <w:szCs w:val="32"/>
          <w:lang w:val="en-US" w:eastAsia="zh-CN" w:bidi="ar-SA"/>
        </w:rPr>
      </w:pPr>
      <w:r>
        <w:rPr>
          <w:rFonts w:hint="eastAsia" w:ascii="Times New Roman" w:hAnsi="Times New Roman" w:eastAsia="仿宋_GB2312" w:cs="黑体"/>
          <w:bCs w:val="0"/>
          <w:color w:val="000000"/>
          <w:kern w:val="0"/>
          <w:sz w:val="32"/>
          <w:szCs w:val="32"/>
          <w:lang w:val="en-US" w:eastAsia="zh-CN" w:bidi="ar-SA"/>
        </w:rPr>
        <w:t>3、做好水产品质量检测和养殖尾水监测</w:t>
      </w:r>
    </w:p>
    <w:p>
      <w:pPr>
        <w:pStyle w:val="2"/>
        <w:numPr>
          <w:ilvl w:val="0"/>
          <w:numId w:val="0"/>
        </w:numPr>
        <w:ind w:firstLine="640" w:firstLineChars="200"/>
        <w:rPr>
          <w:rFonts w:hint="eastAsia" w:ascii="Times New Roman" w:hAnsi="Times New Roman" w:eastAsia="仿宋_GB2312" w:cs="黑体"/>
          <w:bCs w:val="0"/>
          <w:color w:val="000000"/>
          <w:kern w:val="0"/>
          <w:sz w:val="32"/>
          <w:szCs w:val="32"/>
          <w:lang w:val="en-US" w:eastAsia="zh-CN" w:bidi="ar-SA"/>
        </w:rPr>
      </w:pPr>
      <w:r>
        <w:rPr>
          <w:rFonts w:hint="eastAsia" w:ascii="Times New Roman" w:hAnsi="Times New Roman" w:eastAsia="仿宋_GB2312" w:cs="黑体"/>
          <w:bCs w:val="0"/>
          <w:color w:val="000000"/>
          <w:kern w:val="0"/>
          <w:sz w:val="32"/>
          <w:szCs w:val="32"/>
          <w:lang w:val="en-US" w:eastAsia="zh-CN" w:bidi="ar-SA"/>
        </w:rPr>
        <w:t>全年共完成厅农产品质量安全处和渔业渔政处下达的例行检测、监督抽查、风险监督及社会委托样品3464批次，出具检验报告608份，提交各类工作总结37份，全省水产品例行监测抽检合格率总体达到99.1%。针对水产养殖尾水受人诟病的痛点，我们在环洞庭湖10个县20个现场在线监测点的基础上，扩充到了养殖尾水、池塘养殖水体、大水面水质和环保部门移交问题线索点等86个监测点位，跟踪分析总氮总磷等指标的变化，据我们跟踪监测，养殖尾水监测点位全年达标率90%以上，为争取话语权提供了强有力的数据支撑。</w:t>
      </w:r>
    </w:p>
    <w:p>
      <w:pPr>
        <w:pStyle w:val="2"/>
        <w:numPr>
          <w:ilvl w:val="0"/>
          <w:numId w:val="0"/>
        </w:numPr>
        <w:ind w:firstLine="640" w:firstLineChars="200"/>
        <w:rPr>
          <w:rFonts w:hint="eastAsia" w:ascii="Times New Roman" w:hAnsi="Times New Roman" w:eastAsia="仿宋_GB2312" w:cs="黑体"/>
          <w:bCs w:val="0"/>
          <w:color w:val="000000"/>
          <w:kern w:val="0"/>
          <w:sz w:val="32"/>
          <w:szCs w:val="32"/>
          <w:lang w:val="en-US" w:eastAsia="zh-CN" w:bidi="ar-SA"/>
        </w:rPr>
      </w:pPr>
      <w:r>
        <w:rPr>
          <w:rFonts w:hint="eastAsia" w:ascii="Times New Roman" w:hAnsi="Times New Roman" w:eastAsia="仿宋_GB2312" w:cs="黑体"/>
          <w:bCs w:val="0"/>
          <w:color w:val="000000"/>
          <w:kern w:val="0"/>
          <w:sz w:val="32"/>
          <w:szCs w:val="32"/>
          <w:lang w:val="en-US" w:eastAsia="zh-CN" w:bidi="ar-SA"/>
        </w:rPr>
        <w:t>4、献计献策渔业高质量发展</w:t>
      </w:r>
    </w:p>
    <w:p>
      <w:pPr>
        <w:pStyle w:val="2"/>
        <w:numPr>
          <w:ilvl w:val="0"/>
          <w:numId w:val="0"/>
        </w:numPr>
        <w:ind w:firstLine="640" w:firstLineChars="200"/>
        <w:rPr>
          <w:rFonts w:hint="default" w:ascii="Times New Roman" w:hAnsi="Times New Roman" w:eastAsia="仿宋_GB2312" w:cs="黑体"/>
          <w:bCs w:val="0"/>
          <w:color w:val="000000"/>
          <w:kern w:val="0"/>
          <w:sz w:val="32"/>
          <w:szCs w:val="32"/>
          <w:lang w:val="en-US" w:eastAsia="zh-CN" w:bidi="ar-SA"/>
        </w:rPr>
      </w:pPr>
      <w:r>
        <w:rPr>
          <w:rFonts w:hint="eastAsia" w:ascii="Times New Roman" w:hAnsi="Times New Roman" w:eastAsia="仿宋_GB2312" w:cs="黑体"/>
          <w:bCs w:val="0"/>
          <w:color w:val="000000"/>
          <w:kern w:val="0"/>
          <w:sz w:val="32"/>
          <w:szCs w:val="32"/>
          <w:lang w:val="en-US" w:eastAsia="zh-CN" w:bidi="ar-SA"/>
        </w:rPr>
        <w:t>认真落实省委省政府关于发展工厂化养鱼的指示精神，配合厅渔业渔政处组团赴省内外专题调研，协助撰写关于发展工厂化等现代设施渔业的支持意见，配合科技厅农业处组织召开科技创新助力工厂化养鱼专家座谈会、参与工厂化设施养鱼创新课题设计，为湖南设施渔业健康发展把脉问诊，提供技术支撑。与湖南君山生态渔业集团有限公司和常德市青螺滩有限公司签订技术依托合作协议，指导建设水产良种繁育场和产业发展。依托我所国家大宗淡水鱼、特色淡水鱼和虾蟹三个综合试验站和小龙虾服务团，对接服务15个县30余个养殖主体，开展点对点技术服务，助推了各地渔业产业提质升级。</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）存在的问题及原因分析</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s="黑体"/>
          <w:bCs w:val="0"/>
          <w:color w:val="000000"/>
          <w:kern w:val="0"/>
          <w:sz w:val="32"/>
          <w:szCs w:val="32"/>
          <w:lang w:val="en-US" w:eastAsia="zh-CN" w:bidi="ar-SA"/>
        </w:rPr>
      </w:pPr>
      <w:r>
        <w:rPr>
          <w:rFonts w:hint="eastAsia" w:ascii="Times New Roman" w:hAnsi="Times New Roman" w:eastAsia="仿宋_GB2312" w:cs="黑体"/>
          <w:bCs w:val="0"/>
          <w:color w:val="000000"/>
          <w:kern w:val="0"/>
          <w:sz w:val="32"/>
          <w:szCs w:val="32"/>
          <w:lang w:val="en-US" w:eastAsia="zh-CN" w:bidi="ar-SA"/>
        </w:rPr>
        <w:t>部分项目资金预算执行率有待提高。2023年一般公共预算项目支出总预算3936.28万元，预算执行3216.74万元，预算执行率81.72%。</w:t>
      </w:r>
    </w:p>
    <w:p>
      <w:pPr>
        <w:pStyle w:val="14"/>
        <w:keepNext w:val="0"/>
        <w:keepLines w:val="0"/>
        <w:pageBreakBefore w:val="0"/>
        <w:widowControl w:val="0"/>
        <w:numPr>
          <w:ilvl w:val="0"/>
          <w:numId w:val="0"/>
        </w:numPr>
        <w:kinsoku/>
        <w:wordWrap/>
        <w:overflowPunct/>
        <w:topLinePunct w:val="0"/>
        <w:bidi w:val="0"/>
        <w:snapToGrid/>
        <w:spacing w:line="600" w:lineRule="exact"/>
        <w:ind w:firstLine="640"/>
        <w:jc w:val="left"/>
        <w:textAlignment w:val="auto"/>
        <w:rPr>
          <w:rFonts w:hint="eastAsia" w:ascii="Times New Roman" w:hAnsi="Times New Roman" w:eastAsia="仿宋_GB2312" w:cs="黑体"/>
          <w:bCs w:val="0"/>
          <w:color w:val="000000"/>
          <w:kern w:val="0"/>
          <w:sz w:val="32"/>
          <w:szCs w:val="32"/>
          <w:lang w:val="en-US" w:eastAsia="zh-CN" w:bidi="ar-SA"/>
        </w:rPr>
      </w:pPr>
      <w:r>
        <w:rPr>
          <w:rFonts w:hint="eastAsia" w:ascii="Times New Roman" w:hAnsi="Times New Roman" w:eastAsia="仿宋_GB2312" w:cs="黑体"/>
          <w:bCs w:val="0"/>
          <w:color w:val="000000"/>
          <w:kern w:val="0"/>
          <w:sz w:val="32"/>
          <w:szCs w:val="32"/>
          <w:lang w:val="en-US" w:eastAsia="zh-CN" w:bidi="ar-SA"/>
        </w:rPr>
        <w:t>原因分析：一是部分项目按照政府采购合同尚未达到资金支付时间；二是部分项目为10月份之后预算追加资金项目。</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（三）下一步改进措施</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s="黑体"/>
          <w:bCs w:val="0"/>
          <w:color w:val="000000"/>
          <w:kern w:val="0"/>
          <w:sz w:val="32"/>
          <w:szCs w:val="32"/>
          <w:lang w:val="en-US" w:eastAsia="zh-CN" w:bidi="ar-SA"/>
        </w:rPr>
        <w:t>进一步提高预算资金执行率。</w:t>
      </w:r>
      <w:r>
        <w:rPr>
          <w:rFonts w:hint="eastAsia" w:ascii="Times New Roman" w:hAnsi="Times New Roman" w:eastAsia="仿宋_GB2312"/>
          <w:color w:val="auto"/>
          <w:sz w:val="32"/>
          <w:szCs w:val="32"/>
        </w:rPr>
        <w:t>提高年初预算编制准确性</w:t>
      </w:r>
      <w:r>
        <w:rPr>
          <w:rFonts w:hint="eastAsia" w:ascii="Times New Roman" w:hAnsi="Times New Roman" w:eastAsia="仿宋_GB2312"/>
          <w:color w:val="auto"/>
          <w:sz w:val="32"/>
          <w:szCs w:val="32"/>
          <w:lang w:eastAsia="zh-CN"/>
        </w:rPr>
        <w:t>，</w:t>
      </w:r>
      <w:r>
        <w:rPr>
          <w:rFonts w:hint="eastAsia" w:ascii="Times New Roman" w:hAnsi="Times New Roman" w:eastAsia="仿宋_GB2312" w:cs="黑体"/>
          <w:bCs w:val="0"/>
          <w:color w:val="000000"/>
          <w:kern w:val="0"/>
          <w:sz w:val="32"/>
          <w:szCs w:val="32"/>
          <w:lang w:val="en-US" w:eastAsia="zh-CN" w:bidi="ar-SA"/>
        </w:rPr>
        <w:t>科学合理编制预算执行计划，并将编制责任落实到具体项目组，定期召开预算执行分析会议，分析存在的问题，及时提出改进措施并完成整改，</w:t>
      </w:r>
      <w:r>
        <w:rPr>
          <w:rFonts w:hint="eastAsia" w:ascii="Times New Roman" w:hAnsi="Times New Roman" w:eastAsia="仿宋_GB2312"/>
          <w:color w:val="auto"/>
          <w:sz w:val="32"/>
          <w:szCs w:val="32"/>
        </w:rPr>
        <w:t>从而提高部门整体预算执行率。</w:t>
      </w:r>
    </w:p>
    <w:p>
      <w:pPr>
        <w:pStyle w:val="14"/>
        <w:jc w:val="center"/>
        <w:rPr>
          <w:sz w:val="72"/>
          <w:szCs w:val="72"/>
        </w:rPr>
      </w:pPr>
    </w:p>
    <w:p>
      <w:pPr>
        <w:pStyle w:val="14"/>
        <w:jc w:val="center"/>
        <w:rPr>
          <w:sz w:val="72"/>
          <w:szCs w:val="72"/>
        </w:rPr>
      </w:pPr>
    </w:p>
    <w:p>
      <w:pPr>
        <w:pStyle w:val="14"/>
        <w:jc w:val="center"/>
        <w:rPr>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pStyle w:val="14"/>
        <w:ind w:firstLine="600" w:firstLineChars="20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（一）基</w:t>
      </w:r>
      <w:r>
        <w:rPr>
          <w:rFonts w:ascii="Times New Roman" w:hAnsi="仿宋" w:eastAsia="仿宋" w:cs="Times New Roman"/>
          <w:color w:val="auto"/>
          <w:sz w:val="30"/>
          <w:szCs w:val="30"/>
        </w:rPr>
        <w:t>本支出：指为保障机构正常运转、完成日常工作任务而发生的各项支出，包括人员支出和公用支出。</w:t>
      </w:r>
    </w:p>
    <w:p>
      <w:pPr>
        <w:pStyle w:val="14"/>
        <w:ind w:firstLine="450" w:firstLineChars="15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（二）</w:t>
      </w:r>
      <w:r>
        <w:rPr>
          <w:rFonts w:ascii="Times New Roman" w:hAnsi="仿宋" w:eastAsia="仿宋" w:cs="Times New Roman"/>
          <w:color w:val="auto"/>
          <w:sz w:val="30"/>
          <w:szCs w:val="30"/>
        </w:rPr>
        <w:t xml:space="preserve"> 项目支出：指在基本支出以外为完成相关任务和事业发展目标所发生的各项支出。 </w:t>
      </w:r>
    </w:p>
    <w:p>
      <w:pPr>
        <w:pStyle w:val="14"/>
        <w:ind w:firstLine="450" w:firstLineChars="15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（三）</w:t>
      </w:r>
      <w:r>
        <w:rPr>
          <w:rFonts w:ascii="Times New Roman" w:hAnsi="仿宋" w:eastAsia="仿宋" w:cs="Times New Roman"/>
          <w:color w:val="auto"/>
          <w:sz w:val="30"/>
          <w:szCs w:val="30"/>
        </w:rPr>
        <w:t xml:space="preserve">“三公”经费：指通过财政拨款资金安排的因公出国（境）费、公务用车购置及运行费和公务接待费支出。 </w:t>
      </w:r>
    </w:p>
    <w:p>
      <w:pPr>
        <w:widowControl/>
        <w:ind w:firstLine="300" w:firstLineChars="100"/>
        <w:jc w:val="left"/>
        <w:rPr>
          <w:sz w:val="72"/>
          <w:szCs w:val="72"/>
        </w:rPr>
      </w:pPr>
      <w:r>
        <w:rPr>
          <w:rFonts w:hint="eastAsia" w:ascii="Times New Roman" w:hAnsi="仿宋" w:eastAsia="仿宋" w:cs="Times New Roman"/>
          <w:sz w:val="30"/>
          <w:szCs w:val="30"/>
        </w:rPr>
        <w:t>（四）</w:t>
      </w:r>
      <w:r>
        <w:rPr>
          <w:rFonts w:ascii="Times New Roman" w:hAnsi="仿宋" w:eastAsia="仿宋" w:cs="Times New Roman"/>
          <w:sz w:val="30"/>
          <w:szCs w:val="30"/>
        </w:rPr>
        <w:t>机关运行经费</w:t>
      </w:r>
      <w:r>
        <w:rPr>
          <w:rFonts w:ascii="Times New Roman" w:hAnsi="仿宋" w:eastAsia="仿宋" w:cs="Times New Roman"/>
          <w:color w:val="auto"/>
          <w:kern w:val="0"/>
          <w:sz w:val="30"/>
          <w:szCs w:val="30"/>
          <w:lang w:val="en-US" w:eastAsia="zh-CN" w:bidi="ar-SA"/>
        </w:rPr>
        <w:t>：是指各部门的公用经费，包括办公及印刷费、邮电费、差旅费、会议费、福利费、日常维修费、专用资料及一般设备购置费、办公用房水电费、办公用房取暖费、办公用房物业管理费、公务用车运行维护费以及其他费用。</w:t>
      </w: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bookmarkStart w:id="3" w:name="_GoBack"/>
      <w:bookmarkEnd w:id="3"/>
    </w:p>
    <w:p>
      <w:pPr>
        <w:jc w:val="both"/>
        <w:rPr>
          <w:rFonts w:ascii="黑体" w:eastAsia="黑体" w:cs="黑体"/>
          <w:color w:val="000000"/>
          <w:kern w:val="0"/>
          <w:sz w:val="70"/>
          <w:szCs w:val="70"/>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w:t>
      </w:r>
      <w:r>
        <w:rPr>
          <w:rFonts w:hint="eastAsia" w:cs="黑体" w:asciiTheme="minorEastAsia" w:hAnsiTheme="minorEastAsia"/>
          <w:b/>
          <w:color w:val="000000"/>
          <w:kern w:val="0"/>
          <w:sz w:val="32"/>
          <w:szCs w:val="32"/>
          <w:lang w:val="en-US" w:eastAsia="zh-CN"/>
        </w:rPr>
        <w:t>3</w:t>
      </w:r>
      <w:r>
        <w:rPr>
          <w:rFonts w:hint="eastAsia" w:cs="黑体" w:asciiTheme="minorEastAsia" w:hAnsiTheme="minorEastAsia"/>
          <w:b/>
          <w:color w:val="000000"/>
          <w:kern w:val="0"/>
          <w:sz w:val="32"/>
          <w:szCs w:val="32"/>
        </w:rPr>
        <w:t>年度</w:t>
      </w:r>
      <w:r>
        <w:rPr>
          <w:rFonts w:hint="eastAsia" w:cs="黑体" w:asciiTheme="minorEastAsia" w:hAnsiTheme="minorEastAsia"/>
          <w:b/>
          <w:color w:val="000000"/>
          <w:kern w:val="0"/>
          <w:sz w:val="32"/>
          <w:szCs w:val="32"/>
          <w:lang w:val="en-US" w:eastAsia="zh-CN"/>
        </w:rPr>
        <w:t>单位</w:t>
      </w:r>
      <w:r>
        <w:rPr>
          <w:rFonts w:hint="eastAsia" w:cs="黑体" w:asciiTheme="minorEastAsia" w:hAnsiTheme="minorEastAsia"/>
          <w:b/>
          <w:color w:val="000000"/>
          <w:kern w:val="0"/>
          <w:sz w:val="32"/>
          <w:szCs w:val="32"/>
        </w:rPr>
        <w:t>整体支出绩效评价报告</w:t>
      </w:r>
    </w:p>
    <w:p>
      <w:pPr>
        <w:pStyle w:val="15"/>
        <w:widowControl/>
        <w:spacing w:line="600" w:lineRule="exact"/>
        <w:ind w:firstLine="640"/>
        <w:rPr>
          <w:rFonts w:hint="eastAsia" w:ascii="Times New Roman" w:hAnsi="Times New Roman" w:eastAsia="仿宋_GB2312"/>
          <w:sz w:val="32"/>
          <w:szCs w:val="32"/>
        </w:rPr>
      </w:pPr>
      <w:r>
        <w:rPr>
          <w:rFonts w:hint="eastAsia" w:ascii="Times New Roman" w:hAnsi="Times New Roman" w:eastAsia="仿宋_GB2312"/>
          <w:sz w:val="32"/>
          <w:szCs w:val="32"/>
        </w:rPr>
        <w:t>根据《中共中央 国务院关于全面实施预算绩效管理的意见》和《湖南省财政厅关于开展202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年度部门整体支出绩效自评工作的通知》（湘财绩〔202</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〕1号）的文件精神，我单位对202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年度部门整体支出情况进行了绩效自评，现报告如下：</w:t>
      </w:r>
    </w:p>
    <w:p>
      <w:pPr>
        <w:pStyle w:val="2"/>
        <w:numPr>
          <w:ilvl w:val="0"/>
          <w:numId w:val="3"/>
        </w:numPr>
        <w:rPr>
          <w:bCs/>
          <w:sz w:val="32"/>
          <w:szCs w:val="32"/>
        </w:rPr>
      </w:pPr>
      <w:r>
        <w:rPr>
          <w:bCs/>
          <w:sz w:val="32"/>
          <w:szCs w:val="32"/>
        </w:rPr>
        <w:t>部门</w:t>
      </w:r>
      <w:r>
        <w:rPr>
          <w:rFonts w:hint="eastAsia"/>
          <w:bCs/>
          <w:sz w:val="32"/>
          <w:szCs w:val="32"/>
        </w:rPr>
        <w:t>（</w:t>
      </w:r>
      <w:r>
        <w:rPr>
          <w:bCs/>
          <w:sz w:val="32"/>
          <w:szCs w:val="32"/>
        </w:rPr>
        <w:t>单位</w:t>
      </w:r>
      <w:r>
        <w:rPr>
          <w:rFonts w:hint="eastAsia"/>
          <w:bCs/>
          <w:sz w:val="32"/>
          <w:szCs w:val="32"/>
        </w:rPr>
        <w:t>）</w:t>
      </w:r>
      <w:r>
        <w:rPr>
          <w:bCs/>
          <w:sz w:val="32"/>
          <w:szCs w:val="32"/>
        </w:rPr>
        <w:t>基本情况</w:t>
      </w:r>
    </w:p>
    <w:p>
      <w:pPr>
        <w:pStyle w:val="3"/>
        <w:numPr>
          <w:ilvl w:val="0"/>
          <w:numId w:val="4"/>
        </w:numPr>
        <w:rPr>
          <w:szCs w:val="32"/>
        </w:rPr>
      </w:pPr>
      <w:r>
        <w:rPr>
          <w:rFonts w:hint="eastAsia"/>
          <w:szCs w:val="32"/>
        </w:rPr>
        <w:t>单位简况</w:t>
      </w:r>
    </w:p>
    <w:p>
      <w:pPr>
        <w:pStyle w:val="15"/>
        <w:widowControl/>
        <w:spacing w:line="600" w:lineRule="exact"/>
        <w:ind w:firstLine="640"/>
        <w:rPr>
          <w:rFonts w:hint="eastAsia" w:ascii="Times New Roman" w:hAnsi="Times New Roman" w:eastAsia="仿宋_GB2312"/>
          <w:sz w:val="32"/>
          <w:szCs w:val="32"/>
        </w:rPr>
      </w:pPr>
      <w:r>
        <w:rPr>
          <w:rFonts w:hint="eastAsia" w:ascii="Times New Roman" w:hAnsi="Times New Roman" w:eastAsia="仿宋_GB2312"/>
          <w:sz w:val="32"/>
          <w:szCs w:val="32"/>
        </w:rPr>
        <w:t>湖南省水产科学研究所是湖南省农业农村厅直属的公益一类事业单位，主要承担水产行业基础研究、资源调查与保护、渔业产品检验监督、相关社会技术支撑与服务等方面的职责，为全省水产养殖业高质量发展做出了突出贡献。</w:t>
      </w:r>
    </w:p>
    <w:p>
      <w:pPr>
        <w:pStyle w:val="3"/>
        <w:numPr>
          <w:ilvl w:val="0"/>
          <w:numId w:val="4"/>
        </w:numPr>
        <w:rPr>
          <w:szCs w:val="32"/>
        </w:rPr>
      </w:pPr>
      <w:r>
        <w:rPr>
          <w:rFonts w:hint="eastAsia"/>
          <w:szCs w:val="32"/>
        </w:rPr>
        <w:t>机构设置及人员情况</w:t>
      </w:r>
    </w:p>
    <w:p>
      <w:pPr>
        <w:pStyle w:val="15"/>
        <w:widowControl/>
        <w:spacing w:line="600" w:lineRule="exact"/>
        <w:ind w:firstLine="640"/>
        <w:rPr>
          <w:rFonts w:hint="eastAsia" w:ascii="Times New Roman" w:hAnsi="Times New Roman" w:eastAsia="仿宋_GB2312"/>
          <w:sz w:val="32"/>
          <w:szCs w:val="32"/>
        </w:rPr>
      </w:pPr>
      <w:r>
        <w:rPr>
          <w:rFonts w:hint="eastAsia" w:ascii="Times New Roman" w:hAnsi="Times New Roman" w:eastAsia="仿宋_GB2312"/>
          <w:sz w:val="32"/>
          <w:szCs w:val="32"/>
        </w:rPr>
        <w:t>1、机构设置：湖南省水产科学研究所</w:t>
      </w:r>
      <w:r>
        <w:rPr>
          <w:rFonts w:hint="eastAsia" w:ascii="Times New Roman" w:hAnsi="Times New Roman" w:eastAsia="仿宋_GB2312"/>
          <w:sz w:val="32"/>
          <w:szCs w:val="32"/>
          <w:lang w:eastAsia="zh-CN"/>
        </w:rPr>
        <w:t>内设机构</w:t>
      </w:r>
      <w:r>
        <w:rPr>
          <w:rFonts w:hint="eastAsia" w:ascii="Times New Roman" w:hAnsi="Times New Roman" w:eastAsia="仿宋_GB2312"/>
          <w:sz w:val="32"/>
          <w:szCs w:val="32"/>
          <w:lang w:val="en-US" w:eastAsia="zh-CN"/>
        </w:rPr>
        <w:t>13</w:t>
      </w:r>
      <w:r>
        <w:rPr>
          <w:rFonts w:hint="eastAsia" w:ascii="Times New Roman" w:hAnsi="Times New Roman" w:eastAsia="仿宋_GB2312"/>
          <w:sz w:val="32"/>
          <w:szCs w:val="32"/>
        </w:rPr>
        <w:t>个：</w:t>
      </w:r>
      <w:r>
        <w:rPr>
          <w:rFonts w:hint="eastAsia" w:ascii="Times New Roman" w:hAnsi="Times New Roman" w:eastAsia="仿宋_GB2312"/>
          <w:sz w:val="32"/>
          <w:szCs w:val="32"/>
          <w:lang w:val="en-US" w:eastAsia="zh-CN"/>
        </w:rPr>
        <w:t>党政办公室、人事科、财务科、后勤管理科、科研管理科、沅江基地办、遗传育种研究室、鱼病研究室、营养与饲料研究室、渔业资源与保护研究室（省渔业环境监测站）、养殖工程研究室、农业农村部渔业产品质量检测监督测试中心（长沙）（水产品质量安全研究室）、渔业经济研究中心。</w:t>
      </w:r>
    </w:p>
    <w:p>
      <w:pPr>
        <w:pStyle w:val="15"/>
        <w:widowControl/>
        <w:spacing w:line="600" w:lineRule="exact"/>
        <w:ind w:firstLine="640"/>
        <w:rPr>
          <w:rFonts w:hint="eastAsia" w:ascii="Times New Roman" w:hAnsi="Times New Roman" w:eastAsia="仿宋_GB2312"/>
          <w:sz w:val="32"/>
          <w:szCs w:val="32"/>
        </w:rPr>
      </w:pPr>
      <w:r>
        <w:rPr>
          <w:rFonts w:hint="eastAsia" w:ascii="Times New Roman" w:hAnsi="Times New Roman" w:eastAsia="仿宋_GB2312"/>
          <w:sz w:val="32"/>
          <w:szCs w:val="32"/>
        </w:rPr>
        <w:t>2、人员编制：</w:t>
      </w:r>
    </w:p>
    <w:p>
      <w:pPr>
        <w:pStyle w:val="15"/>
        <w:widowControl/>
        <w:spacing w:line="600" w:lineRule="exact"/>
        <w:ind w:firstLine="640"/>
        <w:rPr>
          <w:rFonts w:hint="eastAsia" w:ascii="Times New Roman" w:hAnsi="Times New Roman" w:eastAsia="仿宋_GB2312"/>
          <w:sz w:val="32"/>
          <w:szCs w:val="32"/>
        </w:rPr>
      </w:pPr>
      <w:r>
        <w:rPr>
          <w:rFonts w:hint="eastAsia" w:ascii="Times New Roman" w:hAnsi="Times New Roman" w:eastAsia="仿宋_GB2312"/>
          <w:sz w:val="32"/>
          <w:szCs w:val="32"/>
        </w:rPr>
        <w:t>湖南省水产科学研究所有全额拨款事业编制87名，202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年底实际在编员工</w:t>
      </w:r>
      <w:r>
        <w:rPr>
          <w:rFonts w:hint="eastAsia" w:ascii="Times New Roman" w:hAnsi="Times New Roman" w:eastAsia="仿宋_GB2312"/>
          <w:sz w:val="32"/>
          <w:szCs w:val="32"/>
          <w:lang w:val="en-US" w:eastAsia="zh-CN"/>
        </w:rPr>
        <w:t>67</w:t>
      </w:r>
      <w:r>
        <w:rPr>
          <w:rFonts w:hint="eastAsia" w:ascii="Times New Roman" w:hAnsi="Times New Roman" w:eastAsia="仿宋_GB2312"/>
          <w:sz w:val="32"/>
          <w:szCs w:val="32"/>
        </w:rPr>
        <w:t>人。</w:t>
      </w:r>
    </w:p>
    <w:p>
      <w:pPr>
        <w:pStyle w:val="2"/>
        <w:numPr>
          <w:ilvl w:val="0"/>
          <w:numId w:val="3"/>
        </w:numPr>
        <w:rPr>
          <w:sz w:val="32"/>
          <w:szCs w:val="32"/>
        </w:rPr>
      </w:pPr>
      <w:r>
        <w:rPr>
          <w:rFonts w:hint="eastAsia"/>
          <w:bCs/>
          <w:sz w:val="32"/>
          <w:szCs w:val="32"/>
        </w:rPr>
        <w:t>一般公共预算支出情况</w:t>
      </w:r>
    </w:p>
    <w:p>
      <w:pPr>
        <w:pStyle w:val="3"/>
        <w:numPr>
          <w:ilvl w:val="0"/>
          <w:numId w:val="5"/>
        </w:numPr>
        <w:rPr>
          <w:szCs w:val="32"/>
        </w:rPr>
      </w:pPr>
      <w:r>
        <w:rPr>
          <w:rFonts w:hint="eastAsia"/>
          <w:szCs w:val="32"/>
        </w:rPr>
        <w:t>基本支出情况</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基本支出系保障我单位机构正常运转、完成日常工作任务而发生的各项支出，包括用于在职人员基本工资、津贴补贴等人员经费以及办公费、印刷费、水电费、办公设备购置等日常公用经费。</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2023年，一般公共预算基本支出年初预算数1219.94万元，年中调整预算为1700.74万元。2023年决算金额为1700.74万元。具体明细见下表:</w:t>
      </w:r>
    </w:p>
    <w:p>
      <w:pPr>
        <w:ind w:firstLine="640" w:firstLineChars="200"/>
        <w:jc w:val="center"/>
        <w:rPr>
          <w:rFonts w:eastAsia="仿宋_GB2312"/>
          <w:sz w:val="32"/>
          <w:szCs w:val="32"/>
        </w:rPr>
      </w:pPr>
      <w:r>
        <w:rPr>
          <w:rFonts w:hint="eastAsia" w:eastAsia="仿宋_GB2312"/>
          <w:sz w:val="32"/>
          <w:szCs w:val="32"/>
        </w:rPr>
        <w:t>202</w:t>
      </w:r>
      <w:r>
        <w:rPr>
          <w:rFonts w:hint="eastAsia" w:eastAsia="仿宋_GB2312"/>
          <w:sz w:val="32"/>
          <w:szCs w:val="32"/>
          <w:lang w:val="en-US" w:eastAsia="zh-CN"/>
        </w:rPr>
        <w:t>3</w:t>
      </w:r>
      <w:r>
        <w:rPr>
          <w:rFonts w:hint="eastAsia" w:eastAsia="仿宋_GB2312"/>
          <w:sz w:val="32"/>
          <w:szCs w:val="32"/>
        </w:rPr>
        <w:t>年基本支出明细表</w:t>
      </w:r>
    </w:p>
    <w:p>
      <w:pPr>
        <w:ind w:firstLine="640" w:firstLineChars="200"/>
        <w:jc w:val="right"/>
        <w:rPr>
          <w:rFonts w:eastAsia="仿宋_GB2312"/>
          <w:sz w:val="32"/>
          <w:szCs w:val="32"/>
        </w:rPr>
      </w:pPr>
      <w:r>
        <w:rPr>
          <w:rFonts w:hint="eastAsia" w:eastAsia="仿宋_GB2312"/>
          <w:sz w:val="32"/>
          <w:szCs w:val="32"/>
        </w:rPr>
        <w:t>单位：万元</w:t>
      </w:r>
    </w:p>
    <w:tbl>
      <w:tblPr>
        <w:tblStyle w:val="10"/>
        <w:tblW w:w="104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7"/>
        <w:gridCol w:w="5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57" w:type="dxa"/>
            <w:vAlign w:val="center"/>
          </w:tcPr>
          <w:p>
            <w:pPr>
              <w:ind w:firstLine="400" w:firstLineChars="200"/>
              <w:rPr>
                <w:rFonts w:ascii="Times New Roman" w:hAnsi="Times New Roman" w:eastAsia="仿宋_GB2312" w:cs="Times New Roman"/>
                <w:b/>
                <w:bCs/>
                <w:kern w:val="0"/>
                <w:sz w:val="20"/>
                <w:szCs w:val="21"/>
              </w:rPr>
            </w:pPr>
            <w:r>
              <w:rPr>
                <w:rFonts w:hint="eastAsia" w:ascii="Times New Roman" w:hAnsi="Times New Roman" w:eastAsia="仿宋_GB2312" w:cs="Times New Roman"/>
                <w:b/>
                <w:bCs/>
                <w:kern w:val="0"/>
                <w:sz w:val="20"/>
                <w:szCs w:val="21"/>
              </w:rPr>
              <w:t>科目</w:t>
            </w:r>
          </w:p>
        </w:tc>
        <w:tc>
          <w:tcPr>
            <w:tcW w:w="5684" w:type="dxa"/>
            <w:vAlign w:val="center"/>
          </w:tcPr>
          <w:p>
            <w:pPr>
              <w:widowControl/>
              <w:jc w:val="center"/>
              <w:textAlignment w:val="center"/>
              <w:rPr>
                <w:rFonts w:ascii="Times New Roman" w:hAnsi="Times New Roman" w:eastAsia="仿宋_GB2312" w:cs="Times New Roman"/>
                <w:b/>
                <w:bCs/>
                <w:kern w:val="0"/>
                <w:sz w:val="20"/>
                <w:szCs w:val="21"/>
              </w:rPr>
            </w:pPr>
            <w:r>
              <w:rPr>
                <w:rFonts w:hint="eastAsia" w:ascii="宋体" w:hAnsi="宋体" w:eastAsia="宋体" w:cs="宋体"/>
                <w:b/>
                <w:bCs/>
                <w:color w:val="000000"/>
                <w:kern w:val="0"/>
                <w:sz w:val="20"/>
                <w:szCs w:val="21"/>
              </w:rPr>
              <w:t>202</w:t>
            </w:r>
            <w:r>
              <w:rPr>
                <w:rFonts w:hint="eastAsia" w:ascii="宋体" w:hAnsi="宋体" w:eastAsia="宋体" w:cs="宋体"/>
                <w:b/>
                <w:bCs/>
                <w:color w:val="000000"/>
                <w:kern w:val="0"/>
                <w:sz w:val="20"/>
                <w:szCs w:val="21"/>
                <w:lang w:val="en-US" w:eastAsia="zh-CN"/>
              </w:rPr>
              <w:t>3</w:t>
            </w:r>
            <w:r>
              <w:rPr>
                <w:rFonts w:hint="eastAsia" w:ascii="宋体" w:hAnsi="宋体" w:eastAsia="宋体" w:cs="宋体"/>
                <w:b/>
                <w:bCs/>
                <w:color w:val="000000"/>
                <w:kern w:val="0"/>
                <w:sz w:val="20"/>
                <w:szCs w:val="21"/>
              </w:rPr>
              <w:t>年决算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57" w:type="dxa"/>
            <w:vAlign w:val="center"/>
          </w:tcPr>
          <w:p>
            <w:pPr>
              <w:jc w:val="left"/>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基本支出</w:t>
            </w:r>
          </w:p>
        </w:tc>
        <w:tc>
          <w:tcPr>
            <w:tcW w:w="5684" w:type="dxa"/>
            <w:vAlign w:val="center"/>
          </w:tcPr>
          <w:p>
            <w:pPr>
              <w:widowControl/>
              <w:ind w:firstLine="400" w:firstLineChars="200"/>
              <w:jc w:val="center"/>
              <w:textAlignment w:val="center"/>
              <w:rPr>
                <w:rFonts w:hint="default" w:ascii="Times New Roman" w:hAnsi="Times New Roman" w:eastAsia="仿宋_GB2312" w:cs="Times New Roman"/>
                <w:kern w:val="0"/>
                <w:sz w:val="20"/>
                <w:szCs w:val="21"/>
                <w:lang w:val="en-US" w:eastAsia="zh-CN"/>
              </w:rPr>
            </w:pPr>
            <w:r>
              <w:rPr>
                <w:rFonts w:hint="eastAsia" w:ascii="Times New Roman" w:hAnsi="Times New Roman" w:eastAsia="宋体" w:cs="Times New Roman"/>
                <w:color w:val="000000"/>
                <w:kern w:val="0"/>
                <w:sz w:val="20"/>
                <w:szCs w:val="21"/>
                <w:lang w:val="en-US" w:eastAsia="zh-CN"/>
              </w:rPr>
              <w:t>1700.74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57" w:type="dxa"/>
            <w:vAlign w:val="center"/>
          </w:tcPr>
          <w:p>
            <w:pPr>
              <w:ind w:firstLine="400" w:firstLineChars="200"/>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人员经费</w:t>
            </w:r>
          </w:p>
        </w:tc>
        <w:tc>
          <w:tcPr>
            <w:tcW w:w="5684" w:type="dxa"/>
            <w:vAlign w:val="center"/>
          </w:tcPr>
          <w:p>
            <w:pPr>
              <w:widowControl/>
              <w:ind w:firstLine="400" w:firstLineChars="200"/>
              <w:jc w:val="center"/>
              <w:textAlignment w:val="center"/>
              <w:rPr>
                <w:rFonts w:hint="default" w:ascii="Times New Roman" w:hAnsi="Times New Roman" w:eastAsia="仿宋_GB2312" w:cs="Times New Roman"/>
                <w:kern w:val="0"/>
                <w:sz w:val="20"/>
                <w:szCs w:val="21"/>
                <w:lang w:val="en-US" w:eastAsia="zh-CN"/>
              </w:rPr>
            </w:pPr>
            <w:r>
              <w:rPr>
                <w:rFonts w:hint="eastAsia" w:ascii="Times New Roman" w:hAnsi="Times New Roman" w:eastAsia="宋体" w:cs="Times New Roman"/>
                <w:color w:val="000000"/>
                <w:kern w:val="0"/>
                <w:sz w:val="20"/>
                <w:szCs w:val="21"/>
                <w:lang w:val="en-US" w:eastAsia="zh-CN"/>
              </w:rPr>
              <w:t>1683.92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57" w:type="dxa"/>
            <w:vAlign w:val="center"/>
          </w:tcPr>
          <w:p>
            <w:pPr>
              <w:ind w:firstLine="400" w:firstLineChars="200"/>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日常公用经费</w:t>
            </w:r>
          </w:p>
        </w:tc>
        <w:tc>
          <w:tcPr>
            <w:tcW w:w="5684" w:type="dxa"/>
            <w:vAlign w:val="center"/>
          </w:tcPr>
          <w:p>
            <w:pPr>
              <w:widowControl/>
              <w:ind w:firstLine="400" w:firstLineChars="200"/>
              <w:jc w:val="center"/>
              <w:textAlignment w:val="center"/>
              <w:rPr>
                <w:rFonts w:hint="default" w:ascii="Times New Roman" w:hAnsi="Times New Roman" w:eastAsia="仿宋_GB2312" w:cs="Times New Roman"/>
                <w:kern w:val="0"/>
                <w:sz w:val="20"/>
                <w:szCs w:val="21"/>
                <w:lang w:val="en-US" w:eastAsia="zh-CN"/>
              </w:rPr>
            </w:pPr>
            <w:r>
              <w:rPr>
                <w:rFonts w:hint="eastAsia" w:ascii="Times New Roman" w:hAnsi="Times New Roman" w:eastAsia="宋体" w:cs="Times New Roman"/>
                <w:color w:val="000000"/>
                <w:kern w:val="0"/>
                <w:sz w:val="20"/>
                <w:szCs w:val="21"/>
                <w:lang w:val="en-US" w:eastAsia="zh-CN"/>
              </w:rPr>
              <w:t>17.02</w:t>
            </w:r>
          </w:p>
        </w:tc>
      </w:tr>
    </w:tbl>
    <w:p>
      <w:pPr>
        <w:pStyle w:val="3"/>
        <w:numPr>
          <w:ilvl w:val="0"/>
          <w:numId w:val="5"/>
        </w:numPr>
        <w:rPr>
          <w:szCs w:val="32"/>
        </w:rPr>
      </w:pPr>
      <w:r>
        <w:rPr>
          <w:rFonts w:hint="eastAsia"/>
          <w:szCs w:val="32"/>
        </w:rPr>
        <w:t>项目支出情况</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2023年本单位项目支出决算1515.80万元，主要是单位为完成特定工作任务或事业发展目标而发生的支出，包括有关事业发展专项、业务工作经费等，其中：商品服务支出1139.74万元，主要用于项目相关的差旅、劳务、专用材料、委托业务等方面；资本性支出376.06万元，主要用于检测中心实验仪器购买等方面。</w:t>
      </w:r>
    </w:p>
    <w:p>
      <w:pPr>
        <w:numPr>
          <w:ilvl w:val="0"/>
          <w:numId w:val="5"/>
        </w:numPr>
        <w:ind w:left="641"/>
        <w:rPr>
          <w:rFonts w:ascii="Arial" w:hAnsi="Arial" w:eastAsia="黑体"/>
          <w:sz w:val="32"/>
          <w:szCs w:val="32"/>
        </w:rPr>
      </w:pPr>
      <w:r>
        <w:rPr>
          <w:rFonts w:hint="eastAsia" w:ascii="Arial" w:hAnsi="Arial" w:eastAsia="黑体"/>
          <w:sz w:val="32"/>
          <w:szCs w:val="32"/>
        </w:rPr>
        <w:t>省级专项支出情况</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2023年我所现代农业发展专项预算460万元，主要用于水产品质量安全监督抽查、产地水产品质量安全监督抽查、水产品药品生物安全性评价等，任务已全部完成。对我省水产苗种质量安全、产地水产品质量安全情况进行了全面监测。</w:t>
      </w:r>
    </w:p>
    <w:p>
      <w:pPr>
        <w:pStyle w:val="15"/>
        <w:widowControl/>
        <w:numPr>
          <w:ilvl w:val="0"/>
          <w:numId w:val="3"/>
        </w:numPr>
        <w:spacing w:line="600" w:lineRule="exact"/>
        <w:ind w:firstLineChars="0"/>
        <w:jc w:val="left"/>
        <w:rPr>
          <w:rFonts w:ascii="Times New Roman" w:hAnsi="Times New Roman" w:eastAsia="黑体"/>
          <w:sz w:val="32"/>
          <w:szCs w:val="32"/>
        </w:rPr>
      </w:pPr>
      <w:r>
        <w:rPr>
          <w:rFonts w:ascii="Times New Roman" w:hAnsi="Times New Roman" w:eastAsia="黑体"/>
          <w:sz w:val="32"/>
          <w:szCs w:val="32"/>
        </w:rPr>
        <w:t>政府性基金预算支出情况</w:t>
      </w:r>
    </w:p>
    <w:p>
      <w:pPr>
        <w:pStyle w:val="15"/>
        <w:widowControl/>
        <w:spacing w:line="600" w:lineRule="exact"/>
        <w:ind w:left="640" w:firstLine="0" w:firstLineChars="0"/>
        <w:jc w:val="left"/>
        <w:rPr>
          <w:rFonts w:ascii="Times New Roman" w:hAnsi="Times New Roman" w:eastAsia="仿宋_GB2312"/>
          <w:color w:val="000000"/>
          <w:sz w:val="32"/>
          <w:szCs w:val="32"/>
        </w:rPr>
      </w:pPr>
      <w:r>
        <w:rPr>
          <w:rFonts w:hint="eastAsia" w:ascii="Times New Roman" w:hAnsi="Times New Roman" w:eastAsia="仿宋_GB2312"/>
          <w:color w:val="000000"/>
          <w:sz w:val="32"/>
          <w:szCs w:val="32"/>
        </w:rPr>
        <w:t>无。</w:t>
      </w:r>
    </w:p>
    <w:p>
      <w:pPr>
        <w:pStyle w:val="15"/>
        <w:widowControl/>
        <w:numPr>
          <w:ilvl w:val="0"/>
          <w:numId w:val="3"/>
        </w:numPr>
        <w:spacing w:line="600" w:lineRule="exact"/>
        <w:ind w:firstLineChars="0"/>
        <w:jc w:val="left"/>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15"/>
        <w:widowControl/>
        <w:spacing w:line="600" w:lineRule="exact"/>
        <w:ind w:left="640" w:firstLine="0" w:firstLineChars="0"/>
        <w:jc w:val="left"/>
        <w:rPr>
          <w:rFonts w:ascii="Times New Roman" w:hAnsi="Times New Roman" w:eastAsia="仿宋_GB2312"/>
          <w:color w:val="000000"/>
          <w:sz w:val="32"/>
          <w:szCs w:val="32"/>
        </w:rPr>
      </w:pPr>
      <w:r>
        <w:rPr>
          <w:rFonts w:hint="eastAsia" w:ascii="Times New Roman" w:hAnsi="Times New Roman" w:eastAsia="仿宋_GB2312"/>
          <w:color w:val="000000"/>
          <w:sz w:val="32"/>
          <w:szCs w:val="32"/>
        </w:rPr>
        <w:t>无。</w:t>
      </w:r>
    </w:p>
    <w:p>
      <w:pPr>
        <w:pStyle w:val="15"/>
        <w:widowControl/>
        <w:numPr>
          <w:ilvl w:val="0"/>
          <w:numId w:val="3"/>
        </w:numPr>
        <w:spacing w:line="600" w:lineRule="exact"/>
        <w:ind w:firstLineChars="0"/>
        <w:jc w:val="left"/>
        <w:rPr>
          <w:rFonts w:ascii="Times New Roman" w:hAnsi="Times New Roman" w:eastAsia="黑体"/>
          <w:sz w:val="32"/>
          <w:szCs w:val="32"/>
        </w:rPr>
      </w:pPr>
      <w:r>
        <w:rPr>
          <w:rFonts w:ascii="Times New Roman" w:hAnsi="Times New Roman" w:eastAsia="黑体"/>
          <w:sz w:val="32"/>
          <w:szCs w:val="32"/>
        </w:rPr>
        <w:t>社会保险基金预算支出情况</w:t>
      </w:r>
    </w:p>
    <w:p>
      <w:pPr>
        <w:pStyle w:val="15"/>
        <w:widowControl/>
        <w:spacing w:line="600" w:lineRule="exact"/>
        <w:ind w:left="640" w:firstLine="0" w:firstLineChars="0"/>
        <w:jc w:val="left"/>
        <w:rPr>
          <w:rFonts w:ascii="Times New Roman" w:hAnsi="Times New Roman" w:eastAsia="仿宋_GB2312"/>
          <w:color w:val="000000"/>
          <w:sz w:val="32"/>
          <w:szCs w:val="32"/>
        </w:rPr>
      </w:pPr>
      <w:r>
        <w:rPr>
          <w:rFonts w:hint="eastAsia" w:ascii="Times New Roman" w:hAnsi="Times New Roman" w:eastAsia="仿宋_GB2312"/>
          <w:color w:val="000000"/>
          <w:sz w:val="32"/>
          <w:szCs w:val="32"/>
        </w:rPr>
        <w:t>无。</w:t>
      </w:r>
    </w:p>
    <w:p>
      <w:pPr>
        <w:widowControl/>
        <w:numPr>
          <w:ilvl w:val="0"/>
          <w:numId w:val="3"/>
        </w:numPr>
        <w:spacing w:line="600" w:lineRule="exact"/>
        <w:jc w:val="left"/>
        <w:rPr>
          <w:rFonts w:eastAsia="黑体"/>
          <w:sz w:val="32"/>
          <w:szCs w:val="32"/>
        </w:rPr>
      </w:pPr>
      <w:r>
        <w:rPr>
          <w:rFonts w:eastAsia="黑体"/>
          <w:sz w:val="32"/>
          <w:szCs w:val="32"/>
        </w:rPr>
        <w:t>部门整体支出绩效情况</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（一）绩效评价结果</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2023年在省农业农村厅的精心领导和机关各处室的关心支持下，湖南省水产科学研究所主动对标对表，积极履职尽责，在党的建设、科研创新、资源养护、质量检测、产业服务等方面取得了新成绩。全年到账项目经费2092.4万元，立项23项，其中获批国家发改委和农业农村部投资建设项目1项，发表高水平论文36篇，获得科研奖项2项，1人通过省政府特殊津贴初审，1人通过湖南省巾帼建功标兵初审。根据《部门整体支出绩效自评表》（详见附件2），单位整体支出绩效为“优”。</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（二）绩效评价结果具体分析</w:t>
      </w:r>
    </w:p>
    <w:p>
      <w:pPr>
        <w:ind w:firstLine="640" w:firstLineChars="200"/>
        <w:rPr>
          <w:rFonts w:hint="default"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1、坚持党建引领，扎实推进主题教育</w:t>
      </w:r>
    </w:p>
    <w:p>
      <w:pPr>
        <w:pStyle w:val="4"/>
        <w:ind w:firstLine="64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b w:val="0"/>
          <w:bCs w:val="0"/>
          <w:kern w:val="2"/>
          <w:sz w:val="32"/>
          <w:szCs w:val="32"/>
          <w:lang w:val="en-US" w:eastAsia="zh-CN" w:bidi="ar-SA"/>
        </w:rPr>
        <w:t>一年来，所党委在组织建设、主题教育、产业调查、以案促改、意识形态等方面积极作为，夯实基础，强化担当，做了大量卓有成效的工作。深入开展调查研究。积极开展“走找想促”活动，开展“湖南省水产品加工产业发展及问题”调研，深入常德、益阳和岳阳3市14家企业，发放问卷90份，撰写高质量调研报告1份，为省厅、省政府制订相关政策提供了数据参考和理论支撑。2次组团深入零陵区菱角塘镇画眉山村开展支部联建帮扶，帮助寻找特色农业发展、“秋旱”水源应对之策。7个科室围绕科研方向与产业发展实际自选确定调研题目，推动调查研究走向深入。</w:t>
      </w:r>
      <w:r>
        <w:rPr>
          <w:rFonts w:hint="eastAsia" w:ascii="Times New Roman" w:hAnsi="Times New Roman" w:eastAsia="仿宋_GB2312" w:cstheme="minorBidi"/>
          <w:kern w:val="2"/>
          <w:sz w:val="32"/>
          <w:szCs w:val="32"/>
          <w:lang w:val="en-US" w:eastAsia="zh-CN" w:bidi="ar-SA"/>
        </w:rPr>
        <w:t xml:space="preserve">  </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2、落实上级部署，强化科技支撑服务</w:t>
      </w:r>
    </w:p>
    <w:p>
      <w:pPr>
        <w:ind w:firstLine="640" w:firstLineChars="200"/>
        <w:rPr>
          <w:rFonts w:hint="eastAsia" w:ascii="Times New Roman" w:hAnsi="Times New Roman" w:eastAsia="仿宋_GB2312" w:cstheme="minorBidi"/>
          <w:b w:val="0"/>
          <w:bCs w:val="0"/>
          <w:kern w:val="2"/>
          <w:sz w:val="32"/>
          <w:szCs w:val="32"/>
          <w:lang w:val="en-US" w:eastAsia="zh-CN" w:bidi="ar-SA"/>
        </w:rPr>
      </w:pPr>
      <w:r>
        <w:rPr>
          <w:rFonts w:hint="eastAsia" w:ascii="Times New Roman" w:hAnsi="Times New Roman" w:eastAsia="仿宋_GB2312" w:cstheme="minorBidi"/>
          <w:b w:val="0"/>
          <w:bCs w:val="0"/>
          <w:kern w:val="2"/>
          <w:sz w:val="32"/>
          <w:szCs w:val="32"/>
          <w:lang w:val="en-US" w:eastAsia="zh-CN" w:bidi="ar-SA"/>
        </w:rPr>
        <w:t>围绕种业创新、资源养护、质量安全、产业服务等职能职责，充分调动科技人员积极性，为湖南渔业高质量发展贡献科技支撑。聚焦种业创新，积极参与省厅种业创新工程项目，湘华鲮后备亲本大批量成熟和池塘饲料驯养取得突破，饲料鳜驯食成套技术基本定型，刺鲃实现规模化人工繁育、小龙虾完成第4代家系选育，黄鳝仿生态繁育机理基本摸清，为下阶段工作推进奠定了坚实基础。成功举办特色土著鱼类驯养繁殖现场评议会，12种特色土著鱼类驯养或繁殖成功，在抢占湖南特色水产种质资源高地、打造土特产文章、应对科学增殖放流和丰富市场菜篮子等方面意义重大。</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3、抓好水生生物完整性指数评价</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生生物完整性指数将于2025年纳入生态环保部考核，我们举全所之力，坚决扛稳“守护好一江碧水”政治责任，派遣近40人次在洞庭湖组织了2次共历时90天的水生生物资源监测，如期完成了洞庭湖水生生物完整性指数评估报告。承办全国六月六放鱼日活动等增殖放流活动4次，共放流“四大家鱼”亲本1420组，夏花2000万尾，春片10万尾，珍稀土著鱼类胭脂鱼2.5万尾，湘华鲮12.5万尾，岩原鲤6尾，湖南吻鮈7万尾，花䱻5万尾，中华倒刺鲃5万尾。开展了25项涉水工程环境影响评价工作，为我省水域生态环境保护及生物多样性恢复提供了技术支撑。</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4、科研成果产出丰盛</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2023年分别获得中国水产科学研究院科技进步奖二等奖、上海市技术发明奖二等奖各1项，发表高水平学术论文32篇，制定颁布行业团体标准1项、湖南省地方标准6项，获授发明专利6项、实用新型专利6项，完成技术合同登记38项、合同交易额1314万元。被省科技厅评为全省科技统计“先进单位”。</w:t>
      </w:r>
    </w:p>
    <w:p>
      <w:pPr>
        <w:pStyle w:val="15"/>
        <w:widowControl/>
        <w:numPr>
          <w:ilvl w:val="0"/>
          <w:numId w:val="6"/>
        </w:numPr>
        <w:spacing w:line="600" w:lineRule="exact"/>
        <w:ind w:firstLineChars="0"/>
        <w:jc w:val="left"/>
        <w:rPr>
          <w:rFonts w:ascii="Times New Roman" w:hAnsi="Times New Roman" w:eastAsia="黑体"/>
          <w:sz w:val="32"/>
          <w:szCs w:val="32"/>
        </w:rPr>
      </w:pPr>
      <w:r>
        <w:rPr>
          <w:rFonts w:ascii="Times New Roman" w:hAnsi="Times New Roman" w:eastAsia="黑体"/>
          <w:sz w:val="32"/>
          <w:szCs w:val="32"/>
        </w:rPr>
        <w:t>存在的问题及</w:t>
      </w:r>
      <w:r>
        <w:rPr>
          <w:rFonts w:hint="eastAsia" w:ascii="Times New Roman" w:hAnsi="Times New Roman" w:eastAsia="黑体"/>
          <w:sz w:val="32"/>
          <w:szCs w:val="32"/>
        </w:rPr>
        <w:t>原因分析</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（一）科研基础设施落后，科研创新能力有待提高</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由于长期以来财政预算经费有限，使得我所科研基础设施落后，高水平科研平台缺乏，科研创新能力有待提高，尤其在立项层次、论文水平、基金项目、创新团队、成果转化等方面与各级领导和业务部门对我们的期盼存在较大差距。</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（二）部门整体绩效管理有待加强</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部门整体绩效目标在设定、细化程度和可衡量方面未进行细化和量化，需进一步加强对部门整体绩效管理。</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（三）个别项目预算执行进度较慢</w:t>
      </w:r>
    </w:p>
    <w:p>
      <w:pPr>
        <w:ind w:firstLine="640" w:firstLineChars="200"/>
        <w:rPr>
          <w:rFonts w:eastAsia="黑体"/>
          <w:sz w:val="32"/>
          <w:szCs w:val="32"/>
        </w:rPr>
      </w:pPr>
      <w:r>
        <w:rPr>
          <w:rFonts w:hint="eastAsia" w:ascii="Times New Roman" w:hAnsi="Times New Roman" w:eastAsia="仿宋_GB2312" w:cstheme="minorBidi"/>
          <w:kern w:val="2"/>
          <w:sz w:val="32"/>
          <w:szCs w:val="32"/>
          <w:lang w:val="en-US" w:eastAsia="zh-CN" w:bidi="ar-SA"/>
        </w:rPr>
        <w:t>由于受新冠疫情影响，部分项目未能顺利完成，预算执行率比较低。</w:t>
      </w:r>
      <w:r>
        <w:rPr>
          <w:rFonts w:hint="eastAsia" w:ascii="黑体" w:hAnsi="黑体" w:eastAsia="黑体"/>
          <w:sz w:val="32"/>
          <w:szCs w:val="32"/>
        </w:rPr>
        <w:t>八、</w:t>
      </w:r>
      <w:r>
        <w:rPr>
          <w:rFonts w:ascii="黑体" w:hAnsi="黑体" w:eastAsia="黑体"/>
          <w:sz w:val="32"/>
          <w:szCs w:val="32"/>
        </w:rPr>
        <w:t>下一步</w:t>
      </w:r>
      <w:r>
        <w:rPr>
          <w:rFonts w:eastAsia="黑体"/>
          <w:sz w:val="32"/>
          <w:szCs w:val="32"/>
        </w:rPr>
        <w:t>改进措施</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（一） 创新人才培养渠道，完善考核激励机制</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深化与高等院校的合作，提升在科技创新平台建设、科研成果转化、人才队伍建设等方面的水平。完善绩效考核办法，充分发挥其指挥棒作用，激发科研人员的干事激情，营造“比、学、赶、超”良性竞争氛围。主动对接岳麓山种业创新中心，强化PI团队建设，着力开展优势品种培育研究，提升核心竞争力。</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（二）进一步加强绩效管理，完善绩效评价管理机制</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完善绩效目标管理，对绩效目标进行细化和量化，做到绩效目标可衡量。完善绩效评价管理机制，结合实际工作情况，优化财务、业务、资源和资产绩效的协同管理模式。进一步加强预算绩效管理业务培训。</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（三）加快预算执行进度，提高资金使用效率</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以后我所将加强项目管理，对于已经批准的项目，抓紧实施，加快预算执行进度。</w:t>
      </w:r>
    </w:p>
    <w:p>
      <w:pPr>
        <w:widowControl/>
        <w:spacing w:line="600" w:lineRule="exact"/>
        <w:ind w:firstLine="645"/>
        <w:jc w:val="left"/>
        <w:rPr>
          <w:rFonts w:eastAsia="黑体"/>
          <w:sz w:val="32"/>
          <w:szCs w:val="32"/>
        </w:rPr>
      </w:pPr>
      <w:r>
        <w:rPr>
          <w:rFonts w:hint="eastAsia" w:eastAsia="黑体"/>
          <w:sz w:val="32"/>
          <w:szCs w:val="32"/>
        </w:rPr>
        <w:t>九</w:t>
      </w:r>
      <w:r>
        <w:rPr>
          <w:rFonts w:eastAsia="黑体"/>
          <w:sz w:val="32"/>
          <w:szCs w:val="32"/>
        </w:rPr>
        <w:t>、绩效自评结果拟应用和公开情况</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（一）反馈整改。我单位将对评价中发现的问题，及时进行督促整改。各内设机构要加强预算管理意识，严格按照预算编制的相关制度和要求，结合年度收支计划，科学编制预算，遵循预算管理办法。</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（二）公开结果。除涉密信息外，我单位将全面公开2023年度部门支出绩效自评报告，接受社会监督。</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附表：1.2023年度部门整体支出绩效评价基础数据表</w:t>
      </w:r>
    </w:p>
    <w:p>
      <w:pPr>
        <w:ind w:firstLine="640" w:firstLineChars="200"/>
        <w:rPr>
          <w:rFonts w:hint="eastAsia" w:ascii="Times New Roman" w:hAnsi="Times New Roman" w:eastAsia="仿宋_GB2312" w:cstheme="minorBidi"/>
          <w:kern w:val="2"/>
          <w:sz w:val="32"/>
          <w:szCs w:val="32"/>
          <w:lang w:val="en-US" w:eastAsia="zh-CN" w:bidi="ar-SA"/>
        </w:rPr>
      </w:pPr>
      <w:r>
        <w:rPr>
          <w:rFonts w:hint="eastAsia" w:ascii="Times New Roman" w:hAnsi="Times New Roman" w:eastAsia="仿宋_GB2312" w:cstheme="minorBidi"/>
          <w:kern w:val="2"/>
          <w:sz w:val="32"/>
          <w:szCs w:val="32"/>
          <w:lang w:val="en-US" w:eastAsia="zh-CN" w:bidi="ar-SA"/>
        </w:rPr>
        <w:t xml:space="preserve">      2.2023年度部门整体支出绩效自评表</w:t>
      </w: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ind w:firstLine="640" w:firstLineChars="200"/>
        <w:rPr>
          <w:rFonts w:hint="eastAsia" w:ascii="Times New Roman" w:hAnsi="Times New Roman" w:eastAsia="仿宋_GB2312" w:cstheme="minorBidi"/>
          <w:kern w:val="2"/>
          <w:sz w:val="32"/>
          <w:szCs w:val="32"/>
          <w:lang w:val="en-US" w:eastAsia="zh-CN" w:bidi="ar-SA"/>
        </w:rPr>
      </w:pPr>
    </w:p>
    <w:p>
      <w:pPr>
        <w:widowControl/>
        <w:spacing w:line="600" w:lineRule="exact"/>
        <w:ind w:firstLine="645"/>
        <w:jc w:val="left"/>
        <w:rPr>
          <w:rFonts w:eastAsia="仿宋_GB2312"/>
          <w:sz w:val="32"/>
          <w:szCs w:val="32"/>
        </w:rPr>
      </w:pPr>
      <w:r>
        <w:rPr>
          <w:rFonts w:hint="eastAsia" w:eastAsia="仿宋_GB2312"/>
          <w:sz w:val="32"/>
          <w:szCs w:val="32"/>
        </w:rPr>
        <w:t>附表1</w:t>
      </w:r>
    </w:p>
    <w:tbl>
      <w:tblPr>
        <w:tblStyle w:val="9"/>
        <w:tblW w:w="10500" w:type="dxa"/>
        <w:tblInd w:w="93" w:type="dxa"/>
        <w:tblLayout w:type="fixed"/>
        <w:tblCellMar>
          <w:top w:w="0" w:type="dxa"/>
          <w:left w:w="108" w:type="dxa"/>
          <w:bottom w:w="0" w:type="dxa"/>
          <w:right w:w="108" w:type="dxa"/>
        </w:tblCellMar>
      </w:tblPr>
      <w:tblGrid>
        <w:gridCol w:w="3940"/>
        <w:gridCol w:w="1060"/>
        <w:gridCol w:w="1060"/>
        <w:gridCol w:w="1060"/>
        <w:gridCol w:w="1260"/>
        <w:gridCol w:w="1060"/>
        <w:gridCol w:w="1060"/>
      </w:tblGrid>
      <w:tr>
        <w:tblPrEx>
          <w:tblLayout w:type="fixed"/>
          <w:tblCellMar>
            <w:top w:w="0" w:type="dxa"/>
            <w:left w:w="108" w:type="dxa"/>
            <w:bottom w:w="0" w:type="dxa"/>
            <w:right w:w="108" w:type="dxa"/>
          </w:tblCellMar>
        </w:tblPrEx>
        <w:trPr>
          <w:trHeight w:val="642" w:hRule="atLeast"/>
        </w:trPr>
        <w:tc>
          <w:tcPr>
            <w:tcW w:w="10500" w:type="dxa"/>
            <w:gridSpan w:val="7"/>
            <w:tcBorders>
              <w:top w:val="nil"/>
              <w:left w:val="nil"/>
              <w:bottom w:val="nil"/>
              <w:right w:val="nil"/>
            </w:tcBorders>
            <w:shd w:val="clear" w:color="auto" w:fill="auto"/>
            <w:noWrap/>
            <w:vAlign w:val="center"/>
          </w:tcPr>
          <w:p>
            <w:pPr>
              <w:widowControl/>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202</w:t>
            </w:r>
            <w:r>
              <w:rPr>
                <w:rFonts w:hint="eastAsia" w:ascii="宋体" w:hAnsi="宋体" w:eastAsia="宋体" w:cs="宋体"/>
                <w:b/>
                <w:bCs/>
                <w:color w:val="000000"/>
                <w:kern w:val="0"/>
                <w:sz w:val="28"/>
                <w:szCs w:val="28"/>
                <w:lang w:val="en-US" w:eastAsia="zh-CN"/>
              </w:rPr>
              <w:t>3</w:t>
            </w:r>
            <w:r>
              <w:rPr>
                <w:rFonts w:hint="eastAsia" w:ascii="宋体" w:hAnsi="宋体" w:eastAsia="宋体" w:cs="宋体"/>
                <w:b/>
                <w:bCs/>
                <w:color w:val="000000"/>
                <w:kern w:val="0"/>
                <w:sz w:val="28"/>
                <w:szCs w:val="28"/>
              </w:rPr>
              <w:t>年度部门整体支出绩效评价基础数据表</w:t>
            </w:r>
          </w:p>
        </w:tc>
      </w:tr>
      <w:tr>
        <w:tblPrEx>
          <w:tblLayout w:type="fixed"/>
          <w:tblCellMar>
            <w:top w:w="0" w:type="dxa"/>
            <w:left w:w="108" w:type="dxa"/>
            <w:bottom w:w="0" w:type="dxa"/>
            <w:right w:w="108" w:type="dxa"/>
          </w:tblCellMar>
        </w:tblPrEx>
        <w:trPr>
          <w:trHeight w:val="402" w:hRule="atLeast"/>
        </w:trPr>
        <w:tc>
          <w:tcPr>
            <w:tcW w:w="3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财政供养人员情况</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编制数</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202</w:t>
            </w:r>
            <w:r>
              <w:rPr>
                <w:rFonts w:hint="eastAsia" w:ascii="Times New Roman" w:hAnsi="Times New Roman" w:eastAsia="宋体" w:cs="Times New Roman"/>
                <w:color w:val="000000"/>
                <w:kern w:val="0"/>
                <w:szCs w:val="21"/>
                <w:lang w:val="en-US" w:eastAsia="zh-CN"/>
              </w:rPr>
              <w:t>3</w:t>
            </w:r>
            <w:r>
              <w:rPr>
                <w:rFonts w:hint="eastAsia" w:ascii="仿宋_GB2312" w:hAnsi="Times New Roman" w:eastAsia="仿宋_GB2312" w:cs="Times New Roman"/>
                <w:color w:val="000000"/>
                <w:kern w:val="0"/>
                <w:szCs w:val="21"/>
              </w:rPr>
              <w:t>年实际在职人数</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控制率</w:t>
            </w:r>
          </w:p>
        </w:tc>
      </w:tr>
      <w:tr>
        <w:tblPrEx>
          <w:tblLayout w:type="fixed"/>
          <w:tblCellMar>
            <w:top w:w="0" w:type="dxa"/>
            <w:left w:w="108" w:type="dxa"/>
            <w:bottom w:w="0" w:type="dxa"/>
            <w:right w:w="108" w:type="dxa"/>
          </w:tblCellMar>
        </w:tblPrEx>
        <w:trPr>
          <w:trHeight w:val="402" w:hRule="atLeast"/>
        </w:trPr>
        <w:tc>
          <w:tcPr>
            <w:tcW w:w="3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87</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67</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77.01</w:t>
            </w:r>
            <w:r>
              <w:rPr>
                <w:rFonts w:ascii="Times New Roman" w:hAnsi="Times New Roman" w:eastAsia="宋体" w:cs="Times New Roman"/>
                <w:color w:val="000000"/>
                <w:kern w:val="0"/>
                <w:szCs w:val="21"/>
              </w:rPr>
              <w:t>%</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经费控制情况</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w:t>
            </w:r>
            <w:r>
              <w:rPr>
                <w:rFonts w:hint="eastAsia" w:ascii="Times New Roman" w:hAnsi="Times New Roman" w:eastAsia="宋体" w:cs="Times New Roman"/>
                <w:color w:val="000000"/>
                <w:kern w:val="0"/>
                <w:szCs w:val="21"/>
                <w:lang w:val="en-US" w:eastAsia="zh-CN"/>
              </w:rPr>
              <w:t>22</w:t>
            </w:r>
            <w:r>
              <w:rPr>
                <w:rFonts w:hint="eastAsia" w:ascii="仿宋_GB2312" w:hAnsi="Times New Roman" w:eastAsia="仿宋_GB2312" w:cs="Times New Roman"/>
                <w:color w:val="000000"/>
                <w:kern w:val="0"/>
                <w:szCs w:val="21"/>
              </w:rPr>
              <w:t>年决算数</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202</w:t>
            </w:r>
            <w:r>
              <w:rPr>
                <w:rFonts w:hint="eastAsia" w:ascii="Times New Roman" w:hAnsi="Times New Roman" w:eastAsia="宋体" w:cs="Times New Roman"/>
                <w:color w:val="000000"/>
                <w:kern w:val="0"/>
                <w:szCs w:val="21"/>
                <w:lang w:val="en-US" w:eastAsia="zh-CN"/>
              </w:rPr>
              <w:t>3</w:t>
            </w:r>
            <w:r>
              <w:rPr>
                <w:rFonts w:hint="eastAsia" w:ascii="仿宋_GB2312" w:hAnsi="Times New Roman" w:eastAsia="仿宋_GB2312" w:cs="Times New Roman"/>
                <w:color w:val="000000"/>
                <w:kern w:val="0"/>
                <w:szCs w:val="21"/>
              </w:rPr>
              <w:t>年预算数</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202</w:t>
            </w:r>
            <w:r>
              <w:rPr>
                <w:rFonts w:hint="eastAsia" w:ascii="Times New Roman" w:hAnsi="Times New Roman" w:eastAsia="宋体" w:cs="Times New Roman"/>
                <w:color w:val="000000"/>
                <w:kern w:val="0"/>
                <w:szCs w:val="21"/>
                <w:lang w:val="en-US" w:eastAsia="zh-CN"/>
              </w:rPr>
              <w:t>3</w:t>
            </w:r>
            <w:r>
              <w:rPr>
                <w:rFonts w:hint="eastAsia" w:ascii="仿宋_GB2312" w:hAnsi="Times New Roman" w:eastAsia="仿宋_GB2312" w:cs="Times New Roman"/>
                <w:color w:val="000000"/>
                <w:kern w:val="0"/>
                <w:szCs w:val="21"/>
              </w:rPr>
              <w:t>年决算数</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三公经费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0.03</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1、公务用车购置和维护经费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0.03</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379"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其中：公车购置</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公车运行维护</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0.03</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2、出国经费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3、公务接待</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0.00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项目支出：</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1636.10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1448.20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1515.80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r>
              <w:rPr>
                <w:rFonts w:hint="eastAsia" w:ascii="宋体" w:hAnsi="宋体" w:eastAsia="宋体" w:cs="Times New Roman"/>
                <w:color w:val="000000"/>
                <w:kern w:val="0"/>
                <w:szCs w:val="21"/>
              </w:rPr>
              <w:t>、业务工作专项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1,131.36</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1,462.97</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2、运行维护专项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w:t>
            </w:r>
            <w:r>
              <w:rPr>
                <w:rFonts w:hint="eastAsia" w:ascii="仿宋_GB2312" w:hAnsi="Times New Roman" w:eastAsia="仿宋_GB2312" w:cs="Times New Roman"/>
                <w:color w:val="000000"/>
                <w:kern w:val="0"/>
                <w:szCs w:val="21"/>
              </w:rPr>
              <w:t>、省级专项资金（一个专项一行）</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518.99</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460</w:t>
            </w:r>
            <w:r>
              <w:rPr>
                <w:rFonts w:ascii="Times New Roman" w:hAnsi="Times New Roman" w:eastAsia="宋体" w:cs="Times New Roman"/>
                <w:color w:val="000000"/>
                <w:kern w:val="0"/>
                <w:szCs w:val="21"/>
              </w:rPr>
              <w:t>.00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477.28</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养殖产业发展专项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lang w:eastAsia="zh-CN"/>
              </w:rPr>
              <w:t>现代农业发展专项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518.99</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460.00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477.28</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公用经费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w:t>
            </w:r>
            <w:r>
              <w:rPr>
                <w:rFonts w:hint="eastAsia" w:ascii="宋体" w:hAnsi="宋体" w:eastAsia="宋体" w:cs="Times New Roman"/>
                <w:color w:val="000000"/>
                <w:kern w:val="0"/>
                <w:szCs w:val="21"/>
              </w:rPr>
              <w:t>其中：办公经费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w:t>
            </w:r>
            <w:r>
              <w:rPr>
                <w:rFonts w:hint="eastAsia" w:ascii="宋体" w:hAnsi="宋体" w:eastAsia="宋体" w:cs="Times New Roman"/>
                <w:color w:val="000000"/>
                <w:kern w:val="0"/>
                <w:szCs w:val="21"/>
              </w:rPr>
              <w:t>水费、电费、差旅费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w:t>
            </w:r>
            <w:r>
              <w:rPr>
                <w:rFonts w:hint="eastAsia" w:ascii="宋体" w:hAnsi="宋体" w:eastAsia="宋体" w:cs="Times New Roman"/>
                <w:color w:val="000000"/>
                <w:kern w:val="0"/>
                <w:szCs w:val="21"/>
              </w:rPr>
              <w:t>会议费、培训费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政府采购金额</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326.08</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538.46</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部门基本支出预算调整</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1700.94</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1700.94</w:t>
            </w:r>
          </w:p>
        </w:tc>
      </w:tr>
      <w:tr>
        <w:tblPrEx>
          <w:tblLayout w:type="fixed"/>
          <w:tblCellMar>
            <w:top w:w="0" w:type="dxa"/>
            <w:left w:w="108" w:type="dxa"/>
            <w:bottom w:w="0" w:type="dxa"/>
            <w:right w:w="108" w:type="dxa"/>
          </w:tblCellMar>
        </w:tblPrEx>
        <w:trPr>
          <w:trHeight w:val="402" w:hRule="atLeast"/>
        </w:trPr>
        <w:tc>
          <w:tcPr>
            <w:tcW w:w="39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楼堂馆所控制情况</w:t>
            </w:r>
            <w:r>
              <w:rPr>
                <w:rFonts w:ascii="Times New Roman" w:hAnsi="Times New Roman" w:eastAsia="宋体" w:cs="Times New Roman"/>
                <w:color w:val="000000"/>
                <w:kern w:val="0"/>
                <w:szCs w:val="21"/>
              </w:rPr>
              <w:br w:type="textWrapping"/>
            </w:r>
            <w:r>
              <w:rPr>
                <w:rFonts w:hint="eastAsia" w:ascii="宋体" w:hAnsi="宋体" w:eastAsia="宋体" w:cs="宋体"/>
                <w:color w:val="000000"/>
                <w:kern w:val="0"/>
                <w:szCs w:val="21"/>
              </w:rPr>
              <w:t>（</w:t>
            </w:r>
            <w:r>
              <w:rPr>
                <w:rFonts w:ascii="Times New Roman" w:hAnsi="Times New Roman" w:eastAsia="宋体" w:cs="Times New Roman"/>
                <w:color w:val="000000"/>
                <w:kern w:val="0"/>
                <w:szCs w:val="21"/>
              </w:rPr>
              <w:t>2020</w:t>
            </w:r>
            <w:r>
              <w:rPr>
                <w:rFonts w:hint="eastAsia" w:ascii="宋体" w:hAnsi="宋体" w:eastAsia="宋体" w:cs="宋体"/>
                <w:color w:val="000000"/>
                <w:kern w:val="0"/>
                <w:szCs w:val="21"/>
              </w:rPr>
              <w:t>年完工项目）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批复规模</w:t>
            </w:r>
            <w:r>
              <w:rPr>
                <w:rFonts w:ascii="Times New Roman" w:hAnsi="Times New Roman" w:eastAsia="宋体" w:cs="Times New Roman"/>
                <w:color w:val="000000"/>
                <w:kern w:val="0"/>
                <w:szCs w:val="21"/>
              </w:rPr>
              <w:br w:type="textWrapping"/>
            </w:r>
            <w:r>
              <w:rPr>
                <w:rFonts w:hint="eastAsia" w:ascii="宋体" w:hAnsi="宋体" w:eastAsia="宋体" w:cs="宋体"/>
                <w:color w:val="000000"/>
                <w:kern w:val="0"/>
                <w:szCs w:val="21"/>
              </w:rPr>
              <w:t>（㎡）</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实际规模（㎡）</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规模控制率</w:t>
            </w:r>
          </w:p>
        </w:tc>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预算投资（万元）</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实际投资（万元）</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投资概算控制率</w:t>
            </w:r>
          </w:p>
        </w:tc>
      </w:tr>
      <w:tr>
        <w:tblPrEx>
          <w:tblLayout w:type="fixed"/>
          <w:tblCellMar>
            <w:top w:w="0" w:type="dxa"/>
            <w:left w:w="108" w:type="dxa"/>
            <w:bottom w:w="0" w:type="dxa"/>
            <w:right w:w="108" w:type="dxa"/>
          </w:tblCellMar>
        </w:tblPrEx>
        <w:trPr>
          <w:trHeight w:val="402" w:hRule="atLeast"/>
        </w:trPr>
        <w:tc>
          <w:tcPr>
            <w:tcW w:w="39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r>
      <w:tr>
        <w:tblPrEx>
          <w:tblLayout w:type="fixed"/>
          <w:tblCellMar>
            <w:top w:w="0" w:type="dxa"/>
            <w:left w:w="108" w:type="dxa"/>
            <w:bottom w:w="0" w:type="dxa"/>
            <w:right w:w="108" w:type="dxa"/>
          </w:tblCellMar>
        </w:tblPrEx>
        <w:trPr>
          <w:trHeight w:val="402" w:hRule="atLeast"/>
        </w:trPr>
        <w:tc>
          <w:tcPr>
            <w:tcW w:w="39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厉行节约保障措施</w:t>
            </w:r>
          </w:p>
        </w:tc>
        <w:tc>
          <w:tcPr>
            <w:tcW w:w="656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Layout w:type="fixed"/>
          <w:tblCellMar>
            <w:top w:w="0" w:type="dxa"/>
            <w:left w:w="108" w:type="dxa"/>
            <w:bottom w:w="0" w:type="dxa"/>
            <w:right w:w="108" w:type="dxa"/>
          </w:tblCellMar>
        </w:tblPrEx>
        <w:trPr>
          <w:trHeight w:val="270" w:hRule="atLeast"/>
        </w:trPr>
        <w:tc>
          <w:tcPr>
            <w:tcW w:w="39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500" w:type="dxa"/>
            <w:gridSpan w:val="7"/>
            <w:vMerge w:val="restart"/>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说明：“项目支出”需要填报基本支出以外的所有项目支出情况，“公用经费”填报基本支出中的一般商品和服务支出。</w:t>
            </w:r>
            <w:r>
              <w:rPr>
                <w:rFonts w:hint="eastAsia" w:ascii="宋体" w:hAnsi="宋体" w:eastAsia="宋体" w:cs="宋体"/>
                <w:color w:val="000000"/>
                <w:kern w:val="0"/>
                <w:sz w:val="22"/>
              </w:rPr>
              <w:br w:type="textWrapping"/>
            </w:r>
          </w:p>
        </w:tc>
      </w:tr>
      <w:tr>
        <w:tblPrEx>
          <w:tblLayout w:type="fixed"/>
          <w:tblCellMar>
            <w:top w:w="0" w:type="dxa"/>
            <w:left w:w="108" w:type="dxa"/>
            <w:bottom w:w="0" w:type="dxa"/>
            <w:right w:w="108" w:type="dxa"/>
          </w:tblCellMar>
        </w:tblPrEx>
        <w:trPr>
          <w:trHeight w:val="1260" w:hRule="atLeast"/>
        </w:trPr>
        <w:tc>
          <w:tcPr>
            <w:tcW w:w="10500" w:type="dxa"/>
            <w:gridSpan w:val="7"/>
            <w:vMerge w:val="continue"/>
            <w:tcBorders>
              <w:top w:val="nil"/>
              <w:left w:val="nil"/>
              <w:bottom w:val="nil"/>
              <w:right w:val="nil"/>
            </w:tcBorders>
            <w:vAlign w:val="center"/>
          </w:tcPr>
          <w:p>
            <w:pPr>
              <w:widowControl/>
              <w:jc w:val="left"/>
              <w:rPr>
                <w:rFonts w:ascii="宋体" w:hAnsi="宋体" w:eastAsia="宋体" w:cs="宋体"/>
                <w:color w:val="000000"/>
                <w:kern w:val="0"/>
                <w:sz w:val="22"/>
              </w:rPr>
            </w:pPr>
          </w:p>
        </w:tc>
      </w:tr>
    </w:tbl>
    <w:p>
      <w:pPr>
        <w:widowControl/>
        <w:spacing w:line="600" w:lineRule="exact"/>
        <w:ind w:firstLine="645"/>
        <w:jc w:val="left"/>
        <w:rPr>
          <w:rFonts w:eastAsia="仿宋_GB2312"/>
          <w:sz w:val="32"/>
          <w:szCs w:val="32"/>
        </w:rPr>
      </w:pPr>
    </w:p>
    <w:p>
      <w:pPr>
        <w:widowControl/>
        <w:spacing w:line="600" w:lineRule="exact"/>
        <w:ind w:firstLine="645"/>
        <w:jc w:val="left"/>
        <w:rPr>
          <w:rFonts w:eastAsia="仿宋_GB2312"/>
          <w:sz w:val="32"/>
          <w:szCs w:val="32"/>
        </w:rPr>
      </w:pPr>
    </w:p>
    <w:p>
      <w:pPr>
        <w:widowControl/>
        <w:spacing w:line="600" w:lineRule="exact"/>
        <w:ind w:firstLine="645"/>
        <w:jc w:val="left"/>
        <w:rPr>
          <w:rFonts w:eastAsia="仿宋_GB2312"/>
          <w:sz w:val="32"/>
          <w:szCs w:val="32"/>
        </w:rPr>
      </w:pPr>
    </w:p>
    <w:p>
      <w:pPr>
        <w:widowControl/>
        <w:spacing w:line="600" w:lineRule="exact"/>
        <w:ind w:firstLine="645"/>
        <w:jc w:val="left"/>
        <w:rPr>
          <w:rFonts w:eastAsia="仿宋_GB2312"/>
          <w:sz w:val="32"/>
          <w:szCs w:val="32"/>
        </w:rPr>
      </w:pPr>
    </w:p>
    <w:p>
      <w:pPr>
        <w:ind w:firstLine="320" w:firstLineChars="100"/>
        <w:rPr>
          <w:sz w:val="32"/>
          <w:szCs w:val="32"/>
        </w:rPr>
      </w:pPr>
      <w:r>
        <w:rPr>
          <w:rFonts w:hint="eastAsia"/>
          <w:sz w:val="32"/>
          <w:szCs w:val="32"/>
        </w:rPr>
        <w:t>附表2</w:t>
      </w:r>
    </w:p>
    <w:tbl>
      <w:tblPr>
        <w:tblStyle w:val="9"/>
        <w:tblW w:w="10816" w:type="dxa"/>
        <w:tblInd w:w="93" w:type="dxa"/>
        <w:tblLayout w:type="fixed"/>
        <w:tblCellMar>
          <w:top w:w="0" w:type="dxa"/>
          <w:left w:w="108" w:type="dxa"/>
          <w:bottom w:w="0" w:type="dxa"/>
          <w:right w:w="108" w:type="dxa"/>
        </w:tblCellMar>
      </w:tblPr>
      <w:tblGrid>
        <w:gridCol w:w="940"/>
        <w:gridCol w:w="940"/>
        <w:gridCol w:w="1140"/>
        <w:gridCol w:w="1760"/>
        <w:gridCol w:w="980"/>
        <w:gridCol w:w="1498"/>
        <w:gridCol w:w="1035"/>
        <w:gridCol w:w="723"/>
        <w:gridCol w:w="960"/>
        <w:gridCol w:w="840"/>
      </w:tblGrid>
      <w:tr>
        <w:tblPrEx>
          <w:tblLayout w:type="fixed"/>
          <w:tblCellMar>
            <w:top w:w="0" w:type="dxa"/>
            <w:left w:w="108" w:type="dxa"/>
            <w:bottom w:w="0" w:type="dxa"/>
            <w:right w:w="108" w:type="dxa"/>
          </w:tblCellMar>
        </w:tblPrEx>
        <w:trPr>
          <w:trHeight w:val="660" w:hRule="atLeast"/>
        </w:trPr>
        <w:tc>
          <w:tcPr>
            <w:tcW w:w="10816"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202</w:t>
            </w:r>
            <w:r>
              <w:rPr>
                <w:rFonts w:hint="eastAsia" w:ascii="宋体" w:hAnsi="宋体" w:eastAsia="宋体" w:cs="宋体"/>
                <w:b/>
                <w:bCs/>
                <w:color w:val="000000"/>
                <w:kern w:val="0"/>
                <w:sz w:val="28"/>
                <w:szCs w:val="28"/>
                <w:lang w:val="en-US" w:eastAsia="zh-CN"/>
              </w:rPr>
              <w:t>3</w:t>
            </w:r>
            <w:r>
              <w:rPr>
                <w:rFonts w:hint="eastAsia" w:ascii="宋体" w:hAnsi="宋体" w:eastAsia="宋体" w:cs="宋体"/>
                <w:b/>
                <w:bCs/>
                <w:color w:val="000000"/>
                <w:kern w:val="0"/>
                <w:sz w:val="28"/>
                <w:szCs w:val="28"/>
              </w:rPr>
              <w:t>年度部门整体支出绩效自评表</w:t>
            </w:r>
          </w:p>
        </w:tc>
      </w:tr>
      <w:tr>
        <w:tblPrEx>
          <w:tblLayout w:type="fixed"/>
          <w:tblCellMar>
            <w:top w:w="0" w:type="dxa"/>
            <w:left w:w="108" w:type="dxa"/>
            <w:bottom w:w="0" w:type="dxa"/>
            <w:right w:w="108" w:type="dxa"/>
          </w:tblCellMar>
        </w:tblPrEx>
        <w:trPr>
          <w:trHeight w:val="540" w:hRule="atLeast"/>
        </w:trPr>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省级预算部门名称</w:t>
            </w:r>
          </w:p>
        </w:tc>
        <w:tc>
          <w:tcPr>
            <w:tcW w:w="9876" w:type="dxa"/>
            <w:gridSpan w:val="9"/>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湖南省水产科学研究所</w:t>
            </w:r>
          </w:p>
        </w:tc>
      </w:tr>
      <w:tr>
        <w:tblPrEx>
          <w:tblLayout w:type="fixed"/>
          <w:tblCellMar>
            <w:top w:w="0" w:type="dxa"/>
            <w:left w:w="108" w:type="dxa"/>
            <w:bottom w:w="0" w:type="dxa"/>
            <w:right w:w="108" w:type="dxa"/>
          </w:tblCellMar>
        </w:tblPrEx>
        <w:trPr>
          <w:trHeight w:val="312" w:hRule="atLeast"/>
        </w:trPr>
        <w:tc>
          <w:tcPr>
            <w:tcW w:w="9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年度预</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算申请</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20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预算数</w:t>
            </w:r>
          </w:p>
        </w:tc>
        <w:tc>
          <w:tcPr>
            <w:tcW w:w="24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10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72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8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Layout w:type="fixed"/>
          <w:tblCellMar>
            <w:top w:w="0" w:type="dxa"/>
            <w:left w:w="108" w:type="dxa"/>
            <w:bottom w:w="0" w:type="dxa"/>
            <w:right w:w="108" w:type="dxa"/>
          </w:tblCellMar>
        </w:tblPrEx>
        <w:trPr>
          <w:trHeight w:val="312" w:hRule="atLeast"/>
        </w:trPr>
        <w:tc>
          <w:tcPr>
            <w:tcW w:w="9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0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4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3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2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8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9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0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7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4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3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2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8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02" w:hRule="atLeast"/>
        </w:trPr>
        <w:tc>
          <w:tcPr>
            <w:tcW w:w="9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0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1760" w:type="dxa"/>
            <w:tcBorders>
              <w:top w:val="nil"/>
              <w:left w:val="nil"/>
              <w:bottom w:val="single" w:color="000000" w:sz="4" w:space="0"/>
              <w:right w:val="single" w:color="000000" w:sz="4" w:space="0"/>
            </w:tcBorders>
            <w:shd w:val="clear" w:color="auto" w:fill="auto"/>
            <w:noWrap/>
            <w:vAlign w:val="center"/>
          </w:tcPr>
          <w:p>
            <w:pPr>
              <w:widowControl/>
              <w:jc w:val="righ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2668.14</w:t>
            </w:r>
          </w:p>
        </w:tc>
        <w:tc>
          <w:tcPr>
            <w:tcW w:w="2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0"/>
                <w:szCs w:val="20"/>
                <w:lang w:val="en-US" w:eastAsia="zh-CN"/>
              </w:rPr>
              <w:t>3936.28</w:t>
            </w:r>
          </w:p>
        </w:tc>
        <w:tc>
          <w:tcPr>
            <w:tcW w:w="103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3216.74</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val="en-US" w:eastAsia="zh-CN"/>
              </w:rPr>
              <w:t>81.72</w:t>
            </w:r>
            <w:r>
              <w:rPr>
                <w:rFonts w:hint="eastAsia" w:ascii="宋体" w:hAnsi="宋体" w:eastAsia="宋体" w:cs="宋体"/>
                <w:color w:val="000000"/>
                <w:kern w:val="0"/>
                <w:sz w:val="22"/>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8</w:t>
            </w:r>
          </w:p>
        </w:tc>
      </w:tr>
      <w:tr>
        <w:tblPrEx>
          <w:tblLayout w:type="fixed"/>
          <w:tblCellMar>
            <w:top w:w="0" w:type="dxa"/>
            <w:left w:w="108" w:type="dxa"/>
            <w:bottom w:w="0" w:type="dxa"/>
            <w:right w:w="108" w:type="dxa"/>
          </w:tblCellMar>
        </w:tblPrEx>
        <w:trPr>
          <w:trHeight w:val="402" w:hRule="atLeast"/>
        </w:trPr>
        <w:tc>
          <w:tcPr>
            <w:tcW w:w="9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318"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按收入性质分：</w:t>
            </w:r>
          </w:p>
        </w:tc>
        <w:tc>
          <w:tcPr>
            <w:tcW w:w="355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按支出性质分：</w:t>
            </w:r>
          </w:p>
        </w:tc>
      </w:tr>
      <w:tr>
        <w:tblPrEx>
          <w:tblLayout w:type="fixed"/>
          <w:tblCellMar>
            <w:top w:w="0" w:type="dxa"/>
            <w:left w:w="108" w:type="dxa"/>
            <w:bottom w:w="0" w:type="dxa"/>
            <w:right w:w="108" w:type="dxa"/>
          </w:tblCellMar>
        </w:tblPrEx>
        <w:trPr>
          <w:trHeight w:val="402" w:hRule="atLeast"/>
        </w:trPr>
        <w:tc>
          <w:tcPr>
            <w:tcW w:w="9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318"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 xml:space="preserve">  其中：  一般公共预算：</w:t>
            </w:r>
            <w:r>
              <w:rPr>
                <w:rFonts w:hint="eastAsia" w:ascii="宋体" w:hAnsi="宋体" w:eastAsia="宋体" w:cs="宋体"/>
                <w:color w:val="000000"/>
                <w:kern w:val="0"/>
                <w:sz w:val="20"/>
                <w:szCs w:val="20"/>
                <w:lang w:val="en-US" w:eastAsia="zh-CN"/>
              </w:rPr>
              <w:t>3936.28</w:t>
            </w:r>
          </w:p>
        </w:tc>
        <w:tc>
          <w:tcPr>
            <w:tcW w:w="355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其中：基本支出：</w:t>
            </w:r>
            <w:r>
              <w:rPr>
                <w:rFonts w:hint="eastAsia" w:ascii="宋体" w:hAnsi="宋体" w:eastAsia="宋体" w:cs="宋体"/>
                <w:color w:val="000000"/>
                <w:kern w:val="0"/>
                <w:sz w:val="22"/>
                <w:lang w:val="en-US" w:eastAsia="zh-CN"/>
              </w:rPr>
              <w:t>1700.94</w:t>
            </w:r>
          </w:p>
        </w:tc>
      </w:tr>
      <w:tr>
        <w:tblPrEx>
          <w:tblLayout w:type="fixed"/>
          <w:tblCellMar>
            <w:top w:w="0" w:type="dxa"/>
            <w:left w:w="108" w:type="dxa"/>
            <w:bottom w:w="0" w:type="dxa"/>
            <w:right w:w="108" w:type="dxa"/>
          </w:tblCellMar>
        </w:tblPrEx>
        <w:trPr>
          <w:trHeight w:val="402" w:hRule="atLeast"/>
        </w:trPr>
        <w:tc>
          <w:tcPr>
            <w:tcW w:w="9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318" w:type="dxa"/>
            <w:gridSpan w:val="5"/>
            <w:tcBorders>
              <w:top w:val="single" w:color="auto" w:sz="4" w:space="0"/>
              <w:left w:val="nil"/>
              <w:bottom w:val="single" w:color="auto" w:sz="4" w:space="0"/>
              <w:right w:val="single" w:color="auto" w:sz="4" w:space="0"/>
            </w:tcBorders>
            <w:shd w:val="clear" w:color="auto" w:fill="auto"/>
            <w:vAlign w:val="center"/>
          </w:tcPr>
          <w:p>
            <w:pPr>
              <w:widowControl/>
              <w:ind w:firstLine="880" w:firstLineChars="400"/>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政府性基金拨款：</w:t>
            </w:r>
            <w:r>
              <w:rPr>
                <w:rFonts w:hint="eastAsia" w:ascii="宋体" w:hAnsi="宋体" w:eastAsia="宋体" w:cs="宋体"/>
                <w:color w:val="000000"/>
                <w:kern w:val="0"/>
                <w:sz w:val="22"/>
                <w:lang w:val="en-US" w:eastAsia="zh-CN"/>
              </w:rPr>
              <w:t>0</w:t>
            </w:r>
          </w:p>
        </w:tc>
        <w:tc>
          <w:tcPr>
            <w:tcW w:w="3558" w:type="dxa"/>
            <w:gridSpan w:val="4"/>
            <w:tcBorders>
              <w:top w:val="single" w:color="auto" w:sz="4" w:space="0"/>
              <w:left w:val="nil"/>
              <w:bottom w:val="single" w:color="auto" w:sz="4" w:space="0"/>
              <w:right w:val="single" w:color="auto" w:sz="4" w:space="0"/>
            </w:tcBorders>
            <w:shd w:val="clear" w:color="auto" w:fill="auto"/>
            <w:vAlign w:val="center"/>
          </w:tcPr>
          <w:p>
            <w:pPr>
              <w:widowControl/>
              <w:ind w:firstLine="660" w:firstLineChars="300"/>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项目支出：</w:t>
            </w:r>
            <w:r>
              <w:rPr>
                <w:rFonts w:hint="eastAsia" w:ascii="宋体" w:hAnsi="宋体" w:eastAsia="宋体" w:cs="宋体"/>
                <w:color w:val="000000"/>
                <w:kern w:val="0"/>
                <w:sz w:val="22"/>
                <w:lang w:val="en-US" w:eastAsia="zh-CN"/>
              </w:rPr>
              <w:t>1515.80</w:t>
            </w:r>
          </w:p>
        </w:tc>
      </w:tr>
      <w:tr>
        <w:tblPrEx>
          <w:tblLayout w:type="fixed"/>
          <w:tblCellMar>
            <w:top w:w="0" w:type="dxa"/>
            <w:left w:w="108" w:type="dxa"/>
            <w:bottom w:w="0" w:type="dxa"/>
            <w:right w:w="108" w:type="dxa"/>
          </w:tblCellMar>
        </w:tblPrEx>
        <w:trPr>
          <w:trHeight w:val="402" w:hRule="atLeast"/>
        </w:trPr>
        <w:tc>
          <w:tcPr>
            <w:tcW w:w="9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318"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纳入专户管理的非税收入拨款：</w:t>
            </w:r>
            <w:r>
              <w:rPr>
                <w:rFonts w:hint="eastAsia" w:ascii="宋体" w:hAnsi="宋体" w:eastAsia="宋体" w:cs="宋体"/>
                <w:color w:val="000000"/>
                <w:kern w:val="0"/>
                <w:sz w:val="22"/>
                <w:lang w:val="en-US" w:eastAsia="zh-CN"/>
              </w:rPr>
              <w:t>0</w:t>
            </w:r>
          </w:p>
        </w:tc>
        <w:tc>
          <w:tcPr>
            <w:tcW w:w="355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 xml:space="preserve">       经营支出：</w:t>
            </w:r>
            <w:r>
              <w:rPr>
                <w:rFonts w:hint="eastAsia" w:ascii="宋体" w:hAnsi="宋体" w:eastAsia="宋体" w:cs="宋体"/>
                <w:color w:val="000000"/>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9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318" w:type="dxa"/>
            <w:gridSpan w:val="5"/>
            <w:tcBorders>
              <w:top w:val="single" w:color="auto" w:sz="4" w:space="0"/>
              <w:left w:val="nil"/>
              <w:bottom w:val="single" w:color="auto" w:sz="4" w:space="0"/>
              <w:right w:val="single" w:color="auto" w:sz="4" w:space="0"/>
            </w:tcBorders>
            <w:shd w:val="clear" w:color="auto" w:fill="auto"/>
            <w:vAlign w:val="center"/>
          </w:tcPr>
          <w:p>
            <w:pPr>
              <w:widowControl/>
              <w:ind w:firstLine="1540" w:firstLineChars="700"/>
              <w:jc w:val="left"/>
              <w:rPr>
                <w:rFonts w:hint="default" w:ascii="宋体" w:hAnsi="宋体" w:eastAsia="宋体" w:cs="宋体"/>
                <w:color w:val="000000"/>
                <w:kern w:val="0"/>
                <w:sz w:val="22"/>
                <w:lang w:val="en-US" w:eastAsia="zh-CN"/>
              </w:rPr>
            </w:pPr>
          </w:p>
        </w:tc>
        <w:tc>
          <w:tcPr>
            <w:tcW w:w="355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02" w:hRule="atLeast"/>
        </w:trPr>
        <w:tc>
          <w:tcPr>
            <w:tcW w:w="9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631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355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　</w:t>
            </w:r>
          </w:p>
        </w:tc>
      </w:tr>
      <w:tr>
        <w:tblPrEx>
          <w:tblLayout w:type="fixed"/>
          <w:tblCellMar>
            <w:top w:w="0" w:type="dxa"/>
            <w:left w:w="108" w:type="dxa"/>
            <w:bottom w:w="0" w:type="dxa"/>
            <w:right w:w="108" w:type="dxa"/>
          </w:tblCellMar>
        </w:tblPrEx>
        <w:trPr>
          <w:trHeight w:val="900" w:hRule="atLeast"/>
        </w:trPr>
        <w:tc>
          <w:tcPr>
            <w:tcW w:w="9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6318"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完成业务工作</w:t>
            </w:r>
          </w:p>
        </w:tc>
        <w:tc>
          <w:tcPr>
            <w:tcW w:w="355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圆满完成全年制订目标任务</w:t>
            </w:r>
          </w:p>
        </w:tc>
      </w:tr>
      <w:tr>
        <w:tblPrEx>
          <w:tblLayout w:type="fixed"/>
          <w:tblCellMar>
            <w:top w:w="0" w:type="dxa"/>
            <w:left w:w="108" w:type="dxa"/>
            <w:bottom w:w="0" w:type="dxa"/>
            <w:right w:w="108" w:type="dxa"/>
          </w:tblCellMar>
        </w:tblPrEx>
        <w:trPr>
          <w:trHeight w:val="342" w:hRule="atLeast"/>
        </w:trPr>
        <w:tc>
          <w:tcPr>
            <w:tcW w:w="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w:t>
            </w:r>
          </w:p>
        </w:tc>
        <w:tc>
          <w:tcPr>
            <w:tcW w:w="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274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三级指标</w:t>
            </w:r>
          </w:p>
        </w:tc>
        <w:tc>
          <w:tcPr>
            <w:tcW w:w="14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指标值</w:t>
            </w:r>
          </w:p>
        </w:tc>
        <w:tc>
          <w:tcPr>
            <w:tcW w:w="10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color w:val="000000"/>
                <w:kern w:val="0"/>
                <w:sz w:val="22"/>
              </w:rPr>
            </w:pPr>
            <w:r>
              <w:rPr>
                <w:rFonts w:hint="eastAsia" w:ascii="宋体" w:hAnsi="宋体" w:eastAsia="宋体" w:cs="宋体"/>
                <w:color w:val="000000"/>
                <w:kern w:val="0"/>
                <w:sz w:val="22"/>
              </w:rPr>
              <w:t>实际完成值</w:t>
            </w:r>
          </w:p>
        </w:tc>
        <w:tc>
          <w:tcPr>
            <w:tcW w:w="72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c>
          <w:tcPr>
            <w:tcW w:w="8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偏差原因</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分析及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改进措施</w:t>
            </w:r>
          </w:p>
        </w:tc>
      </w:tr>
      <w:tr>
        <w:tblPrEx>
          <w:tblLayout w:type="fixed"/>
          <w:tblCellMar>
            <w:top w:w="0" w:type="dxa"/>
            <w:left w:w="108" w:type="dxa"/>
            <w:bottom w:w="0" w:type="dxa"/>
            <w:right w:w="108" w:type="dxa"/>
          </w:tblCellMar>
        </w:tblPrEx>
        <w:trPr>
          <w:trHeight w:val="342" w:hRule="atLeast"/>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7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2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8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42" w:hRule="atLeast"/>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7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2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8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42" w:hRule="atLeast"/>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7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4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2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8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679" w:hRule="atLeast"/>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产出指标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(50分)</w:t>
            </w: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数量指标</w:t>
            </w:r>
          </w:p>
        </w:tc>
        <w:tc>
          <w:tcPr>
            <w:tcW w:w="2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保障人员工资人数</w:t>
            </w:r>
          </w:p>
        </w:tc>
        <w:tc>
          <w:tcPr>
            <w:tcW w:w="149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lang w:val="en-US" w:eastAsia="zh-CN"/>
              </w:rPr>
              <w:t>78</w:t>
            </w:r>
            <w:r>
              <w:rPr>
                <w:rFonts w:hint="eastAsia" w:ascii="宋体" w:hAnsi="宋体" w:eastAsia="宋体" w:cs="宋体"/>
                <w:color w:val="000000"/>
                <w:kern w:val="0"/>
                <w:sz w:val="22"/>
              </w:rPr>
              <w:t>人</w:t>
            </w:r>
          </w:p>
        </w:tc>
        <w:tc>
          <w:tcPr>
            <w:tcW w:w="1035"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600" w:hRule="atLeast"/>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cs="Times New Roman"/>
              </w:rPr>
              <w:t>水产品质量检测和养殖尾水监测</w:t>
            </w:r>
          </w:p>
        </w:tc>
        <w:tc>
          <w:tcPr>
            <w:tcW w:w="149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例行检测、监督抽查委托样3464批次，出具检验报告608份</w:t>
            </w:r>
            <w:r>
              <w:rPr>
                <w:rFonts w:hint="eastAsia" w:ascii="宋体" w:hAnsi="宋体" w:eastAsia="宋体" w:cs="宋体"/>
                <w:color w:val="000000"/>
                <w:kern w:val="0"/>
                <w:sz w:val="22"/>
                <w:lang w:eastAsia="zh-CN"/>
              </w:rPr>
              <w:t>。</w:t>
            </w:r>
          </w:p>
        </w:tc>
        <w:tc>
          <w:tcPr>
            <w:tcW w:w="1035"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8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919" w:hRule="atLeast"/>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7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开展种业创新工程项目工作</w:t>
            </w:r>
          </w:p>
        </w:tc>
        <w:tc>
          <w:tcPr>
            <w:tcW w:w="14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12种特色土著鱼类驯养或繁殖成功</w:t>
            </w:r>
            <w:r>
              <w:rPr>
                <w:rFonts w:hint="eastAsia" w:ascii="宋体" w:hAnsi="宋体" w:eastAsia="宋体" w:cs="宋体"/>
                <w:color w:val="000000"/>
                <w:kern w:val="0"/>
                <w:sz w:val="22"/>
                <w:lang w:eastAsia="zh-CN"/>
              </w:rPr>
              <w:t>，</w:t>
            </w:r>
            <w:r>
              <w:rPr>
                <w:rFonts w:hint="eastAsia" w:ascii="宋体" w:hAnsi="宋体" w:eastAsia="宋体" w:cs="宋体"/>
                <w:color w:val="000000"/>
                <w:kern w:val="0"/>
                <w:sz w:val="22"/>
              </w:rPr>
              <w:t>小龙虾完成第4代家系选育</w:t>
            </w:r>
            <w:r>
              <w:rPr>
                <w:rFonts w:hint="eastAsia" w:ascii="宋体" w:hAnsi="宋体" w:eastAsia="宋体" w:cs="宋体"/>
                <w:color w:val="000000"/>
                <w:kern w:val="0"/>
                <w:sz w:val="22"/>
                <w:lang w:eastAsia="zh-CN"/>
              </w:rP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8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80" w:hRule="atLeast"/>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开展增殖放流活动</w:t>
            </w:r>
          </w:p>
        </w:tc>
        <w:tc>
          <w:tcPr>
            <w:tcW w:w="149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eastAsiaTheme="minorEastAsia"/>
                <w:kern w:val="0"/>
                <w:sz w:val="22"/>
                <w:lang w:val="en-US" w:eastAsia="zh-CN"/>
              </w:rPr>
            </w:pPr>
            <w:r>
              <w:rPr>
                <w:rFonts w:hint="eastAsia" w:ascii="宋体" w:hAnsi="宋体" w:eastAsia="宋体" w:cs="宋体"/>
                <w:color w:val="000000"/>
                <w:kern w:val="0"/>
                <w:sz w:val="22"/>
              </w:rPr>
              <w:t>放流“四大家鱼”亲本1420组，夏花2000万尾，春片10万尾，珍稀土著鱼类胭脂鱼2.5万尾，湘华鲮12.5万尾，岩原鲤6尾，湖南吻鮈7万尾，花䱻5万尾，中华倒刺鲃5万尾。</w:t>
            </w:r>
          </w:p>
        </w:tc>
        <w:tc>
          <w:tcPr>
            <w:tcW w:w="1035"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8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600" w:hRule="atLeast"/>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时效指标</w:t>
            </w:r>
          </w:p>
        </w:tc>
        <w:tc>
          <w:tcPr>
            <w:tcW w:w="27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完成全年工作目标任务</w:t>
            </w:r>
          </w:p>
        </w:tc>
        <w:tc>
          <w:tcPr>
            <w:tcW w:w="149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202</w:t>
            </w:r>
            <w:r>
              <w:rPr>
                <w:rFonts w:hint="eastAsia" w:ascii="宋体" w:hAnsi="宋体" w:eastAsia="宋体" w:cs="宋体"/>
                <w:color w:val="000000"/>
                <w:kern w:val="0"/>
                <w:sz w:val="22"/>
                <w:lang w:val="en-US" w:eastAsia="zh-CN"/>
              </w:rPr>
              <w:t>3</w:t>
            </w:r>
            <w:r>
              <w:rPr>
                <w:rFonts w:hint="eastAsia" w:ascii="宋体" w:hAnsi="宋体" w:eastAsia="宋体" w:cs="宋体"/>
                <w:color w:val="000000"/>
                <w:kern w:val="0"/>
                <w:sz w:val="22"/>
              </w:rPr>
              <w:t>年全部完成</w:t>
            </w:r>
            <w:r>
              <w:rPr>
                <w:rFonts w:hint="eastAsia" w:ascii="宋体" w:hAnsi="宋体" w:eastAsia="宋体" w:cs="宋体"/>
                <w:color w:val="000000"/>
                <w:kern w:val="0"/>
                <w:sz w:val="22"/>
                <w:lang w:eastAsia="zh-CN"/>
              </w:rPr>
              <w:t>。</w:t>
            </w:r>
          </w:p>
        </w:tc>
        <w:tc>
          <w:tcPr>
            <w:tcW w:w="1035"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7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8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739" w:hRule="atLeast"/>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效益指标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（30分）</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经济效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益指标</w:t>
            </w:r>
          </w:p>
        </w:tc>
        <w:tc>
          <w:tcPr>
            <w:tcW w:w="27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促进全省水产养殖业经济增收，推动经济发展。</w:t>
            </w:r>
          </w:p>
        </w:tc>
        <w:tc>
          <w:tcPr>
            <w:tcW w:w="14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lang w:eastAsia="zh-CN"/>
              </w:rPr>
            </w:pPr>
            <w:r>
              <w:rPr>
                <w:rFonts w:hint="eastAsia" w:ascii="宋体" w:hAnsi="宋体" w:eastAsia="宋体" w:cs="宋体"/>
                <w:kern w:val="0"/>
                <w:sz w:val="22"/>
              </w:rPr>
              <w:t>提高服务对象水产养殖水平</w:t>
            </w:r>
            <w:r>
              <w:rPr>
                <w:rFonts w:hint="eastAsia" w:ascii="宋体" w:hAnsi="宋体" w:eastAsia="宋体" w:cs="宋体"/>
                <w:kern w:val="0"/>
                <w:sz w:val="22"/>
                <w:lang w:eastAsia="zh-CN"/>
              </w:rP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7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8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810" w:hRule="atLeast"/>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社会效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益指标</w:t>
            </w:r>
          </w:p>
        </w:tc>
        <w:tc>
          <w:tcPr>
            <w:tcW w:w="27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无重大水产品质量安全隐患</w:t>
            </w:r>
          </w:p>
        </w:tc>
        <w:tc>
          <w:tcPr>
            <w:tcW w:w="14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促进渔业健康可持续发展</w:t>
            </w:r>
            <w:r>
              <w:rPr>
                <w:rFonts w:hint="eastAsia" w:ascii="宋体" w:hAnsi="宋体" w:eastAsia="宋体" w:cs="宋体"/>
                <w:color w:val="000000"/>
                <w:kern w:val="0"/>
                <w:sz w:val="22"/>
                <w:lang w:eastAsia="zh-CN"/>
              </w:rP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8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540" w:hRule="atLeast"/>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7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水产科研工作稳定有序开展</w:t>
            </w:r>
          </w:p>
        </w:tc>
        <w:tc>
          <w:tcPr>
            <w:tcW w:w="14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水产科研能力提升</w:t>
            </w:r>
            <w:r>
              <w:rPr>
                <w:rFonts w:hint="eastAsia" w:ascii="宋体" w:hAnsi="宋体" w:eastAsia="宋体" w:cs="宋体"/>
                <w:color w:val="000000"/>
                <w:kern w:val="0"/>
                <w:sz w:val="22"/>
                <w:lang w:eastAsia="zh-CN"/>
              </w:rP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8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582" w:hRule="atLeast"/>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可持续影响</w:t>
            </w:r>
          </w:p>
        </w:tc>
        <w:tc>
          <w:tcPr>
            <w:tcW w:w="27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构建良好的健康养殖生态环境；保障水产品质量安全。</w:t>
            </w:r>
          </w:p>
        </w:tc>
        <w:tc>
          <w:tcPr>
            <w:tcW w:w="14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不断优化</w:t>
            </w:r>
            <w:r>
              <w:rPr>
                <w:rFonts w:hint="eastAsia" w:ascii="宋体" w:hAnsi="宋体" w:eastAsia="宋体" w:cs="宋体"/>
                <w:color w:val="000000"/>
                <w:kern w:val="0"/>
                <w:sz w:val="22"/>
                <w:lang w:eastAsia="zh-CN"/>
              </w:rP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8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642" w:hRule="atLeast"/>
        </w:trPr>
        <w:tc>
          <w:tcPr>
            <w:tcW w:w="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w:t>
            </w:r>
          </w:p>
        </w:tc>
        <w:tc>
          <w:tcPr>
            <w:tcW w:w="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满意度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（10分）</w:t>
            </w: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服务对象满意度指标</w:t>
            </w:r>
          </w:p>
        </w:tc>
        <w:tc>
          <w:tcPr>
            <w:tcW w:w="274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群众及服务对象满意率高</w:t>
            </w:r>
          </w:p>
        </w:tc>
        <w:tc>
          <w:tcPr>
            <w:tcW w:w="149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95%以上</w:t>
            </w:r>
          </w:p>
        </w:tc>
        <w:tc>
          <w:tcPr>
            <w:tcW w:w="10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95%以上</w:t>
            </w:r>
          </w:p>
        </w:tc>
        <w:tc>
          <w:tcPr>
            <w:tcW w:w="72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9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8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1020" w:hRule="atLeast"/>
        </w:trPr>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9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7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4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0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72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9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8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02" w:hRule="atLeast"/>
        </w:trPr>
        <w:tc>
          <w:tcPr>
            <w:tcW w:w="8293"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总分</w:t>
            </w:r>
          </w:p>
        </w:tc>
        <w:tc>
          <w:tcPr>
            <w:tcW w:w="72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9</w:t>
            </w:r>
            <w:r>
              <w:rPr>
                <w:rFonts w:hint="eastAsia" w:ascii="宋体" w:hAnsi="宋体" w:eastAsia="宋体" w:cs="宋体"/>
                <w:color w:val="000000"/>
                <w:kern w:val="0"/>
                <w:sz w:val="22"/>
                <w:lang w:val="en-US" w:eastAsia="zh-CN"/>
              </w:rPr>
              <w:t>1</w:t>
            </w:r>
          </w:p>
        </w:tc>
        <w:tc>
          <w:tcPr>
            <w:tcW w:w="8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9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9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7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9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498"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3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72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9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8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r>
    </w:tbl>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A74F8E"/>
    <w:multiLevelType w:val="singleLevel"/>
    <w:tmpl w:val="ABA74F8E"/>
    <w:lvl w:ilvl="0" w:tentative="0">
      <w:start w:val="1"/>
      <w:numFmt w:val="chineseCounting"/>
      <w:suff w:val="nothing"/>
      <w:lvlText w:val="（%1）"/>
      <w:lvlJc w:val="left"/>
      <w:rPr>
        <w:rFonts w:hint="eastAsia"/>
      </w:rPr>
    </w:lvl>
  </w:abstractNum>
  <w:abstractNum w:abstractNumId="1">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C953307"/>
    <w:multiLevelType w:val="multilevel"/>
    <w:tmpl w:val="1C953307"/>
    <w:lvl w:ilvl="0" w:tentative="0">
      <w:start w:val="7"/>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18206AD"/>
    <w:multiLevelType w:val="multilevel"/>
    <w:tmpl w:val="318206AD"/>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4C5FFE6B"/>
    <w:multiLevelType w:val="singleLevel"/>
    <w:tmpl w:val="4C5FFE6B"/>
    <w:lvl w:ilvl="0" w:tentative="0">
      <w:start w:val="4"/>
      <w:numFmt w:val="decimal"/>
      <w:suff w:val="nothing"/>
      <w:lvlText w:val="%1、"/>
      <w:lvlJc w:val="left"/>
    </w:lvl>
  </w:abstractNum>
  <w:abstractNum w:abstractNumId="5">
    <w:nsid w:val="79AC1E24"/>
    <w:multiLevelType w:val="multilevel"/>
    <w:tmpl w:val="79AC1E24"/>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MzgwOGYzMGUzMDdlZTdmYmQ4ZWM1ZjU1ZjNmNTkifQ=="/>
  </w:docVars>
  <w:rsids>
    <w:rsidRoot w:val="00000000"/>
    <w:rsid w:val="020D45EA"/>
    <w:rsid w:val="02387EA6"/>
    <w:rsid w:val="0279651D"/>
    <w:rsid w:val="02C227B3"/>
    <w:rsid w:val="037C3B5A"/>
    <w:rsid w:val="04A315A4"/>
    <w:rsid w:val="04F42C21"/>
    <w:rsid w:val="085B41C6"/>
    <w:rsid w:val="08690391"/>
    <w:rsid w:val="0995179F"/>
    <w:rsid w:val="0CD87518"/>
    <w:rsid w:val="0D0226ED"/>
    <w:rsid w:val="0D136BF4"/>
    <w:rsid w:val="0E8C4A31"/>
    <w:rsid w:val="0EA75CFA"/>
    <w:rsid w:val="0F4F7A29"/>
    <w:rsid w:val="0FC732DC"/>
    <w:rsid w:val="10AB5B3B"/>
    <w:rsid w:val="1211701F"/>
    <w:rsid w:val="132562A6"/>
    <w:rsid w:val="14252A27"/>
    <w:rsid w:val="14FD0EF8"/>
    <w:rsid w:val="169B68D1"/>
    <w:rsid w:val="17D61439"/>
    <w:rsid w:val="18ED431E"/>
    <w:rsid w:val="1B5017BC"/>
    <w:rsid w:val="1BF173BD"/>
    <w:rsid w:val="1BF26778"/>
    <w:rsid w:val="1C4076FB"/>
    <w:rsid w:val="1D0E0D07"/>
    <w:rsid w:val="1D382E8E"/>
    <w:rsid w:val="1EEE39C5"/>
    <w:rsid w:val="1FD43167"/>
    <w:rsid w:val="21A93F47"/>
    <w:rsid w:val="21CA04DA"/>
    <w:rsid w:val="228F33E5"/>
    <w:rsid w:val="23456E9D"/>
    <w:rsid w:val="23EF7EA6"/>
    <w:rsid w:val="24F11A2D"/>
    <w:rsid w:val="27374977"/>
    <w:rsid w:val="28D305B2"/>
    <w:rsid w:val="2B456AC8"/>
    <w:rsid w:val="2BFD5066"/>
    <w:rsid w:val="2D4A0071"/>
    <w:rsid w:val="2E5C2CC4"/>
    <w:rsid w:val="2EBF2753"/>
    <w:rsid w:val="303D741C"/>
    <w:rsid w:val="30932978"/>
    <w:rsid w:val="312B7C52"/>
    <w:rsid w:val="318411E1"/>
    <w:rsid w:val="32E86DFA"/>
    <w:rsid w:val="38191965"/>
    <w:rsid w:val="393665E9"/>
    <w:rsid w:val="3AF06490"/>
    <w:rsid w:val="3D207A6E"/>
    <w:rsid w:val="3E432AAE"/>
    <w:rsid w:val="3F4D2F5D"/>
    <w:rsid w:val="411C645D"/>
    <w:rsid w:val="41A707F0"/>
    <w:rsid w:val="41AA7E5A"/>
    <w:rsid w:val="423144BF"/>
    <w:rsid w:val="439C25F1"/>
    <w:rsid w:val="44200A3F"/>
    <w:rsid w:val="44242F34"/>
    <w:rsid w:val="446161E0"/>
    <w:rsid w:val="478635E2"/>
    <w:rsid w:val="48717181"/>
    <w:rsid w:val="49B219F6"/>
    <w:rsid w:val="4A9740ED"/>
    <w:rsid w:val="4CE96A55"/>
    <w:rsid w:val="4D195373"/>
    <w:rsid w:val="4E3006E7"/>
    <w:rsid w:val="4E96720F"/>
    <w:rsid w:val="50B14BBB"/>
    <w:rsid w:val="51240C1B"/>
    <w:rsid w:val="521E2388"/>
    <w:rsid w:val="52DC7477"/>
    <w:rsid w:val="53305551"/>
    <w:rsid w:val="53C83513"/>
    <w:rsid w:val="53D24E37"/>
    <w:rsid w:val="542E2C17"/>
    <w:rsid w:val="54EE5985"/>
    <w:rsid w:val="59751508"/>
    <w:rsid w:val="59DC31C9"/>
    <w:rsid w:val="5A1E6F49"/>
    <w:rsid w:val="5BDB4013"/>
    <w:rsid w:val="5D116AF7"/>
    <w:rsid w:val="5D400050"/>
    <w:rsid w:val="5DBA3851"/>
    <w:rsid w:val="5F3C2B4C"/>
    <w:rsid w:val="5F747440"/>
    <w:rsid w:val="5F871FEB"/>
    <w:rsid w:val="5FD60B2F"/>
    <w:rsid w:val="60C52C00"/>
    <w:rsid w:val="618A317B"/>
    <w:rsid w:val="629C1B6F"/>
    <w:rsid w:val="64BB4EFE"/>
    <w:rsid w:val="653D0D5B"/>
    <w:rsid w:val="675A043F"/>
    <w:rsid w:val="676C1C98"/>
    <w:rsid w:val="67A72BE6"/>
    <w:rsid w:val="67E83121"/>
    <w:rsid w:val="683A01CF"/>
    <w:rsid w:val="6A6853DB"/>
    <w:rsid w:val="6C1D5E9D"/>
    <w:rsid w:val="6D312D05"/>
    <w:rsid w:val="6D530019"/>
    <w:rsid w:val="6D751EFD"/>
    <w:rsid w:val="6F3F7005"/>
    <w:rsid w:val="6F434F8D"/>
    <w:rsid w:val="706B361B"/>
    <w:rsid w:val="707149AA"/>
    <w:rsid w:val="71AF7206"/>
    <w:rsid w:val="723549E3"/>
    <w:rsid w:val="73971262"/>
    <w:rsid w:val="748B33D5"/>
    <w:rsid w:val="74FD2437"/>
    <w:rsid w:val="751A6AEC"/>
    <w:rsid w:val="7864737A"/>
    <w:rsid w:val="792926D3"/>
    <w:rsid w:val="799672F9"/>
    <w:rsid w:val="7A9A197B"/>
    <w:rsid w:val="7D0C0A6E"/>
    <w:rsid w:val="7E6A3164"/>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line="560" w:lineRule="exact"/>
      <w:ind w:left="200" w:leftChars="200"/>
      <w:outlineLvl w:val="0"/>
    </w:pPr>
    <w:rPr>
      <w:rFonts w:eastAsia="黑体"/>
      <w:bCs/>
      <w:kern w:val="44"/>
      <w:szCs w:val="44"/>
    </w:rPr>
  </w:style>
  <w:style w:type="paragraph" w:styleId="3">
    <w:name w:val="heading 2"/>
    <w:basedOn w:val="1"/>
    <w:next w:val="1"/>
    <w:unhideWhenUsed/>
    <w:qFormat/>
    <w:uiPriority w:val="0"/>
    <w:pPr>
      <w:keepNext/>
      <w:keepLines/>
      <w:spacing w:line="600" w:lineRule="exact"/>
      <w:ind w:left="641"/>
      <w:outlineLvl w:val="1"/>
    </w:pPr>
    <w:rPr>
      <w:rFonts w:ascii="Arial" w:hAnsi="Arial" w:eastAsia="黑体" w:cs="Times New Roman"/>
      <w:sz w:val="32"/>
      <w:szCs w:val="24"/>
    </w:rPr>
  </w:style>
  <w:style w:type="paragraph" w:styleId="4">
    <w:name w:val="heading 3"/>
    <w:basedOn w:val="1"/>
    <w:next w:val="1"/>
    <w:link w:val="20"/>
    <w:unhideWhenUsed/>
    <w:qFormat/>
    <w:uiPriority w:val="9"/>
    <w:pPr>
      <w:overflowPunct w:val="0"/>
      <w:spacing w:line="580" w:lineRule="exact"/>
      <w:ind w:firstLine="200" w:firstLineChars="200"/>
      <w:outlineLvl w:val="2"/>
    </w:pPr>
    <w:rPr>
      <w:rFonts w:ascii="Times New Roman" w:hAnsi="Times New Roman"/>
      <w:b/>
      <w:bCs/>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Indent"/>
    <w:basedOn w:val="1"/>
    <w:qFormat/>
    <w:uiPriority w:val="99"/>
    <w:pPr>
      <w:spacing w:line="540" w:lineRule="exact"/>
      <w:ind w:firstLine="645"/>
    </w:pPr>
    <w:rPr>
      <w:rFonts w:ascii="楷体_GB2312" w:hAnsi="Times New Roman" w:eastAsia="楷体_GB2312" w:cs="Times New Roman"/>
      <w:sz w:val="32"/>
      <w:szCs w:val="24"/>
    </w:r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 w:type="character" w:customStyle="1" w:styleId="20">
    <w:name w:val="标题 3 Char"/>
    <w:basedOn w:val="11"/>
    <w:link w:val="4"/>
    <w:qFormat/>
    <w:uiPriority w:val="9"/>
    <w:rPr>
      <w:rFonts w:ascii="Times New Roman" w:hAnsi="Times New Roman"/>
      <w:b/>
      <w:bCs/>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4.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7.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d8900751-3ba6-497d-901c-6f3dd39dc394}">
  <ds:schemaRefs/>
</ds:datastoreItem>
</file>

<file path=customXml/itemProps2.xml><?xml version="1.0" encoding="utf-8"?>
<ds:datastoreItem xmlns:ds="http://schemas.openxmlformats.org/officeDocument/2006/customXml" ds:itemID="{1aec469d-1342-4b55-86a5-65030a8bbd2e}">
  <ds:schemaRefs/>
</ds:datastoreItem>
</file>

<file path=customXml/itemProps3.xml><?xml version="1.0" encoding="utf-8"?>
<ds:datastoreItem xmlns:ds="http://schemas.openxmlformats.org/officeDocument/2006/customXml" ds:itemID="{755f4dde-9389-4beb-a38c-f6aa9bfd3740}">
  <ds:schemaRefs/>
</ds:datastoreItem>
</file>

<file path=customXml/itemProps4.xml><?xml version="1.0" encoding="utf-8"?>
<ds:datastoreItem xmlns:ds="http://schemas.openxmlformats.org/officeDocument/2006/customXml" ds:itemID="{a6b797da-989e-4bd4-923f-8861424b869e}">
  <ds:schemaRefs/>
</ds:datastoreItem>
</file>

<file path=customXml/itemProps5.xml><?xml version="1.0" encoding="utf-8"?>
<ds:datastoreItem xmlns:ds="http://schemas.openxmlformats.org/officeDocument/2006/customXml" ds:itemID="{58ab7cc9-2256-4894-b5b3-d20c1bfa6a18}">
  <ds:schemaRefs/>
</ds:datastoreItem>
</file>

<file path=customXml/itemProps6.xml><?xml version="1.0" encoding="utf-8"?>
<ds:datastoreItem xmlns:ds="http://schemas.openxmlformats.org/officeDocument/2006/customXml" ds:itemID="{a4f96213-d7c9-44e4-900d-8f7ad3527704}">
  <ds:schemaRefs/>
</ds:datastoreItem>
</file>

<file path=customXml/itemProps7.xml><?xml version="1.0" encoding="utf-8"?>
<ds:datastoreItem xmlns:ds="http://schemas.openxmlformats.org/officeDocument/2006/customXml" ds:itemID="{204ecf2b-9d55-42b7-ad03-aef798e1a782}">
  <ds:schemaRefs/>
</ds:datastoreItem>
</file>

<file path=customXml/itemProps8.xml><?xml version="1.0" encoding="utf-8"?>
<ds:datastoreItem xmlns:ds="http://schemas.openxmlformats.org/officeDocument/2006/customXml" ds:itemID="{c055db81-0c45-4f8a-8eb8-fc00dfdf4cc8}">
  <ds:schemaRefs/>
</ds:datastoreItem>
</file>

<file path=customXml/itemProps9.xml><?xml version="1.0" encoding="utf-8"?>
<ds:datastoreItem xmlns:ds="http://schemas.openxmlformats.org/officeDocument/2006/customXml" ds:itemID="{179980d8-474e-48e7-a471-6a1e2baea1e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12793</Words>
  <Characters>15321</Characters>
  <Lines>63</Lines>
  <Paragraphs>18</Paragraphs>
  <TotalTime>1</TotalTime>
  <ScaleCrop>false</ScaleCrop>
  <LinksUpToDate>false</LinksUpToDate>
  <CharactersWithSpaces>16152</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lenovo</cp:lastModifiedBy>
  <cp:lastPrinted>2023-08-15T09:28:00Z</cp:lastPrinted>
  <dcterms:modified xsi:type="dcterms:W3CDTF">2024-09-06T06:39:28Z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E21AD848E39D4D46845A2196F1291DD2_13</vt:lpwstr>
  </property>
</Properties>
</file>