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sz w:val="56"/>
          <w:szCs w:val="56"/>
        </w:rPr>
      </w:pPr>
    </w:p>
    <w:p>
      <w:pPr>
        <w:pStyle w:val="13"/>
        <w:jc w:val="center"/>
        <w:rPr>
          <w:sz w:val="56"/>
          <w:szCs w:val="56"/>
        </w:rPr>
      </w:pPr>
    </w:p>
    <w:p>
      <w:pPr>
        <w:pStyle w:val="13"/>
        <w:jc w:val="center"/>
        <w:rPr>
          <w:sz w:val="84"/>
          <w:szCs w:val="84"/>
        </w:rPr>
      </w:pPr>
    </w:p>
    <w:p>
      <w:pPr>
        <w:pStyle w:val="13"/>
        <w:jc w:val="center"/>
        <w:rPr>
          <w:sz w:val="84"/>
          <w:szCs w:val="84"/>
        </w:rPr>
      </w:pP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湖南省水产原种场</w:t>
      </w: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3"/>
        <w:jc w:val="center"/>
        <w:rPr>
          <w:rFonts w:ascii="方正小标宋_GBK" w:hAnsi="方正小标宋_GBK" w:eastAsia="方正小标宋_GBK" w:cs="方正小标宋_GBK"/>
          <w:sz w:val="56"/>
          <w:szCs w:val="56"/>
        </w:rPr>
      </w:pPr>
    </w:p>
    <w:p>
      <w:pPr>
        <w:pStyle w:val="13"/>
        <w:jc w:val="center"/>
        <w:rPr>
          <w:sz w:val="56"/>
          <w:szCs w:val="56"/>
        </w:rPr>
      </w:pPr>
    </w:p>
    <w:p>
      <w:pPr>
        <w:pStyle w:val="13"/>
        <w:jc w:val="center"/>
        <w:rPr>
          <w:sz w:val="56"/>
          <w:szCs w:val="56"/>
        </w:rPr>
      </w:pPr>
    </w:p>
    <w:p>
      <w:pPr>
        <w:pStyle w:val="13"/>
        <w:jc w:val="center"/>
        <w:rPr>
          <w:sz w:val="56"/>
          <w:szCs w:val="56"/>
        </w:rPr>
      </w:pPr>
    </w:p>
    <w:p>
      <w:pPr>
        <w:pStyle w:val="13"/>
        <w:jc w:val="center"/>
        <w:rPr>
          <w:sz w:val="32"/>
          <w:szCs w:val="32"/>
        </w:rPr>
      </w:pPr>
    </w:p>
    <w:p>
      <w:pPr>
        <w:pStyle w:val="13"/>
        <w:jc w:val="center"/>
        <w:rPr>
          <w:sz w:val="32"/>
          <w:szCs w:val="32"/>
        </w:rPr>
      </w:pPr>
    </w:p>
    <w:p>
      <w:pPr>
        <w:pStyle w:val="13"/>
        <w:jc w:val="center"/>
        <w:rPr>
          <w:sz w:val="32"/>
          <w:szCs w:val="32"/>
        </w:rPr>
      </w:pPr>
    </w:p>
    <w:p>
      <w:pPr>
        <w:pStyle w:val="13"/>
        <w:spacing w:line="500" w:lineRule="exact"/>
        <w:jc w:val="center"/>
        <w:rPr>
          <w:b/>
          <w:sz w:val="36"/>
          <w:szCs w:val="28"/>
        </w:rPr>
      </w:pPr>
      <w:r>
        <w:rPr>
          <w:rFonts w:hint="eastAsia"/>
          <w:b/>
          <w:sz w:val="36"/>
          <w:szCs w:val="28"/>
        </w:rPr>
        <w:t>目录</w:t>
      </w:r>
    </w:p>
    <w:p>
      <w:pPr>
        <w:pStyle w:val="13"/>
        <w:spacing w:line="500" w:lineRule="exact"/>
        <w:rPr>
          <w:rFonts w:hAnsi="黑体"/>
          <w:bCs/>
          <w:sz w:val="28"/>
          <w:szCs w:val="28"/>
        </w:rPr>
      </w:pPr>
      <w:r>
        <w:rPr>
          <w:rFonts w:hint="eastAsia" w:hAnsi="黑体"/>
          <w:bCs/>
          <w:sz w:val="28"/>
          <w:szCs w:val="28"/>
        </w:rPr>
        <w:t>第一部分 湖南省水产原种场单位概况</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3"/>
        <w:spacing w:line="500" w:lineRule="exact"/>
        <w:rPr>
          <w:rFonts w:hAnsi="黑体"/>
          <w:bCs/>
          <w:sz w:val="28"/>
          <w:szCs w:val="28"/>
        </w:rPr>
      </w:pPr>
      <w:r>
        <w:rPr>
          <w:rFonts w:hint="eastAsia" w:hAnsi="黑体"/>
          <w:bCs/>
          <w:sz w:val="28"/>
          <w:szCs w:val="28"/>
        </w:rPr>
        <w:t>第二部分 部门决算表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3"/>
        <w:spacing w:line="500" w:lineRule="exact"/>
        <w:rPr>
          <w:rFonts w:hAnsi="黑体"/>
          <w:bCs/>
          <w:sz w:val="28"/>
          <w:szCs w:val="28"/>
        </w:rPr>
      </w:pPr>
      <w:r>
        <w:rPr>
          <w:rFonts w:hint="eastAsia" w:hAnsi="黑体"/>
          <w:bCs/>
          <w:sz w:val="28"/>
          <w:szCs w:val="28"/>
        </w:rPr>
        <w:t>第三部分 部门决算情况说明</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3"/>
        <w:spacing w:line="500" w:lineRule="exact"/>
        <w:ind w:firstLine="700" w:firstLineChars="250"/>
        <w:rPr>
          <w:rFonts w:ascii="仿宋_GB2312" w:hAnsi="仿宋_GB2312" w:eastAsia="仿宋_GB2312" w:cs="仿宋_GB2312"/>
          <w:sz w:val="28"/>
          <w:szCs w:val="28"/>
        </w:rPr>
      </w:pPr>
      <w:r>
        <w:rPr>
          <w:rFonts w:hint="eastAsia" w:ascii="仿宋_GB2312" w:hAnsi="仿宋_GB2312" w:eastAsia="仿宋_GB2312" w:cs="仿宋_GB2312"/>
          <w:sz w:val="28"/>
          <w:szCs w:val="28"/>
        </w:rPr>
        <w:t>十三、关于预算绩效情况的说明</w:t>
      </w:r>
    </w:p>
    <w:p>
      <w:pPr>
        <w:pStyle w:val="13"/>
        <w:spacing w:line="500" w:lineRule="exact"/>
        <w:rPr>
          <w:rFonts w:hint="eastAsia" w:hAnsi="黑体"/>
          <w:bCs/>
          <w:sz w:val="28"/>
          <w:szCs w:val="28"/>
        </w:rPr>
      </w:pPr>
      <w:r>
        <w:rPr>
          <w:rFonts w:hint="eastAsia" w:hAnsi="黑体"/>
          <w:bCs/>
          <w:sz w:val="28"/>
          <w:szCs w:val="28"/>
        </w:rPr>
        <w:t>第四部分 名词解释</w:t>
      </w:r>
    </w:p>
    <w:p>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3"/>
        <w:spacing w:line="500" w:lineRule="exact"/>
        <w:rPr>
          <w:rFonts w:hint="eastAsia" w:hAnsi="黑体"/>
          <w:bCs/>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ascii="方正小标宋_GBK" w:hAnsi="方正小标宋_GBK" w:eastAsia="方正小标宋_GBK" w:cs="方正小标宋_GBK"/>
          <w:sz w:val="72"/>
          <w:szCs w:val="72"/>
        </w:rPr>
      </w:pP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3"/>
        <w:jc w:val="center"/>
        <w:rPr>
          <w:rFonts w:ascii="方正小标宋_GBK" w:hAnsi="方正小标宋_GBK" w:eastAsia="方正小标宋_GBK" w:cs="方正小标宋_GBK"/>
          <w:sz w:val="84"/>
          <w:szCs w:val="84"/>
        </w:rPr>
      </w:pP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湖南省水产原种场</w:t>
      </w: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单位概况</w:t>
      </w:r>
    </w:p>
    <w:p>
      <w:pPr>
        <w:jc w:val="center"/>
        <w:rPr>
          <w:rFonts w:ascii="方正小标宋_GBK" w:hAnsi="方正小标宋_GBK" w:eastAsia="方正小标宋_GBK" w:cs="方正小标宋_GBK"/>
          <w:sz w:val="72"/>
          <w:szCs w:val="72"/>
        </w:rPr>
      </w:pPr>
    </w:p>
    <w:p>
      <w:pPr>
        <w:jc w:val="center"/>
        <w:rPr>
          <w:rFonts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pStyle w:val="14"/>
        <w:numPr>
          <w:ilvl w:val="0"/>
          <w:numId w:val="1"/>
        </w:numPr>
        <w:ind w:firstLineChars="0"/>
        <w:jc w:val="left"/>
        <w:rPr>
          <w:rFonts w:ascii="黑体" w:hAnsi="黑体" w:eastAsia="黑体" w:cs="黑体"/>
          <w:sz w:val="32"/>
          <w:szCs w:val="32"/>
        </w:rPr>
      </w:pPr>
      <w:r>
        <w:rPr>
          <w:rFonts w:hint="eastAsia" w:ascii="黑体" w:hAnsi="黑体" w:eastAsia="黑体" w:cs="黑体"/>
          <w:sz w:val="32"/>
          <w:szCs w:val="32"/>
        </w:rPr>
        <w:t>部门职责</w:t>
      </w:r>
    </w:p>
    <w:p>
      <w:pPr>
        <w:widowControl/>
        <w:spacing w:line="600" w:lineRule="exact"/>
        <w:ind w:firstLine="640" w:firstLineChars="200"/>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本单位的主要职能为采集、培育、保存水产原种，选育、推广水产养殖良种；四大家鱼、鳜鱼、中华鳖、龟等水产种质保存与遗传改良研究，专业技术推广与培训教育，相关社会服务。</w:t>
      </w:r>
    </w:p>
    <w:p>
      <w:pPr>
        <w:widowControl/>
        <w:spacing w:line="600" w:lineRule="exact"/>
        <w:rPr>
          <w:rFonts w:ascii="黑体" w:hAnsi="黑体" w:eastAsia="黑体" w:cs="黑体"/>
          <w:bCs/>
          <w:kern w:val="0"/>
          <w:sz w:val="32"/>
          <w:szCs w:val="32"/>
        </w:rPr>
      </w:pPr>
      <w:r>
        <w:rPr>
          <w:rFonts w:hint="eastAsia" w:ascii="黑体" w:hAnsi="黑体" w:eastAsia="黑体" w:cs="黑体"/>
          <w:bCs/>
          <w:kern w:val="0"/>
          <w:sz w:val="32"/>
          <w:szCs w:val="32"/>
        </w:rPr>
        <w:t>二、机构设置及决算单位构成</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（一）内设机构设置。湖南省水产原种场</w:t>
      </w:r>
      <w:r>
        <w:rPr>
          <w:rFonts w:hint="eastAsia" w:ascii="Times New Roman" w:hAnsi="Times New Roman" w:eastAsia="仿宋_GB2312" w:cs="仿宋_GB2312"/>
          <w:bCs/>
          <w:kern w:val="0"/>
          <w:sz w:val="32"/>
          <w:szCs w:val="32"/>
          <w:lang w:eastAsia="zh-CN"/>
        </w:rPr>
        <w:t>内设机构</w:t>
      </w:r>
      <w:r>
        <w:rPr>
          <w:rFonts w:hint="eastAsia" w:ascii="Times New Roman" w:hAnsi="Times New Roman" w:eastAsia="仿宋_GB2312" w:cs="仿宋_GB2312"/>
          <w:bCs/>
          <w:kern w:val="0"/>
          <w:sz w:val="32"/>
          <w:szCs w:val="32"/>
        </w:rPr>
        <w:t>包括：综合业务科、计划财务科、原种生产科、质量管理科。</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（二）决算单位构成。湖南省水产原种场202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年部门决算汇总公开单位构成包括：湖南省水产原种场本级。</w:t>
      </w:r>
    </w:p>
    <w:p>
      <w:pPr>
        <w:ind w:firstLine="640" w:firstLineChars="200"/>
        <w:rPr>
          <w:rFonts w:ascii="Times New Roman" w:hAnsi="Times New Roman" w:eastAsia="仿宋_GB2312" w:cs="仿宋_GB2312"/>
          <w:bCs/>
          <w:kern w:val="0"/>
          <w:sz w:val="32"/>
          <w:szCs w:val="32"/>
        </w:rPr>
      </w:pP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pStyle w:val="13"/>
        <w:jc w:val="center"/>
        <w:rPr>
          <w:rFonts w:ascii="方正小标宋_GBK" w:hAnsi="方正小标宋_GBK" w:eastAsia="方正小标宋_GBK" w:cs="方正小标宋_GBK"/>
          <w:sz w:val="84"/>
          <w:szCs w:val="84"/>
        </w:rPr>
      </w:pPr>
    </w:p>
    <w:p>
      <w:pPr>
        <w:pStyle w:val="13"/>
        <w:jc w:val="both"/>
        <w:rPr>
          <w:rFonts w:ascii="方正小标宋_GBK" w:hAnsi="方正小标宋_GBK" w:eastAsia="方正小标宋_GBK" w:cs="方正小标宋_GBK"/>
          <w:sz w:val="84"/>
          <w:szCs w:val="84"/>
        </w:rPr>
      </w:pPr>
    </w:p>
    <w:p>
      <w:pPr>
        <w:pStyle w:val="13"/>
        <w:jc w:val="both"/>
        <w:rPr>
          <w:rFonts w:ascii="方正小标宋_GBK" w:hAnsi="方正小标宋_GBK" w:eastAsia="方正小标宋_GBK" w:cs="方正小标宋_GBK"/>
          <w:sz w:val="84"/>
          <w:szCs w:val="84"/>
        </w:rPr>
      </w:pP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3"/>
        <w:jc w:val="center"/>
        <w:rPr>
          <w:rFonts w:ascii="方正小标宋_GBK" w:hAnsi="方正小标宋_GBK" w:eastAsia="方正小标宋_GBK" w:cs="方正小标宋_GBK"/>
          <w:sz w:val="84"/>
          <w:szCs w:val="84"/>
        </w:rPr>
      </w:pPr>
    </w:p>
    <w:p>
      <w:pPr>
        <w:pStyle w:val="13"/>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8"/>
        <w:tblW w:w="15428" w:type="dxa"/>
        <w:tblInd w:w="0" w:type="dxa"/>
        <w:tblLayout w:type="fixed"/>
        <w:tblCellMar>
          <w:top w:w="0" w:type="dxa"/>
          <w:left w:w="0" w:type="dxa"/>
          <w:bottom w:w="0" w:type="dxa"/>
          <w:right w:w="0" w:type="dxa"/>
        </w:tblCellMar>
      </w:tblPr>
      <w:tblGrid>
        <w:gridCol w:w="484"/>
        <w:gridCol w:w="450"/>
        <w:gridCol w:w="5535"/>
        <w:gridCol w:w="1545"/>
        <w:gridCol w:w="1545"/>
        <w:gridCol w:w="936"/>
        <w:gridCol w:w="1077"/>
        <w:gridCol w:w="863"/>
        <w:gridCol w:w="833"/>
        <w:gridCol w:w="2160"/>
      </w:tblGrid>
      <w:tr>
        <w:tblPrEx>
          <w:tblLayout w:type="fixed"/>
          <w:tblCellMar>
            <w:top w:w="0" w:type="dxa"/>
            <w:left w:w="0" w:type="dxa"/>
            <w:bottom w:w="0" w:type="dxa"/>
            <w:right w:w="0" w:type="dxa"/>
          </w:tblCellMar>
        </w:tblPrEx>
        <w:trPr>
          <w:trHeight w:val="435" w:hRule="atLeast"/>
        </w:trPr>
        <w:tc>
          <w:tcPr>
            <w:tcW w:w="15428" w:type="dxa"/>
            <w:gridSpan w:val="10"/>
            <w:tcBorders>
              <w:top w:val="nil"/>
              <w:left w:val="nil"/>
              <w:bottom w:val="nil"/>
              <w:right w:val="nil"/>
            </w:tcBorders>
            <w:shd w:val="clear" w:color="auto" w:fill="auto"/>
            <w:noWrap/>
            <w:tcMar>
              <w:top w:w="15" w:type="dxa"/>
              <w:left w:w="15" w:type="dxa"/>
              <w:bottom w:w="0" w:type="dxa"/>
              <w:right w:w="15" w:type="dxa"/>
            </w:tcMar>
            <w:vAlign w:val="center"/>
          </w:tcPr>
          <w:tbl>
            <w:tblPr>
              <w:tblStyle w:val="8"/>
              <w:tblW w:w="15398" w:type="dxa"/>
              <w:tblInd w:w="0" w:type="dxa"/>
              <w:tblLayout w:type="fixed"/>
              <w:tblCellMar>
                <w:top w:w="0" w:type="dxa"/>
                <w:left w:w="108" w:type="dxa"/>
                <w:bottom w:w="0" w:type="dxa"/>
                <w:right w:w="108" w:type="dxa"/>
              </w:tblCellMar>
            </w:tblPr>
            <w:tblGrid>
              <w:gridCol w:w="4278"/>
              <w:gridCol w:w="616"/>
              <w:gridCol w:w="1353"/>
              <w:gridCol w:w="4847"/>
              <w:gridCol w:w="958"/>
              <w:gridCol w:w="1126"/>
              <w:gridCol w:w="2220"/>
            </w:tblGrid>
            <w:tr>
              <w:tblPrEx>
                <w:tblLayout w:type="fixed"/>
                <w:tblCellMar>
                  <w:top w:w="0" w:type="dxa"/>
                  <w:left w:w="108" w:type="dxa"/>
                  <w:bottom w:w="0" w:type="dxa"/>
                  <w:right w:w="108" w:type="dxa"/>
                </w:tblCellMar>
              </w:tblPrEx>
              <w:trPr>
                <w:trHeight w:val="304" w:hRule="atLeast"/>
              </w:trPr>
              <w:tc>
                <w:tcPr>
                  <w:tcW w:w="4278" w:type="dxa"/>
                  <w:tcBorders>
                    <w:top w:val="nil"/>
                    <w:left w:val="nil"/>
                    <w:bottom w:val="nil"/>
                    <w:right w:val="nil"/>
                  </w:tcBorders>
                  <w:shd w:val="clear" w:color="auto" w:fill="auto"/>
                  <w:noWrap/>
                  <w:vAlign w:val="center"/>
                </w:tcPr>
                <w:p>
                  <w:pPr>
                    <w:jc w:val="left"/>
                    <w:rPr>
                      <w:rFonts w:ascii="黑体" w:hAnsi="宋体" w:eastAsia="黑体" w:cs="黑体"/>
                      <w:color w:val="000000"/>
                      <w:sz w:val="24"/>
                      <w:szCs w:val="24"/>
                    </w:rPr>
                  </w:pPr>
                </w:p>
              </w:tc>
              <w:tc>
                <w:tcPr>
                  <w:tcW w:w="616" w:type="dxa"/>
                  <w:tcBorders>
                    <w:top w:val="nil"/>
                    <w:left w:val="nil"/>
                    <w:bottom w:val="nil"/>
                    <w:right w:val="nil"/>
                  </w:tcBorders>
                  <w:shd w:val="clear" w:color="auto" w:fill="auto"/>
                  <w:noWrap/>
                  <w:vAlign w:val="center"/>
                </w:tcPr>
                <w:p>
                  <w:pPr>
                    <w:jc w:val="right"/>
                    <w:rPr>
                      <w:rFonts w:ascii="宋体" w:hAnsi="宋体" w:eastAsia="宋体" w:cs="宋体"/>
                      <w:color w:val="000000"/>
                      <w:sz w:val="24"/>
                      <w:szCs w:val="24"/>
                    </w:rPr>
                  </w:pPr>
                </w:p>
              </w:tc>
              <w:tc>
                <w:tcPr>
                  <w:tcW w:w="1353" w:type="dxa"/>
                  <w:tcBorders>
                    <w:top w:val="nil"/>
                    <w:left w:val="nil"/>
                    <w:bottom w:val="nil"/>
                    <w:right w:val="nil"/>
                  </w:tcBorders>
                  <w:shd w:val="clear" w:color="auto" w:fill="auto"/>
                  <w:noWrap/>
                  <w:vAlign w:val="center"/>
                </w:tcPr>
                <w:p>
                  <w:pPr>
                    <w:jc w:val="right"/>
                    <w:rPr>
                      <w:rFonts w:ascii="宋体" w:hAnsi="宋体" w:eastAsia="宋体" w:cs="宋体"/>
                      <w:color w:val="000000"/>
                      <w:sz w:val="24"/>
                      <w:szCs w:val="24"/>
                    </w:rPr>
                  </w:pPr>
                </w:p>
              </w:tc>
              <w:tc>
                <w:tcPr>
                  <w:tcW w:w="4847" w:type="dxa"/>
                  <w:tcBorders>
                    <w:top w:val="nil"/>
                    <w:left w:val="nil"/>
                    <w:bottom w:val="nil"/>
                    <w:right w:val="nil"/>
                  </w:tcBorders>
                  <w:shd w:val="clear" w:color="auto" w:fill="auto"/>
                  <w:noWrap/>
                  <w:vAlign w:val="center"/>
                </w:tcPr>
                <w:p>
                  <w:pPr>
                    <w:jc w:val="right"/>
                    <w:rPr>
                      <w:rFonts w:ascii="宋体" w:hAnsi="宋体" w:eastAsia="宋体" w:cs="宋体"/>
                      <w:color w:val="000000"/>
                      <w:sz w:val="24"/>
                      <w:szCs w:val="24"/>
                    </w:rPr>
                  </w:pPr>
                </w:p>
              </w:tc>
              <w:tc>
                <w:tcPr>
                  <w:tcW w:w="2084" w:type="dxa"/>
                  <w:gridSpan w:val="2"/>
                  <w:tcBorders>
                    <w:top w:val="nil"/>
                    <w:left w:val="nil"/>
                    <w:bottom w:val="nil"/>
                    <w:right w:val="nil"/>
                  </w:tcBorders>
                  <w:shd w:val="clear" w:color="auto" w:fill="auto"/>
                  <w:noWrap/>
                  <w:vAlign w:val="center"/>
                </w:tcPr>
                <w:p>
                  <w:pPr>
                    <w:jc w:val="right"/>
                    <w:rPr>
                      <w:rFonts w:ascii="宋体" w:hAnsi="宋体" w:eastAsia="宋体" w:cs="宋体"/>
                      <w:color w:val="000000"/>
                      <w:sz w:val="24"/>
                      <w:szCs w:val="24"/>
                    </w:rPr>
                  </w:pPr>
                </w:p>
              </w:tc>
              <w:tc>
                <w:tcPr>
                  <w:tcW w:w="2220" w:type="dxa"/>
                  <w:tcBorders>
                    <w:top w:val="nil"/>
                    <w:left w:val="nil"/>
                    <w:bottom w:val="nil"/>
                    <w:right w:val="nil"/>
                  </w:tcBorders>
                  <w:shd w:val="clear" w:color="auto" w:fill="auto"/>
                  <w:noWrap/>
                  <w:vAlign w:val="center"/>
                </w:tcPr>
                <w:p>
                  <w:pPr>
                    <w:jc w:val="right"/>
                    <w:rPr>
                      <w:rFonts w:ascii="黑体" w:hAnsi="宋体" w:eastAsia="黑体" w:cs="黑体"/>
                      <w:color w:val="000000"/>
                      <w:sz w:val="24"/>
                      <w:szCs w:val="24"/>
                    </w:rPr>
                  </w:pPr>
                </w:p>
              </w:tc>
            </w:tr>
            <w:tr>
              <w:tblPrEx>
                <w:tblLayout w:type="fixed"/>
                <w:tblCellMar>
                  <w:top w:w="0" w:type="dxa"/>
                  <w:left w:w="108" w:type="dxa"/>
                  <w:bottom w:w="0" w:type="dxa"/>
                  <w:right w:w="108" w:type="dxa"/>
                </w:tblCellMar>
              </w:tblPrEx>
              <w:trPr>
                <w:trHeight w:val="609" w:hRule="atLeast"/>
              </w:trPr>
              <w:tc>
                <w:tcPr>
                  <w:tcW w:w="15398" w:type="dxa"/>
                  <w:gridSpan w:val="7"/>
                  <w:tcBorders>
                    <w:top w:val="nil"/>
                    <w:left w:val="nil"/>
                    <w:bottom w:val="nil"/>
                    <w:right w:val="nil"/>
                  </w:tcBorders>
                  <w:shd w:val="clear" w:color="auto" w:fill="auto"/>
                  <w:noWrap/>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收入支出决算总表</w:t>
                  </w:r>
                </w:p>
              </w:tc>
            </w:tr>
            <w:tr>
              <w:tblPrEx>
                <w:tblLayout w:type="fixed"/>
                <w:tblCellMar>
                  <w:top w:w="0" w:type="dxa"/>
                  <w:left w:w="108" w:type="dxa"/>
                  <w:bottom w:w="0" w:type="dxa"/>
                  <w:right w:w="108" w:type="dxa"/>
                </w:tblCellMar>
              </w:tblPrEx>
              <w:trPr>
                <w:trHeight w:val="304" w:hRule="atLeast"/>
              </w:trPr>
              <w:tc>
                <w:tcPr>
                  <w:tcW w:w="4278"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616"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1353"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4847"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2084" w:type="dxa"/>
                  <w:gridSpan w:val="2"/>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222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公开01表</w:t>
                  </w:r>
                </w:p>
              </w:tc>
            </w:tr>
            <w:tr>
              <w:tblPrEx>
                <w:tblLayout w:type="fixed"/>
                <w:tblCellMar>
                  <w:top w:w="0" w:type="dxa"/>
                  <w:left w:w="108" w:type="dxa"/>
                  <w:bottom w:w="0" w:type="dxa"/>
                  <w:right w:w="108" w:type="dxa"/>
                </w:tblCellMar>
              </w:tblPrEx>
              <w:trPr>
                <w:trHeight w:val="304" w:hRule="atLeast"/>
              </w:trPr>
              <w:tc>
                <w:tcPr>
                  <w:tcW w:w="4278" w:type="dxa"/>
                  <w:tcBorders>
                    <w:top w:val="nil"/>
                    <w:left w:val="nil"/>
                    <w:bottom w:val="nil"/>
                    <w:right w:val="nil"/>
                  </w:tcBorders>
                  <w:shd w:val="clear" w:color="auto" w:fill="FFFFFF"/>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部门：湖南省水产原种场</w:t>
                  </w:r>
                </w:p>
              </w:tc>
              <w:tc>
                <w:tcPr>
                  <w:tcW w:w="616"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1353"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4847" w:type="dxa"/>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2084" w:type="dxa"/>
                  <w:gridSpan w:val="2"/>
                  <w:tcBorders>
                    <w:top w:val="nil"/>
                    <w:left w:val="nil"/>
                    <w:bottom w:val="nil"/>
                    <w:right w:val="nil"/>
                  </w:tcBorders>
                  <w:shd w:val="clear" w:color="auto" w:fill="FFFFFF"/>
                  <w:noWrap/>
                  <w:vAlign w:val="center"/>
                </w:tcPr>
                <w:p>
                  <w:pPr>
                    <w:jc w:val="right"/>
                    <w:rPr>
                      <w:rFonts w:ascii="宋体" w:hAnsi="宋体" w:eastAsia="宋体" w:cs="宋体"/>
                      <w:color w:val="000000"/>
                      <w:sz w:val="24"/>
                      <w:szCs w:val="24"/>
                    </w:rPr>
                  </w:pPr>
                </w:p>
              </w:tc>
              <w:tc>
                <w:tcPr>
                  <w:tcW w:w="222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gridAfter w:val="1"/>
                <w:wAfter w:w="2220" w:type="dxa"/>
                <w:trHeight w:val="448" w:hRule="atLeast"/>
              </w:trPr>
              <w:tc>
                <w:tcPr>
                  <w:tcW w:w="6247"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收入</w:t>
                  </w:r>
                </w:p>
              </w:tc>
              <w:tc>
                <w:tcPr>
                  <w:tcW w:w="6931"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支出</w:t>
                  </w:r>
                </w:p>
              </w:tc>
            </w:tr>
            <w:tr>
              <w:tblPrEx>
                <w:tblLayout w:type="fixed"/>
                <w:tblCellMar>
                  <w:top w:w="0" w:type="dxa"/>
                  <w:left w:w="108" w:type="dxa"/>
                  <w:bottom w:w="0" w:type="dxa"/>
                  <w:right w:w="108" w:type="dxa"/>
                </w:tblCellMar>
              </w:tblPrEx>
              <w:trPr>
                <w:gridAfter w:val="1"/>
                <w:wAfter w:w="2220" w:type="dxa"/>
                <w:trHeight w:val="62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    目</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13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决算数</w:t>
                  </w:r>
                </w:p>
              </w:tc>
              <w:tc>
                <w:tcPr>
                  <w:tcW w:w="48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    目</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行次</w:t>
                  </w:r>
                </w:p>
              </w:tc>
              <w:tc>
                <w:tcPr>
                  <w:tcW w:w="11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决算数</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    次</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eastAsia="宋体" w:cs="宋体"/>
                      <w:color w:val="000000"/>
                      <w:sz w:val="24"/>
                      <w:szCs w:val="24"/>
                    </w:rPr>
                  </w:pPr>
                </w:p>
              </w:tc>
              <w:tc>
                <w:tcPr>
                  <w:tcW w:w="135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48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    次</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eastAsia="宋体" w:cs="宋体"/>
                      <w:color w:val="000000"/>
                      <w:sz w:val="24"/>
                      <w:szCs w:val="24"/>
                    </w:rPr>
                  </w:pPr>
                </w:p>
              </w:tc>
              <w:tc>
                <w:tcPr>
                  <w:tcW w:w="112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一、一般公共预算财政拨款收入</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789.15</w:t>
                  </w:r>
                </w:p>
              </w:tc>
              <w:tc>
                <w:tcPr>
                  <w:tcW w:w="48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0"/>
                      <w:szCs w:val="20"/>
                      <w:lang w:bidi="ar"/>
                    </w:rPr>
                    <w:t>31</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二、政府性基金预算财政拨款收入</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48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0"/>
                      <w:szCs w:val="20"/>
                      <w:lang w:bidi="ar"/>
                    </w:rPr>
                    <w:t>32</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三、国有资本经营预算财政拨款收入</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48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0"/>
                      <w:szCs w:val="20"/>
                      <w:lang w:bidi="ar"/>
                    </w:rPr>
                    <w:t>33</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四、上级补助收入</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48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0"/>
                      <w:szCs w:val="20"/>
                      <w:lang w:bidi="ar"/>
                    </w:rPr>
                    <w:t>34</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五、事业收入</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274.56</w:t>
                  </w:r>
                </w:p>
              </w:tc>
              <w:tc>
                <w:tcPr>
                  <w:tcW w:w="48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0"/>
                      <w:szCs w:val="20"/>
                      <w:lang w:bidi="ar"/>
                    </w:rPr>
                    <w:t>35</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六、经营收入</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48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0"/>
                      <w:szCs w:val="20"/>
                      <w:lang w:bidi="ar"/>
                    </w:rPr>
                    <w:t>36</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七、附属单位上缴收入</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七、文化旅游体育与传媒支出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0"/>
                      <w:szCs w:val="20"/>
                      <w:lang w:bidi="ar"/>
                    </w:rPr>
                    <w:t>37</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八、其他收入</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2.87</w:t>
                  </w: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八、社会保障和就业支出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38</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42.00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9</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九、卫生健康支出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39</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10</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十、节能环保支出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40</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11</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十一、城乡社区支出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41</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12</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十二、农林水支出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42</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848.18</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13</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十三、交通运输支出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43</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ascii="宋体" w:hAnsi="宋体" w:eastAsia="宋体" w:cs="宋体"/>
                      <w:color w:val="000000"/>
                      <w:sz w:val="22"/>
                    </w:rPr>
                    <w:t>150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14</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十四、资源勘探工业信息等支出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44</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15</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十五、商业服务业等支出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45</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16</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十六、金融支出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46</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17</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十七、援助其他地区支出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47</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18</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十八、自然资源海洋气象等支出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48</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19</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十九、住房保障支出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49</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20</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二十、粮油物资储备支出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50</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left"/>
                    <w:textAlignment w:val="center"/>
                    <w:rPr>
                      <w:rFonts w:ascii="宋体" w:hAnsi="宋体" w:eastAsia="宋体" w:cs="宋体"/>
                      <w:color w:val="000000"/>
                      <w:kern w:val="0"/>
                      <w:sz w:val="22"/>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21</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二十一、国有资本经营预算支出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51</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22</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二十二、灾害防治及应急管理支出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52</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23</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二十三、其他支出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53</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24</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二十四、债务还本支出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54</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25</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二十五、债务付息支出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55</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ascii="宋体" w:hAnsi="宋体" w:eastAsia="宋体" w:cs="宋体"/>
                      <w:color w:val="000000"/>
                      <w:sz w:val="20"/>
                      <w:szCs w:val="20"/>
                    </w:rPr>
                  </w:pP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26</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kern w:val="0"/>
                      <w:sz w:val="22"/>
                    </w:rPr>
                  </w:pP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二十六、抗疫特别国债安排的支出</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56</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本年收入合计</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27</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1066.58</w:t>
                  </w: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本年支出合计</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0"/>
                      <w:szCs w:val="20"/>
                      <w:lang w:bidi="ar"/>
                    </w:rPr>
                    <w:t>57</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890.18</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 xml:space="preserve">         使用非财政拨款结余</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28</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0.00</w:t>
                  </w: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 xml:space="preserve">                结余分配</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rPr>
                      <w:rFonts w:ascii="宋体" w:hAnsi="宋体" w:eastAsia="宋体" w:cs="宋体"/>
                      <w:color w:val="000000"/>
                      <w:sz w:val="22"/>
                    </w:rPr>
                  </w:pPr>
                  <w:r>
                    <w:rPr>
                      <w:rFonts w:hint="eastAsia" w:ascii="宋体" w:hAnsi="宋体" w:eastAsia="宋体" w:cs="宋体"/>
                      <w:kern w:val="0"/>
                      <w:sz w:val="22"/>
                    </w:rPr>
                    <w:t>58</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162.51</w:t>
                  </w:r>
                </w:p>
              </w:tc>
            </w:tr>
            <w:tr>
              <w:tblPrEx>
                <w:tblLayout w:type="fixed"/>
                <w:tblCellMar>
                  <w:top w:w="0" w:type="dxa"/>
                  <w:left w:w="108" w:type="dxa"/>
                  <w:bottom w:w="0" w:type="dxa"/>
                  <w:right w:w="108" w:type="dxa"/>
                </w:tblCellMar>
              </w:tblPrEx>
              <w:trPr>
                <w:gridAfter w:val="1"/>
                <w:wAfter w:w="2220" w:type="dxa"/>
                <w:trHeight w:val="62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 xml:space="preserve">         年初结转和结余</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29</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216.23</w:t>
                  </w:r>
                </w:p>
              </w:tc>
              <w:tc>
                <w:tcPr>
                  <w:tcW w:w="48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eastAsia="宋体" w:cs="宋体"/>
                      <w:color w:val="000000"/>
                      <w:sz w:val="22"/>
                    </w:rPr>
                  </w:pPr>
                  <w:r>
                    <w:rPr>
                      <w:rFonts w:hint="eastAsia" w:ascii="宋体" w:hAnsi="宋体" w:eastAsia="宋体" w:cs="宋体"/>
                      <w:color w:val="000000"/>
                      <w:kern w:val="0"/>
                      <w:sz w:val="22"/>
                    </w:rPr>
                    <w:t xml:space="preserve">                年末结转和结余</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rPr>
                      <w:rFonts w:ascii="宋体" w:hAnsi="宋体" w:eastAsia="宋体" w:cs="宋体"/>
                      <w:color w:val="000000"/>
                      <w:sz w:val="22"/>
                    </w:rPr>
                  </w:pPr>
                  <w:r>
                    <w:rPr>
                      <w:rFonts w:hint="eastAsia" w:ascii="宋体" w:hAnsi="宋体" w:eastAsia="宋体" w:cs="宋体"/>
                      <w:kern w:val="0"/>
                      <w:sz w:val="22"/>
                    </w:rPr>
                    <w:t>59</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230.12</w:t>
                  </w:r>
                </w:p>
              </w:tc>
            </w:tr>
            <w:tr>
              <w:tblPrEx>
                <w:tblLayout w:type="fixed"/>
                <w:tblCellMar>
                  <w:top w:w="0" w:type="dxa"/>
                  <w:left w:w="108" w:type="dxa"/>
                  <w:bottom w:w="0" w:type="dxa"/>
                  <w:right w:w="108" w:type="dxa"/>
                </w:tblCellMar>
              </w:tblPrEx>
              <w:trPr>
                <w:gridAfter w:val="1"/>
                <w:wAfter w:w="2220" w:type="dxa"/>
                <w:trHeight w:val="448" w:hRule="atLeast"/>
              </w:trPr>
              <w:tc>
                <w:tcPr>
                  <w:tcW w:w="42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总计</w:t>
                  </w:r>
                </w:p>
              </w:tc>
              <w:tc>
                <w:tcPr>
                  <w:tcW w:w="6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30</w:t>
                  </w:r>
                </w:p>
              </w:tc>
              <w:tc>
                <w:tcPr>
                  <w:tcW w:w="13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1282.81</w:t>
                  </w:r>
                </w:p>
              </w:tc>
              <w:tc>
                <w:tcPr>
                  <w:tcW w:w="4847"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eastAsia="宋体" w:cs="宋体"/>
                      <w:b/>
                      <w:color w:val="000000"/>
                      <w:sz w:val="22"/>
                    </w:rPr>
                  </w:pPr>
                  <w:r>
                    <w:rPr>
                      <w:rFonts w:hint="eastAsia" w:ascii="宋体" w:hAnsi="宋体" w:eastAsia="宋体" w:cs="宋体"/>
                      <w:b/>
                      <w:color w:val="000000"/>
                      <w:kern w:val="0"/>
                      <w:sz w:val="22"/>
                    </w:rPr>
                    <w:t>总计</w:t>
                  </w:r>
                </w:p>
              </w:tc>
              <w:tc>
                <w:tcPr>
                  <w:tcW w:w="95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rPr>
                      <w:rFonts w:ascii="宋体" w:hAnsi="宋体" w:eastAsia="宋体" w:cs="宋体"/>
                      <w:color w:val="000000"/>
                      <w:sz w:val="22"/>
                    </w:rPr>
                  </w:pPr>
                  <w:r>
                    <w:rPr>
                      <w:rFonts w:hint="eastAsia" w:ascii="宋体" w:hAnsi="宋体" w:eastAsia="宋体" w:cs="宋体"/>
                      <w:kern w:val="0"/>
                      <w:sz w:val="22"/>
                    </w:rPr>
                    <w:t>60</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color w:val="000000"/>
                      <w:sz w:val="22"/>
                      <w:lang w:val="en-US" w:eastAsia="zh-CN"/>
                    </w:rPr>
                  </w:pPr>
                  <w:r>
                    <w:rPr>
                      <w:rFonts w:hint="eastAsia" w:ascii="宋体" w:hAnsi="宋体" w:eastAsia="宋体" w:cs="宋体"/>
                      <w:color w:val="000000"/>
                      <w:sz w:val="22"/>
                      <w:lang w:val="en-US" w:eastAsia="zh-CN"/>
                    </w:rPr>
                    <w:t>1282.81</w:t>
                  </w:r>
                </w:p>
              </w:tc>
            </w:tr>
            <w:tr>
              <w:tblPrEx>
                <w:tblLayout w:type="fixed"/>
                <w:tblCellMar>
                  <w:top w:w="0" w:type="dxa"/>
                  <w:left w:w="108" w:type="dxa"/>
                  <w:bottom w:w="0" w:type="dxa"/>
                  <w:right w:w="108" w:type="dxa"/>
                </w:tblCellMar>
              </w:tblPrEx>
              <w:trPr>
                <w:trHeight w:val="1015" w:hRule="atLeast"/>
              </w:trPr>
              <w:tc>
                <w:tcPr>
                  <w:tcW w:w="15398" w:type="dxa"/>
                  <w:gridSpan w:val="7"/>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注：1.本表反映部门本年度的总收支和年末结转结余情况。</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 xml:space="preserve">    2.本套报表金额单位转换时可能存在尾数误差。</w:t>
                  </w:r>
                </w:p>
                <w:p>
                  <w:pPr>
                    <w:widowControl/>
                    <w:jc w:val="left"/>
                    <w:textAlignment w:val="center"/>
                    <w:rPr>
                      <w:rFonts w:ascii="宋体" w:hAnsi="宋体" w:eastAsia="宋体" w:cs="宋体"/>
                      <w:color w:val="000000"/>
                      <w:sz w:val="24"/>
                      <w:szCs w:val="24"/>
                    </w:rPr>
                  </w:pPr>
                </w:p>
                <w:p>
                  <w:pPr>
                    <w:widowControl/>
                    <w:jc w:val="left"/>
                    <w:textAlignment w:val="center"/>
                    <w:rPr>
                      <w:rFonts w:ascii="宋体" w:hAnsi="宋体" w:eastAsia="宋体" w:cs="宋体"/>
                      <w:color w:val="000000"/>
                      <w:sz w:val="24"/>
                      <w:szCs w:val="24"/>
                    </w:rPr>
                  </w:pPr>
                </w:p>
                <w:p>
                  <w:pPr>
                    <w:widowControl/>
                    <w:jc w:val="left"/>
                    <w:textAlignment w:val="center"/>
                    <w:rPr>
                      <w:rFonts w:ascii="宋体" w:hAnsi="宋体" w:eastAsia="宋体" w:cs="宋体"/>
                      <w:color w:val="000000"/>
                      <w:sz w:val="24"/>
                      <w:szCs w:val="24"/>
                    </w:rPr>
                  </w:pPr>
                </w:p>
                <w:p>
                  <w:pPr>
                    <w:widowControl/>
                    <w:jc w:val="left"/>
                    <w:textAlignment w:val="center"/>
                    <w:rPr>
                      <w:rFonts w:ascii="宋体" w:hAnsi="宋体" w:eastAsia="宋体" w:cs="宋体"/>
                      <w:color w:val="000000"/>
                      <w:sz w:val="24"/>
                      <w:szCs w:val="24"/>
                    </w:rPr>
                  </w:pPr>
                </w:p>
                <w:p>
                  <w:pPr>
                    <w:widowControl/>
                    <w:jc w:val="left"/>
                    <w:textAlignment w:val="center"/>
                    <w:rPr>
                      <w:rFonts w:ascii="宋体" w:hAnsi="宋体" w:eastAsia="宋体" w:cs="宋体"/>
                      <w:color w:val="000000"/>
                      <w:sz w:val="24"/>
                      <w:szCs w:val="24"/>
                    </w:rPr>
                  </w:pPr>
                </w:p>
                <w:p>
                  <w:pPr>
                    <w:widowControl/>
                    <w:jc w:val="left"/>
                    <w:textAlignment w:val="center"/>
                    <w:rPr>
                      <w:rFonts w:ascii="宋体" w:hAnsi="宋体" w:eastAsia="宋体" w:cs="宋体"/>
                      <w:color w:val="000000"/>
                      <w:sz w:val="24"/>
                      <w:szCs w:val="24"/>
                    </w:rPr>
                  </w:pPr>
                </w:p>
                <w:p>
                  <w:pPr>
                    <w:widowControl/>
                    <w:jc w:val="left"/>
                    <w:textAlignment w:val="center"/>
                    <w:rPr>
                      <w:rFonts w:ascii="宋体" w:hAnsi="宋体" w:eastAsia="宋体" w:cs="宋体"/>
                      <w:color w:val="000000"/>
                      <w:sz w:val="24"/>
                      <w:szCs w:val="24"/>
                    </w:rPr>
                  </w:pPr>
                </w:p>
                <w:p>
                  <w:pPr>
                    <w:widowControl/>
                    <w:jc w:val="left"/>
                    <w:textAlignment w:val="center"/>
                    <w:rPr>
                      <w:rFonts w:hint="eastAsia" w:ascii="宋体" w:hAnsi="宋体" w:eastAsia="宋体" w:cs="宋体"/>
                      <w:color w:val="000000"/>
                      <w:sz w:val="24"/>
                      <w:szCs w:val="24"/>
                    </w:rPr>
                  </w:pPr>
                </w:p>
              </w:tc>
            </w:tr>
          </w:tbl>
          <w:p>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tblPrEx>
          <w:tblLayout w:type="fixed"/>
          <w:tblCellMar>
            <w:top w:w="0" w:type="dxa"/>
            <w:left w:w="0" w:type="dxa"/>
            <w:bottom w:w="0" w:type="dxa"/>
            <w:right w:w="0" w:type="dxa"/>
          </w:tblCellMar>
        </w:tblPrEx>
        <w:trPr>
          <w:trHeight w:val="285" w:hRule="atLeast"/>
        </w:trPr>
        <w:tc>
          <w:tcPr>
            <w:tcW w:w="484"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45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553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4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54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36"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077"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86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83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16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Layout w:type="fixed"/>
          <w:tblCellMar>
            <w:top w:w="0" w:type="dxa"/>
            <w:left w:w="0" w:type="dxa"/>
            <w:bottom w:w="0" w:type="dxa"/>
            <w:right w:w="0" w:type="dxa"/>
          </w:tblCellMar>
        </w:tblPrEx>
        <w:trPr>
          <w:trHeight w:val="285" w:hRule="atLeast"/>
        </w:trPr>
        <w:tc>
          <w:tcPr>
            <w:tcW w:w="8014" w:type="dxa"/>
            <w:gridSpan w:val="4"/>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color w:val="000000"/>
                <w:sz w:val="20"/>
                <w:szCs w:val="20"/>
              </w:rPr>
            </w:pPr>
            <w:r>
              <w:rPr>
                <w:rFonts w:hint="eastAsia"/>
                <w:color w:val="000000"/>
                <w:sz w:val="20"/>
                <w:szCs w:val="20"/>
              </w:rPr>
              <w:t>部门：湖南省水产原种场</w:t>
            </w:r>
          </w:p>
          <w:p>
            <w:pPr>
              <w:jc w:val="right"/>
              <w:rPr>
                <w:rFonts w:ascii="宋体" w:hAnsi="宋体" w:eastAsia="宋体" w:cs="宋体"/>
                <w:sz w:val="24"/>
                <w:szCs w:val="24"/>
              </w:rPr>
            </w:pPr>
            <w:r>
              <w:rPr>
                <w:rFonts w:hint="eastAsia"/>
              </w:rPr>
              <w:t>　</w:t>
            </w:r>
          </w:p>
          <w:p>
            <w:pPr>
              <w:jc w:val="right"/>
              <w:rPr>
                <w:rFonts w:ascii="宋体" w:hAnsi="宋体" w:eastAsia="宋体" w:cs="宋体"/>
                <w:sz w:val="24"/>
                <w:szCs w:val="24"/>
              </w:rPr>
            </w:pPr>
            <w:r>
              <w:rPr>
                <w:rFonts w:hint="eastAsia"/>
              </w:rPr>
              <w:t>　</w:t>
            </w:r>
          </w:p>
        </w:tc>
        <w:tc>
          <w:tcPr>
            <w:tcW w:w="154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936"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1077"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86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83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216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Layout w:type="fixed"/>
          <w:tblCellMar>
            <w:top w:w="0" w:type="dxa"/>
            <w:left w:w="0" w:type="dxa"/>
            <w:bottom w:w="0" w:type="dxa"/>
            <w:right w:w="0" w:type="dxa"/>
          </w:tblCellMar>
        </w:tblPrEx>
        <w:trPr>
          <w:trHeight w:val="450" w:hRule="atLeast"/>
        </w:trPr>
        <w:tc>
          <w:tcPr>
            <w:tcW w:w="6469"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54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154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936"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077"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86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83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216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Layout w:type="fixed"/>
          <w:tblCellMar>
            <w:top w:w="0" w:type="dxa"/>
            <w:left w:w="0" w:type="dxa"/>
            <w:bottom w:w="0" w:type="dxa"/>
            <w:right w:w="0" w:type="dxa"/>
          </w:tblCellMar>
        </w:tblPrEx>
        <w:trPr>
          <w:trHeight w:val="450" w:hRule="atLeast"/>
        </w:trPr>
        <w:tc>
          <w:tcPr>
            <w:tcW w:w="934"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5535"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5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36"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07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83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16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934"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5535"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5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936"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077"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86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833"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216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Layout w:type="fixed"/>
          <w:tblCellMar>
            <w:top w:w="0" w:type="dxa"/>
            <w:left w:w="0" w:type="dxa"/>
            <w:bottom w:w="0" w:type="dxa"/>
            <w:right w:w="0" w:type="dxa"/>
          </w:tblCellMar>
        </w:tblPrEx>
        <w:trPr>
          <w:trHeight w:val="450" w:hRule="atLeast"/>
        </w:trPr>
        <w:tc>
          <w:tcPr>
            <w:tcW w:w="6469"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154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154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936"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107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86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83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216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Layout w:type="fixed"/>
          <w:tblCellMar>
            <w:top w:w="0" w:type="dxa"/>
            <w:left w:w="0" w:type="dxa"/>
            <w:bottom w:w="0" w:type="dxa"/>
            <w:right w:w="0" w:type="dxa"/>
          </w:tblCellMar>
        </w:tblPrEx>
        <w:trPr>
          <w:trHeight w:val="450" w:hRule="atLeast"/>
        </w:trPr>
        <w:tc>
          <w:tcPr>
            <w:tcW w:w="6469"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合计</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eastAsia="zh-CN"/>
              </w:rPr>
            </w:pPr>
            <w:r>
              <w:rPr>
                <w:rFonts w:hint="eastAsia" w:eastAsia="宋体"/>
                <w:lang w:val="en-US" w:eastAsia="zh-CN"/>
              </w:rPr>
              <w:t>1066.58</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eastAsia="zh-CN"/>
              </w:rPr>
            </w:pPr>
            <w:r>
              <w:rPr>
                <w:rFonts w:hint="eastAsia" w:eastAsia="宋体"/>
                <w:lang w:val="en-US" w:eastAsia="zh-CN"/>
              </w:rPr>
              <w:t>789.15</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eastAsia="zh-CN"/>
              </w:rPr>
            </w:pPr>
            <w:r>
              <w:rPr>
                <w:rFonts w:hint="eastAsia" w:eastAsia="宋体"/>
                <w:lang w:val="en-US" w:eastAsia="zh-CN"/>
              </w:rPr>
              <w:t>274.56</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lang w:val="en-US" w:eastAsia="zh-CN"/>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eastAsia="zh-CN"/>
              </w:rPr>
            </w:pPr>
            <w:r>
              <w:rPr>
                <w:rFonts w:hint="eastAsia" w:eastAsia="宋体"/>
                <w:lang w:val="en-US" w:eastAsia="zh-CN"/>
              </w:rPr>
              <w:t>2.87</w:t>
            </w:r>
          </w:p>
        </w:tc>
      </w:tr>
      <w:tr>
        <w:tblPrEx>
          <w:tblLayout w:type="fixed"/>
          <w:tblCellMar>
            <w:top w:w="0" w:type="dxa"/>
            <w:left w:w="0" w:type="dxa"/>
            <w:bottom w:w="0" w:type="dxa"/>
            <w:right w:w="0" w:type="dxa"/>
          </w:tblCellMar>
        </w:tblPrEx>
        <w:trPr>
          <w:trHeight w:val="450" w:hRule="atLeas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t>208</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color w:val="000000"/>
                <w:sz w:val="22"/>
              </w:rPr>
              <w:t>社会保障和就业支出</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eastAsia="zh-CN"/>
              </w:rPr>
            </w:pPr>
            <w:r>
              <w:rPr>
                <w:rFonts w:hint="eastAsia" w:eastAsia="宋体"/>
                <w:lang w:val="en-US" w:eastAsia="zh-CN"/>
              </w:rPr>
              <w:t>42</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eastAsia="zh-CN"/>
              </w:rPr>
            </w:pPr>
            <w:r>
              <w:rPr>
                <w:rFonts w:hint="eastAsia" w:eastAsia="宋体"/>
                <w:lang w:val="en-US" w:eastAsia="zh-CN"/>
              </w:rPr>
              <w:t>42</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ascii="宋体" w:hAnsi="宋体" w:eastAsia="宋体" w:cs="宋体"/>
                <w:sz w:val="24"/>
                <w:szCs w:val="24"/>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r>
              <w:t>0</w:t>
            </w:r>
          </w:p>
        </w:tc>
      </w:tr>
      <w:tr>
        <w:tblPrEx>
          <w:tblLayout w:type="fixed"/>
          <w:tblCellMar>
            <w:top w:w="0" w:type="dxa"/>
            <w:left w:w="0" w:type="dxa"/>
            <w:bottom w:w="0" w:type="dxa"/>
            <w:right w:w="0" w:type="dxa"/>
          </w:tblCellMar>
        </w:tblPrEx>
        <w:trPr>
          <w:trHeight w:val="450" w:hRule="atLeas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t>20805</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color w:val="000000"/>
                <w:sz w:val="22"/>
              </w:rPr>
              <w:t>行政事业单位养老支出</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华文中宋" w:hAnsi="华文中宋" w:eastAsia="华文中宋" w:cs="宋体"/>
                <w:sz w:val="24"/>
                <w:szCs w:val="24"/>
                <w:lang w:val="en-US" w:eastAsia="zh-CN"/>
              </w:rPr>
            </w:pPr>
            <w:r>
              <w:rPr>
                <w:rFonts w:hint="eastAsia" w:ascii="华文中宋" w:hAnsi="华文中宋" w:eastAsia="华文中宋"/>
                <w:lang w:val="en-US" w:eastAsia="zh-CN"/>
              </w:rPr>
              <w:t>42</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eastAsia="zh-CN"/>
              </w:rPr>
            </w:pPr>
            <w:r>
              <w:rPr>
                <w:rFonts w:hint="eastAsia" w:ascii="华文中宋" w:hAnsi="华文中宋" w:eastAsia="华文中宋"/>
                <w:lang w:val="en-US" w:eastAsia="zh-CN"/>
              </w:rPr>
              <w:t>42</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r>
      <w:tr>
        <w:tblPrEx>
          <w:tblLayout w:type="fixed"/>
          <w:tblCellMar>
            <w:top w:w="0" w:type="dxa"/>
            <w:left w:w="0" w:type="dxa"/>
            <w:bottom w:w="0" w:type="dxa"/>
            <w:right w:w="0" w:type="dxa"/>
          </w:tblCellMar>
        </w:tblPrEx>
        <w:trPr>
          <w:trHeight w:val="437" w:hRule="exac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hint="eastAsia"/>
              </w:rPr>
            </w:pPr>
            <w:r>
              <w:rPr>
                <w:rFonts w:hint="eastAsia"/>
              </w:rPr>
              <w:t>2080505</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both"/>
              <w:rPr>
                <w:rFonts w:hint="eastAsia"/>
              </w:rPr>
            </w:pPr>
            <w:r>
              <w:rPr>
                <w:rFonts w:hint="eastAsia"/>
                <w:sz w:val="22"/>
                <w:szCs w:val="22"/>
              </w:rPr>
              <w:t>机关事业单位基本养老保险缴费支出</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42</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42</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r>
      <w:tr>
        <w:tblPrEx>
          <w:tblLayout w:type="fixed"/>
          <w:tblCellMar>
            <w:top w:w="0" w:type="dxa"/>
            <w:left w:w="0" w:type="dxa"/>
            <w:bottom w:w="0" w:type="dxa"/>
            <w:right w:w="0" w:type="dxa"/>
          </w:tblCellMar>
        </w:tblPrEx>
        <w:trPr>
          <w:trHeight w:val="450" w:hRule="atLeas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t>213</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color w:val="000000"/>
                <w:sz w:val="22"/>
              </w:rPr>
              <w:t>农林水支出</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eastAsia="zh-CN"/>
              </w:rPr>
            </w:pPr>
            <w:r>
              <w:rPr>
                <w:rFonts w:hint="eastAsia" w:eastAsia="宋体"/>
                <w:lang w:val="en-US" w:eastAsia="zh-CN"/>
              </w:rPr>
              <w:t>1024.58</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eastAsia="zh-CN"/>
              </w:rPr>
            </w:pPr>
            <w:r>
              <w:rPr>
                <w:rFonts w:hint="eastAsia" w:eastAsia="宋体"/>
                <w:lang w:val="en-US" w:eastAsia="zh-CN"/>
              </w:rPr>
              <w:t>747.15</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eastAsia="zh-CN"/>
              </w:rPr>
            </w:pPr>
            <w:r>
              <w:rPr>
                <w:rFonts w:hint="eastAsia" w:eastAsia="宋体"/>
                <w:lang w:val="en-US" w:eastAsia="zh-CN"/>
              </w:rPr>
              <w:t>274.56</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eastAsia="zh-CN"/>
              </w:rPr>
            </w:pPr>
            <w:r>
              <w:rPr>
                <w:rFonts w:hint="eastAsia" w:eastAsia="宋体"/>
                <w:lang w:val="en-US" w:eastAsia="zh-CN"/>
              </w:rPr>
              <w:t>2.87</w:t>
            </w:r>
          </w:p>
        </w:tc>
      </w:tr>
      <w:tr>
        <w:tblPrEx>
          <w:tblLayout w:type="fixed"/>
          <w:tblCellMar>
            <w:top w:w="0" w:type="dxa"/>
            <w:left w:w="0" w:type="dxa"/>
            <w:bottom w:w="0" w:type="dxa"/>
            <w:right w:w="0" w:type="dxa"/>
          </w:tblCellMar>
        </w:tblPrEx>
        <w:trPr>
          <w:trHeight w:val="450" w:hRule="atLeas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t>21301</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color w:val="000000"/>
                <w:sz w:val="22"/>
              </w:rPr>
              <w:t>农业农村</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eastAsia="zh-CN"/>
              </w:rPr>
            </w:pPr>
            <w:r>
              <w:rPr>
                <w:rFonts w:hint="eastAsia" w:eastAsia="宋体"/>
                <w:lang w:val="en-US" w:eastAsia="zh-CN"/>
              </w:rPr>
              <w:t>1024.58</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eastAsia="zh-CN"/>
              </w:rPr>
            </w:pPr>
            <w:r>
              <w:rPr>
                <w:rFonts w:hint="eastAsia" w:eastAsia="宋体"/>
                <w:lang w:val="en-US" w:eastAsia="zh-CN"/>
              </w:rPr>
              <w:t>747.15</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eastAsia="zh-CN"/>
              </w:rPr>
            </w:pPr>
            <w:r>
              <w:rPr>
                <w:rFonts w:hint="eastAsia" w:eastAsia="宋体"/>
                <w:lang w:val="en-US" w:eastAsia="zh-CN"/>
              </w:rPr>
              <w:t>274.56</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eastAsia="zh-CN"/>
              </w:rPr>
            </w:pPr>
            <w:r>
              <w:rPr>
                <w:rFonts w:hint="eastAsia" w:eastAsia="宋体"/>
                <w:lang w:val="en-US" w:eastAsia="zh-CN"/>
              </w:rPr>
              <w:t>2.87</w:t>
            </w:r>
          </w:p>
        </w:tc>
      </w:tr>
      <w:tr>
        <w:tblPrEx>
          <w:tblLayout w:type="fixed"/>
          <w:tblCellMar>
            <w:top w:w="0" w:type="dxa"/>
            <w:left w:w="0" w:type="dxa"/>
            <w:bottom w:w="0" w:type="dxa"/>
            <w:right w:w="0" w:type="dxa"/>
          </w:tblCellMar>
        </w:tblPrEx>
        <w:trPr>
          <w:trHeight w:val="448" w:hRule="exac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t>2130101</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rPr>
              <w:t>行政运行</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eastAsia="zh-CN"/>
              </w:rPr>
            </w:pPr>
            <w:r>
              <w:rPr>
                <w:rFonts w:hint="eastAsia" w:eastAsia="宋体"/>
                <w:lang w:val="en-US" w:eastAsia="zh-CN"/>
              </w:rPr>
              <w:t>92.08</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ascii="宋体" w:hAnsi="宋体" w:eastAsia="宋体" w:cs="宋体"/>
                <w:sz w:val="24"/>
                <w:szCs w:val="24"/>
                <w:lang w:val="en-US" w:eastAsia="zh-CN"/>
              </w:rPr>
            </w:pPr>
            <w:r>
              <w:rPr>
                <w:rFonts w:hint="eastAsia" w:eastAsia="宋体"/>
                <w:lang w:val="en-US" w:eastAsia="zh-CN"/>
              </w:rPr>
              <w:t>92.08</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0</w:t>
            </w:r>
          </w:p>
        </w:tc>
      </w:tr>
      <w:tr>
        <w:tblPrEx>
          <w:tblLayout w:type="fixed"/>
          <w:tblCellMar>
            <w:top w:w="0" w:type="dxa"/>
            <w:left w:w="0" w:type="dxa"/>
            <w:bottom w:w="0" w:type="dxa"/>
            <w:right w:w="0" w:type="dxa"/>
          </w:tblCellMar>
        </w:tblPrEx>
        <w:trPr>
          <w:trHeight w:val="450" w:hRule="atLeas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t>2130104</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rPr>
                <w:rFonts w:hint="eastAsia"/>
              </w:rPr>
              <w:t>事业运行</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309.49</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262.07</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44.55</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t>2.28</w:t>
            </w:r>
          </w:p>
        </w:tc>
      </w:tr>
      <w:tr>
        <w:tblPrEx>
          <w:tblLayout w:type="fixed"/>
          <w:tblCellMar>
            <w:top w:w="0" w:type="dxa"/>
            <w:left w:w="0" w:type="dxa"/>
            <w:bottom w:w="0" w:type="dxa"/>
            <w:right w:w="0" w:type="dxa"/>
          </w:tblCellMar>
        </w:tblPrEx>
        <w:trPr>
          <w:trHeight w:val="450" w:hRule="atLeas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eastAsiaTheme="minorEastAsia"/>
                <w:lang w:val="en-US" w:eastAsia="zh-CN"/>
              </w:rPr>
            </w:pPr>
            <w:r>
              <w:rPr>
                <w:rFonts w:hint="eastAsia"/>
                <w:lang w:val="en-US" w:eastAsia="zh-CN"/>
              </w:rPr>
              <w:t>2130106</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default" w:eastAsiaTheme="minorEastAsia"/>
                <w:lang w:val="en-US" w:eastAsia="zh-CN"/>
              </w:rPr>
            </w:pPr>
            <w:r>
              <w:rPr>
                <w:rFonts w:hint="eastAsia"/>
                <w:lang w:val="en-US" w:eastAsia="zh-CN"/>
              </w:rPr>
              <w:t>科技转化与推广服务</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230.01</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0</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lang w:val="en-US" w:eastAsia="zh-CN"/>
              </w:rPr>
            </w:pPr>
            <w:r>
              <w:rPr>
                <w:rFonts w:hint="eastAsia"/>
                <w:lang w:val="en-US" w:eastAsia="zh-CN"/>
              </w:rPr>
              <w:t>230.01</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eastAsiaTheme="minorEastAsia"/>
                <w:lang w:val="en-US" w:eastAsia="zh-CN"/>
              </w:rPr>
            </w:pPr>
            <w:r>
              <w:rPr>
                <w:rFonts w:hint="eastAsia"/>
                <w:lang w:val="en-US" w:eastAsia="zh-CN"/>
              </w:rPr>
              <w:t>0</w:t>
            </w:r>
          </w:p>
        </w:tc>
      </w:tr>
      <w:tr>
        <w:tblPrEx>
          <w:tblLayout w:type="fixed"/>
          <w:tblCellMar>
            <w:top w:w="0" w:type="dxa"/>
            <w:left w:w="0" w:type="dxa"/>
            <w:bottom w:w="0" w:type="dxa"/>
            <w:right w:w="0" w:type="dxa"/>
          </w:tblCellMar>
        </w:tblPrEx>
        <w:trPr>
          <w:trHeight w:val="450" w:hRule="atLeast"/>
        </w:trPr>
        <w:tc>
          <w:tcPr>
            <w:tcW w:w="934"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t>2130135</w:t>
            </w:r>
          </w:p>
        </w:tc>
        <w:tc>
          <w:tcPr>
            <w:tcW w:w="553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rPr>
                <w:rFonts w:hint="eastAsia"/>
              </w:rPr>
            </w:pPr>
            <w:r>
              <w:rPr>
                <w:rFonts w:hint="eastAsia"/>
              </w:rPr>
              <w:t>农业资源保护修复与利用</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393</w:t>
            </w:r>
          </w:p>
        </w:tc>
        <w:tc>
          <w:tcPr>
            <w:tcW w:w="15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default" w:eastAsiaTheme="minorEastAsia"/>
                <w:lang w:val="en-US" w:eastAsia="zh-CN"/>
              </w:rPr>
            </w:pPr>
            <w:r>
              <w:rPr>
                <w:rFonts w:hint="eastAsia"/>
                <w:lang w:val="en-US" w:eastAsia="zh-CN"/>
              </w:rPr>
              <w:t>393</w:t>
            </w:r>
          </w:p>
        </w:tc>
        <w:tc>
          <w:tcPr>
            <w:tcW w:w="936"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107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8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c>
          <w:tcPr>
            <w:tcW w:w="83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t>0</w:t>
            </w:r>
          </w:p>
        </w:tc>
        <w:tc>
          <w:tcPr>
            <w:tcW w:w="21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jc w:val="center"/>
              <w:rPr>
                <w:rFonts w:hint="eastAsia"/>
              </w:rPr>
            </w:pPr>
            <w:r>
              <w:rPr>
                <w:rFonts w:hint="eastAsia"/>
              </w:rPr>
              <w:t>0</w:t>
            </w:r>
          </w:p>
        </w:tc>
      </w:tr>
      <w:tr>
        <w:tblPrEx>
          <w:tblLayout w:type="fixed"/>
          <w:tblCellMar>
            <w:top w:w="0" w:type="dxa"/>
            <w:left w:w="0" w:type="dxa"/>
            <w:bottom w:w="0" w:type="dxa"/>
            <w:right w:w="0" w:type="dxa"/>
          </w:tblCellMar>
        </w:tblPrEx>
        <w:trPr>
          <w:trHeight w:val="615" w:hRule="atLeast"/>
        </w:trPr>
        <w:tc>
          <w:tcPr>
            <w:tcW w:w="15428" w:type="dxa"/>
            <w:gridSpan w:val="10"/>
            <w:tcBorders>
              <w:top w:val="nil"/>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bl>
    <w:p>
      <w:pPr>
        <w:widowControl/>
        <w:jc w:val="left"/>
        <w:rPr>
          <w:rFonts w:ascii="Times New Roman" w:hAnsi="Times New Roman" w:eastAsia="方正小标宋_GBK" w:cs="Times New Roman"/>
          <w:color w:val="000000"/>
          <w:kern w:val="0"/>
          <w:sz w:val="36"/>
          <w:szCs w:val="36"/>
        </w:rPr>
      </w:pPr>
      <w:r>
        <w:br w:type="page"/>
      </w:r>
    </w:p>
    <w:tbl>
      <w:tblPr>
        <w:tblStyle w:val="8"/>
        <w:tblW w:w="15440" w:type="dxa"/>
        <w:tblInd w:w="93" w:type="dxa"/>
        <w:tblLayout w:type="fixed"/>
        <w:tblCellMar>
          <w:top w:w="0" w:type="dxa"/>
          <w:left w:w="108" w:type="dxa"/>
          <w:bottom w:w="0" w:type="dxa"/>
          <w:right w:w="108" w:type="dxa"/>
        </w:tblCellMar>
      </w:tblPr>
      <w:tblGrid>
        <w:gridCol w:w="1236"/>
        <w:gridCol w:w="263"/>
        <w:gridCol w:w="3297"/>
        <w:gridCol w:w="1787"/>
        <w:gridCol w:w="1991"/>
        <w:gridCol w:w="1991"/>
        <w:gridCol w:w="1666"/>
        <w:gridCol w:w="1550"/>
        <w:gridCol w:w="1659"/>
      </w:tblGrid>
      <w:tr>
        <w:tblPrEx>
          <w:tblLayout w:type="fixed"/>
          <w:tblCellMar>
            <w:top w:w="0" w:type="dxa"/>
            <w:left w:w="108" w:type="dxa"/>
            <w:bottom w:w="0" w:type="dxa"/>
            <w:right w:w="108" w:type="dxa"/>
          </w:tblCellMar>
        </w:tblPrEx>
        <w:trPr>
          <w:trHeight w:val="807" w:hRule="atLeast"/>
        </w:trPr>
        <w:tc>
          <w:tcPr>
            <w:tcW w:w="15440"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Layout w:type="fixed"/>
          <w:tblCellMar>
            <w:top w:w="0" w:type="dxa"/>
            <w:left w:w="108" w:type="dxa"/>
            <w:bottom w:w="0" w:type="dxa"/>
            <w:right w:w="108" w:type="dxa"/>
          </w:tblCellMar>
        </w:tblPrEx>
        <w:trPr>
          <w:trHeight w:val="403" w:hRule="atLeast"/>
        </w:trPr>
        <w:tc>
          <w:tcPr>
            <w:tcW w:w="12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6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29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8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6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5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59"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Layout w:type="fixed"/>
          <w:tblCellMar>
            <w:top w:w="0" w:type="dxa"/>
            <w:left w:w="108" w:type="dxa"/>
            <w:bottom w:w="0" w:type="dxa"/>
            <w:right w:w="108" w:type="dxa"/>
          </w:tblCellMar>
        </w:tblPrEx>
        <w:trPr>
          <w:trHeight w:val="698" w:hRule="atLeast"/>
        </w:trPr>
        <w:tc>
          <w:tcPr>
            <w:tcW w:w="6583" w:type="dxa"/>
            <w:gridSpan w:val="4"/>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部门：湖南省水产原种场</w:t>
            </w:r>
          </w:p>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91" w:type="dxa"/>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66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5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659"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595" w:hRule="atLeast"/>
        </w:trPr>
        <w:tc>
          <w:tcPr>
            <w:tcW w:w="4796"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78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99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99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666"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550"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165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Layout w:type="fixed"/>
          <w:tblCellMar>
            <w:top w:w="0" w:type="dxa"/>
            <w:left w:w="108" w:type="dxa"/>
            <w:bottom w:w="0" w:type="dxa"/>
            <w:right w:w="108" w:type="dxa"/>
          </w:tblCellMar>
        </w:tblPrEx>
        <w:trPr>
          <w:trHeight w:val="595" w:hRule="atLeast"/>
        </w:trPr>
        <w:tc>
          <w:tcPr>
            <w:tcW w:w="1499"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3297"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7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5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595" w:hRule="atLeast"/>
        </w:trPr>
        <w:tc>
          <w:tcPr>
            <w:tcW w:w="149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29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78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9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6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5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65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595" w:hRule="atLeast"/>
        </w:trPr>
        <w:tc>
          <w:tcPr>
            <w:tcW w:w="479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787"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99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99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66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659"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Layout w:type="fixed"/>
          <w:tblCellMar>
            <w:top w:w="0" w:type="dxa"/>
            <w:left w:w="108" w:type="dxa"/>
            <w:bottom w:w="0" w:type="dxa"/>
            <w:right w:w="108" w:type="dxa"/>
          </w:tblCellMar>
        </w:tblPrEx>
        <w:trPr>
          <w:trHeight w:val="595" w:hRule="atLeast"/>
        </w:trPr>
        <w:tc>
          <w:tcPr>
            <w:tcW w:w="4796"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78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890.18</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443.57</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446.61</w:t>
            </w:r>
          </w:p>
        </w:tc>
        <w:tc>
          <w:tcPr>
            <w:tcW w:w="166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5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6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ascii="宋体" w:hAnsi="宋体" w:eastAsia="宋体" w:cs="宋体"/>
                <w:kern w:val="0"/>
                <w:sz w:val="24"/>
                <w:szCs w:val="24"/>
              </w:rPr>
            </w:pPr>
            <w:r>
              <w:rPr>
                <w:rFonts w:ascii="宋体" w:hAnsi="宋体" w:eastAsia="宋体" w:cs="宋体"/>
                <w:kern w:val="0"/>
                <w:sz w:val="24"/>
                <w:szCs w:val="24"/>
              </w:rPr>
              <w:t>208</w:t>
            </w:r>
          </w:p>
        </w:tc>
        <w:tc>
          <w:tcPr>
            <w:tcW w:w="3297"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社会保障和就业支出</w:t>
            </w:r>
          </w:p>
        </w:tc>
        <w:tc>
          <w:tcPr>
            <w:tcW w:w="178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42.00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42.00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66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5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6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ascii="宋体" w:hAnsi="宋体" w:eastAsia="宋体" w:cs="宋体"/>
                <w:kern w:val="0"/>
                <w:sz w:val="24"/>
                <w:szCs w:val="24"/>
              </w:rPr>
            </w:pPr>
            <w:r>
              <w:rPr>
                <w:rFonts w:ascii="宋体" w:hAnsi="宋体" w:eastAsia="宋体" w:cs="宋体"/>
                <w:kern w:val="0"/>
                <w:sz w:val="24"/>
                <w:szCs w:val="24"/>
              </w:rPr>
              <w:t>20805</w:t>
            </w:r>
          </w:p>
        </w:tc>
        <w:tc>
          <w:tcPr>
            <w:tcW w:w="3297"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社会保障和就业支出</w:t>
            </w:r>
          </w:p>
        </w:tc>
        <w:tc>
          <w:tcPr>
            <w:tcW w:w="178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42.00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42.00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66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5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6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ascii="宋体" w:hAnsi="宋体" w:eastAsia="宋体" w:cs="宋体"/>
                <w:kern w:val="0"/>
                <w:sz w:val="24"/>
                <w:szCs w:val="24"/>
              </w:rPr>
            </w:pPr>
            <w:r>
              <w:rPr>
                <w:rFonts w:ascii="宋体" w:hAnsi="宋体" w:eastAsia="宋体" w:cs="宋体"/>
                <w:kern w:val="0"/>
                <w:sz w:val="24"/>
                <w:szCs w:val="24"/>
              </w:rPr>
              <w:t>2080505</w:t>
            </w:r>
          </w:p>
        </w:tc>
        <w:tc>
          <w:tcPr>
            <w:tcW w:w="3297"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机关事业单位基本养老保险缴费支出</w:t>
            </w:r>
          </w:p>
        </w:tc>
        <w:tc>
          <w:tcPr>
            <w:tcW w:w="178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42.00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42.00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66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5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6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ascii="宋体" w:hAnsi="宋体" w:eastAsia="宋体" w:cs="宋体"/>
                <w:kern w:val="0"/>
                <w:sz w:val="24"/>
                <w:szCs w:val="24"/>
              </w:rPr>
            </w:pPr>
            <w:r>
              <w:rPr>
                <w:rFonts w:ascii="宋体" w:hAnsi="宋体" w:eastAsia="宋体" w:cs="宋体"/>
                <w:kern w:val="0"/>
                <w:sz w:val="24"/>
                <w:szCs w:val="24"/>
              </w:rPr>
              <w:t>213</w:t>
            </w:r>
          </w:p>
        </w:tc>
        <w:tc>
          <w:tcPr>
            <w:tcW w:w="3297"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农林水支出</w:t>
            </w:r>
          </w:p>
        </w:tc>
        <w:tc>
          <w:tcPr>
            <w:tcW w:w="178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848.18</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401.57</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446.61</w:t>
            </w:r>
          </w:p>
        </w:tc>
        <w:tc>
          <w:tcPr>
            <w:tcW w:w="166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5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6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ascii="宋体" w:hAnsi="宋体" w:eastAsia="宋体" w:cs="宋体"/>
                <w:kern w:val="0"/>
                <w:sz w:val="24"/>
                <w:szCs w:val="24"/>
              </w:rPr>
            </w:pPr>
            <w:r>
              <w:rPr>
                <w:rFonts w:ascii="宋体" w:hAnsi="宋体" w:eastAsia="宋体" w:cs="宋体"/>
                <w:kern w:val="0"/>
                <w:sz w:val="24"/>
                <w:szCs w:val="24"/>
              </w:rPr>
              <w:t>21301</w:t>
            </w:r>
          </w:p>
        </w:tc>
        <w:tc>
          <w:tcPr>
            <w:tcW w:w="3297"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农业农村</w:t>
            </w:r>
          </w:p>
        </w:tc>
        <w:tc>
          <w:tcPr>
            <w:tcW w:w="178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714.00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401.57</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312.44</w:t>
            </w:r>
          </w:p>
        </w:tc>
        <w:tc>
          <w:tcPr>
            <w:tcW w:w="166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5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6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both"/>
              <w:rPr>
                <w:rFonts w:ascii="宋体" w:hAnsi="宋体" w:eastAsia="宋体" w:cs="宋体"/>
                <w:kern w:val="0"/>
                <w:sz w:val="24"/>
                <w:szCs w:val="24"/>
              </w:rPr>
            </w:pPr>
            <w:r>
              <w:rPr>
                <w:rFonts w:ascii="宋体" w:hAnsi="宋体" w:eastAsia="宋体" w:cs="宋体"/>
                <w:kern w:val="0"/>
                <w:sz w:val="24"/>
                <w:szCs w:val="24"/>
              </w:rPr>
              <w:t>2130101</w:t>
            </w:r>
          </w:p>
        </w:tc>
        <w:tc>
          <w:tcPr>
            <w:tcW w:w="3297"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行政运行</w:t>
            </w:r>
          </w:p>
        </w:tc>
        <w:tc>
          <w:tcPr>
            <w:tcW w:w="178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92.08</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92.08</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66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5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c>
          <w:tcPr>
            <w:tcW w:w="16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ascii="宋体" w:hAnsi="宋体" w:eastAsia="宋体" w:cs="宋体"/>
                <w:kern w:val="0"/>
                <w:sz w:val="24"/>
                <w:szCs w:val="24"/>
              </w:rPr>
              <w:t>2130104</w:t>
            </w:r>
          </w:p>
        </w:tc>
        <w:tc>
          <w:tcPr>
            <w:tcW w:w="3297"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事业运行</w:t>
            </w:r>
          </w:p>
        </w:tc>
        <w:tc>
          <w:tcPr>
            <w:tcW w:w="178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309.49</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309.49</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ascii="宋体" w:hAnsi="宋体" w:eastAsia="宋体" w:cs="宋体"/>
                <w:kern w:val="0"/>
                <w:sz w:val="24"/>
                <w:szCs w:val="24"/>
              </w:rPr>
              <w:t>99.85</w:t>
            </w:r>
          </w:p>
        </w:tc>
        <w:tc>
          <w:tcPr>
            <w:tcW w:w="166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55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65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2130106</w:t>
            </w:r>
          </w:p>
        </w:tc>
        <w:tc>
          <w:tcPr>
            <w:tcW w:w="3297" w:type="dxa"/>
            <w:tcBorders>
              <w:top w:val="nil"/>
              <w:left w:val="nil"/>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科技转化与推广服务</w:t>
            </w:r>
          </w:p>
        </w:tc>
        <w:tc>
          <w:tcPr>
            <w:tcW w:w="178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67.50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67.50</w:t>
            </w:r>
          </w:p>
        </w:tc>
        <w:tc>
          <w:tcPr>
            <w:tcW w:w="166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55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5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2130111</w:t>
            </w:r>
          </w:p>
        </w:tc>
        <w:tc>
          <w:tcPr>
            <w:tcW w:w="3297" w:type="dxa"/>
            <w:tcBorders>
              <w:top w:val="nil"/>
              <w:left w:val="nil"/>
              <w:bottom w:val="single" w:color="auto" w:sz="4" w:space="0"/>
              <w:right w:val="single" w:color="auto" w:sz="4" w:space="0"/>
            </w:tcBorders>
            <w:shd w:val="clear" w:color="000000" w:fill="FFFFFF"/>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统计监测与信息服务</w:t>
            </w:r>
          </w:p>
        </w:tc>
        <w:tc>
          <w:tcPr>
            <w:tcW w:w="178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20.00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20.00</w:t>
            </w:r>
          </w:p>
        </w:tc>
        <w:tc>
          <w:tcPr>
            <w:tcW w:w="1666"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55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c>
          <w:tcPr>
            <w:tcW w:w="1659"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ascii="宋体" w:hAnsi="宋体" w:eastAsia="宋体" w:cs="宋体"/>
                <w:kern w:val="0"/>
                <w:sz w:val="24"/>
                <w:szCs w:val="24"/>
              </w:rPr>
              <w:t>2130135</w:t>
            </w:r>
          </w:p>
        </w:tc>
        <w:tc>
          <w:tcPr>
            <w:tcW w:w="3297"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农业资源保护修复与利用</w:t>
            </w:r>
          </w:p>
        </w:tc>
        <w:tc>
          <w:tcPr>
            <w:tcW w:w="178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224.94</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224.94</w:t>
            </w:r>
          </w:p>
        </w:tc>
        <w:tc>
          <w:tcPr>
            <w:tcW w:w="166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55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65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ascii="宋体" w:hAnsi="宋体" w:eastAsia="宋体" w:cs="宋体"/>
                <w:kern w:val="0"/>
                <w:sz w:val="24"/>
                <w:szCs w:val="24"/>
              </w:rPr>
              <w:t>21302</w:t>
            </w:r>
          </w:p>
        </w:tc>
        <w:tc>
          <w:tcPr>
            <w:tcW w:w="3297"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林业和草原</w:t>
            </w:r>
          </w:p>
        </w:tc>
        <w:tc>
          <w:tcPr>
            <w:tcW w:w="178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134.18</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134.18</w:t>
            </w:r>
          </w:p>
        </w:tc>
        <w:tc>
          <w:tcPr>
            <w:tcW w:w="166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55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65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595" w:hRule="atLeast"/>
        </w:trPr>
        <w:tc>
          <w:tcPr>
            <w:tcW w:w="1499"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ascii="宋体" w:hAnsi="宋体" w:eastAsia="宋体" w:cs="宋体"/>
                <w:kern w:val="0"/>
                <w:sz w:val="24"/>
                <w:szCs w:val="24"/>
              </w:rPr>
              <w:t>2130299</w:t>
            </w:r>
          </w:p>
        </w:tc>
        <w:tc>
          <w:tcPr>
            <w:tcW w:w="3297" w:type="dxa"/>
            <w:tcBorders>
              <w:top w:val="nil"/>
              <w:left w:val="nil"/>
              <w:bottom w:val="single" w:color="auto" w:sz="4" w:space="0"/>
              <w:right w:val="single" w:color="auto" w:sz="4" w:space="0"/>
            </w:tcBorders>
            <w:shd w:val="clear" w:color="000000" w:fill="FFFFFF"/>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其他林业和草原支出</w:t>
            </w:r>
          </w:p>
        </w:tc>
        <w:tc>
          <w:tcPr>
            <w:tcW w:w="1787"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134.18</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991"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134.18</w:t>
            </w:r>
          </w:p>
        </w:tc>
        <w:tc>
          <w:tcPr>
            <w:tcW w:w="166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55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c>
          <w:tcPr>
            <w:tcW w:w="1659"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0</w:t>
            </w:r>
          </w:p>
        </w:tc>
      </w:tr>
      <w:tr>
        <w:tblPrEx>
          <w:tblLayout w:type="fixed"/>
          <w:tblCellMar>
            <w:top w:w="0" w:type="dxa"/>
            <w:left w:w="108" w:type="dxa"/>
            <w:bottom w:w="0" w:type="dxa"/>
            <w:right w:w="108" w:type="dxa"/>
          </w:tblCellMar>
        </w:tblPrEx>
        <w:trPr>
          <w:trHeight w:val="828" w:hRule="atLeast"/>
        </w:trPr>
        <w:tc>
          <w:tcPr>
            <w:tcW w:w="15440" w:type="dxa"/>
            <w:gridSpan w:val="9"/>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rPr>
          <w:rFonts w:ascii="Times New Roman" w:hAnsi="Times New Roman" w:eastAsia="方正小标宋_GBK" w:cs="Times New Roman"/>
          <w:color w:val="000000"/>
          <w:kern w:val="0"/>
          <w:sz w:val="36"/>
          <w:szCs w:val="21"/>
        </w:rPr>
      </w:pPr>
    </w:p>
    <w:p>
      <w:pPr>
        <w:widowControl/>
        <w:rPr>
          <w:rFonts w:ascii="Times New Roman" w:hAnsi="Times New Roman" w:eastAsia="方正小标宋_GBK" w:cs="Times New Roman"/>
          <w:color w:val="000000"/>
          <w:kern w:val="0"/>
          <w:sz w:val="36"/>
          <w:szCs w:val="21"/>
        </w:rPr>
      </w:pPr>
    </w:p>
    <w:p>
      <w:pPr>
        <w:widowControl/>
        <w:rPr>
          <w:rFonts w:ascii="Times New Roman" w:hAnsi="Times New Roman" w:eastAsia="方正小标宋_GBK" w:cs="Times New Roman"/>
          <w:color w:val="000000"/>
          <w:kern w:val="0"/>
          <w:sz w:val="36"/>
          <w:szCs w:val="21"/>
        </w:rPr>
      </w:pPr>
    </w:p>
    <w:p>
      <w:pPr>
        <w:widowControl/>
        <w:rPr>
          <w:rFonts w:ascii="Times New Roman" w:hAnsi="Times New Roman" w:eastAsia="方正小标宋_GBK" w:cs="Times New Roman"/>
          <w:color w:val="000000"/>
          <w:kern w:val="0"/>
          <w:sz w:val="36"/>
          <w:szCs w:val="21"/>
        </w:rPr>
      </w:pPr>
    </w:p>
    <w:p>
      <w:pPr>
        <w:widowControl/>
        <w:rPr>
          <w:rFonts w:ascii="Times New Roman" w:hAnsi="Times New Roman" w:eastAsia="方正小标宋_GBK" w:cs="Times New Roman"/>
          <w:color w:val="000000"/>
          <w:kern w:val="0"/>
          <w:sz w:val="36"/>
          <w:szCs w:val="21"/>
        </w:rPr>
      </w:pPr>
    </w:p>
    <w:p>
      <w:pPr>
        <w:widowControl/>
        <w:rPr>
          <w:rFonts w:ascii="Times New Roman" w:hAnsi="Times New Roman" w:eastAsia="方正小标宋_GBK" w:cs="Times New Roman"/>
          <w:color w:val="000000"/>
          <w:kern w:val="0"/>
          <w:sz w:val="36"/>
          <w:szCs w:val="21"/>
        </w:rPr>
      </w:pPr>
    </w:p>
    <w:p>
      <w:pPr>
        <w:widowControl/>
        <w:rPr>
          <w:rFonts w:ascii="Times New Roman" w:hAnsi="Times New Roman" w:eastAsia="方正小标宋_GBK" w:cs="Times New Roman"/>
          <w:color w:val="000000"/>
          <w:kern w:val="0"/>
          <w:sz w:val="36"/>
          <w:szCs w:val="21"/>
        </w:rPr>
      </w:pPr>
    </w:p>
    <w:p>
      <w:pPr>
        <w:widowControl/>
        <w:rPr>
          <w:rFonts w:ascii="Times New Roman" w:hAnsi="Times New Roman" w:eastAsia="方正小标宋_GBK" w:cs="Times New Roman"/>
          <w:color w:val="000000"/>
          <w:kern w:val="0"/>
          <w:sz w:val="36"/>
          <w:szCs w:val="21"/>
        </w:rPr>
      </w:pPr>
    </w:p>
    <w:p>
      <w:pPr>
        <w:widowControl/>
        <w:rPr>
          <w:rFonts w:ascii="Times New Roman" w:hAnsi="Times New Roman" w:eastAsia="方正小标宋_GBK" w:cs="Times New Roman"/>
          <w:color w:val="000000"/>
          <w:kern w:val="0"/>
          <w:sz w:val="36"/>
          <w:szCs w:val="21"/>
        </w:rPr>
      </w:pPr>
    </w:p>
    <w:p>
      <w:pPr>
        <w:widowControl/>
        <w:rPr>
          <w:rFonts w:ascii="Times New Roman" w:hAnsi="Times New Roman" w:eastAsia="方正小标宋_GBK" w:cs="Times New Roman"/>
          <w:color w:val="000000"/>
          <w:kern w:val="0"/>
          <w:sz w:val="36"/>
          <w:szCs w:val="21"/>
        </w:rPr>
      </w:pPr>
    </w:p>
    <w:p>
      <w:pPr>
        <w:widowControl/>
        <w:rPr>
          <w:rFonts w:ascii="Times New Roman" w:hAnsi="Times New Roman" w:eastAsia="方正小标宋_GBK" w:cs="Times New Roman"/>
          <w:color w:val="000000"/>
          <w:kern w:val="0"/>
          <w:sz w:val="36"/>
          <w:szCs w:val="21"/>
        </w:rPr>
      </w:pPr>
    </w:p>
    <w:p>
      <w:pPr>
        <w:widowControl/>
        <w:rPr>
          <w:rFonts w:ascii="Times New Roman" w:hAnsi="Times New Roman" w:eastAsia="方正小标宋_GBK" w:cs="Times New Roman"/>
          <w:color w:val="000000"/>
          <w:kern w:val="0"/>
          <w:sz w:val="36"/>
          <w:szCs w:val="21"/>
        </w:rPr>
      </w:pPr>
    </w:p>
    <w:tbl>
      <w:tblPr>
        <w:tblStyle w:val="8"/>
        <w:tblW w:w="15521" w:type="dxa"/>
        <w:tblInd w:w="93" w:type="dxa"/>
        <w:tblLayout w:type="fixed"/>
        <w:tblCellMar>
          <w:top w:w="0" w:type="dxa"/>
          <w:left w:w="108" w:type="dxa"/>
          <w:bottom w:w="0" w:type="dxa"/>
          <w:right w:w="108" w:type="dxa"/>
        </w:tblCellMar>
      </w:tblPr>
      <w:tblGrid>
        <w:gridCol w:w="3595"/>
        <w:gridCol w:w="436"/>
        <w:gridCol w:w="1078"/>
        <w:gridCol w:w="496"/>
        <w:gridCol w:w="2915"/>
        <w:gridCol w:w="632"/>
        <w:gridCol w:w="435"/>
        <w:gridCol w:w="1573"/>
        <w:gridCol w:w="1394"/>
        <w:gridCol w:w="1394"/>
        <w:gridCol w:w="1573"/>
      </w:tblGrid>
      <w:tr>
        <w:tblPrEx>
          <w:tblLayout w:type="fixed"/>
          <w:tblCellMar>
            <w:top w:w="0" w:type="dxa"/>
            <w:left w:w="108" w:type="dxa"/>
            <w:bottom w:w="0" w:type="dxa"/>
            <w:right w:w="108" w:type="dxa"/>
          </w:tblCellMar>
        </w:tblPrEx>
        <w:trPr>
          <w:trHeight w:val="285" w:hRule="atLeast"/>
        </w:trPr>
        <w:tc>
          <w:tcPr>
            <w:tcW w:w="3595" w:type="dxa"/>
            <w:tcBorders>
              <w:top w:val="nil"/>
              <w:left w:val="nil"/>
              <w:bottom w:val="nil"/>
              <w:right w:val="nil"/>
            </w:tcBorders>
            <w:shd w:val="clear" w:color="auto" w:fill="auto"/>
            <w:noWrap/>
            <w:vAlign w:val="center"/>
          </w:tcPr>
          <w:p>
            <w:pPr>
              <w:widowControl/>
              <w:jc w:val="left"/>
              <w:rPr>
                <w:rFonts w:ascii="黑体" w:hAnsi="黑体" w:eastAsia="黑体" w:cs="宋体"/>
                <w:kern w:val="0"/>
                <w:sz w:val="24"/>
                <w:szCs w:val="24"/>
              </w:rPr>
            </w:pPr>
            <w:bookmarkStart w:id="0" w:name="RANGE!A1:I22"/>
            <w:bookmarkEnd w:id="0"/>
            <w:bookmarkStart w:id="1" w:name="RANGE!A1:F16"/>
          </w:p>
        </w:tc>
        <w:tc>
          <w:tcPr>
            <w:tcW w:w="436"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4"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3547" w:type="dxa"/>
            <w:gridSpan w:val="2"/>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435"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394"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c>
          <w:tcPr>
            <w:tcW w:w="1573" w:type="dxa"/>
            <w:tcBorders>
              <w:top w:val="nil"/>
              <w:left w:val="nil"/>
              <w:bottom w:val="nil"/>
              <w:right w:val="nil"/>
            </w:tcBorders>
            <w:shd w:val="clear" w:color="auto" w:fill="auto"/>
            <w:noWrap/>
            <w:vAlign w:val="center"/>
          </w:tcPr>
          <w:p>
            <w:pPr>
              <w:widowControl/>
              <w:jc w:val="righ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tblPrEx>
          <w:tblLayout w:type="fixed"/>
          <w:tblCellMar>
            <w:top w:w="0" w:type="dxa"/>
            <w:left w:w="108" w:type="dxa"/>
            <w:bottom w:w="0" w:type="dxa"/>
            <w:right w:w="108" w:type="dxa"/>
          </w:tblCellMar>
        </w:tblPrEx>
        <w:trPr>
          <w:trHeight w:val="199" w:hRule="atLeast"/>
        </w:trPr>
        <w:tc>
          <w:tcPr>
            <w:tcW w:w="359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Layout w:type="fixed"/>
          <w:tblCellMar>
            <w:top w:w="0" w:type="dxa"/>
            <w:left w:w="108" w:type="dxa"/>
            <w:bottom w:w="0" w:type="dxa"/>
            <w:right w:w="108" w:type="dxa"/>
          </w:tblCellMar>
        </w:tblPrEx>
        <w:trPr>
          <w:trHeight w:val="300" w:hRule="atLeast"/>
        </w:trPr>
        <w:tc>
          <w:tcPr>
            <w:tcW w:w="3595" w:type="dxa"/>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部门：湖南省水产原种场</w:t>
            </w:r>
          </w:p>
        </w:tc>
        <w:tc>
          <w:tcPr>
            <w:tcW w:w="436"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43"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5"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9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402" w:hRule="atLeast"/>
        </w:trPr>
        <w:tc>
          <w:tcPr>
            <w:tcW w:w="5109"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412" w:type="dxa"/>
            <w:gridSpan w:val="8"/>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Layout w:type="fixed"/>
          <w:tblCellMar>
            <w:top w:w="0" w:type="dxa"/>
            <w:left w:w="108" w:type="dxa"/>
            <w:bottom w:w="0" w:type="dxa"/>
            <w:right w:w="108" w:type="dxa"/>
          </w:tblCellMar>
        </w:tblPrEx>
        <w:trPr>
          <w:trHeight w:val="630"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1</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789.15</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color w:val="000000"/>
                <w:kern w:val="0"/>
                <w:sz w:val="20"/>
                <w:szCs w:val="20"/>
                <w:lang w:bidi="ar"/>
              </w:rPr>
              <w:t>一、一般公共服务支出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33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2</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color w:val="000000"/>
                <w:kern w:val="0"/>
                <w:sz w:val="20"/>
                <w:szCs w:val="20"/>
                <w:lang w:bidi="ar"/>
              </w:rPr>
              <w:t>二、外交支出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34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3</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color w:val="000000"/>
                <w:kern w:val="0"/>
                <w:sz w:val="20"/>
                <w:szCs w:val="20"/>
                <w:lang w:bidi="ar"/>
              </w:rPr>
              <w:t>三、国防支出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35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color w:val="000000"/>
                <w:kern w:val="0"/>
                <w:sz w:val="20"/>
                <w:szCs w:val="20"/>
                <w:lang w:bidi="ar"/>
              </w:rPr>
              <w:t>四、公共安全支出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36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color w:val="000000"/>
                <w:kern w:val="0"/>
                <w:sz w:val="20"/>
                <w:szCs w:val="20"/>
                <w:lang w:bidi="ar"/>
              </w:rPr>
              <w:t>五、教育支出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37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6</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六、科学技术支出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38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七、文化旅游体育与传媒支出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39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8</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八、社会保障和就业支出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42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9</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九、卫生健康支出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10</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十、节能环保支出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11</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十一、城乡社区支出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12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十二、农林水支出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733.26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733.26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13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十三、交通运输支出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eastAsia="zh-CN"/>
              </w:rPr>
            </w:pPr>
            <w:r>
              <w:rPr>
                <w:rFonts w:hint="eastAsia" w:ascii="宋体" w:hAnsi="宋体" w:eastAsia="宋体" w:cs="宋体"/>
                <w:kern w:val="0"/>
                <w:sz w:val="22"/>
                <w:lang w:val="en-US" w:eastAsia="zh-CN"/>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14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十四、资源勘探工业信息等支出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15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十五、商业服务业等支出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16</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十六、金融支出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17</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十七、援助其他地区支出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49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18</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十八、自然资源海洋气象等支出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50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19</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color w:val="000000"/>
                <w:kern w:val="0"/>
                <w:sz w:val="20"/>
                <w:szCs w:val="20"/>
                <w:lang w:bidi="ar"/>
              </w:rPr>
              <w:t>十九、住房保障支出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51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20</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color w:val="000000"/>
                <w:kern w:val="0"/>
                <w:sz w:val="20"/>
                <w:szCs w:val="20"/>
                <w:lang w:bidi="ar"/>
              </w:rPr>
              <w:t>二十、粮油物资储备支出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52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21</w:t>
            </w:r>
          </w:p>
        </w:tc>
        <w:tc>
          <w:tcPr>
            <w:tcW w:w="107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color w:val="000000"/>
                <w:kern w:val="0"/>
                <w:sz w:val="20"/>
                <w:szCs w:val="20"/>
                <w:lang w:bidi="ar"/>
              </w:rPr>
              <w:t>二十一、国有资本经营预算支出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53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22</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color w:val="000000"/>
                <w:kern w:val="0"/>
                <w:sz w:val="20"/>
                <w:szCs w:val="20"/>
                <w:lang w:bidi="ar"/>
              </w:rPr>
              <w:t>二十二、灾害防治及应急管理支出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54</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23</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二十三、其他支出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55</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24</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color w:val="000000"/>
                <w:kern w:val="0"/>
                <w:sz w:val="20"/>
                <w:szCs w:val="20"/>
                <w:lang w:bidi="ar"/>
              </w:rPr>
              <w:t>二十四、债务还本支出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56</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25</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color w:val="000000"/>
                <w:kern w:val="0"/>
                <w:sz w:val="20"/>
                <w:szCs w:val="20"/>
                <w:lang w:bidi="ar"/>
              </w:rPr>
              <w:t>二十五、债务付息支出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57</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p>
            <w:pPr>
              <w:widowControl/>
              <w:jc w:val="center"/>
              <w:rPr>
                <w:rFonts w:hint="eastAsia" w:ascii="宋体" w:hAnsi="宋体" w:eastAsia="宋体" w:cs="宋体"/>
                <w:kern w:val="0"/>
                <w:sz w:val="22"/>
              </w:rPr>
            </w:pP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26</w:t>
            </w:r>
          </w:p>
        </w:tc>
        <w:tc>
          <w:tcPr>
            <w:tcW w:w="1078"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color w:val="000000"/>
                <w:kern w:val="0"/>
                <w:sz w:val="20"/>
                <w:szCs w:val="20"/>
                <w:lang w:bidi="ar"/>
              </w:rPr>
              <w:t>二十六、抗疫特别国债安排的支出</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58</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b/>
                <w:bCs/>
                <w:kern w:val="0"/>
                <w:sz w:val="22"/>
              </w:rPr>
              <w:t>本年收入合计</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27</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789.15</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b/>
                <w:bCs/>
                <w:kern w:val="0"/>
                <w:sz w:val="22"/>
              </w:rPr>
              <w:t>本年支出合计</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59</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775.26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775.26</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年初财政拨款结转和结余</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28</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216.23</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rPr>
              <w:t>年末财政拨款结转和结余</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60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230.12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230.12</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 xml:space="preserve">      一般公共预算财政拨款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29</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216.23</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61</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 xml:space="preserve">        政府性基金预算财政拨款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30</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kern w:val="0"/>
                <w:sz w:val="22"/>
              </w:rPr>
              <w:t>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r>
              <w:rPr>
                <w:rFonts w:hint="eastAsia" w:ascii="宋体" w:hAnsi="宋体" w:eastAsia="宋体" w:cs="宋体"/>
                <w:color w:val="000000"/>
                <w:kern w:val="0"/>
                <w:sz w:val="20"/>
                <w:szCs w:val="20"/>
                <w:lang w:bidi="ar"/>
              </w:rPr>
              <w:t>62</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xml:space="preserve">          国有资本经营预算财政拨款</w:t>
            </w:r>
          </w:p>
        </w:tc>
        <w:tc>
          <w:tcPr>
            <w:tcW w:w="43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31</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341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106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63</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p>
        </w:tc>
      </w:tr>
      <w:tr>
        <w:tblPrEx>
          <w:tblLayout w:type="fixed"/>
          <w:tblCellMar>
            <w:top w:w="0" w:type="dxa"/>
            <w:left w:w="108" w:type="dxa"/>
            <w:bottom w:w="0" w:type="dxa"/>
            <w:right w:w="108" w:type="dxa"/>
          </w:tblCellMar>
        </w:tblPrEx>
        <w:trPr>
          <w:trHeight w:val="402" w:hRule="atLeast"/>
        </w:trPr>
        <w:tc>
          <w:tcPr>
            <w:tcW w:w="359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36"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32</w:t>
            </w:r>
          </w:p>
        </w:tc>
        <w:tc>
          <w:tcPr>
            <w:tcW w:w="107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1005.38</w:t>
            </w:r>
          </w:p>
        </w:tc>
        <w:tc>
          <w:tcPr>
            <w:tcW w:w="3411"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1067" w:type="dxa"/>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color w:val="000000"/>
                <w:kern w:val="0"/>
                <w:sz w:val="20"/>
                <w:szCs w:val="20"/>
                <w:lang w:bidi="ar"/>
              </w:rPr>
              <w:t>64</w:t>
            </w:r>
          </w:p>
        </w:tc>
        <w:tc>
          <w:tcPr>
            <w:tcW w:w="1573"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1005.38</w:t>
            </w:r>
          </w:p>
        </w:tc>
        <w:tc>
          <w:tcPr>
            <w:tcW w:w="1394"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1005.38</w:t>
            </w:r>
          </w:p>
        </w:tc>
        <w:tc>
          <w:tcPr>
            <w:tcW w:w="13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c>
          <w:tcPr>
            <w:tcW w:w="157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0</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hint="eastAsia"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一般公共预算财政拨款支出决算表</w:t>
      </w:r>
      <w:bookmarkEnd w:id="1"/>
    </w:p>
    <w:p>
      <w:pPr>
        <w:widowControl/>
        <w:spacing w:before="156" w:beforeLines="5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rPr>
        <w:t>湖南省水产原种场</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公开05表</w:t>
      </w:r>
    </w:p>
    <w:p>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8"/>
        <w:tblW w:w="14219" w:type="dxa"/>
        <w:jc w:val="center"/>
        <w:tblInd w:w="0" w:type="dxa"/>
        <w:tblLayout w:type="fixed"/>
        <w:tblCellMar>
          <w:top w:w="0" w:type="dxa"/>
          <w:left w:w="108" w:type="dxa"/>
          <w:bottom w:w="0" w:type="dxa"/>
          <w:right w:w="108" w:type="dxa"/>
        </w:tblCellMar>
      </w:tblPr>
      <w:tblGrid>
        <w:gridCol w:w="1200"/>
        <w:gridCol w:w="3527"/>
        <w:gridCol w:w="3000"/>
        <w:gridCol w:w="3492"/>
        <w:gridCol w:w="3000"/>
      </w:tblGrid>
      <w:tr>
        <w:tblPrEx>
          <w:tblLayout w:type="fixed"/>
          <w:tblCellMar>
            <w:top w:w="0" w:type="dxa"/>
            <w:left w:w="108" w:type="dxa"/>
            <w:bottom w:w="0" w:type="dxa"/>
            <w:right w:w="108" w:type="dxa"/>
          </w:tblCellMar>
        </w:tblPrEx>
        <w:trPr>
          <w:trHeight w:val="405"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tblPrEx>
          <w:tblLayout w:type="fixed"/>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tblPrEx>
          <w:tblLayout w:type="fixed"/>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tblPrEx>
          <w:tblLayout w:type="fixed"/>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775.26</w:t>
            </w:r>
            <w:r>
              <w:rPr>
                <w:rFonts w:ascii="Times New Roman" w:hAnsi="Times New Roman" w:eastAsia="仿宋_GB2312" w:cs="Times New Roman"/>
                <w:kern w:val="0"/>
                <w:szCs w:val="21"/>
              </w:rPr>
              <w:t>　</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396.15</w:t>
            </w:r>
            <w:r>
              <w:rPr>
                <w:rFonts w:ascii="Times New Roman" w:hAnsi="Times New Roman" w:eastAsia="仿宋_GB2312" w:cs="Times New Roman"/>
                <w:kern w:val="0"/>
                <w:szCs w:val="21"/>
              </w:rPr>
              <w:t>　</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379.11</w:t>
            </w:r>
            <w:r>
              <w:rPr>
                <w:rFonts w:ascii="Times New Roman" w:hAnsi="Times New Roman" w:eastAsia="仿宋_GB2312" w:cs="Times New Roman"/>
                <w:kern w:val="0"/>
                <w:szCs w:val="21"/>
              </w:rPr>
              <w:t>　</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208　</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社会保障和就业支出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42.00</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42.00</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20805　</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行政事业单位养老支出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42.00</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42.00</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2080505　</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机关事业单位基本养老保险缴费支出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42.00</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42.00</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213</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农林水支出</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733.26</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354.15</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379.11</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21301</w:t>
            </w:r>
          </w:p>
        </w:tc>
        <w:tc>
          <w:tcPr>
            <w:tcW w:w="3527"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农业农村</w:t>
            </w:r>
          </w:p>
        </w:tc>
        <w:tc>
          <w:tcPr>
            <w:tcW w:w="3000"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599.09</w:t>
            </w:r>
          </w:p>
        </w:tc>
        <w:tc>
          <w:tcPr>
            <w:tcW w:w="3492" w:type="dxa"/>
            <w:tcBorders>
              <w:top w:val="nil"/>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354.15</w:t>
            </w:r>
          </w:p>
        </w:tc>
        <w:tc>
          <w:tcPr>
            <w:tcW w:w="3000" w:type="dxa"/>
            <w:tcBorders>
              <w:top w:val="nil"/>
              <w:left w:val="nil"/>
              <w:bottom w:val="single" w:color="auto" w:sz="4"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244.94</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2130101</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rPr>
              <w:t>行政运行</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92.08</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92.08</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2130104</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事业运行</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262.07</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262.07</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2130111</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统计监测与信息服务</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20.00</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w:t>
            </w:r>
            <w:r>
              <w:rPr>
                <w:rFonts w:hint="eastAsia" w:ascii="Times New Roman" w:hAnsi="Times New Roman" w:eastAsia="仿宋_GB2312" w:cs="Times New Roman"/>
                <w:kern w:val="0"/>
                <w:szCs w:val="21"/>
              </w:rPr>
              <w:t>0</w:t>
            </w:r>
            <w:r>
              <w:rPr>
                <w:rFonts w:hint="eastAsia" w:ascii="Times New Roman" w:hAnsi="Times New Roman" w:eastAsia="仿宋_GB2312" w:cs="Times New Roman"/>
                <w:kern w:val="0"/>
                <w:szCs w:val="21"/>
                <w:lang w:val="en-US" w:eastAsia="zh-CN"/>
              </w:rPr>
              <w:t>.00</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2130135</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农业资源保护修复与利用</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224.94</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224.94</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21302</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林业和草原</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134.18</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134.18</w:t>
            </w:r>
          </w:p>
        </w:tc>
      </w:tr>
      <w:tr>
        <w:tblPrEx>
          <w:tblLayout w:type="fixed"/>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2130299</w:t>
            </w:r>
          </w:p>
        </w:tc>
        <w:tc>
          <w:tcPr>
            <w:tcW w:w="3527" w:type="dxa"/>
            <w:tcBorders>
              <w:top w:val="nil"/>
              <w:left w:val="nil"/>
              <w:bottom w:val="single" w:color="auto" w:sz="8" w:space="0"/>
              <w:right w:val="single" w:color="auto" w:sz="4" w:space="0"/>
            </w:tcBorders>
            <w:shd w:val="clear" w:color="auto" w:fill="auto"/>
            <w:vAlign w:val="center"/>
          </w:tcPr>
          <w:p>
            <w:pPr>
              <w:widowControl/>
              <w:jc w:val="left"/>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其他林业和草原支出</w:t>
            </w:r>
          </w:p>
        </w:tc>
        <w:tc>
          <w:tcPr>
            <w:tcW w:w="3000" w:type="dxa"/>
            <w:tcBorders>
              <w:top w:val="nil"/>
              <w:left w:val="nil"/>
              <w:bottom w:val="single" w:color="auto" w:sz="8" w:space="0"/>
              <w:right w:val="single" w:color="auto" w:sz="4" w:space="0"/>
            </w:tcBorders>
            <w:shd w:val="clear" w:color="auto" w:fill="auto"/>
            <w:vAlign w:val="center"/>
          </w:tcPr>
          <w:p>
            <w:pPr>
              <w:widowControl/>
              <w:jc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134.18</w:t>
            </w:r>
          </w:p>
        </w:tc>
        <w:tc>
          <w:tcPr>
            <w:tcW w:w="3492" w:type="dxa"/>
            <w:tcBorders>
              <w:top w:val="nil"/>
              <w:left w:val="nil"/>
              <w:bottom w:val="single" w:color="auto" w:sz="8"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rPr>
              <w:t>0</w:t>
            </w:r>
          </w:p>
        </w:tc>
        <w:tc>
          <w:tcPr>
            <w:tcW w:w="3000" w:type="dxa"/>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134.18</w:t>
            </w:r>
          </w:p>
        </w:tc>
      </w:tr>
      <w:tr>
        <w:tblPrEx>
          <w:tblLayout w:type="fixed"/>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r>
        <w:br w:type="page"/>
      </w:r>
    </w:p>
    <w:tbl>
      <w:tblPr>
        <w:tblStyle w:val="8"/>
        <w:tblW w:w="15614" w:type="dxa"/>
        <w:tblInd w:w="0" w:type="dxa"/>
        <w:tblLayout w:type="fixed"/>
        <w:tblCellMar>
          <w:top w:w="0" w:type="dxa"/>
          <w:left w:w="108" w:type="dxa"/>
          <w:bottom w:w="0" w:type="dxa"/>
          <w:right w:w="108" w:type="dxa"/>
        </w:tblCellMar>
      </w:tblPr>
      <w:tblGrid>
        <w:gridCol w:w="976"/>
        <w:gridCol w:w="240"/>
        <w:gridCol w:w="216"/>
        <w:gridCol w:w="1154"/>
        <w:gridCol w:w="1581"/>
        <w:gridCol w:w="501"/>
        <w:gridCol w:w="750"/>
        <w:gridCol w:w="1190"/>
        <w:gridCol w:w="306"/>
        <w:gridCol w:w="1785"/>
        <w:gridCol w:w="296"/>
        <w:gridCol w:w="691"/>
        <w:gridCol w:w="1101"/>
        <w:gridCol w:w="357"/>
        <w:gridCol w:w="2057"/>
        <w:gridCol w:w="1366"/>
        <w:gridCol w:w="761"/>
        <w:gridCol w:w="286"/>
      </w:tblGrid>
      <w:tr>
        <w:tblPrEx>
          <w:tblLayout w:type="fixed"/>
          <w:tblCellMar>
            <w:top w:w="0" w:type="dxa"/>
            <w:left w:w="108" w:type="dxa"/>
            <w:bottom w:w="0" w:type="dxa"/>
            <w:right w:w="108" w:type="dxa"/>
          </w:tblCellMar>
        </w:tblPrEx>
        <w:trPr>
          <w:trHeight w:val="113" w:hRule="atLeast"/>
        </w:trPr>
        <w:tc>
          <w:tcPr>
            <w:tcW w:w="15614" w:type="dxa"/>
            <w:gridSpan w:val="18"/>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21"/>
                <w:szCs w:val="21"/>
              </w:rPr>
            </w:pPr>
            <w:bookmarkStart w:id="2" w:name="RANGE!A1:I34"/>
            <w:r>
              <w:rPr>
                <w:rFonts w:hint="eastAsia" w:ascii="华文中宋" w:hAnsi="华文中宋" w:eastAsia="华文中宋" w:cs="宋体"/>
                <w:color w:val="000000"/>
                <w:kern w:val="0"/>
                <w:sz w:val="21"/>
                <w:szCs w:val="21"/>
              </w:rPr>
              <w:t>一般公共预算财政拨款基本支出决算明细表</w:t>
            </w:r>
            <w:bookmarkEnd w:id="2"/>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rPr>
              <w:t xml:space="preserve">湖南省水产原种场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Layout w:type="fixed"/>
          <w:tblCellMar>
            <w:top w:w="0" w:type="dxa"/>
            <w:left w:w="108" w:type="dxa"/>
            <w:bottom w:w="0" w:type="dxa"/>
            <w:right w:w="108" w:type="dxa"/>
          </w:tblCellMar>
        </w:tblPrEx>
        <w:trPr>
          <w:trHeight w:val="113" w:hRule="atLeast"/>
        </w:trPr>
        <w:tc>
          <w:tcPr>
            <w:tcW w:w="143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27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25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0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0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378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0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334.73</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39.35</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88.28</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1.70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13.20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0.90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9.56</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154.50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0.03</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22.62</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3.00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0.03</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17.17</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ascii="宋体" w:hAnsi="宋体" w:eastAsia="宋体" w:cs="宋体"/>
                <w:color w:val="000000"/>
                <w:kern w:val="0"/>
                <w:szCs w:val="20"/>
              </w:rPr>
              <w:t>15</w:t>
            </w:r>
            <w:r>
              <w:rPr>
                <w:rFonts w:hint="eastAsia" w:ascii="宋体" w:hAnsi="宋体" w:eastAsia="宋体" w:cs="宋体"/>
                <w:color w:val="000000"/>
                <w:kern w:val="0"/>
                <w:szCs w:val="20"/>
                <w:lang w:val="en-US" w:eastAsia="zh-CN"/>
              </w:rPr>
              <w:t>.00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2.21</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26.28</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eastAsia="zh-CN"/>
              </w:rPr>
            </w:pPr>
            <w:r>
              <w:rPr>
                <w:rFonts w:hint="eastAsia" w:ascii="宋体" w:hAnsi="宋体" w:eastAsia="宋体" w:cs="宋体"/>
                <w:color w:val="000000"/>
                <w:kern w:val="0"/>
                <w:szCs w:val="20"/>
                <w:lang w:val="en-US" w:eastAsia="zh-CN"/>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0</w:t>
            </w:r>
            <w:r>
              <w:rPr>
                <w:rFonts w:hint="eastAsia" w:ascii="宋体" w:hAnsi="宋体" w:eastAsia="宋体" w:cs="宋体"/>
                <w:color w:val="000000"/>
                <w:kern w:val="0"/>
                <w:szCs w:val="20"/>
                <w:lang w:val="en-US" w:eastAsia="zh-CN"/>
              </w:rPr>
              <w:t>.06</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2.92</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22.07</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ascii="宋体" w:hAnsi="宋体" w:eastAsia="宋体" w:cs="宋体"/>
                <w:color w:val="000000"/>
                <w:kern w:val="0"/>
                <w:szCs w:val="20"/>
              </w:rPr>
              <w:t>0.</w:t>
            </w:r>
            <w:r>
              <w:rPr>
                <w:rFonts w:hint="eastAsia" w:ascii="宋体" w:hAnsi="宋体" w:eastAsia="宋体" w:cs="宋体"/>
                <w:color w:val="000000"/>
                <w:kern w:val="0"/>
                <w:szCs w:val="20"/>
                <w:lang w:val="en-US" w:eastAsia="zh-CN"/>
              </w:rPr>
              <w:t>25</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22.07</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Cs w:val="20"/>
                <w:lang w:eastAsia="zh-CN"/>
              </w:rPr>
            </w:pPr>
            <w:r>
              <w:rPr>
                <w:rFonts w:hint="eastAsia" w:ascii="宋体" w:hAnsi="宋体" w:eastAsia="宋体" w:cs="宋体"/>
                <w:color w:val="000000"/>
                <w:kern w:val="0"/>
                <w:szCs w:val="20"/>
                <w:lang w:val="en-US" w:eastAsia="zh-CN"/>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1.03</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赠与</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8.84</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1.61</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ascii="宋体" w:hAnsi="宋体" w:eastAsia="宋体" w:cs="宋体"/>
                <w:color w:val="000000"/>
                <w:kern w:val="0"/>
                <w:szCs w:val="20"/>
              </w:rPr>
              <w:t>3</w:t>
            </w:r>
            <w:r>
              <w:rPr>
                <w:rFonts w:hint="eastAsia" w:ascii="宋体" w:hAnsi="宋体" w:eastAsia="宋体" w:cs="宋体"/>
                <w:color w:val="000000"/>
                <w:kern w:val="0"/>
                <w:szCs w:val="20"/>
                <w:lang w:val="en-US" w:eastAsia="zh-CN"/>
              </w:rPr>
              <w:t>.00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Layout w:type="fixed"/>
          <w:tblCellMar>
            <w:top w:w="0" w:type="dxa"/>
            <w:left w:w="108" w:type="dxa"/>
            <w:bottom w:w="0" w:type="dxa"/>
            <w:right w:w="108" w:type="dxa"/>
          </w:tblCellMar>
        </w:tblPrEx>
        <w:trPr>
          <w:trHeight w:val="284" w:hRule="exact"/>
        </w:trPr>
        <w:tc>
          <w:tcPr>
            <w:tcW w:w="1432"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2735"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c>
          <w:tcPr>
            <w:tcW w:w="119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091"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987" w:type="dxa"/>
            <w:gridSpan w:val="2"/>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　</w:t>
            </w:r>
            <w:r>
              <w:rPr>
                <w:rFonts w:hint="eastAsia" w:ascii="宋体" w:hAnsi="宋体" w:eastAsia="宋体" w:cs="宋体"/>
                <w:color w:val="000000"/>
                <w:kern w:val="0"/>
                <w:szCs w:val="20"/>
                <w:lang w:val="en-US" w:eastAsia="zh-CN"/>
              </w:rPr>
              <w:t>1.88</w:t>
            </w:r>
          </w:p>
        </w:tc>
        <w:tc>
          <w:tcPr>
            <w:tcW w:w="110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780"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p>
        </w:tc>
      </w:tr>
      <w:tr>
        <w:tblPrEx>
          <w:tblLayout w:type="fixed"/>
          <w:tblCellMar>
            <w:top w:w="0" w:type="dxa"/>
            <w:left w:w="108" w:type="dxa"/>
            <w:bottom w:w="0" w:type="dxa"/>
            <w:right w:w="108" w:type="dxa"/>
          </w:tblCellMar>
        </w:tblPrEx>
        <w:trPr>
          <w:trHeight w:val="284" w:hRule="exact"/>
        </w:trPr>
        <w:tc>
          <w:tcPr>
            <w:tcW w:w="4167"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125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356.80</w:t>
            </w:r>
          </w:p>
        </w:tc>
        <w:tc>
          <w:tcPr>
            <w:tcW w:w="9149" w:type="dxa"/>
            <w:gridSpan w:val="9"/>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1047"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18"/>
                <w:lang w:val="en-US" w:eastAsia="zh-CN"/>
              </w:rPr>
            </w:pPr>
            <w:r>
              <w:rPr>
                <w:rFonts w:hint="eastAsia" w:ascii="宋体" w:hAnsi="宋体" w:eastAsia="宋体" w:cs="宋体"/>
                <w:color w:val="000000"/>
                <w:kern w:val="0"/>
                <w:szCs w:val="18"/>
                <w:lang w:val="en-US" w:eastAsia="zh-CN"/>
              </w:rPr>
              <w:t>39.35</w:t>
            </w:r>
          </w:p>
        </w:tc>
      </w:tr>
      <w:tr>
        <w:tblPrEx>
          <w:tblLayout w:type="fixed"/>
          <w:tblCellMar>
            <w:top w:w="0" w:type="dxa"/>
            <w:left w:w="108" w:type="dxa"/>
            <w:bottom w:w="0" w:type="dxa"/>
            <w:right w:w="108" w:type="dxa"/>
          </w:tblCellMar>
        </w:tblPrEx>
        <w:trPr>
          <w:trHeight w:val="284" w:hRule="exact"/>
        </w:trPr>
        <w:tc>
          <w:tcPr>
            <w:tcW w:w="15614" w:type="dxa"/>
            <w:gridSpan w:val="18"/>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r>
        <w:tblPrEx>
          <w:tblLayout w:type="fixed"/>
          <w:tblCellMar>
            <w:top w:w="0" w:type="dxa"/>
            <w:left w:w="108" w:type="dxa"/>
            <w:bottom w:w="0" w:type="dxa"/>
            <w:right w:w="108" w:type="dxa"/>
          </w:tblCellMar>
        </w:tblPrEx>
        <w:trPr>
          <w:gridAfter w:val="1"/>
          <w:wAfter w:w="286" w:type="dxa"/>
          <w:trHeight w:val="690" w:hRule="atLeast"/>
        </w:trPr>
        <w:tc>
          <w:tcPr>
            <w:tcW w:w="15328" w:type="dxa"/>
            <w:gridSpan w:val="17"/>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kern w:val="0"/>
                <w:sz w:val="32"/>
                <w:szCs w:val="32"/>
              </w:rPr>
            </w:pPr>
          </w:p>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政府性基金预算财政拨款收入支出决算表</w:t>
            </w:r>
          </w:p>
        </w:tc>
      </w:tr>
      <w:tr>
        <w:tblPrEx>
          <w:tblLayout w:type="fixed"/>
          <w:tblCellMar>
            <w:top w:w="0" w:type="dxa"/>
            <w:left w:w="108" w:type="dxa"/>
            <w:bottom w:w="0" w:type="dxa"/>
            <w:right w:w="108" w:type="dxa"/>
          </w:tblCellMar>
        </w:tblPrEx>
        <w:trPr>
          <w:gridAfter w:val="1"/>
          <w:wAfter w:w="286" w:type="dxa"/>
          <w:trHeight w:val="345" w:hRule="atLeast"/>
        </w:trPr>
        <w:tc>
          <w:tcPr>
            <w:tcW w:w="976"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40"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1370" w:type="dxa"/>
            <w:gridSpan w:val="2"/>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082" w:type="dxa"/>
            <w:gridSpan w:val="2"/>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246"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081" w:type="dxa"/>
            <w:gridSpan w:val="2"/>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49"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057"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27" w:type="dxa"/>
            <w:gridSpan w:val="2"/>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公开07表</w:t>
            </w:r>
          </w:p>
        </w:tc>
      </w:tr>
      <w:tr>
        <w:tblPrEx>
          <w:tblLayout w:type="fixed"/>
          <w:tblCellMar>
            <w:top w:w="0" w:type="dxa"/>
            <w:left w:w="108" w:type="dxa"/>
            <w:bottom w:w="0" w:type="dxa"/>
            <w:right w:w="108" w:type="dxa"/>
          </w:tblCellMar>
        </w:tblPrEx>
        <w:trPr>
          <w:gridAfter w:val="1"/>
          <w:wAfter w:w="286" w:type="dxa"/>
          <w:trHeight w:val="690" w:hRule="atLeast"/>
        </w:trPr>
        <w:tc>
          <w:tcPr>
            <w:tcW w:w="4668" w:type="dxa"/>
            <w:gridSpan w:val="6"/>
            <w:tcBorders>
              <w:top w:val="nil"/>
              <w:left w:val="nil"/>
              <w:bottom w:val="nil"/>
              <w:right w:val="nil"/>
            </w:tcBorders>
            <w:shd w:val="clear" w:color="auto" w:fill="FFFFFF"/>
            <w:noWrap/>
            <w:vAlign w:val="center"/>
          </w:tcPr>
          <w:p>
            <w:pPr>
              <w:rPr>
                <w:rFonts w:ascii="宋体" w:hAnsi="宋体" w:eastAsia="宋体" w:cs="宋体"/>
                <w:color w:val="000000"/>
                <w:sz w:val="20"/>
                <w:szCs w:val="20"/>
              </w:rPr>
            </w:pPr>
            <w:r>
              <w:rPr>
                <w:rFonts w:hint="eastAsia" w:ascii="宋体" w:hAnsi="宋体" w:eastAsia="宋体" w:cs="宋体"/>
                <w:color w:val="000000"/>
                <w:kern w:val="0"/>
                <w:sz w:val="20"/>
                <w:szCs w:val="20"/>
              </w:rPr>
              <w:t>部门：湖南省水产原种场</w:t>
            </w:r>
          </w:p>
        </w:tc>
        <w:tc>
          <w:tcPr>
            <w:tcW w:w="2246"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081" w:type="dxa"/>
            <w:gridSpan w:val="2"/>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49" w:type="dxa"/>
            <w:gridSpan w:val="3"/>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057"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2127" w:type="dxa"/>
            <w:gridSpan w:val="2"/>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gridAfter w:val="1"/>
          <w:wAfter w:w="286" w:type="dxa"/>
          <w:trHeight w:val="459" w:hRule="atLeast"/>
        </w:trPr>
        <w:tc>
          <w:tcPr>
            <w:tcW w:w="25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项 </w:t>
            </w:r>
            <w:r>
              <w:rPr>
                <w:rStyle w:val="16"/>
                <w:rFonts w:hint="default"/>
              </w:rPr>
              <w:t xml:space="preserve">   </w:t>
            </w:r>
            <w:r>
              <w:rPr>
                <w:rStyle w:val="17"/>
                <w:rFonts w:hint="default"/>
              </w:rPr>
              <w:t>目</w:t>
            </w:r>
          </w:p>
        </w:tc>
        <w:tc>
          <w:tcPr>
            <w:tcW w:w="20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年初结转和结余</w:t>
            </w:r>
          </w:p>
        </w:tc>
        <w:tc>
          <w:tcPr>
            <w:tcW w:w="224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本年收入</w:t>
            </w:r>
          </w:p>
        </w:tc>
        <w:tc>
          <w:tcPr>
            <w:tcW w:w="628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本年支出</w:t>
            </w:r>
          </w:p>
        </w:tc>
        <w:tc>
          <w:tcPr>
            <w:tcW w:w="21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年末结转和结余</w:t>
            </w:r>
          </w:p>
        </w:tc>
      </w:tr>
      <w:tr>
        <w:tblPrEx>
          <w:tblLayout w:type="fixed"/>
          <w:tblCellMar>
            <w:top w:w="0" w:type="dxa"/>
            <w:left w:w="108" w:type="dxa"/>
            <w:bottom w:w="0" w:type="dxa"/>
            <w:right w:w="108" w:type="dxa"/>
          </w:tblCellMar>
        </w:tblPrEx>
        <w:trPr>
          <w:gridAfter w:val="1"/>
          <w:wAfter w:w="286" w:type="dxa"/>
          <w:trHeight w:val="609" w:hRule="atLeast"/>
        </w:trPr>
        <w:tc>
          <w:tcPr>
            <w:tcW w:w="12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科目代码</w:t>
            </w:r>
          </w:p>
        </w:tc>
        <w:tc>
          <w:tcPr>
            <w:tcW w:w="13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20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8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小计</w:t>
            </w:r>
          </w:p>
        </w:tc>
        <w:tc>
          <w:tcPr>
            <w:tcW w:w="214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基本支出  </w:t>
            </w:r>
          </w:p>
        </w:tc>
        <w:tc>
          <w:tcPr>
            <w:tcW w:w="20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项目支出</w:t>
            </w:r>
          </w:p>
        </w:tc>
        <w:tc>
          <w:tcPr>
            <w:tcW w:w="21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409" w:hRule="atLeast"/>
        </w:trPr>
        <w:tc>
          <w:tcPr>
            <w:tcW w:w="12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509" w:hRule="atLeast"/>
        </w:trPr>
        <w:tc>
          <w:tcPr>
            <w:tcW w:w="12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4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8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4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509" w:hRule="atLeast"/>
        </w:trPr>
        <w:tc>
          <w:tcPr>
            <w:tcW w:w="25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22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c>
          <w:tcPr>
            <w:tcW w:w="21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4</w:t>
            </w:r>
          </w:p>
        </w:tc>
        <w:tc>
          <w:tcPr>
            <w:tcW w:w="205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5</w:t>
            </w: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6</w:t>
            </w:r>
          </w:p>
        </w:tc>
      </w:tr>
      <w:tr>
        <w:tblPrEx>
          <w:tblLayout w:type="fixed"/>
          <w:tblCellMar>
            <w:top w:w="0" w:type="dxa"/>
            <w:left w:w="108" w:type="dxa"/>
            <w:bottom w:w="0" w:type="dxa"/>
            <w:right w:w="108" w:type="dxa"/>
          </w:tblCellMar>
        </w:tblPrEx>
        <w:trPr>
          <w:gridAfter w:val="1"/>
          <w:wAfter w:w="286" w:type="dxa"/>
          <w:trHeight w:val="509" w:hRule="atLeast"/>
        </w:trPr>
        <w:tc>
          <w:tcPr>
            <w:tcW w:w="258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0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509" w:hRule="atLeast"/>
        </w:trPr>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509" w:hRule="atLeast"/>
        </w:trPr>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509" w:hRule="atLeast"/>
        </w:trPr>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509" w:hRule="atLeast"/>
        </w:trPr>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509" w:hRule="atLeast"/>
        </w:trPr>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509" w:hRule="atLeast"/>
        </w:trPr>
        <w:tc>
          <w:tcPr>
            <w:tcW w:w="12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13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2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4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05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gridAfter w:val="1"/>
          <w:wAfter w:w="286" w:type="dxa"/>
          <w:trHeight w:val="725" w:hRule="atLeast"/>
        </w:trPr>
        <w:tc>
          <w:tcPr>
            <w:tcW w:w="15328" w:type="dxa"/>
            <w:gridSpan w:val="17"/>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注：本表反映部门本年度政府性基金预算财政拨款收入、支出及结转和结余情况。</w:t>
            </w:r>
          </w:p>
          <w:p>
            <w:pPr>
              <w:widowControl/>
              <w:jc w:val="left"/>
              <w:textAlignment w:val="center"/>
              <w:rPr>
                <w:rFonts w:ascii="宋体" w:hAnsi="宋体" w:eastAsia="宋体" w:cs="宋体"/>
                <w:color w:val="000000"/>
                <w:kern w:val="0"/>
                <w:sz w:val="24"/>
                <w:szCs w:val="24"/>
              </w:rPr>
            </w:pPr>
          </w:p>
          <w:p>
            <w:pPr>
              <w:widowControl/>
              <w:jc w:val="left"/>
              <w:textAlignment w:val="center"/>
              <w:rPr>
                <w:rFonts w:ascii="宋体" w:hAnsi="宋体" w:eastAsia="宋体" w:cs="宋体"/>
                <w:color w:val="000000"/>
                <w:kern w:val="0"/>
                <w:sz w:val="24"/>
                <w:szCs w:val="24"/>
              </w:rPr>
            </w:pPr>
            <w:r>
              <w:rPr>
                <w:rFonts w:hint="eastAsia" w:ascii="楷体" w:hAnsi="楷体" w:eastAsia="楷体" w:cs="楷体"/>
                <w:b/>
                <w:bCs/>
                <w:kern w:val="0"/>
                <w:sz w:val="24"/>
                <w:szCs w:val="24"/>
              </w:rPr>
              <w:t>说明：我单位没有政府性基金收入，也没有使用政府性基金安排的支出，故本表无数据。</w:t>
            </w:r>
          </w:p>
        </w:tc>
      </w:tr>
    </w:tbl>
    <w:p>
      <w:pPr>
        <w:widowControl/>
        <w:jc w:val="both"/>
        <w:rPr>
          <w:rFonts w:ascii="Times New Roman" w:hAnsi="Times New Roman" w:eastAsia="方正小标宋_GBK" w:cs="Times New Roman"/>
          <w:color w:val="000000"/>
          <w:kern w:val="0"/>
          <w:sz w:val="36"/>
          <w:szCs w:val="36"/>
        </w:rPr>
      </w:pPr>
    </w:p>
    <w:tbl>
      <w:tblPr>
        <w:tblStyle w:val="8"/>
        <w:tblW w:w="15120" w:type="dxa"/>
        <w:tblInd w:w="93" w:type="dxa"/>
        <w:tblLayout w:type="fixed"/>
        <w:tblCellMar>
          <w:top w:w="0" w:type="dxa"/>
          <w:left w:w="108" w:type="dxa"/>
          <w:bottom w:w="0" w:type="dxa"/>
          <w:right w:w="108" w:type="dxa"/>
        </w:tblCellMar>
      </w:tblPr>
      <w:tblGrid>
        <w:gridCol w:w="1326"/>
        <w:gridCol w:w="701"/>
        <w:gridCol w:w="2292"/>
        <w:gridCol w:w="3315"/>
        <w:gridCol w:w="3315"/>
        <w:gridCol w:w="4171"/>
      </w:tblGrid>
      <w:tr>
        <w:tblPrEx>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国有资本经营预算财政拨款支出决算表</w:t>
            </w:r>
          </w:p>
        </w:tc>
      </w:tr>
      <w:tr>
        <w:tblPrEx>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701"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2292" w:type="dxa"/>
            <w:tcBorders>
              <w:top w:val="nil"/>
              <w:left w:val="nil"/>
              <w:bottom w:val="nil"/>
              <w:right w:val="nil"/>
            </w:tcBorders>
            <w:shd w:val="clear" w:color="auto" w:fill="FFFFFF"/>
            <w:vAlign w:val="center"/>
          </w:tcPr>
          <w:p>
            <w:pPr>
              <w:jc w:val="cente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公开08表</w:t>
            </w:r>
          </w:p>
        </w:tc>
      </w:tr>
      <w:tr>
        <w:tblPrEx>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center"/>
              <w:rPr>
                <w:rFonts w:ascii="宋体" w:hAnsi="宋体" w:eastAsia="宋体" w:cs="宋体"/>
                <w:color w:val="000000"/>
                <w:sz w:val="20"/>
                <w:szCs w:val="20"/>
              </w:rPr>
            </w:pPr>
            <w:r>
              <w:rPr>
                <w:rFonts w:hint="eastAsia" w:ascii="宋体" w:hAnsi="宋体" w:eastAsia="宋体" w:cs="宋体"/>
                <w:color w:val="000000"/>
                <w:kern w:val="0"/>
                <w:sz w:val="20"/>
                <w:szCs w:val="20"/>
              </w:rPr>
              <w:t>部门：湖南省水产原种场</w:t>
            </w: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3315"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4171"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项 </w:t>
            </w:r>
            <w:r>
              <w:rPr>
                <w:rFonts w:hint="eastAsia" w:ascii="宋体" w:hAnsi="宋体" w:eastAsia="宋体" w:cs="宋体"/>
                <w:color w:val="000000"/>
                <w:kern w:val="0"/>
                <w:sz w:val="22"/>
              </w:rPr>
              <w:t xml:space="preserve">   </w:t>
            </w:r>
            <w:r>
              <w:rPr>
                <w:rStyle w:val="18"/>
                <w:rFonts w:hint="default"/>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本年支出</w:t>
            </w:r>
          </w:p>
        </w:tc>
      </w:tr>
      <w:tr>
        <w:tblPrEx>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项目支出</w:t>
            </w: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3</w:t>
            </w:r>
          </w:p>
        </w:tc>
      </w:tr>
      <w:tr>
        <w:tblPrEx>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0"/>
                <w:szCs w:val="20"/>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eastAsia="宋体" w:cs="宋体"/>
                <w:color w:val="000000"/>
                <w:sz w:val="24"/>
                <w:szCs w:val="24"/>
              </w:rPr>
            </w:pPr>
          </w:p>
        </w:tc>
      </w:tr>
      <w:tr>
        <w:tblPrEx>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注：本表反映部门本年度国有资本经营预算财政拨款支出情况。</w:t>
            </w:r>
          </w:p>
          <w:p>
            <w:pPr>
              <w:widowControl/>
              <w:jc w:val="left"/>
              <w:textAlignment w:val="center"/>
              <w:rPr>
                <w:rFonts w:ascii="宋体" w:hAnsi="宋体" w:eastAsia="宋体" w:cs="宋体"/>
                <w:color w:val="000000"/>
                <w:kern w:val="0"/>
                <w:sz w:val="24"/>
                <w:szCs w:val="24"/>
              </w:rPr>
            </w:pPr>
          </w:p>
          <w:p>
            <w:pPr>
              <w:widowControl/>
              <w:jc w:val="left"/>
              <w:textAlignment w:val="center"/>
              <w:rPr>
                <w:rFonts w:ascii="宋体" w:hAnsi="宋体" w:eastAsia="宋体" w:cs="宋体"/>
                <w:color w:val="000000"/>
                <w:kern w:val="0"/>
                <w:sz w:val="24"/>
                <w:szCs w:val="24"/>
              </w:rPr>
            </w:pPr>
            <w:r>
              <w:rPr>
                <w:rFonts w:hint="eastAsia" w:ascii="楷体" w:hAnsi="楷体" w:eastAsia="楷体" w:cs="楷体"/>
                <w:b/>
                <w:bCs/>
                <w:kern w:val="0"/>
                <w:sz w:val="24"/>
                <w:szCs w:val="24"/>
              </w:rPr>
              <w:t>说明：我单位没有使用国有资本经营预算安排的支出，故本表无数据。</w:t>
            </w:r>
          </w:p>
        </w:tc>
      </w:tr>
    </w:tbl>
    <w:p>
      <w:pPr>
        <w:widowControl/>
        <w:jc w:val="center"/>
        <w:rPr>
          <w:rFonts w:ascii="Times New Roman" w:hAnsi="Times New Roman" w:eastAsia="方正小标宋_GBK" w:cs="Times New Roman"/>
          <w:color w:val="000000"/>
          <w:kern w:val="0"/>
          <w:sz w:val="36"/>
          <w:szCs w:val="36"/>
        </w:rPr>
      </w:pPr>
    </w:p>
    <w:tbl>
      <w:tblPr>
        <w:tblStyle w:val="8"/>
        <w:tblW w:w="15140" w:type="dxa"/>
        <w:tblInd w:w="93" w:type="dxa"/>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widowControl/>
              <w:jc w:val="center"/>
              <w:textAlignment w:val="center"/>
              <w:rPr>
                <w:rFonts w:ascii="华文中宋" w:hAnsi="华文中宋" w:eastAsia="华文中宋" w:cs="华文中宋"/>
                <w:color w:val="000000"/>
                <w:kern w:val="0"/>
                <w:sz w:val="32"/>
                <w:szCs w:val="32"/>
              </w:rPr>
            </w:pPr>
          </w:p>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rPr>
              <w:t>财政拨款“三公”经费支出决算表</w:t>
            </w:r>
          </w:p>
        </w:tc>
      </w:tr>
      <w:tr>
        <w:tblPrEx>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公开09表</w:t>
            </w:r>
          </w:p>
        </w:tc>
      </w:tr>
      <w:tr>
        <w:tblPrEx>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ascii="宋体" w:hAnsi="宋体" w:eastAsia="宋体" w:cs="宋体"/>
                <w:color w:val="000000"/>
                <w:sz w:val="20"/>
                <w:szCs w:val="20"/>
              </w:rPr>
            </w:pPr>
            <w:r>
              <w:rPr>
                <w:rFonts w:hint="eastAsia" w:ascii="宋体" w:hAnsi="宋体" w:eastAsia="宋体" w:cs="宋体"/>
                <w:color w:val="000000"/>
                <w:kern w:val="0"/>
                <w:sz w:val="20"/>
                <w:szCs w:val="20"/>
              </w:rPr>
              <w:t>部门：湖南省水产原种场</w:t>
            </w: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61" w:type="dxa"/>
            <w:tcBorders>
              <w:top w:val="nil"/>
              <w:left w:val="nil"/>
              <w:bottom w:val="nil"/>
              <w:right w:val="nil"/>
            </w:tcBorders>
            <w:shd w:val="clear" w:color="auto" w:fill="FFFFFF"/>
            <w:vAlign w:val="center"/>
          </w:tcPr>
          <w:p>
            <w:pPr>
              <w:rPr>
                <w:rFonts w:ascii="宋体" w:hAnsi="宋体" w:eastAsia="宋体" w:cs="宋体"/>
                <w:color w:val="000000"/>
                <w:sz w:val="20"/>
                <w:szCs w:val="20"/>
              </w:rPr>
            </w:pPr>
          </w:p>
        </w:tc>
        <w:tc>
          <w:tcPr>
            <w:tcW w:w="1270" w:type="dxa"/>
            <w:tcBorders>
              <w:top w:val="nil"/>
              <w:left w:val="nil"/>
              <w:bottom w:val="nil"/>
              <w:right w:val="nil"/>
            </w:tcBorders>
            <w:shd w:val="clear" w:color="auto" w:fill="FFFFFF"/>
            <w:noWrap/>
            <w:vAlign w:val="center"/>
          </w:tcPr>
          <w:p>
            <w:pPr>
              <w:widowControl/>
              <w:jc w:val="righ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决算数</w:t>
            </w:r>
          </w:p>
        </w:tc>
      </w:tr>
      <w:tr>
        <w:tblPrEx>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公务接待费</w:t>
            </w:r>
          </w:p>
        </w:tc>
      </w:tr>
      <w:tr>
        <w:tblPrEx>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公务用车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p>
        </w:tc>
      </w:tr>
      <w:tr>
        <w:tblPrEx>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12</w:t>
            </w:r>
          </w:p>
        </w:tc>
      </w:tr>
      <w:tr>
        <w:tblPrEx>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color w:val="000000"/>
                <w:sz w:val="22"/>
                <w:lang w:eastAsia="zh-CN"/>
              </w:rPr>
            </w:pPr>
            <w:r>
              <w:rPr>
                <w:rFonts w:hint="eastAsia" w:ascii="宋体" w:hAnsi="宋体" w:eastAsia="宋体" w:cs="宋体"/>
                <w:color w:val="000000"/>
                <w:sz w:val="22"/>
                <w:lang w:val="en-US" w:eastAsia="zh-CN"/>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3</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2"/>
              </w:rPr>
            </w:pPr>
            <w:r>
              <w:rPr>
                <w:rFonts w:hint="eastAsia" w:ascii="宋体" w:hAnsi="宋体" w:eastAsia="宋体" w:cs="宋体"/>
                <w:color w:val="000000"/>
                <w:sz w:val="22"/>
              </w:rPr>
              <w:t>0</w:t>
            </w:r>
          </w:p>
        </w:tc>
      </w:tr>
      <w:tr>
        <w:tblPrEx>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widowControl/>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rPr>
          <w:sz w:val="72"/>
          <w:szCs w:val="72"/>
        </w:rPr>
        <w:sectPr>
          <w:pgSz w:w="16838" w:h="11906" w:orient="landscape"/>
          <w:pgMar w:top="720" w:right="720" w:bottom="720" w:left="720" w:header="851" w:footer="992" w:gutter="0"/>
          <w:cols w:space="425" w:num="1"/>
          <w:docGrid w:type="lines" w:linePitch="312" w:charSpace="0"/>
        </w:sectPr>
      </w:pPr>
      <w:r>
        <w:br w:type="page"/>
      </w:r>
    </w:p>
    <w:p>
      <w:pPr>
        <w:pStyle w:val="13"/>
        <w:rPr>
          <w:sz w:val="72"/>
          <w:szCs w:val="72"/>
        </w:rPr>
      </w:pPr>
    </w:p>
    <w:p>
      <w:pPr>
        <w:pStyle w:val="13"/>
        <w:rPr>
          <w:sz w:val="72"/>
          <w:szCs w:val="72"/>
        </w:rPr>
      </w:pPr>
    </w:p>
    <w:p>
      <w:pPr>
        <w:pStyle w:val="13"/>
        <w:rPr>
          <w:sz w:val="72"/>
          <w:szCs w:val="72"/>
        </w:rPr>
      </w:pPr>
    </w:p>
    <w:p>
      <w:pPr>
        <w:pStyle w:val="13"/>
        <w:rPr>
          <w:sz w:val="72"/>
          <w:szCs w:val="72"/>
        </w:rPr>
      </w:pPr>
    </w:p>
    <w:p>
      <w:pPr>
        <w:pStyle w:val="13"/>
        <w:jc w:val="center"/>
        <w:rPr>
          <w:sz w:val="72"/>
          <w:szCs w:val="72"/>
        </w:rPr>
      </w:pPr>
    </w:p>
    <w:p>
      <w:pPr>
        <w:pStyle w:val="13"/>
        <w:jc w:val="center"/>
        <w:rPr>
          <w:rFonts w:ascii="方正小标宋_GBK" w:hAnsi="方正小标宋_GBK" w:eastAsia="方正小标宋_GBK" w:cs="方正小标宋_GBK"/>
          <w:sz w:val="72"/>
          <w:szCs w:val="72"/>
        </w:rPr>
      </w:pPr>
    </w:p>
    <w:p>
      <w:pPr>
        <w:pStyle w:val="13"/>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3"/>
        <w:jc w:val="center"/>
        <w:rPr>
          <w:rFonts w:ascii="方正小标宋_GBK" w:hAnsi="方正小标宋_GBK" w:eastAsia="方正小标宋_GBK" w:cs="方正小标宋_GBK"/>
          <w:sz w:val="70"/>
          <w:szCs w:val="70"/>
        </w:rPr>
      </w:pPr>
    </w:p>
    <w:p>
      <w:pPr>
        <w:pStyle w:val="13"/>
        <w:jc w:val="center"/>
        <w:rPr>
          <w:rFonts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sz w:val="32"/>
          <w:szCs w:val="32"/>
        </w:rPr>
      </w:pPr>
      <w:r>
        <w:br w:type="page"/>
      </w:r>
    </w:p>
    <w:p>
      <w:pPr>
        <w:pStyle w:val="13"/>
        <w:spacing w:line="600" w:lineRule="exact"/>
        <w:ind w:firstLine="640" w:firstLineChars="200"/>
        <w:rPr>
          <w:rFonts w:hAnsi="黑体"/>
          <w:bCs/>
          <w:sz w:val="32"/>
          <w:szCs w:val="32"/>
        </w:rPr>
      </w:pPr>
      <w:r>
        <w:rPr>
          <w:rFonts w:hint="eastAsia" w:hAnsi="黑体"/>
          <w:bCs/>
          <w:sz w:val="32"/>
          <w:szCs w:val="32"/>
        </w:rPr>
        <w:t>一、收入支出决算总体情况说明</w:t>
      </w:r>
    </w:p>
    <w:p>
      <w:pPr>
        <w:widowControl/>
        <w:spacing w:line="600" w:lineRule="exact"/>
        <w:ind w:firstLine="640" w:firstLineChars="200"/>
        <w:rPr>
          <w:rFonts w:hint="default"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年度收、支总计</w:t>
      </w:r>
      <w:r>
        <w:rPr>
          <w:rFonts w:hint="eastAsia" w:ascii="Times New Roman" w:hAnsi="Times New Roman" w:eastAsia="仿宋_GB2312" w:cs="仿宋_GB2312"/>
          <w:bCs/>
          <w:kern w:val="0"/>
          <w:sz w:val="32"/>
          <w:szCs w:val="32"/>
          <w:lang w:val="en-US" w:eastAsia="zh-CN"/>
        </w:rPr>
        <w:t>1282.81</w:t>
      </w:r>
      <w:r>
        <w:rPr>
          <w:rFonts w:hint="eastAsia" w:ascii="Times New Roman" w:hAnsi="Times New Roman" w:eastAsia="仿宋_GB2312" w:cs="仿宋_GB2312"/>
          <w:bCs/>
          <w:kern w:val="0"/>
          <w:sz w:val="32"/>
          <w:szCs w:val="32"/>
        </w:rPr>
        <w:t>万元。与上年相比，</w:t>
      </w:r>
      <w:r>
        <w:rPr>
          <w:rFonts w:hint="eastAsia" w:ascii="Times New Roman" w:hAnsi="Times New Roman" w:eastAsia="仿宋_GB2312" w:cs="仿宋_GB2312"/>
          <w:bCs/>
          <w:kern w:val="0"/>
          <w:sz w:val="32"/>
          <w:szCs w:val="32"/>
          <w:lang w:val="en-US" w:eastAsia="zh-CN"/>
        </w:rPr>
        <w:t>减少606.79</w:t>
      </w:r>
      <w:r>
        <w:rPr>
          <w:rFonts w:hint="eastAsia" w:ascii="Times New Roman" w:hAnsi="Times New Roman" w:eastAsia="仿宋_GB2312" w:cs="仿宋_GB2312"/>
          <w:bCs/>
          <w:kern w:val="0"/>
          <w:sz w:val="32"/>
          <w:szCs w:val="32"/>
        </w:rPr>
        <w:t>万元，</w:t>
      </w:r>
      <w:r>
        <w:rPr>
          <w:rFonts w:hint="eastAsia" w:ascii="Times New Roman" w:hAnsi="Times New Roman" w:eastAsia="仿宋_GB2312" w:cs="仿宋_GB2312"/>
          <w:bCs/>
          <w:kern w:val="0"/>
          <w:sz w:val="32"/>
          <w:szCs w:val="32"/>
          <w:lang w:val="en-US" w:eastAsia="zh-CN"/>
        </w:rPr>
        <w:t>降低32.11</w:t>
      </w:r>
      <w:r>
        <w:rPr>
          <w:rFonts w:hint="eastAsia" w:ascii="Times New Roman" w:hAnsi="Times New Roman" w:eastAsia="仿宋_GB2312" w:cs="仿宋_GB2312"/>
          <w:bCs/>
          <w:kern w:val="0"/>
          <w:sz w:val="32"/>
          <w:szCs w:val="32"/>
        </w:rPr>
        <w:t>%，主要是因为</w:t>
      </w:r>
      <w:r>
        <w:rPr>
          <w:rFonts w:hint="eastAsia" w:ascii="Times New Roman" w:hAnsi="Times New Roman" w:eastAsia="仿宋_GB2312" w:cs="仿宋_GB2312"/>
          <w:bCs/>
          <w:kern w:val="0"/>
          <w:sz w:val="32"/>
          <w:szCs w:val="32"/>
          <w:lang w:val="en-US" w:eastAsia="zh-CN"/>
        </w:rPr>
        <w:t>2022年收到</w:t>
      </w:r>
      <w:r>
        <w:rPr>
          <w:rFonts w:hint="eastAsia" w:ascii="Times New Roman" w:hAnsi="Times New Roman" w:eastAsia="仿宋_GB2312" w:cs="仿宋_GB2312"/>
          <w:bCs/>
          <w:color w:val="auto"/>
          <w:kern w:val="0"/>
          <w:sz w:val="32"/>
          <w:szCs w:val="32"/>
          <w:lang w:val="en-US" w:eastAsia="zh-CN" w:bidi="ar-SA"/>
        </w:rPr>
        <w:t>湖南省鱼类种质资源场建设项目资金</w:t>
      </w:r>
      <w:r>
        <w:rPr>
          <w:rFonts w:hint="eastAsia" w:ascii="Times New Roman" w:hAnsi="Times New Roman" w:eastAsia="仿宋_GB2312" w:cs="仿宋_GB2312"/>
          <w:bCs/>
          <w:kern w:val="0"/>
          <w:sz w:val="32"/>
          <w:szCs w:val="32"/>
          <w:lang w:val="en-US" w:eastAsia="zh-CN"/>
        </w:rPr>
        <w:t>570万元，2023年无该项目。</w:t>
      </w:r>
    </w:p>
    <w:p>
      <w:pPr>
        <w:pStyle w:val="13"/>
        <w:spacing w:line="600" w:lineRule="exact"/>
        <w:ind w:firstLine="640" w:firstLineChars="200"/>
        <w:rPr>
          <w:rFonts w:hAnsi="黑体"/>
          <w:bCs/>
          <w:sz w:val="32"/>
          <w:szCs w:val="32"/>
        </w:rPr>
      </w:pPr>
      <w:r>
        <w:rPr>
          <w:rFonts w:hint="eastAsia" w:hAnsi="黑体"/>
          <w:bCs/>
          <w:sz w:val="32"/>
          <w:szCs w:val="32"/>
        </w:rPr>
        <w:t>二、收入决算情况说明</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年度收入合计</w:t>
      </w:r>
      <w:r>
        <w:rPr>
          <w:rFonts w:hint="eastAsia" w:ascii="Times New Roman" w:hAnsi="Times New Roman" w:eastAsia="仿宋_GB2312" w:cs="仿宋_GB2312"/>
          <w:bCs/>
          <w:kern w:val="0"/>
          <w:sz w:val="32"/>
          <w:szCs w:val="32"/>
          <w:lang w:val="en-US" w:eastAsia="zh-CN"/>
        </w:rPr>
        <w:t>1066.58</w:t>
      </w:r>
      <w:r>
        <w:rPr>
          <w:rFonts w:hint="eastAsia" w:ascii="Times New Roman" w:hAnsi="Times New Roman" w:eastAsia="仿宋_GB2312" w:cs="仿宋_GB2312"/>
          <w:bCs/>
          <w:kern w:val="0"/>
          <w:sz w:val="32"/>
          <w:szCs w:val="32"/>
        </w:rPr>
        <w:t>万元，其中：财政拨款收入</w:t>
      </w:r>
      <w:r>
        <w:rPr>
          <w:rFonts w:hint="eastAsia" w:ascii="Times New Roman" w:hAnsi="Times New Roman" w:eastAsia="仿宋_GB2312" w:cs="仿宋_GB2312"/>
          <w:bCs/>
          <w:kern w:val="0"/>
          <w:sz w:val="32"/>
          <w:szCs w:val="32"/>
          <w:lang w:val="en-US" w:eastAsia="zh-CN"/>
        </w:rPr>
        <w:t>789.15</w:t>
      </w:r>
      <w:r>
        <w:rPr>
          <w:rFonts w:hint="eastAsia" w:ascii="Times New Roman" w:hAnsi="Times New Roman" w:eastAsia="仿宋_GB2312" w:cs="仿宋_GB2312"/>
          <w:bCs/>
          <w:kern w:val="0"/>
          <w:sz w:val="32"/>
          <w:szCs w:val="32"/>
        </w:rPr>
        <w:t>万元，占</w:t>
      </w:r>
      <w:r>
        <w:rPr>
          <w:rFonts w:hint="eastAsia" w:ascii="Times New Roman" w:hAnsi="Times New Roman" w:eastAsia="仿宋_GB2312" w:cs="仿宋_GB2312"/>
          <w:bCs/>
          <w:kern w:val="0"/>
          <w:sz w:val="32"/>
          <w:szCs w:val="32"/>
          <w:lang w:val="en-US" w:eastAsia="zh-CN"/>
        </w:rPr>
        <w:t>73.99</w:t>
      </w:r>
      <w:r>
        <w:rPr>
          <w:rFonts w:hint="eastAsia" w:ascii="Times New Roman" w:hAnsi="Times New Roman" w:eastAsia="仿宋_GB2312" w:cs="仿宋_GB2312"/>
          <w:bCs/>
          <w:kern w:val="0"/>
          <w:sz w:val="32"/>
          <w:szCs w:val="32"/>
        </w:rPr>
        <w:t>%；上级补助收入</w:t>
      </w:r>
      <w:r>
        <w:rPr>
          <w:rFonts w:hint="eastAsia" w:ascii="Times New Roman" w:hAnsi="Times New Roman" w:eastAsia="仿宋_GB2312" w:cs="仿宋_GB2312"/>
          <w:bCs/>
          <w:kern w:val="0"/>
          <w:sz w:val="32"/>
          <w:szCs w:val="32"/>
          <w:lang w:val="en-US" w:eastAsia="zh-CN"/>
        </w:rPr>
        <w:t>0</w:t>
      </w:r>
      <w:r>
        <w:rPr>
          <w:rFonts w:hint="eastAsia" w:ascii="Times New Roman" w:hAnsi="Times New Roman" w:eastAsia="仿宋_GB2312" w:cs="仿宋_GB2312"/>
          <w:bCs/>
          <w:kern w:val="0"/>
          <w:sz w:val="32"/>
          <w:szCs w:val="32"/>
        </w:rPr>
        <w:t>万元；事业收入</w:t>
      </w:r>
      <w:r>
        <w:rPr>
          <w:rFonts w:hint="eastAsia" w:ascii="Times New Roman" w:hAnsi="Times New Roman" w:eastAsia="仿宋_GB2312" w:cs="仿宋_GB2312"/>
          <w:bCs/>
          <w:kern w:val="0"/>
          <w:sz w:val="32"/>
          <w:szCs w:val="32"/>
          <w:lang w:val="en-US" w:eastAsia="zh-CN"/>
        </w:rPr>
        <w:t>274.56</w:t>
      </w:r>
      <w:r>
        <w:rPr>
          <w:rFonts w:hint="eastAsia" w:ascii="Times New Roman" w:hAnsi="Times New Roman" w:eastAsia="仿宋_GB2312" w:cs="仿宋_GB2312"/>
          <w:bCs/>
          <w:kern w:val="0"/>
          <w:sz w:val="32"/>
          <w:szCs w:val="32"/>
        </w:rPr>
        <w:t>元，占</w:t>
      </w:r>
      <w:r>
        <w:rPr>
          <w:rFonts w:hint="eastAsia" w:ascii="Times New Roman" w:hAnsi="Times New Roman" w:eastAsia="仿宋_GB2312" w:cs="仿宋_GB2312"/>
          <w:bCs/>
          <w:kern w:val="0"/>
          <w:sz w:val="32"/>
          <w:szCs w:val="32"/>
          <w:lang w:val="en-US" w:eastAsia="zh-CN"/>
        </w:rPr>
        <w:t>25.74</w:t>
      </w:r>
      <w:r>
        <w:rPr>
          <w:rFonts w:hint="eastAsia" w:ascii="Times New Roman" w:hAnsi="Times New Roman" w:eastAsia="仿宋_GB2312" w:cs="仿宋_GB2312"/>
          <w:bCs/>
          <w:kern w:val="0"/>
          <w:sz w:val="32"/>
          <w:szCs w:val="32"/>
        </w:rPr>
        <w:t>%；经营收入</w:t>
      </w:r>
      <w:r>
        <w:rPr>
          <w:rFonts w:hint="eastAsia" w:ascii="Times New Roman" w:hAnsi="Times New Roman" w:eastAsia="仿宋_GB2312" w:cs="仿宋_GB2312"/>
          <w:bCs/>
          <w:kern w:val="0"/>
          <w:sz w:val="32"/>
          <w:szCs w:val="32"/>
          <w:lang w:val="en-US" w:eastAsia="zh-CN"/>
        </w:rPr>
        <w:t>0</w:t>
      </w:r>
      <w:r>
        <w:rPr>
          <w:rFonts w:hint="eastAsia" w:ascii="Times New Roman" w:hAnsi="Times New Roman" w:eastAsia="仿宋_GB2312" w:cs="仿宋_GB2312"/>
          <w:bCs/>
          <w:kern w:val="0"/>
          <w:sz w:val="32"/>
          <w:szCs w:val="32"/>
        </w:rPr>
        <w:t>万元；附属单位上缴收入</w:t>
      </w:r>
      <w:r>
        <w:rPr>
          <w:rFonts w:hint="eastAsia" w:ascii="Times New Roman" w:hAnsi="Times New Roman" w:eastAsia="仿宋_GB2312" w:cs="仿宋_GB2312"/>
          <w:bCs/>
          <w:kern w:val="0"/>
          <w:sz w:val="32"/>
          <w:szCs w:val="32"/>
          <w:lang w:val="en-US" w:eastAsia="zh-CN"/>
        </w:rPr>
        <w:t>0</w:t>
      </w:r>
      <w:r>
        <w:rPr>
          <w:rFonts w:hint="eastAsia" w:ascii="Times New Roman" w:hAnsi="Times New Roman" w:eastAsia="仿宋_GB2312" w:cs="仿宋_GB2312"/>
          <w:bCs/>
          <w:kern w:val="0"/>
          <w:sz w:val="32"/>
          <w:szCs w:val="32"/>
        </w:rPr>
        <w:t>万元；其他收入</w:t>
      </w:r>
      <w:r>
        <w:rPr>
          <w:rFonts w:hint="eastAsia" w:ascii="Times New Roman" w:hAnsi="Times New Roman" w:eastAsia="仿宋_GB2312" w:cs="仿宋_GB2312"/>
          <w:bCs/>
          <w:kern w:val="0"/>
          <w:sz w:val="32"/>
          <w:szCs w:val="32"/>
          <w:lang w:val="en-US" w:eastAsia="zh-CN"/>
        </w:rPr>
        <w:t>2.87</w:t>
      </w:r>
      <w:r>
        <w:rPr>
          <w:rFonts w:hint="eastAsia" w:ascii="Times New Roman" w:hAnsi="Times New Roman" w:eastAsia="仿宋_GB2312" w:cs="仿宋_GB2312"/>
          <w:bCs/>
          <w:kern w:val="0"/>
          <w:sz w:val="32"/>
          <w:szCs w:val="32"/>
        </w:rPr>
        <w:t>万元，占</w:t>
      </w:r>
      <w:r>
        <w:rPr>
          <w:rFonts w:hint="eastAsia" w:ascii="Times New Roman" w:hAnsi="Times New Roman" w:eastAsia="仿宋_GB2312" w:cs="仿宋_GB2312"/>
          <w:bCs/>
          <w:kern w:val="0"/>
          <w:sz w:val="32"/>
          <w:szCs w:val="32"/>
          <w:lang w:val="en-US" w:eastAsia="zh-CN"/>
        </w:rPr>
        <w:t>0.27</w:t>
      </w:r>
      <w:r>
        <w:rPr>
          <w:rFonts w:hint="eastAsia" w:ascii="Times New Roman" w:hAnsi="Times New Roman" w:eastAsia="仿宋_GB2312" w:cs="仿宋_GB2312"/>
          <w:bCs/>
          <w:kern w:val="0"/>
          <w:sz w:val="32"/>
          <w:szCs w:val="32"/>
        </w:rPr>
        <w:t>%。</w:t>
      </w:r>
    </w:p>
    <w:p>
      <w:pPr>
        <w:pStyle w:val="13"/>
        <w:spacing w:line="600" w:lineRule="exact"/>
        <w:ind w:firstLine="640" w:firstLineChars="200"/>
        <w:rPr>
          <w:rFonts w:hAnsi="黑体"/>
          <w:bCs/>
          <w:sz w:val="32"/>
          <w:szCs w:val="32"/>
        </w:rPr>
      </w:pPr>
      <w:r>
        <w:rPr>
          <w:rFonts w:hint="eastAsia" w:hAnsi="黑体"/>
          <w:bCs/>
          <w:sz w:val="32"/>
          <w:szCs w:val="32"/>
        </w:rPr>
        <w:t>三、支出决算情况说明</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年度支出合计</w:t>
      </w:r>
      <w:r>
        <w:rPr>
          <w:rFonts w:hint="eastAsia" w:ascii="Times New Roman" w:hAnsi="Times New Roman" w:eastAsia="仿宋_GB2312" w:cs="仿宋_GB2312"/>
          <w:bCs/>
          <w:kern w:val="0"/>
          <w:sz w:val="32"/>
          <w:szCs w:val="32"/>
          <w:lang w:val="en-US" w:eastAsia="zh-CN"/>
        </w:rPr>
        <w:t>890.18</w:t>
      </w:r>
      <w:r>
        <w:rPr>
          <w:rFonts w:hint="eastAsia" w:ascii="Times New Roman" w:hAnsi="Times New Roman" w:eastAsia="仿宋_GB2312" w:cs="仿宋_GB2312"/>
          <w:bCs/>
          <w:kern w:val="0"/>
          <w:sz w:val="32"/>
          <w:szCs w:val="32"/>
        </w:rPr>
        <w:t>万元，其中：基本支出</w:t>
      </w:r>
      <w:r>
        <w:rPr>
          <w:rFonts w:hint="eastAsia" w:ascii="Times New Roman" w:hAnsi="Times New Roman" w:eastAsia="仿宋_GB2312" w:cs="仿宋_GB2312"/>
          <w:bCs/>
          <w:kern w:val="0"/>
          <w:sz w:val="32"/>
          <w:szCs w:val="32"/>
          <w:lang w:val="en-US" w:eastAsia="zh-CN"/>
        </w:rPr>
        <w:t>443.57</w:t>
      </w:r>
      <w:r>
        <w:rPr>
          <w:rFonts w:hint="eastAsia" w:ascii="Times New Roman" w:hAnsi="Times New Roman" w:eastAsia="仿宋_GB2312" w:cs="仿宋_GB2312"/>
          <w:bCs/>
          <w:kern w:val="0"/>
          <w:sz w:val="32"/>
          <w:szCs w:val="32"/>
        </w:rPr>
        <w:t>万元，占</w:t>
      </w:r>
      <w:r>
        <w:rPr>
          <w:rFonts w:hint="eastAsia" w:ascii="Times New Roman" w:hAnsi="Times New Roman" w:eastAsia="仿宋_GB2312" w:cs="仿宋_GB2312"/>
          <w:bCs/>
          <w:kern w:val="0"/>
          <w:sz w:val="32"/>
          <w:szCs w:val="32"/>
          <w:lang w:val="en-US" w:eastAsia="zh-CN"/>
        </w:rPr>
        <w:t>49.83</w:t>
      </w:r>
      <w:r>
        <w:rPr>
          <w:rFonts w:hint="eastAsia" w:ascii="Times New Roman" w:hAnsi="Times New Roman" w:eastAsia="仿宋_GB2312" w:cs="仿宋_GB2312"/>
          <w:bCs/>
          <w:kern w:val="0"/>
          <w:sz w:val="32"/>
          <w:szCs w:val="32"/>
        </w:rPr>
        <w:t>%；项目支出</w:t>
      </w:r>
      <w:r>
        <w:rPr>
          <w:rFonts w:hint="eastAsia" w:ascii="Times New Roman" w:hAnsi="Times New Roman" w:eastAsia="仿宋_GB2312" w:cs="仿宋_GB2312"/>
          <w:bCs/>
          <w:kern w:val="0"/>
          <w:sz w:val="32"/>
          <w:szCs w:val="32"/>
          <w:lang w:val="en-US" w:eastAsia="zh-CN"/>
        </w:rPr>
        <w:t>446.61</w:t>
      </w:r>
      <w:r>
        <w:rPr>
          <w:rFonts w:hint="eastAsia" w:ascii="Times New Roman" w:hAnsi="Times New Roman" w:eastAsia="仿宋_GB2312" w:cs="仿宋_GB2312"/>
          <w:bCs/>
          <w:kern w:val="0"/>
          <w:sz w:val="32"/>
          <w:szCs w:val="32"/>
        </w:rPr>
        <w:t>万元，占</w:t>
      </w:r>
      <w:r>
        <w:rPr>
          <w:rFonts w:hint="eastAsia" w:ascii="Times New Roman" w:hAnsi="Times New Roman" w:eastAsia="仿宋_GB2312" w:cs="仿宋_GB2312"/>
          <w:bCs/>
          <w:kern w:val="0"/>
          <w:sz w:val="32"/>
          <w:szCs w:val="32"/>
          <w:lang w:val="en-US" w:eastAsia="zh-CN"/>
        </w:rPr>
        <w:t>50.17</w:t>
      </w:r>
      <w:r>
        <w:rPr>
          <w:rFonts w:hint="eastAsia" w:ascii="Times New Roman" w:hAnsi="Times New Roman" w:eastAsia="仿宋_GB2312" w:cs="仿宋_GB2312"/>
          <w:bCs/>
          <w:kern w:val="0"/>
          <w:sz w:val="32"/>
          <w:szCs w:val="32"/>
        </w:rPr>
        <w:t>%；上缴上级支出</w:t>
      </w:r>
      <w:r>
        <w:rPr>
          <w:rFonts w:hint="eastAsia" w:ascii="Times New Roman" w:hAnsi="Times New Roman" w:eastAsia="仿宋_GB2312" w:cs="仿宋_GB2312"/>
          <w:bCs/>
          <w:kern w:val="0"/>
          <w:sz w:val="32"/>
          <w:szCs w:val="32"/>
          <w:lang w:val="en-US" w:eastAsia="zh-CN"/>
        </w:rPr>
        <w:t>0</w:t>
      </w:r>
      <w:r>
        <w:rPr>
          <w:rFonts w:hint="eastAsia" w:ascii="Times New Roman" w:hAnsi="Times New Roman" w:eastAsia="仿宋_GB2312" w:cs="仿宋_GB2312"/>
          <w:bCs/>
          <w:kern w:val="0"/>
          <w:sz w:val="32"/>
          <w:szCs w:val="32"/>
        </w:rPr>
        <w:t>万元；经营支出</w:t>
      </w:r>
      <w:r>
        <w:rPr>
          <w:rFonts w:hint="eastAsia" w:ascii="Times New Roman" w:hAnsi="Times New Roman" w:eastAsia="仿宋_GB2312" w:cs="仿宋_GB2312"/>
          <w:bCs/>
          <w:kern w:val="0"/>
          <w:sz w:val="32"/>
          <w:szCs w:val="32"/>
          <w:lang w:val="en-US" w:eastAsia="zh-CN"/>
        </w:rPr>
        <w:t>0</w:t>
      </w:r>
      <w:r>
        <w:rPr>
          <w:rFonts w:hint="eastAsia" w:ascii="Times New Roman" w:hAnsi="Times New Roman" w:eastAsia="仿宋_GB2312" w:cs="仿宋_GB2312"/>
          <w:bCs/>
          <w:kern w:val="0"/>
          <w:sz w:val="32"/>
          <w:szCs w:val="32"/>
        </w:rPr>
        <w:t>万元；对附属单位补助支出</w:t>
      </w:r>
      <w:r>
        <w:rPr>
          <w:rFonts w:hint="eastAsia" w:ascii="Times New Roman" w:hAnsi="Times New Roman" w:eastAsia="仿宋_GB2312" w:cs="仿宋_GB2312"/>
          <w:bCs/>
          <w:kern w:val="0"/>
          <w:sz w:val="32"/>
          <w:szCs w:val="32"/>
          <w:lang w:val="en-US" w:eastAsia="zh-CN"/>
        </w:rPr>
        <w:t>0</w:t>
      </w:r>
      <w:r>
        <w:rPr>
          <w:rFonts w:hint="eastAsia" w:ascii="Times New Roman" w:hAnsi="Times New Roman" w:eastAsia="仿宋_GB2312" w:cs="仿宋_GB2312"/>
          <w:bCs/>
          <w:kern w:val="0"/>
          <w:sz w:val="32"/>
          <w:szCs w:val="32"/>
        </w:rPr>
        <w:t>万元。</w:t>
      </w:r>
    </w:p>
    <w:p>
      <w:pPr>
        <w:pStyle w:val="13"/>
        <w:spacing w:line="600" w:lineRule="exact"/>
        <w:ind w:firstLine="640" w:firstLineChars="200"/>
        <w:rPr>
          <w:rFonts w:hAnsi="黑体"/>
          <w:bCs/>
          <w:sz w:val="32"/>
          <w:szCs w:val="32"/>
        </w:rPr>
      </w:pPr>
      <w:r>
        <w:rPr>
          <w:rFonts w:hint="eastAsia" w:hAnsi="黑体"/>
          <w:bCs/>
          <w:sz w:val="32"/>
          <w:szCs w:val="32"/>
        </w:rPr>
        <w:t>四、财政拨款收入支出决算总体情况说明</w:t>
      </w:r>
    </w:p>
    <w:p>
      <w:pPr>
        <w:pStyle w:val="13"/>
        <w:spacing w:line="600" w:lineRule="exact"/>
        <w:rPr>
          <w:rFonts w:hint="default"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Times New Roman" w:hAnsi="Times New Roman" w:eastAsia="仿宋_GB2312" w:cs="仿宋_GB2312"/>
          <w:bCs/>
          <w:color w:val="auto"/>
          <w:kern w:val="0"/>
          <w:sz w:val="32"/>
          <w:szCs w:val="32"/>
          <w:lang w:val="en-US" w:eastAsia="zh-CN" w:bidi="ar-SA"/>
        </w:rPr>
        <w:t>2023年度财政拨款收、支总计789.15万元，与上年相比，减少235.88万元,减少23.01%，主要是因为减少湖南省鱼类种质资源场建设项目资金。</w:t>
      </w:r>
    </w:p>
    <w:p>
      <w:pPr>
        <w:pStyle w:val="13"/>
        <w:spacing w:line="600" w:lineRule="exact"/>
        <w:ind w:firstLine="640" w:firstLineChars="200"/>
        <w:rPr>
          <w:rFonts w:hAnsi="黑体"/>
          <w:bCs/>
          <w:sz w:val="32"/>
          <w:szCs w:val="32"/>
        </w:rPr>
      </w:pPr>
      <w:r>
        <w:rPr>
          <w:rFonts w:hint="eastAsia" w:hAnsi="黑体"/>
          <w:bCs/>
          <w:sz w:val="32"/>
          <w:szCs w:val="32"/>
        </w:rPr>
        <w:t>五、一般公共预算财政拨款支出决算情况说明</w:t>
      </w:r>
    </w:p>
    <w:p>
      <w:pPr>
        <w:pStyle w:val="13"/>
        <w:spacing w:line="600" w:lineRule="exact"/>
        <w:ind w:firstLine="640" w:firstLineChars="20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（一）财政拨款支出决算总体情况</w:t>
      </w:r>
    </w:p>
    <w:p>
      <w:pPr>
        <w:pStyle w:val="13"/>
        <w:spacing w:line="600" w:lineRule="exact"/>
        <w:ind w:firstLine="640" w:firstLineChars="200"/>
        <w:rPr>
          <w:rFonts w:hint="default"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2023年度财政拨款支出775.26万元，占本年支出合计的87.09%，与上年相比，财政拨款支出减少771.09万元，降低50.13%，主要原因是</w:t>
      </w:r>
      <w:r>
        <w:rPr>
          <w:rFonts w:hint="default" w:ascii="Times New Roman" w:hAnsi="Times New Roman" w:eastAsia="仿宋_GB2312" w:cs="仿宋_GB2312"/>
          <w:bCs/>
          <w:color w:val="auto"/>
          <w:kern w:val="0"/>
          <w:sz w:val="32"/>
          <w:szCs w:val="32"/>
          <w:lang w:val="en-US" w:eastAsia="zh-CN" w:bidi="ar-SA"/>
        </w:rPr>
        <w:t>①</w:t>
      </w:r>
      <w:r>
        <w:rPr>
          <w:rFonts w:hint="eastAsia" w:ascii="Times New Roman" w:hAnsi="Times New Roman" w:eastAsia="仿宋_GB2312" w:cs="仿宋_GB2312"/>
          <w:bCs/>
          <w:kern w:val="0"/>
          <w:sz w:val="32"/>
          <w:szCs w:val="32"/>
          <w:lang w:val="en-US" w:eastAsia="zh-CN"/>
        </w:rPr>
        <w:t>2022年收到</w:t>
      </w:r>
      <w:r>
        <w:rPr>
          <w:rFonts w:hint="eastAsia" w:ascii="Times New Roman" w:hAnsi="Times New Roman" w:eastAsia="仿宋_GB2312" w:cs="仿宋_GB2312"/>
          <w:bCs/>
          <w:color w:val="auto"/>
          <w:kern w:val="0"/>
          <w:sz w:val="32"/>
          <w:szCs w:val="32"/>
          <w:lang w:val="en-US" w:eastAsia="zh-CN" w:bidi="ar-SA"/>
        </w:rPr>
        <w:t>湖南省鱼类种质资源场建设项目资金</w:t>
      </w:r>
      <w:r>
        <w:rPr>
          <w:rFonts w:hint="eastAsia" w:ascii="Times New Roman" w:hAnsi="Times New Roman" w:eastAsia="仿宋_GB2312" w:cs="仿宋_GB2312"/>
          <w:bCs/>
          <w:kern w:val="0"/>
          <w:sz w:val="32"/>
          <w:szCs w:val="32"/>
          <w:lang w:val="en-US" w:eastAsia="zh-CN"/>
        </w:rPr>
        <w:t>570万元，2023年无该项目</w:t>
      </w:r>
      <w:r>
        <w:rPr>
          <w:rFonts w:hint="default" w:ascii="Times New Roman" w:hAnsi="Times New Roman" w:eastAsia="仿宋_GB2312" w:cs="仿宋_GB2312"/>
          <w:bCs/>
          <w:color w:val="auto"/>
          <w:kern w:val="0"/>
          <w:sz w:val="32"/>
          <w:szCs w:val="32"/>
          <w:lang w:val="en-US" w:eastAsia="zh-CN" w:bidi="ar-SA"/>
        </w:rPr>
        <w:t>②</w:t>
      </w:r>
      <w:r>
        <w:rPr>
          <w:rFonts w:hint="eastAsia" w:ascii="Times New Roman" w:hAnsi="Times New Roman" w:eastAsia="仿宋_GB2312" w:cs="仿宋_GB2312"/>
          <w:bCs/>
          <w:color w:val="auto"/>
          <w:kern w:val="0"/>
          <w:sz w:val="32"/>
          <w:szCs w:val="32"/>
          <w:lang w:val="en-US" w:eastAsia="zh-CN" w:bidi="ar-SA"/>
        </w:rPr>
        <w:t>鱼类资源增殖放流等项目资金减少，从而导致支出减少。</w:t>
      </w:r>
    </w:p>
    <w:p>
      <w:pPr>
        <w:pStyle w:val="13"/>
        <w:spacing w:line="600" w:lineRule="exact"/>
        <w:ind w:firstLine="640" w:firstLineChars="200"/>
        <w:rPr>
          <w:rFonts w:hint="eastAsia" w:ascii="Times New Roman" w:hAnsi="Times New Roman" w:eastAsia="仿宋_GB2312" w:cs="仿宋_GB2312"/>
          <w:bCs/>
          <w:color w:val="auto"/>
          <w:kern w:val="0"/>
          <w:sz w:val="32"/>
          <w:szCs w:val="32"/>
          <w:lang w:val="en-US" w:eastAsia="zh-CN" w:bidi="ar-SA"/>
        </w:rPr>
      </w:pPr>
      <w:r>
        <w:rPr>
          <w:rFonts w:hint="eastAsia" w:ascii="Times New Roman" w:hAnsi="Times New Roman" w:eastAsia="仿宋_GB2312" w:cs="仿宋_GB2312"/>
          <w:bCs/>
          <w:color w:val="auto"/>
          <w:kern w:val="0"/>
          <w:sz w:val="32"/>
          <w:szCs w:val="32"/>
          <w:lang w:val="en-US" w:eastAsia="zh-CN" w:bidi="ar-SA"/>
        </w:rPr>
        <w:t>（二）财政拨款支出决算结构情况</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cs="仿宋_GB2312"/>
          <w:bCs/>
          <w:color w:val="auto"/>
          <w:kern w:val="0"/>
          <w:sz w:val="32"/>
          <w:szCs w:val="32"/>
          <w:lang w:val="en-US" w:eastAsia="zh-CN" w:bidi="ar-SA"/>
        </w:rPr>
        <w:t>2023年度财政拨款支出775.26万元，主要用于以下方面：社会保障和</w:t>
      </w:r>
      <w:r>
        <w:rPr>
          <w:rFonts w:hint="eastAsia" w:ascii="Times New Roman" w:hAnsi="Times New Roman" w:eastAsia="仿宋_GB2312"/>
          <w:sz w:val="32"/>
          <w:szCs w:val="32"/>
          <w:lang w:eastAsia="zh-CN"/>
        </w:rPr>
        <w:t>就业</w:t>
      </w:r>
      <w:r>
        <w:rPr>
          <w:rFonts w:hint="eastAsia" w:ascii="Times New Roman" w:hAnsi="Times New Roman" w:eastAsia="仿宋_GB2312"/>
          <w:sz w:val="32"/>
          <w:szCs w:val="32"/>
        </w:rPr>
        <w:t>（类）支出</w:t>
      </w:r>
      <w:r>
        <w:rPr>
          <w:rFonts w:hint="eastAsia" w:ascii="Times New Roman" w:hAnsi="Times New Roman" w:eastAsia="仿宋_GB2312"/>
          <w:sz w:val="32"/>
          <w:szCs w:val="32"/>
          <w:lang w:val="en-US" w:eastAsia="zh-CN"/>
        </w:rPr>
        <w:t>42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5.42</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农林水</w:t>
      </w:r>
      <w:r>
        <w:rPr>
          <w:rFonts w:hint="eastAsia" w:ascii="Times New Roman" w:hAnsi="Times New Roman" w:eastAsia="仿宋_GB2312"/>
          <w:sz w:val="32"/>
          <w:szCs w:val="32"/>
        </w:rPr>
        <w:t>（类）支出</w:t>
      </w:r>
      <w:r>
        <w:rPr>
          <w:rFonts w:hint="eastAsia" w:ascii="Times New Roman" w:hAnsi="Times New Roman" w:eastAsia="仿宋_GB2312"/>
          <w:sz w:val="32"/>
          <w:szCs w:val="32"/>
          <w:lang w:val="en-US" w:eastAsia="zh-CN"/>
        </w:rPr>
        <w:t>733.26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94.58</w:t>
      </w:r>
      <w:r>
        <w:rPr>
          <w:rFonts w:hint="eastAsia" w:ascii="Times New Roman" w:hAnsi="Times New Roman" w:eastAsia="仿宋_GB2312"/>
          <w:sz w:val="32"/>
          <w:szCs w:val="32"/>
        </w:rPr>
        <w:t>%;</w:t>
      </w:r>
    </w:p>
    <w:p>
      <w:pPr>
        <w:pStyle w:val="13"/>
        <w:spacing w:line="600" w:lineRule="exact"/>
        <w:ind w:firstLine="800" w:firstLineChars="250"/>
        <w:rPr>
          <w:rFonts w:ascii="楷体" w:hAnsi="楷体" w:eastAsia="楷体" w:cs="楷体"/>
          <w:bCs/>
          <w:sz w:val="32"/>
          <w:szCs w:val="32"/>
        </w:rPr>
      </w:pPr>
      <w:r>
        <w:rPr>
          <w:rFonts w:hint="eastAsia" w:ascii="楷体" w:hAnsi="楷体" w:eastAsia="楷体" w:cs="楷体"/>
          <w:bCs/>
          <w:sz w:val="32"/>
          <w:szCs w:val="32"/>
        </w:rPr>
        <w:t>（三）财政拨款支出决算具体情况</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2023年度财政拨款支出年初预算数为520.30万元，支出决算数为775.26万元，完成年初预算的100%，其中：</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1、社会保障和就业（类）行政事业单位养老支出（款）机关事业单位基本养老保险缴费支出（项）。</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年初预算为42万元，支出决算为42万元，完成年初预算的100%。</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2、农林水（类）农业农村（款）行政运行（项）。</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年初预算为0万元，支出决算为92.08万元，决算数大于年初预算数的主要原因是：年中追加绩效工资。</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3、农林水（类）农业农村（款）事业运行（项）。</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年初预算为262.07万元，支出决算为262.07万元，完成年初预算的100%。</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4、农林水（类）农业农村（款）统计监测与信息服务（项）。</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年初预算为20万元，支出决算为20万元，完成年初预算的100%。</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5、农林水（类）农业农村（款）农业资源保护与修复利用（项）。</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年初预算为10.67万元，支出决算为224.94万元，完成年初预算的100%，决算数大于年初预算数的主要原因是：年中追加渔业资源增殖与保护专项资金。</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6、农林水（类）林业和草原（款）其他林业和草原（项）。</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年初预算为185.56万元，支出决算为134.18万元，完成年初预算的72.31%，决算数小于年初预算数的主要原因是：项目专项资金结余。</w:t>
      </w:r>
    </w:p>
    <w:p>
      <w:pPr>
        <w:pStyle w:val="13"/>
        <w:spacing w:line="600" w:lineRule="exact"/>
        <w:ind w:firstLine="640" w:firstLineChars="200"/>
        <w:rPr>
          <w:rFonts w:hAnsi="黑体"/>
          <w:bCs/>
          <w:sz w:val="32"/>
          <w:szCs w:val="32"/>
        </w:rPr>
      </w:pPr>
      <w:r>
        <w:rPr>
          <w:rFonts w:hint="eastAsia" w:hAnsi="黑体"/>
          <w:bCs/>
          <w:sz w:val="32"/>
          <w:szCs w:val="32"/>
        </w:rPr>
        <w:t>六、一般公共预算财政拨款基本支出决算情况说明</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2023年度财政拨款基本支出396.15万元，其中：</w:t>
      </w:r>
    </w:p>
    <w:p>
      <w:pPr>
        <w:pStyle w:val="13"/>
        <w:spacing w:line="600" w:lineRule="exact"/>
        <w:ind w:firstLine="640" w:firstLineChars="200"/>
        <w:rPr>
          <w:rFonts w:ascii="Times New Roman" w:hAnsi="Times New Roman" w:eastAsia="仿宋_GB2312"/>
          <w:sz w:val="32"/>
          <w:szCs w:val="32"/>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356.80万元，占基本支出的90.07%,主要包括基本工资、津贴补贴、奖金、伙食补助费和住房公积金等。</w:t>
      </w:r>
    </w:p>
    <w:p>
      <w:pPr>
        <w:pStyle w:val="13"/>
        <w:spacing w:line="600" w:lineRule="exact"/>
        <w:ind w:firstLine="640" w:firstLineChars="200"/>
        <w:rPr>
          <w:rFonts w:ascii="Times New Roman" w:hAnsi="Times New Roman" w:eastAsia="仿宋_GB2312"/>
          <w:b/>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39.35万元，占基本支出的9.93%，主要包括办公费、物业管理费、电费和工会经费等。</w:t>
      </w:r>
    </w:p>
    <w:p>
      <w:pPr>
        <w:pStyle w:val="13"/>
        <w:spacing w:line="600" w:lineRule="exact"/>
        <w:ind w:firstLine="640" w:firstLineChars="200"/>
        <w:rPr>
          <w:rFonts w:ascii="Times New Roman" w:hAnsi="Times New Roman" w:eastAsia="仿宋_GB2312"/>
          <w:b/>
          <w:sz w:val="32"/>
          <w:szCs w:val="32"/>
        </w:rPr>
      </w:pPr>
      <w:r>
        <w:rPr>
          <w:rFonts w:hint="eastAsia" w:hAnsi="黑体"/>
          <w:bCs/>
          <w:sz w:val="32"/>
          <w:szCs w:val="32"/>
        </w:rPr>
        <w:t>七、财政拨款三公经费支出决算情况说明</w:t>
      </w:r>
    </w:p>
    <w:p>
      <w:pPr>
        <w:pStyle w:val="13"/>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（一）“三公”经费财政拨款支出决算总体情况说明</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持平</w:t>
      </w:r>
      <w:r>
        <w:rPr>
          <w:rFonts w:hint="eastAsia" w:ascii="Times New Roman" w:hAnsi="Times New Roman" w:eastAsia="仿宋_GB2312"/>
          <w:sz w:val="32"/>
          <w:szCs w:val="32"/>
        </w:rPr>
        <w:t>。其中：</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因公出国（境）费支出预算为0万元，支出决算为0万元，</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持平。</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公务接待费支出预算为0万元，支出决算为0万元，</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持平。</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公务用车购置费支出预算为0万元，支出决算为0万元，</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持平。</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公务用车运行维护费支出预算为3万元，支出决算为3万元，完成预算的100%，与上年持平。</w:t>
      </w:r>
    </w:p>
    <w:p>
      <w:pPr>
        <w:pStyle w:val="13"/>
        <w:spacing w:line="600" w:lineRule="exact"/>
        <w:ind w:firstLine="640" w:firstLineChars="200"/>
        <w:rPr>
          <w:rFonts w:ascii="楷体" w:hAnsi="楷体" w:eastAsia="楷体" w:cs="楷体"/>
          <w:b/>
          <w:sz w:val="32"/>
          <w:szCs w:val="32"/>
        </w:rPr>
      </w:pPr>
      <w:r>
        <w:rPr>
          <w:rFonts w:hint="eastAsia" w:ascii="楷体" w:hAnsi="楷体" w:eastAsia="楷体" w:cs="楷体"/>
          <w:b/>
          <w:sz w:val="32"/>
          <w:szCs w:val="32"/>
        </w:rPr>
        <w:t>（二）“三公”经费财政拨款支出决算具体情况说明</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2023年度“三公”经费财政拨款支出决算中，公务接待费支出决算0万元，因公出国（境）费支出决算0万元，公务用车购置费及运行维护费支出决算3万元，占100%。其中：</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1、因公出国（境）费支出决算为0万元，全年安排因公出国（境）团组0个，累计0人次。</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2、公务接待费支出决算为0万元，全年共接待来访团组0个、来宾0人次。</w:t>
      </w:r>
    </w:p>
    <w:p>
      <w:pPr>
        <w:pStyle w:val="13"/>
        <w:spacing w:line="600" w:lineRule="exact"/>
        <w:ind w:firstLine="640" w:firstLineChars="200"/>
        <w:rPr>
          <w:rFonts w:ascii="楷体" w:hAnsi="楷体" w:eastAsia="楷体" w:cs="楷体"/>
          <w:b/>
          <w:bCs/>
          <w:i/>
          <w:kern w:val="0"/>
          <w:sz w:val="32"/>
          <w:szCs w:val="32"/>
        </w:rPr>
      </w:pPr>
      <w:r>
        <w:rPr>
          <w:rFonts w:hint="eastAsia" w:ascii="Times New Roman" w:hAnsi="Times New Roman" w:eastAsia="仿宋_GB2312"/>
          <w:sz w:val="32"/>
          <w:szCs w:val="32"/>
          <w:lang w:val="en-US" w:eastAsia="zh-CN"/>
        </w:rPr>
        <w:t>3、公务用车购置费及运行维护费支出决算为3万元，其中：公务用车购置费0万元。公务用车运行维护费3万元，主要是汽车油费支出，截止2023年12月31日，我单位开支财政拨款的公务用车保有量为2辆。</w:t>
      </w:r>
    </w:p>
    <w:p>
      <w:pPr>
        <w:pStyle w:val="13"/>
        <w:spacing w:line="600" w:lineRule="exact"/>
        <w:ind w:firstLine="640" w:firstLineChars="200"/>
        <w:rPr>
          <w:rFonts w:hAnsi="黑体"/>
          <w:bCs/>
          <w:sz w:val="32"/>
          <w:szCs w:val="32"/>
        </w:rPr>
      </w:pPr>
      <w:r>
        <w:rPr>
          <w:rFonts w:hint="eastAsia" w:hAnsi="黑体"/>
          <w:bCs/>
          <w:sz w:val="32"/>
          <w:szCs w:val="32"/>
        </w:rPr>
        <w:t>八、政府性基金预算收入支出决算情况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本单位无政府性基金收支。</w:t>
      </w:r>
    </w:p>
    <w:p>
      <w:pPr>
        <w:pStyle w:val="13"/>
        <w:spacing w:line="600" w:lineRule="exact"/>
        <w:ind w:firstLine="640" w:firstLineChars="200"/>
        <w:rPr>
          <w:rFonts w:ascii="Times New Roman" w:hAnsi="Times New Roman" w:eastAsia="仿宋_GB2312"/>
          <w:b/>
          <w:sz w:val="32"/>
          <w:szCs w:val="32"/>
        </w:rPr>
      </w:pPr>
      <w:r>
        <w:rPr>
          <w:rFonts w:hint="eastAsia" w:ascii="Times New Roman" w:hAnsi="Times New Roman" w:eastAsia="仿宋_GB2312"/>
          <w:b/>
          <w:sz w:val="32"/>
          <w:szCs w:val="32"/>
        </w:rPr>
        <w:t>九、关于机关运行经费支出说明</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本部门2023年度机关运行经费支出0万元。</w:t>
      </w:r>
    </w:p>
    <w:p>
      <w:pPr>
        <w:pStyle w:val="13"/>
        <w:spacing w:line="600" w:lineRule="exact"/>
        <w:ind w:firstLine="640" w:firstLineChars="200"/>
        <w:rPr>
          <w:rFonts w:hAnsi="黑体"/>
          <w:bCs/>
          <w:sz w:val="32"/>
          <w:szCs w:val="32"/>
        </w:rPr>
      </w:pPr>
      <w:r>
        <w:rPr>
          <w:rFonts w:hint="eastAsia" w:hAnsi="黑体"/>
          <w:bCs/>
          <w:sz w:val="32"/>
          <w:szCs w:val="32"/>
        </w:rPr>
        <w:t>十、一般性支出情况说明</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2023年本部门开支会议费0万元；开支培训费0.25万元，用于开展事业人员培训，人数16人，内容为2023事业人员培训费用；未举办节庆、晚会、论坛、赛事活动。</w:t>
      </w:r>
    </w:p>
    <w:p>
      <w:pPr>
        <w:pStyle w:val="13"/>
        <w:spacing w:line="600" w:lineRule="exact"/>
        <w:ind w:firstLine="640" w:firstLineChars="200"/>
        <w:rPr>
          <w:rFonts w:hAnsi="黑体"/>
          <w:bCs/>
          <w:sz w:val="32"/>
          <w:szCs w:val="32"/>
        </w:rPr>
      </w:pPr>
      <w:r>
        <w:rPr>
          <w:rFonts w:hint="eastAsia" w:hAnsi="黑体"/>
          <w:bCs/>
          <w:sz w:val="32"/>
          <w:szCs w:val="32"/>
        </w:rPr>
        <w:t>十一、关于政府采购支出说明</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本部门2023年度政府采购支出总额0万元，其中：政府采购货物支出0万元、政府采购工程支出0万元、政府采购服务支出0万元。授予中小企业合同金额0万元，其中：授予小微企业合同金额0万元。</w:t>
      </w:r>
    </w:p>
    <w:p>
      <w:pPr>
        <w:pStyle w:val="13"/>
        <w:spacing w:line="600" w:lineRule="exact"/>
        <w:ind w:firstLine="640" w:firstLineChars="200"/>
        <w:rPr>
          <w:rFonts w:hAnsi="黑体"/>
          <w:bCs/>
          <w:sz w:val="32"/>
          <w:szCs w:val="32"/>
        </w:rPr>
      </w:pPr>
      <w:r>
        <w:rPr>
          <w:rFonts w:hint="eastAsia" w:hAnsi="黑体"/>
          <w:bCs/>
          <w:sz w:val="32"/>
          <w:szCs w:val="32"/>
        </w:rPr>
        <w:t>十二、关于国有资产占用情况说明</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截至2023年12月31日，本单位共有车辆1辆，其中，主要领导干部用车0辆，机要通信用车0辆、应急保障用车0辆、执法执勤用车0辆、特种专业技术用车0辆、其他用车2辆，其他用车主要是采集、培育、保存水产原种，选育、推广水产养殖良种等业务工作；单位价值100万元以上专用设备0台（套）。</w:t>
      </w:r>
    </w:p>
    <w:p>
      <w:pPr>
        <w:pStyle w:val="13"/>
        <w:spacing w:line="600" w:lineRule="exact"/>
        <w:ind w:firstLine="640" w:firstLineChars="200"/>
        <w:rPr>
          <w:rFonts w:hAnsi="黑体"/>
          <w:bCs/>
          <w:sz w:val="32"/>
          <w:szCs w:val="32"/>
        </w:rPr>
      </w:pPr>
      <w:r>
        <w:rPr>
          <w:rFonts w:hint="eastAsia" w:hAnsi="黑体"/>
          <w:bCs/>
          <w:sz w:val="32"/>
          <w:szCs w:val="32"/>
        </w:rPr>
        <w:t>十三、关于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hAnsi="黑体"/>
          <w:bCs/>
          <w:sz w:val="32"/>
          <w:szCs w:val="32"/>
        </w:rPr>
        <w:t>年度预算绩效情况的说明</w:t>
      </w:r>
    </w:p>
    <w:p>
      <w:pPr>
        <w:pStyle w:val="13"/>
        <w:spacing w:line="60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（一）部门整体支出绩效情况</w:t>
      </w:r>
    </w:p>
    <w:p>
      <w:pPr>
        <w:pStyle w:val="13"/>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2023年度我场总支出775.26万元，其中：基本支出396.15万元，项目支出379.11万元，各项工作稳步推进，为水产苗种采集、培育，水产原种保存选育和推广，四大家鱼、鳜鱼、中华鳖、龟等水产种质保存与遗传等做了积极贡献。</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cs="黑体"/>
          <w:color w:val="000000"/>
          <w:kern w:val="0"/>
          <w:sz w:val="32"/>
          <w:szCs w:val="32"/>
          <w:lang w:val="en-US" w:eastAsia="zh-CN" w:bidi="ar-SA"/>
        </w:rPr>
        <w:t>1、夯实种业基础，经济效益和产能明显提升</w:t>
      </w:r>
    </w:p>
    <w:p>
      <w:pPr>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0" w:leftChars="0" w:right="0" w:rightChars="0" w:firstLine="640" w:firstLineChars="200"/>
        <w:jc w:val="left"/>
        <w:textAlignment w:val="auto"/>
        <w:rPr>
          <w:rFonts w:hint="eastAsia" w:ascii="Times New Roman" w:hAnsi="Times New Roman" w:eastAsia="仿宋_GB2312" w:cs="黑体"/>
          <w:color w:val="000000"/>
          <w:kern w:val="0"/>
          <w:sz w:val="32"/>
          <w:szCs w:val="32"/>
          <w:lang w:val="en-US" w:eastAsia="zh-CN" w:bidi="ar-SA"/>
        </w:rPr>
      </w:pPr>
      <w:r>
        <w:rPr>
          <w:rFonts w:hint="default" w:ascii="Times New Roman" w:hAnsi="Times New Roman" w:eastAsia="仿宋_GB2312" w:cs="黑体"/>
          <w:color w:val="000000"/>
          <w:kern w:val="0"/>
          <w:sz w:val="32"/>
          <w:szCs w:val="32"/>
          <w:lang w:val="en-US" w:eastAsia="zh-CN" w:bidi="ar-SA"/>
        </w:rPr>
        <w:t>原种场是国家公益二类事业单位，</w:t>
      </w:r>
      <w:r>
        <w:rPr>
          <w:rFonts w:hint="eastAsia" w:ascii="Times New Roman" w:hAnsi="Times New Roman" w:eastAsia="仿宋_GB2312" w:cs="黑体"/>
          <w:color w:val="000000"/>
          <w:kern w:val="0"/>
          <w:sz w:val="32"/>
          <w:szCs w:val="32"/>
          <w:lang w:val="en-US" w:eastAsia="zh-CN" w:bidi="ar-SA"/>
        </w:rPr>
        <w:t>保持基本运转经费</w:t>
      </w:r>
      <w:r>
        <w:rPr>
          <w:rFonts w:hint="default" w:ascii="Times New Roman" w:hAnsi="Times New Roman" w:eastAsia="仿宋_GB2312" w:cs="黑体"/>
          <w:color w:val="000000"/>
          <w:kern w:val="0"/>
          <w:sz w:val="32"/>
          <w:szCs w:val="32"/>
          <w:lang w:val="en-US" w:eastAsia="zh-CN" w:bidi="ar-SA"/>
        </w:rPr>
        <w:t>缺口</w:t>
      </w:r>
      <w:r>
        <w:rPr>
          <w:rFonts w:hint="eastAsia" w:ascii="Times New Roman" w:hAnsi="Times New Roman" w:eastAsia="仿宋_GB2312" w:cs="黑体"/>
          <w:color w:val="000000"/>
          <w:kern w:val="0"/>
          <w:sz w:val="32"/>
          <w:szCs w:val="32"/>
          <w:lang w:val="en-US" w:eastAsia="zh-CN" w:bidi="ar-SA"/>
        </w:rPr>
        <w:t>近150</w:t>
      </w:r>
      <w:r>
        <w:rPr>
          <w:rFonts w:hint="default" w:ascii="Times New Roman" w:hAnsi="Times New Roman" w:eastAsia="仿宋_GB2312" w:cs="黑体"/>
          <w:color w:val="000000"/>
          <w:kern w:val="0"/>
          <w:sz w:val="32"/>
          <w:szCs w:val="32"/>
          <w:lang w:val="en-US" w:eastAsia="zh-CN" w:bidi="ar-SA"/>
        </w:rPr>
        <w:t>万元。</w:t>
      </w:r>
      <w:r>
        <w:rPr>
          <w:rFonts w:hint="eastAsia" w:ascii="Times New Roman" w:hAnsi="Times New Roman" w:eastAsia="仿宋_GB2312" w:cs="黑体"/>
          <w:color w:val="000000"/>
          <w:kern w:val="0"/>
          <w:sz w:val="32"/>
          <w:szCs w:val="32"/>
          <w:lang w:val="en-US" w:eastAsia="zh-CN" w:bidi="ar-SA"/>
        </w:rPr>
        <w:t>通过一年的努力实现“四个新”。自留账户金额由2022年12月年底54万余元，增长到2023年12月底194万余元。年创收超300万元，经济创收近五年新高。</w:t>
      </w:r>
      <w:r>
        <w:rPr>
          <w:rFonts w:hint="default" w:ascii="Times New Roman" w:hAnsi="Times New Roman" w:eastAsia="仿宋_GB2312" w:cs="黑体"/>
          <w:color w:val="000000"/>
          <w:kern w:val="0"/>
          <w:sz w:val="32"/>
          <w:szCs w:val="32"/>
          <w:lang w:val="en-US" w:eastAsia="zh-CN" w:bidi="ar-SA"/>
        </w:rPr>
        <w:t>孵化</w:t>
      </w:r>
      <w:r>
        <w:rPr>
          <w:rFonts w:hint="eastAsia" w:ascii="Times New Roman" w:hAnsi="Times New Roman" w:eastAsia="仿宋_GB2312" w:cs="黑体"/>
          <w:color w:val="000000"/>
          <w:kern w:val="0"/>
          <w:sz w:val="32"/>
          <w:szCs w:val="32"/>
          <w:lang w:val="en-US" w:eastAsia="zh-CN" w:bidi="ar-SA"/>
        </w:rPr>
        <w:t>中华鳖</w:t>
      </w:r>
      <w:r>
        <w:rPr>
          <w:rFonts w:hint="default" w:ascii="Times New Roman" w:hAnsi="Times New Roman" w:eastAsia="仿宋_GB2312" w:cs="黑体"/>
          <w:color w:val="000000"/>
          <w:kern w:val="0"/>
          <w:sz w:val="32"/>
          <w:szCs w:val="32"/>
          <w:lang w:val="en-US" w:eastAsia="zh-CN" w:bidi="ar-SA"/>
        </w:rPr>
        <w:t>稚鳖1.82万只，孵化率86.7%。受精卵数量与孵化率均创近</w:t>
      </w:r>
      <w:r>
        <w:rPr>
          <w:rFonts w:hint="eastAsia" w:ascii="Times New Roman" w:hAnsi="Times New Roman" w:eastAsia="仿宋_GB2312" w:cs="黑体"/>
          <w:color w:val="000000"/>
          <w:kern w:val="0"/>
          <w:sz w:val="32"/>
          <w:szCs w:val="32"/>
          <w:lang w:val="en-US" w:eastAsia="zh-CN" w:bidi="ar-SA"/>
        </w:rPr>
        <w:t>五</w:t>
      </w:r>
      <w:r>
        <w:rPr>
          <w:rFonts w:hint="default" w:ascii="Times New Roman" w:hAnsi="Times New Roman" w:eastAsia="仿宋_GB2312" w:cs="黑体"/>
          <w:color w:val="000000"/>
          <w:kern w:val="0"/>
          <w:sz w:val="32"/>
          <w:szCs w:val="32"/>
          <w:lang w:val="en-US" w:eastAsia="zh-CN" w:bidi="ar-SA"/>
        </w:rPr>
        <w:t>年来新高。拓展横向项目业务</w:t>
      </w:r>
      <w:r>
        <w:rPr>
          <w:rFonts w:hint="eastAsia" w:ascii="Times New Roman" w:hAnsi="Times New Roman" w:eastAsia="仿宋_GB2312" w:cs="黑体"/>
          <w:color w:val="000000"/>
          <w:kern w:val="0"/>
          <w:sz w:val="32"/>
          <w:szCs w:val="32"/>
          <w:lang w:val="en-US" w:eastAsia="zh-CN" w:bidi="ar-SA"/>
        </w:rPr>
        <w:t>，</w:t>
      </w:r>
      <w:r>
        <w:rPr>
          <w:rFonts w:hint="default" w:ascii="Times New Roman" w:hAnsi="Times New Roman" w:eastAsia="仿宋_GB2312" w:cs="黑体"/>
          <w:color w:val="000000"/>
          <w:kern w:val="0"/>
          <w:sz w:val="32"/>
          <w:szCs w:val="32"/>
          <w:lang w:val="en-US" w:eastAsia="zh-CN" w:bidi="ar-SA"/>
        </w:rPr>
        <w:t>签订项目</w:t>
      </w:r>
      <w:r>
        <w:rPr>
          <w:rFonts w:hint="eastAsia" w:ascii="Times New Roman" w:hAnsi="Times New Roman" w:eastAsia="仿宋_GB2312" w:cs="黑体"/>
          <w:color w:val="000000"/>
          <w:kern w:val="0"/>
          <w:sz w:val="32"/>
          <w:szCs w:val="32"/>
          <w:lang w:val="en-US" w:eastAsia="zh-CN" w:bidi="ar-SA"/>
        </w:rPr>
        <w:t>8</w:t>
      </w:r>
      <w:r>
        <w:rPr>
          <w:rFonts w:hint="default" w:ascii="Times New Roman" w:hAnsi="Times New Roman" w:eastAsia="仿宋_GB2312" w:cs="黑体"/>
          <w:color w:val="000000"/>
          <w:kern w:val="0"/>
          <w:sz w:val="32"/>
          <w:szCs w:val="32"/>
          <w:lang w:val="en-US" w:eastAsia="zh-CN" w:bidi="ar-SA"/>
        </w:rPr>
        <w:t>个，累计合同金额1</w:t>
      </w:r>
      <w:r>
        <w:rPr>
          <w:rFonts w:hint="eastAsia" w:ascii="Times New Roman" w:hAnsi="Times New Roman" w:eastAsia="仿宋_GB2312" w:cs="黑体"/>
          <w:color w:val="000000"/>
          <w:kern w:val="0"/>
          <w:sz w:val="32"/>
          <w:szCs w:val="32"/>
          <w:lang w:val="en-US" w:eastAsia="zh-CN" w:bidi="ar-SA"/>
        </w:rPr>
        <w:t>2</w:t>
      </w:r>
      <w:r>
        <w:rPr>
          <w:rFonts w:hint="default" w:ascii="Times New Roman" w:hAnsi="Times New Roman" w:eastAsia="仿宋_GB2312" w:cs="黑体"/>
          <w:color w:val="000000"/>
          <w:kern w:val="0"/>
          <w:sz w:val="32"/>
          <w:szCs w:val="32"/>
          <w:lang w:val="en-US" w:eastAsia="zh-CN" w:bidi="ar-SA"/>
        </w:rPr>
        <w:t>0.6万元，实现原种场横向项目</w:t>
      </w:r>
      <w:r>
        <w:rPr>
          <w:rFonts w:hint="eastAsia" w:ascii="Times New Roman" w:hAnsi="Times New Roman" w:eastAsia="仿宋_GB2312" w:cs="黑体"/>
          <w:color w:val="000000"/>
          <w:kern w:val="0"/>
          <w:sz w:val="32"/>
          <w:szCs w:val="32"/>
          <w:lang w:val="en-US" w:eastAsia="zh-CN" w:bidi="ar-SA"/>
        </w:rPr>
        <w:t>创新</w:t>
      </w:r>
      <w:r>
        <w:rPr>
          <w:rFonts w:hint="default" w:ascii="Times New Roman" w:hAnsi="Times New Roman" w:eastAsia="仿宋_GB2312" w:cs="黑体"/>
          <w:color w:val="000000"/>
          <w:kern w:val="0"/>
          <w:sz w:val="32"/>
          <w:szCs w:val="32"/>
          <w:lang w:val="en-US" w:eastAsia="zh-CN" w:bidi="ar-SA"/>
        </w:rPr>
        <w:t>零的突破</w:t>
      </w:r>
      <w:r>
        <w:rPr>
          <w:rFonts w:hint="eastAsia" w:ascii="Times New Roman" w:hAnsi="Times New Roman" w:eastAsia="仿宋_GB2312" w:cs="黑体"/>
          <w:color w:val="000000"/>
          <w:kern w:val="0"/>
          <w:sz w:val="32"/>
          <w:szCs w:val="32"/>
          <w:lang w:val="en-US" w:eastAsia="zh-CN" w:bidi="ar-SA"/>
        </w:rPr>
        <w:t>。全年生产鳜鱼原种4000余公斤，对外销售额突破50万元，自建场来新高。</w:t>
      </w:r>
    </w:p>
    <w:p>
      <w:pPr>
        <w:pStyle w:val="13"/>
        <w:spacing w:line="600" w:lineRule="exact"/>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w:t>
      </w:r>
      <w:r>
        <w:rPr>
          <w:rFonts w:hint="eastAsia" w:ascii="Times New Roman" w:hAnsi="Times New Roman" w:eastAsia="仿宋_GB2312" w:cs="黑体"/>
          <w:color w:val="000000"/>
          <w:kern w:val="0"/>
          <w:sz w:val="32"/>
          <w:szCs w:val="32"/>
          <w:lang w:val="en-US" w:eastAsia="zh-CN" w:bidi="ar-SA"/>
        </w:rPr>
        <w:t>推动</w:t>
      </w:r>
      <w:r>
        <w:rPr>
          <w:rFonts w:hint="default" w:ascii="Times New Roman" w:hAnsi="Times New Roman" w:eastAsia="仿宋_GB2312" w:cs="黑体"/>
          <w:color w:val="000000"/>
          <w:kern w:val="0"/>
          <w:sz w:val="32"/>
          <w:szCs w:val="32"/>
          <w:lang w:val="en-US" w:eastAsia="zh-CN" w:bidi="ar-SA"/>
        </w:rPr>
        <w:t>科</w:t>
      </w:r>
      <w:r>
        <w:rPr>
          <w:rFonts w:hint="eastAsia" w:ascii="Times New Roman" w:hAnsi="Times New Roman" w:eastAsia="仿宋_GB2312" w:cs="黑体"/>
          <w:color w:val="000000"/>
          <w:kern w:val="0"/>
          <w:sz w:val="32"/>
          <w:szCs w:val="32"/>
          <w:lang w:val="en-US" w:eastAsia="zh-CN" w:bidi="ar-SA"/>
        </w:rPr>
        <w:t>研创新</w:t>
      </w:r>
    </w:p>
    <w:p>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我场注重技术队伍建设，组织2名技术人员参与全国现代水产育种技术培训班，并完成公开招聘程序，引进硕士研究生1名，积极推动科技创新。2023年共发表论文5篇，其中SCI2篇；发明专利6项。</w:t>
      </w:r>
    </w:p>
    <w:p>
      <w:pPr>
        <w:pStyle w:val="13"/>
        <w:numPr>
          <w:ilvl w:val="0"/>
          <w:numId w:val="0"/>
        </w:numPr>
        <w:spacing w:line="600" w:lineRule="exact"/>
        <w:ind w:firstLine="640" w:firstLineChars="20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3、促进经济效益提升</w:t>
      </w:r>
    </w:p>
    <w:p>
      <w:pPr>
        <w:pStyle w:val="13"/>
        <w:numPr>
          <w:ilvl w:val="0"/>
          <w:numId w:val="0"/>
        </w:numPr>
        <w:spacing w:line="600" w:lineRule="exact"/>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通过推进原种亲本应用更新，提高种苗质量，减少饲料、药物等投入品使用，降低环境污染，促进水产养殖业提质增效，提高了服务对象水产养殖水平，推动经济发展。</w:t>
      </w:r>
    </w:p>
    <w:p>
      <w:pPr>
        <w:pStyle w:val="13"/>
        <w:spacing w:line="600" w:lineRule="exact"/>
        <w:ind w:firstLine="640" w:firstLineChars="200"/>
        <w:rPr>
          <w:rFonts w:ascii="楷体" w:hAnsi="楷体" w:eastAsia="楷体" w:cs="楷体"/>
          <w:b/>
          <w:bCs/>
          <w:sz w:val="32"/>
          <w:szCs w:val="32"/>
        </w:rPr>
      </w:pPr>
      <w:r>
        <w:rPr>
          <w:rFonts w:hint="eastAsia" w:ascii="楷体" w:hAnsi="楷体" w:eastAsia="楷体" w:cs="楷体"/>
          <w:b/>
          <w:bCs/>
          <w:sz w:val="32"/>
          <w:szCs w:val="32"/>
        </w:rPr>
        <w:t>（二）存在的问题及原因分析</w:t>
      </w:r>
    </w:p>
    <w:p>
      <w:pPr>
        <w:pStyle w:val="13"/>
        <w:keepNext w:val="0"/>
        <w:keepLines w:val="0"/>
        <w:pageBreakBefore w:val="0"/>
        <w:widowControl w:val="0"/>
        <w:numPr>
          <w:ilvl w:val="0"/>
          <w:numId w:val="0"/>
        </w:numPr>
        <w:kinsoku/>
        <w:wordWrap/>
        <w:overflowPunct/>
        <w:topLinePunct w:val="0"/>
        <w:bidi w:val="0"/>
        <w:snapToGrid/>
        <w:spacing w:line="600" w:lineRule="exact"/>
        <w:jc w:val="left"/>
        <w:textAlignment w:val="auto"/>
        <w:rPr>
          <w:rFonts w:hint="eastAsia" w:ascii="Times New Roman" w:hAnsi="Times New Roman" w:eastAsia="仿宋_GB2312" w:cs="黑体"/>
          <w:bCs w:val="0"/>
          <w:color w:val="000000"/>
          <w:kern w:val="0"/>
          <w:sz w:val="32"/>
          <w:szCs w:val="32"/>
          <w:lang w:val="en-US" w:eastAsia="zh-CN" w:bidi="ar-SA"/>
        </w:rPr>
      </w:pPr>
      <w:r>
        <w:rPr>
          <w:rFonts w:hint="eastAsia" w:ascii="Times New Roman" w:hAnsi="Times New Roman" w:eastAsia="仿宋_GB2312" w:cs="黑体"/>
          <w:bCs w:val="0"/>
          <w:color w:val="000000"/>
          <w:kern w:val="0"/>
          <w:sz w:val="32"/>
          <w:szCs w:val="32"/>
          <w:lang w:val="en-US" w:eastAsia="zh-CN" w:bidi="ar-SA"/>
        </w:rPr>
        <w:t xml:space="preserve">   我单位部分项目资金预算执行率有待提高。2023年一般公共预算项目支出总预算1066.58万元，预算执行890.18万元，预算执行率83.46%。其中个别项目资金预算执行率较低。</w:t>
      </w:r>
    </w:p>
    <w:p>
      <w:pPr>
        <w:pStyle w:val="13"/>
        <w:keepNext w:val="0"/>
        <w:keepLines w:val="0"/>
        <w:pageBreakBefore w:val="0"/>
        <w:widowControl w:val="0"/>
        <w:numPr>
          <w:ilvl w:val="0"/>
          <w:numId w:val="0"/>
        </w:numPr>
        <w:kinsoku/>
        <w:wordWrap/>
        <w:overflowPunct/>
        <w:topLinePunct w:val="0"/>
        <w:bidi w:val="0"/>
        <w:snapToGrid/>
        <w:spacing w:line="600" w:lineRule="exact"/>
        <w:ind w:firstLine="640"/>
        <w:jc w:val="left"/>
        <w:textAlignment w:val="auto"/>
        <w:rPr>
          <w:rFonts w:hint="eastAsia" w:ascii="Times New Roman" w:hAnsi="Times New Roman" w:eastAsia="仿宋_GB2312" w:cs="黑体"/>
          <w:bCs w:val="0"/>
          <w:color w:val="000000"/>
          <w:kern w:val="0"/>
          <w:sz w:val="32"/>
          <w:szCs w:val="32"/>
          <w:lang w:val="en-US" w:eastAsia="zh-CN" w:bidi="ar-SA"/>
        </w:rPr>
      </w:pPr>
      <w:r>
        <w:rPr>
          <w:rFonts w:hint="eastAsia" w:ascii="Times New Roman" w:hAnsi="Times New Roman" w:eastAsia="仿宋_GB2312" w:cs="黑体"/>
          <w:bCs w:val="0"/>
          <w:color w:val="000000"/>
          <w:kern w:val="0"/>
          <w:sz w:val="32"/>
          <w:szCs w:val="32"/>
          <w:lang w:val="en-US" w:eastAsia="zh-CN" w:bidi="ar-SA"/>
        </w:rPr>
        <w:t>原因分析：该项目未预算追加资金项目，预算下达时间较晚。</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（三）下一步改进措施</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auto"/>
          <w:sz w:val="32"/>
          <w:szCs w:val="32"/>
        </w:rPr>
      </w:pPr>
      <w:r>
        <w:rPr>
          <w:rFonts w:hint="eastAsia" w:ascii="Times New Roman" w:hAnsi="Times New Roman" w:eastAsia="仿宋_GB2312" w:cs="黑体"/>
          <w:bCs w:val="0"/>
          <w:color w:val="000000"/>
          <w:kern w:val="0"/>
          <w:sz w:val="32"/>
          <w:szCs w:val="32"/>
          <w:lang w:val="en-US" w:eastAsia="zh-CN" w:bidi="ar-SA"/>
        </w:rPr>
        <w:t>进一步提高预算资金执行率。</w:t>
      </w:r>
      <w:r>
        <w:rPr>
          <w:rFonts w:hint="eastAsia" w:ascii="Times New Roman" w:hAnsi="Times New Roman" w:eastAsia="仿宋_GB2312"/>
          <w:color w:val="auto"/>
          <w:sz w:val="32"/>
          <w:szCs w:val="32"/>
        </w:rPr>
        <w:t>提高年初预算编制准确性</w:t>
      </w:r>
      <w:r>
        <w:rPr>
          <w:rFonts w:hint="eastAsia" w:ascii="Times New Roman" w:hAnsi="Times New Roman" w:eastAsia="仿宋_GB2312"/>
          <w:color w:val="auto"/>
          <w:sz w:val="32"/>
          <w:szCs w:val="32"/>
          <w:lang w:eastAsia="zh-CN"/>
        </w:rPr>
        <w:t>，</w:t>
      </w:r>
      <w:r>
        <w:rPr>
          <w:rFonts w:hint="eastAsia" w:ascii="Times New Roman" w:hAnsi="Times New Roman" w:eastAsia="仿宋_GB2312" w:cs="黑体"/>
          <w:bCs w:val="0"/>
          <w:color w:val="000000"/>
          <w:kern w:val="0"/>
          <w:sz w:val="32"/>
          <w:szCs w:val="32"/>
          <w:lang w:val="en-US" w:eastAsia="zh-CN" w:bidi="ar-SA"/>
        </w:rPr>
        <w:t>科学合理编制预算执行计划，并将编制责任落实到具体项目组，定期召开预算执行分析会议，分析存在的问题，及时提出改进措施并完成整改，</w:t>
      </w:r>
      <w:r>
        <w:rPr>
          <w:rFonts w:hint="eastAsia" w:ascii="Times New Roman" w:hAnsi="Times New Roman" w:eastAsia="仿宋_GB2312"/>
          <w:color w:val="auto"/>
          <w:sz w:val="32"/>
          <w:szCs w:val="32"/>
        </w:rPr>
        <w:t>从而提高部门整体预算执行率。</w:t>
      </w:r>
    </w:p>
    <w:p>
      <w:pPr>
        <w:pStyle w:val="13"/>
        <w:keepNext w:val="0"/>
        <w:keepLines w:val="0"/>
        <w:pageBreakBefore w:val="0"/>
        <w:widowControl w:val="0"/>
        <w:numPr>
          <w:ilvl w:val="0"/>
          <w:numId w:val="0"/>
        </w:numPr>
        <w:kinsoku/>
        <w:wordWrap/>
        <w:overflowPunct/>
        <w:topLinePunct w:val="0"/>
        <w:bidi w:val="0"/>
        <w:snapToGrid/>
        <w:spacing w:line="600" w:lineRule="exact"/>
        <w:ind w:firstLine="640"/>
        <w:jc w:val="left"/>
        <w:textAlignment w:val="auto"/>
        <w:rPr>
          <w:rFonts w:hint="eastAsia" w:ascii="Times New Roman" w:hAnsi="Times New Roman" w:eastAsia="仿宋_GB2312" w:cs="黑体"/>
          <w:bCs w:val="0"/>
          <w:color w:val="000000"/>
          <w:kern w:val="0"/>
          <w:sz w:val="32"/>
          <w:szCs w:val="32"/>
          <w:lang w:val="en-US" w:eastAsia="zh-CN" w:bidi="ar-SA"/>
        </w:rPr>
      </w:pPr>
    </w:p>
    <w:p>
      <w:pPr>
        <w:pStyle w:val="13"/>
        <w:jc w:val="both"/>
        <w:rPr>
          <w:rFonts w:hint="default" w:eastAsia="黑体"/>
          <w:sz w:val="72"/>
          <w:szCs w:val="72"/>
          <w:lang w:val="en-US" w:eastAsia="zh-CN"/>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both"/>
        <w:rPr>
          <w:rFonts w:ascii="方正小标宋_GBK" w:hAnsi="方正小标宋_GBK" w:eastAsia="方正小标宋_GBK" w:cs="方正小标宋_GBK"/>
          <w:sz w:val="72"/>
          <w:szCs w:val="72"/>
        </w:rPr>
      </w:pPr>
    </w:p>
    <w:p>
      <w:pPr>
        <w:pStyle w:val="13"/>
        <w:jc w:val="center"/>
        <w:rPr>
          <w:rFonts w:ascii="方正小标宋_GBK" w:hAnsi="方正小标宋_GBK" w:eastAsia="方正小标宋_GBK" w:cs="方正小标宋_GBK"/>
          <w:sz w:val="72"/>
          <w:szCs w:val="72"/>
        </w:rPr>
      </w:pPr>
    </w:p>
    <w:p>
      <w:pPr>
        <w:pStyle w:val="13"/>
        <w:jc w:val="center"/>
        <w:rPr>
          <w:rFonts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ascii="方正小标宋_GBK" w:hAnsi="方正小标宋_GBK" w:eastAsia="方正小标宋_GBK" w:cs="方正小标宋_GBK"/>
          <w:color w:val="000000"/>
          <w:kern w:val="0"/>
          <w:sz w:val="70"/>
          <w:szCs w:val="70"/>
        </w:rPr>
      </w:pPr>
    </w:p>
    <w:p>
      <w:pPr>
        <w:jc w:val="center"/>
        <w:rPr>
          <w:rFonts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br w:type="page"/>
      </w:r>
    </w:p>
    <w:p>
      <w:pPr>
        <w:pStyle w:val="13"/>
        <w:ind w:firstLine="600" w:firstLineChars="200"/>
        <w:rPr>
          <w:rFonts w:ascii="Times New Roman" w:hAnsi="仿宋" w:eastAsia="仿宋" w:cs="Times New Roman"/>
          <w:color w:val="auto"/>
          <w:sz w:val="30"/>
          <w:szCs w:val="30"/>
        </w:rPr>
      </w:pPr>
      <w:r>
        <w:rPr>
          <w:rFonts w:hint="eastAsia" w:ascii="Times New Roman" w:hAnsi="仿宋" w:eastAsia="仿宋" w:cs="Times New Roman"/>
          <w:color w:val="auto"/>
          <w:sz w:val="30"/>
          <w:szCs w:val="30"/>
        </w:rPr>
        <w:t>一）基</w:t>
      </w:r>
      <w:r>
        <w:rPr>
          <w:rFonts w:ascii="Times New Roman" w:hAnsi="仿宋" w:eastAsia="仿宋" w:cs="Times New Roman"/>
          <w:color w:val="auto"/>
          <w:sz w:val="30"/>
          <w:szCs w:val="30"/>
        </w:rPr>
        <w:t>本支出：指为保障机构正常运转、完成日常工作任务而发生的各项支出，包括人员支出和公用支出。</w:t>
      </w:r>
    </w:p>
    <w:p>
      <w:pPr>
        <w:pStyle w:val="13"/>
        <w:ind w:firstLine="450" w:firstLineChars="150"/>
        <w:rPr>
          <w:rFonts w:ascii="Times New Roman" w:hAnsi="仿宋" w:eastAsia="仿宋" w:cs="Times New Roman"/>
          <w:color w:val="auto"/>
          <w:sz w:val="30"/>
          <w:szCs w:val="30"/>
        </w:rPr>
      </w:pPr>
      <w:r>
        <w:rPr>
          <w:rFonts w:hint="eastAsia" w:ascii="Times New Roman" w:hAnsi="仿宋" w:eastAsia="仿宋" w:cs="Times New Roman"/>
          <w:color w:val="auto"/>
          <w:sz w:val="30"/>
          <w:szCs w:val="30"/>
        </w:rPr>
        <w:t>（二）</w:t>
      </w:r>
      <w:r>
        <w:rPr>
          <w:rFonts w:ascii="Times New Roman" w:hAnsi="仿宋" w:eastAsia="仿宋" w:cs="Times New Roman"/>
          <w:color w:val="auto"/>
          <w:sz w:val="30"/>
          <w:szCs w:val="30"/>
        </w:rPr>
        <w:t xml:space="preserve"> 项目支出：指在基本支出以外为完成相关任务和事业发展目标所发生的各项支出。 </w:t>
      </w:r>
    </w:p>
    <w:p>
      <w:pPr>
        <w:pStyle w:val="13"/>
        <w:ind w:firstLine="450" w:firstLineChars="150"/>
        <w:rPr>
          <w:rFonts w:ascii="Times New Roman" w:hAnsi="仿宋" w:eastAsia="仿宋" w:cs="Times New Roman"/>
          <w:color w:val="auto"/>
          <w:sz w:val="30"/>
          <w:szCs w:val="30"/>
        </w:rPr>
      </w:pPr>
      <w:r>
        <w:rPr>
          <w:rFonts w:hint="eastAsia" w:ascii="Times New Roman" w:hAnsi="仿宋" w:eastAsia="仿宋" w:cs="Times New Roman"/>
          <w:color w:val="auto"/>
          <w:sz w:val="30"/>
          <w:szCs w:val="30"/>
        </w:rPr>
        <w:t>（三）</w:t>
      </w:r>
      <w:r>
        <w:rPr>
          <w:rFonts w:ascii="Times New Roman" w:hAnsi="仿宋" w:eastAsia="仿宋" w:cs="Times New Roman"/>
          <w:color w:val="auto"/>
          <w:sz w:val="30"/>
          <w:szCs w:val="30"/>
        </w:rPr>
        <w:t xml:space="preserve">“三公”经费：指通过财政拨款资金安排的因公出国（境）费、公务用车购置及运行费和公务接待费支出。 </w:t>
      </w:r>
    </w:p>
    <w:p>
      <w:pPr>
        <w:widowControl/>
        <w:ind w:firstLine="300" w:firstLineChars="100"/>
        <w:jc w:val="left"/>
        <w:rPr>
          <w:rFonts w:ascii="Times New Roman" w:hAnsi="仿宋" w:eastAsia="仿宋" w:cs="Times New Roman"/>
          <w:color w:val="auto"/>
          <w:kern w:val="0"/>
          <w:sz w:val="30"/>
          <w:szCs w:val="30"/>
          <w:lang w:val="en-US" w:eastAsia="zh-CN" w:bidi="ar-SA"/>
        </w:rPr>
      </w:pPr>
      <w:r>
        <w:rPr>
          <w:rFonts w:hint="eastAsia" w:ascii="Times New Roman" w:hAnsi="仿宋" w:eastAsia="仿宋" w:cs="Times New Roman"/>
          <w:sz w:val="30"/>
          <w:szCs w:val="30"/>
        </w:rPr>
        <w:t>（四）</w:t>
      </w:r>
      <w:r>
        <w:rPr>
          <w:rFonts w:ascii="Times New Roman" w:hAnsi="仿宋" w:eastAsia="仿宋" w:cs="Times New Roman"/>
          <w:sz w:val="30"/>
          <w:szCs w:val="30"/>
        </w:rPr>
        <w:t>机关运行经费</w:t>
      </w:r>
      <w:r>
        <w:rPr>
          <w:rFonts w:ascii="Times New Roman" w:hAnsi="仿宋" w:eastAsia="仿宋" w:cs="Times New Roman"/>
          <w:color w:val="auto"/>
          <w:kern w:val="0"/>
          <w:sz w:val="30"/>
          <w:szCs w:val="30"/>
          <w:lang w:val="en-US" w:eastAsia="zh-CN" w:bidi="ar-SA"/>
        </w:rPr>
        <w:t>：是指各部门的公用经费，包括办公及印刷费、邮电费、差旅费、会议费、福利费、日常维修费、专用资料及一般设备购置费、办公用房水电费、办公用房取暖费、办公用房物业管理费、公务用车运行维护费以及其他费用。</w:t>
      </w: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pStyle w:val="13"/>
        <w:jc w:val="center"/>
        <w:rPr>
          <w:sz w:val="72"/>
          <w:szCs w:val="72"/>
        </w:rPr>
      </w:pPr>
    </w:p>
    <w:p>
      <w:pPr>
        <w:jc w:val="left"/>
        <w:rPr>
          <w:rFonts w:cs="黑体" w:asciiTheme="minorEastAsia" w:hAnsiTheme="minorEastAsia"/>
          <w:color w:val="000000"/>
          <w:kern w:val="0"/>
          <w:sz w:val="32"/>
          <w:szCs w:val="32"/>
        </w:rPr>
      </w:pPr>
    </w:p>
    <w:p>
      <w:pPr>
        <w:jc w:val="left"/>
        <w:rPr>
          <w:rFonts w:cs="黑体" w:asciiTheme="minorEastAsia" w:hAnsiTheme="minorEastAsia"/>
          <w:color w:val="000000"/>
          <w:kern w:val="0"/>
          <w:sz w:val="32"/>
          <w:szCs w:val="32"/>
        </w:rPr>
      </w:pPr>
    </w:p>
    <w:p>
      <w:pPr>
        <w:jc w:val="left"/>
        <w:rPr>
          <w:rFonts w:cs="黑体" w:asciiTheme="minorEastAsia" w:hAnsiTheme="minorEastAsia"/>
          <w:color w:val="000000"/>
          <w:kern w:val="0"/>
          <w:sz w:val="32"/>
          <w:szCs w:val="32"/>
        </w:rPr>
      </w:pPr>
    </w:p>
    <w:p>
      <w:pPr>
        <w:jc w:val="left"/>
        <w:rPr>
          <w:rFonts w:cs="黑体" w:asciiTheme="minorEastAsia" w:hAnsiTheme="minorEastAsia"/>
          <w:color w:val="000000"/>
          <w:kern w:val="0"/>
          <w:sz w:val="32"/>
          <w:szCs w:val="32"/>
        </w:rPr>
      </w:pPr>
    </w:p>
    <w:p>
      <w:pPr>
        <w:pStyle w:val="13"/>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ind w:firstLine="640" w:firstLineChars="200"/>
        <w:jc w:val="center"/>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202</w:t>
      </w:r>
      <w:r>
        <w:rPr>
          <w:rFonts w:hint="eastAsia" w:cs="黑体" w:asciiTheme="minorEastAsia" w:hAnsiTheme="minorEastAsia"/>
          <w:b/>
          <w:color w:val="000000"/>
          <w:kern w:val="0"/>
          <w:sz w:val="32"/>
          <w:szCs w:val="32"/>
          <w:lang w:val="en-US" w:eastAsia="zh-CN"/>
        </w:rPr>
        <w:t>3</w:t>
      </w:r>
      <w:r>
        <w:rPr>
          <w:rFonts w:hint="eastAsia" w:cs="黑体" w:asciiTheme="minorEastAsia" w:hAnsiTheme="minorEastAsia"/>
          <w:b/>
          <w:color w:val="000000"/>
          <w:kern w:val="0"/>
          <w:sz w:val="32"/>
          <w:szCs w:val="32"/>
        </w:rPr>
        <w:t>年度部门整体支出绩效评价报告</w:t>
      </w:r>
    </w:p>
    <w:p>
      <w:pPr>
        <w:pStyle w:val="14"/>
        <w:widowControl/>
        <w:spacing w:line="600" w:lineRule="exact"/>
        <w:ind w:firstLine="64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根据《中共中央 国务院关于全面实施预算绩效管理的意见》和《湖南省财政厅关于开展202</w:t>
      </w:r>
      <w:r>
        <w:rPr>
          <w:rFonts w:hint="eastAsia" w:cs="黑体" w:asciiTheme="minorEastAsia" w:hAnsiTheme="minorEastAsia"/>
          <w:color w:val="000000"/>
          <w:kern w:val="0"/>
          <w:sz w:val="32"/>
          <w:szCs w:val="32"/>
          <w:lang w:val="en-US" w:eastAsia="zh-CN" w:bidi="ar-SA"/>
        </w:rPr>
        <w:t>3</w:t>
      </w:r>
      <w:r>
        <w:rPr>
          <w:rFonts w:hint="eastAsia" w:cs="黑体" w:asciiTheme="minorEastAsia" w:hAnsiTheme="minorEastAsia" w:eastAsiaTheme="minorEastAsia"/>
          <w:color w:val="000000"/>
          <w:kern w:val="0"/>
          <w:sz w:val="32"/>
          <w:szCs w:val="32"/>
          <w:lang w:val="en-US" w:eastAsia="zh-CN" w:bidi="ar-SA"/>
        </w:rPr>
        <w:t>年度部门整体支出绩效自评工作的通知》（湘财绩〔202</w:t>
      </w:r>
      <w:r>
        <w:rPr>
          <w:rFonts w:hint="eastAsia" w:cs="黑体" w:asciiTheme="minorEastAsia" w:hAnsiTheme="minorEastAsia"/>
          <w:color w:val="000000"/>
          <w:kern w:val="0"/>
          <w:sz w:val="32"/>
          <w:szCs w:val="32"/>
          <w:lang w:val="en-US" w:eastAsia="zh-CN" w:bidi="ar-SA"/>
        </w:rPr>
        <w:t>4</w:t>
      </w:r>
      <w:r>
        <w:rPr>
          <w:rFonts w:hint="eastAsia" w:cs="黑体" w:asciiTheme="minorEastAsia" w:hAnsiTheme="minorEastAsia" w:eastAsiaTheme="minorEastAsia"/>
          <w:color w:val="000000"/>
          <w:kern w:val="0"/>
          <w:sz w:val="32"/>
          <w:szCs w:val="32"/>
          <w:lang w:val="en-US" w:eastAsia="zh-CN" w:bidi="ar-SA"/>
        </w:rPr>
        <w:t>〕1号）的文件精神，我单位对202</w:t>
      </w:r>
      <w:r>
        <w:rPr>
          <w:rFonts w:hint="eastAsia" w:cs="黑体" w:asciiTheme="minorEastAsia" w:hAnsiTheme="minorEastAsia"/>
          <w:color w:val="000000"/>
          <w:kern w:val="0"/>
          <w:sz w:val="32"/>
          <w:szCs w:val="32"/>
          <w:lang w:val="en-US" w:eastAsia="zh-CN" w:bidi="ar-SA"/>
        </w:rPr>
        <w:t>3</w:t>
      </w:r>
      <w:r>
        <w:rPr>
          <w:rFonts w:hint="eastAsia" w:cs="黑体" w:asciiTheme="minorEastAsia" w:hAnsiTheme="minorEastAsia" w:eastAsiaTheme="minorEastAsia"/>
          <w:color w:val="000000"/>
          <w:kern w:val="0"/>
          <w:sz w:val="32"/>
          <w:szCs w:val="32"/>
          <w:lang w:val="en-US" w:eastAsia="zh-CN" w:bidi="ar-SA"/>
        </w:rPr>
        <w:t>年度部门整体支出情况进行了绩效自评，现报告如下：</w:t>
      </w:r>
    </w:p>
    <w:p>
      <w:pPr>
        <w:pStyle w:val="2"/>
        <w:numPr>
          <w:ilvl w:val="0"/>
          <w:numId w:val="2"/>
        </w:numPr>
        <w:rPr>
          <w:bCs/>
          <w:sz w:val="32"/>
          <w:szCs w:val="32"/>
        </w:rPr>
      </w:pPr>
      <w:r>
        <w:rPr>
          <w:bCs/>
          <w:sz w:val="32"/>
          <w:szCs w:val="32"/>
        </w:rPr>
        <w:t>单位基本情况</w:t>
      </w:r>
    </w:p>
    <w:p>
      <w:pPr>
        <w:pStyle w:val="3"/>
        <w:numPr>
          <w:ilvl w:val="0"/>
          <w:numId w:val="3"/>
        </w:numPr>
        <w:rPr>
          <w:szCs w:val="32"/>
        </w:rPr>
      </w:pPr>
      <w:r>
        <w:rPr>
          <w:rFonts w:hint="eastAsia"/>
          <w:szCs w:val="32"/>
        </w:rPr>
        <w:t>单位简况</w:t>
      </w:r>
    </w:p>
    <w:p>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湖南省水产原种场是湖南省农业农村厅直属的公益二类事业单位，本单位的主要职责为：采集、培育、保存水产原种，选育、推广水产养殖良种。四大家鱼、鳜鱼、中华鳖、龟等水产种质保存与遗传改良研究，专业技术推广与培训教育，相关社会服务。</w:t>
      </w:r>
    </w:p>
    <w:p>
      <w:pPr>
        <w:pStyle w:val="3"/>
        <w:numPr>
          <w:ilvl w:val="0"/>
          <w:numId w:val="3"/>
        </w:numPr>
        <w:rPr>
          <w:rFonts w:hint="eastAsia"/>
          <w:szCs w:val="32"/>
        </w:rPr>
      </w:pPr>
      <w:r>
        <w:rPr>
          <w:rFonts w:hint="eastAsia"/>
          <w:szCs w:val="32"/>
        </w:rPr>
        <w:t>机构设置及人员情况</w:t>
      </w:r>
    </w:p>
    <w:p>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1、机构设置：湖南省水产原种场设有综合业务科、计划财务科、原种生产科、质量管理科4个科室。</w:t>
      </w:r>
    </w:p>
    <w:p>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2、人员编制：</w:t>
      </w:r>
    </w:p>
    <w:p>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湖南省水产原种场有全额拨款事业编制20名，202</w:t>
      </w:r>
      <w:r>
        <w:rPr>
          <w:rFonts w:hint="eastAsia" w:cs="黑体" w:asciiTheme="minorEastAsia" w:hAnsiTheme="minorEastAsia"/>
          <w:color w:val="000000"/>
          <w:kern w:val="0"/>
          <w:sz w:val="32"/>
          <w:szCs w:val="32"/>
          <w:lang w:val="en-US" w:eastAsia="zh-CN"/>
        </w:rPr>
        <w:t>1</w:t>
      </w:r>
      <w:r>
        <w:rPr>
          <w:rFonts w:hint="eastAsia" w:cs="黑体" w:asciiTheme="minorEastAsia" w:hAnsiTheme="minorEastAsia"/>
          <w:color w:val="000000"/>
          <w:kern w:val="0"/>
          <w:sz w:val="32"/>
          <w:szCs w:val="32"/>
        </w:rPr>
        <w:t>年底实际在编员工</w:t>
      </w:r>
      <w:r>
        <w:rPr>
          <w:rFonts w:hint="eastAsia" w:cs="黑体" w:asciiTheme="minorEastAsia" w:hAnsiTheme="minorEastAsia"/>
          <w:color w:val="000000"/>
          <w:kern w:val="0"/>
          <w:sz w:val="32"/>
          <w:szCs w:val="32"/>
          <w:lang w:val="en-US" w:eastAsia="zh-CN"/>
        </w:rPr>
        <w:t>15</w:t>
      </w:r>
      <w:r>
        <w:rPr>
          <w:rFonts w:hint="eastAsia" w:cs="黑体" w:asciiTheme="minorEastAsia" w:hAnsiTheme="minorEastAsia"/>
          <w:color w:val="000000"/>
          <w:kern w:val="0"/>
          <w:sz w:val="32"/>
          <w:szCs w:val="32"/>
        </w:rPr>
        <w:t>人，退休人员</w:t>
      </w:r>
      <w:r>
        <w:rPr>
          <w:rFonts w:hint="eastAsia" w:cs="黑体" w:asciiTheme="minorEastAsia" w:hAnsiTheme="minorEastAsia"/>
          <w:color w:val="000000"/>
          <w:kern w:val="0"/>
          <w:sz w:val="32"/>
          <w:szCs w:val="32"/>
          <w:lang w:val="en-US" w:eastAsia="zh-CN"/>
        </w:rPr>
        <w:t>6</w:t>
      </w:r>
      <w:r>
        <w:rPr>
          <w:rFonts w:hint="eastAsia" w:cs="黑体" w:asciiTheme="minorEastAsia" w:hAnsiTheme="minorEastAsia"/>
          <w:color w:val="000000"/>
          <w:kern w:val="0"/>
          <w:sz w:val="32"/>
          <w:szCs w:val="32"/>
        </w:rPr>
        <w:t>人。</w:t>
      </w:r>
    </w:p>
    <w:p>
      <w:pPr>
        <w:pStyle w:val="2"/>
        <w:numPr>
          <w:ilvl w:val="0"/>
          <w:numId w:val="2"/>
        </w:numPr>
        <w:rPr>
          <w:sz w:val="32"/>
          <w:szCs w:val="32"/>
        </w:rPr>
      </w:pPr>
      <w:r>
        <w:rPr>
          <w:rFonts w:hint="eastAsia"/>
          <w:bCs/>
          <w:sz w:val="32"/>
          <w:szCs w:val="32"/>
        </w:rPr>
        <w:t>一般公共预算支出情况</w:t>
      </w:r>
    </w:p>
    <w:p>
      <w:pPr>
        <w:pStyle w:val="3"/>
        <w:numPr>
          <w:ilvl w:val="0"/>
          <w:numId w:val="4"/>
        </w:numPr>
        <w:rPr>
          <w:szCs w:val="32"/>
        </w:rPr>
      </w:pPr>
      <w:r>
        <w:rPr>
          <w:rFonts w:hint="eastAsia"/>
          <w:szCs w:val="32"/>
        </w:rPr>
        <w:t>基本支出情况</w:t>
      </w:r>
    </w:p>
    <w:p>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基本支出系保障我单位机构正常运转、完成日常工作任务而发生的各项支出，包括用于在职人员基本工资、津贴补贴等人员经费以及办公费、印刷费、水电费、办公设备购置等日常公用经费。</w:t>
      </w:r>
    </w:p>
    <w:p>
      <w:pPr>
        <w:autoSpaceDE w:val="0"/>
        <w:autoSpaceDN w:val="0"/>
        <w:adjustRightInd w:val="0"/>
        <w:ind w:firstLine="640" w:firstLineChars="200"/>
        <w:jc w:val="left"/>
        <w:rPr>
          <w:rFonts w:hint="eastAsia" w:cs="黑体" w:asciiTheme="minorEastAsia" w:hAnsiTheme="minorEastAsia"/>
          <w:color w:val="000000"/>
          <w:kern w:val="0"/>
          <w:sz w:val="32"/>
          <w:szCs w:val="32"/>
        </w:rPr>
      </w:pPr>
      <w:bookmarkStart w:id="3" w:name="_GoBack"/>
      <w:r>
        <w:rPr>
          <w:rFonts w:hint="eastAsia" w:cs="黑体" w:asciiTheme="minorEastAsia" w:hAnsiTheme="minorEastAsia"/>
          <w:color w:val="000000"/>
          <w:kern w:val="0"/>
          <w:sz w:val="32"/>
          <w:szCs w:val="32"/>
        </w:rPr>
        <w:t>202</w:t>
      </w:r>
      <w:r>
        <w:rPr>
          <w:rFonts w:hint="eastAsia" w:cs="黑体" w:asciiTheme="minorEastAsia" w:hAnsiTheme="minorEastAsia"/>
          <w:color w:val="000000"/>
          <w:kern w:val="0"/>
          <w:sz w:val="32"/>
          <w:szCs w:val="32"/>
          <w:lang w:val="en-US" w:eastAsia="zh-CN"/>
        </w:rPr>
        <w:t>3</w:t>
      </w:r>
      <w:r>
        <w:rPr>
          <w:rFonts w:hint="eastAsia" w:cs="黑体" w:asciiTheme="minorEastAsia" w:hAnsiTheme="minorEastAsia"/>
          <w:color w:val="000000"/>
          <w:kern w:val="0"/>
          <w:sz w:val="32"/>
          <w:szCs w:val="32"/>
        </w:rPr>
        <w:t>年年初基本支出预算指标</w:t>
      </w:r>
      <w:r>
        <w:rPr>
          <w:rFonts w:hint="eastAsia" w:cs="黑体" w:asciiTheme="minorEastAsia" w:hAnsiTheme="minorEastAsia"/>
          <w:color w:val="000000"/>
          <w:kern w:val="0"/>
          <w:sz w:val="32"/>
          <w:szCs w:val="32"/>
          <w:lang w:val="en-US" w:eastAsia="zh-CN"/>
        </w:rPr>
        <w:t>520.30</w:t>
      </w:r>
      <w:r>
        <w:rPr>
          <w:rFonts w:hint="eastAsia" w:cs="黑体" w:asciiTheme="minorEastAsia" w:hAnsiTheme="minorEastAsia"/>
          <w:color w:val="000000"/>
          <w:kern w:val="0"/>
          <w:sz w:val="32"/>
          <w:szCs w:val="32"/>
        </w:rPr>
        <w:t>万元，年中调整预算为</w:t>
      </w:r>
      <w:r>
        <w:rPr>
          <w:rFonts w:hint="eastAsia" w:cs="黑体" w:asciiTheme="minorEastAsia" w:hAnsiTheme="minorEastAsia"/>
          <w:color w:val="000000"/>
          <w:kern w:val="0"/>
          <w:sz w:val="32"/>
          <w:szCs w:val="32"/>
          <w:lang w:val="en-US" w:eastAsia="zh-CN"/>
        </w:rPr>
        <w:t>789.15</w:t>
      </w:r>
      <w:r>
        <w:rPr>
          <w:rFonts w:hint="eastAsia" w:cs="黑体" w:asciiTheme="minorEastAsia" w:hAnsiTheme="minorEastAsia"/>
          <w:color w:val="000000"/>
          <w:kern w:val="0"/>
          <w:sz w:val="32"/>
          <w:szCs w:val="32"/>
        </w:rPr>
        <w:t>万</w:t>
      </w:r>
      <w:bookmarkEnd w:id="3"/>
      <w:r>
        <w:rPr>
          <w:rFonts w:hint="eastAsia" w:cs="黑体" w:asciiTheme="minorEastAsia" w:hAnsiTheme="minorEastAsia"/>
          <w:color w:val="000000"/>
          <w:kern w:val="0"/>
          <w:sz w:val="32"/>
          <w:szCs w:val="32"/>
        </w:rPr>
        <w:t>元。202</w:t>
      </w:r>
      <w:r>
        <w:rPr>
          <w:rFonts w:hint="eastAsia" w:cs="黑体" w:asciiTheme="minorEastAsia" w:hAnsiTheme="minorEastAsia"/>
          <w:color w:val="000000"/>
          <w:kern w:val="0"/>
          <w:sz w:val="32"/>
          <w:szCs w:val="32"/>
          <w:lang w:val="en-US" w:eastAsia="zh-CN"/>
        </w:rPr>
        <w:t>3</w:t>
      </w:r>
      <w:r>
        <w:rPr>
          <w:rFonts w:hint="eastAsia" w:cs="黑体" w:asciiTheme="minorEastAsia" w:hAnsiTheme="minorEastAsia"/>
          <w:color w:val="000000"/>
          <w:kern w:val="0"/>
          <w:sz w:val="32"/>
          <w:szCs w:val="32"/>
        </w:rPr>
        <w:t>年决算金额为</w:t>
      </w:r>
      <w:r>
        <w:rPr>
          <w:rFonts w:hint="eastAsia" w:cs="黑体" w:asciiTheme="minorEastAsia" w:hAnsiTheme="minorEastAsia"/>
          <w:color w:val="000000"/>
          <w:kern w:val="0"/>
          <w:sz w:val="32"/>
          <w:szCs w:val="32"/>
          <w:lang w:val="en-US" w:eastAsia="zh-CN"/>
        </w:rPr>
        <w:t>775.26</w:t>
      </w:r>
      <w:r>
        <w:rPr>
          <w:rFonts w:hint="eastAsia" w:cs="黑体" w:asciiTheme="minorEastAsia" w:hAnsiTheme="minorEastAsia"/>
          <w:color w:val="000000"/>
          <w:kern w:val="0"/>
          <w:sz w:val="32"/>
          <w:szCs w:val="32"/>
        </w:rPr>
        <w:t>万元。具体明细见下表:</w:t>
      </w:r>
    </w:p>
    <w:p>
      <w:pPr>
        <w:autoSpaceDE w:val="0"/>
        <w:autoSpaceDN w:val="0"/>
        <w:adjustRightInd w:val="0"/>
        <w:ind w:firstLine="640" w:firstLineChars="200"/>
        <w:jc w:val="center"/>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202</w:t>
      </w:r>
      <w:r>
        <w:rPr>
          <w:rFonts w:hint="eastAsia" w:cs="黑体" w:asciiTheme="minorEastAsia" w:hAnsiTheme="minorEastAsia"/>
          <w:color w:val="000000"/>
          <w:kern w:val="0"/>
          <w:sz w:val="32"/>
          <w:szCs w:val="32"/>
          <w:lang w:val="en-US" w:eastAsia="zh-CN"/>
        </w:rPr>
        <w:t>3</w:t>
      </w:r>
      <w:r>
        <w:rPr>
          <w:rFonts w:hint="eastAsia" w:cs="黑体" w:asciiTheme="minorEastAsia" w:hAnsiTheme="minorEastAsia"/>
          <w:color w:val="000000"/>
          <w:kern w:val="0"/>
          <w:sz w:val="32"/>
          <w:szCs w:val="32"/>
        </w:rPr>
        <w:t>年基本支出明细对比表</w:t>
      </w:r>
    </w:p>
    <w:p>
      <w:pPr>
        <w:ind w:firstLine="640" w:firstLineChars="200"/>
        <w:jc w:val="right"/>
        <w:rPr>
          <w:rFonts w:eastAsia="仿宋_GB2312"/>
          <w:sz w:val="32"/>
          <w:szCs w:val="32"/>
        </w:rPr>
      </w:pPr>
      <w:r>
        <w:rPr>
          <w:rFonts w:hint="eastAsia" w:eastAsia="仿宋_GB2312"/>
          <w:sz w:val="32"/>
          <w:szCs w:val="32"/>
        </w:rPr>
        <w:t>单位：万元</w:t>
      </w:r>
    </w:p>
    <w:tbl>
      <w:tblPr>
        <w:tblStyle w:val="9"/>
        <w:tblW w:w="104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57"/>
        <w:gridCol w:w="5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757" w:type="dxa"/>
            <w:vAlign w:val="center"/>
          </w:tcPr>
          <w:p>
            <w:pPr>
              <w:ind w:firstLine="400" w:firstLineChars="200"/>
              <w:rPr>
                <w:rFonts w:ascii="Times New Roman" w:hAnsi="Times New Roman" w:eastAsia="仿宋_GB2312" w:cs="Times New Roman"/>
                <w:b/>
                <w:bCs/>
                <w:kern w:val="0"/>
                <w:sz w:val="20"/>
                <w:szCs w:val="21"/>
              </w:rPr>
            </w:pPr>
            <w:r>
              <w:rPr>
                <w:rFonts w:hint="eastAsia" w:ascii="Times New Roman" w:hAnsi="Times New Roman" w:eastAsia="仿宋_GB2312" w:cs="Times New Roman"/>
                <w:b/>
                <w:bCs/>
                <w:kern w:val="0"/>
                <w:sz w:val="20"/>
                <w:szCs w:val="21"/>
              </w:rPr>
              <w:t>科目</w:t>
            </w:r>
          </w:p>
        </w:tc>
        <w:tc>
          <w:tcPr>
            <w:tcW w:w="5684" w:type="dxa"/>
            <w:vAlign w:val="center"/>
          </w:tcPr>
          <w:p>
            <w:pPr>
              <w:widowControl/>
              <w:jc w:val="center"/>
              <w:textAlignment w:val="center"/>
              <w:rPr>
                <w:rFonts w:ascii="Times New Roman" w:hAnsi="Times New Roman" w:eastAsia="仿宋_GB2312" w:cs="Times New Roman"/>
                <w:b/>
                <w:bCs/>
                <w:kern w:val="0"/>
                <w:sz w:val="20"/>
                <w:szCs w:val="21"/>
              </w:rPr>
            </w:pPr>
            <w:r>
              <w:rPr>
                <w:rFonts w:hint="eastAsia" w:ascii="宋体" w:hAnsi="宋体" w:eastAsia="宋体" w:cs="宋体"/>
                <w:b/>
                <w:bCs/>
                <w:color w:val="000000"/>
                <w:kern w:val="0"/>
                <w:sz w:val="20"/>
                <w:szCs w:val="21"/>
              </w:rPr>
              <w:t>202</w:t>
            </w:r>
            <w:r>
              <w:rPr>
                <w:rFonts w:hint="eastAsia" w:ascii="宋体" w:hAnsi="宋体" w:eastAsia="宋体" w:cs="宋体"/>
                <w:b/>
                <w:bCs/>
                <w:color w:val="000000"/>
                <w:kern w:val="0"/>
                <w:sz w:val="20"/>
                <w:szCs w:val="21"/>
                <w:lang w:val="en-US" w:eastAsia="zh-CN"/>
              </w:rPr>
              <w:t>3</w:t>
            </w:r>
            <w:r>
              <w:rPr>
                <w:rFonts w:hint="eastAsia" w:ascii="宋体" w:hAnsi="宋体" w:eastAsia="宋体" w:cs="宋体"/>
                <w:b/>
                <w:bCs/>
                <w:color w:val="000000"/>
                <w:kern w:val="0"/>
                <w:sz w:val="20"/>
                <w:szCs w:val="21"/>
              </w:rPr>
              <w:t>年决算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757" w:type="dxa"/>
            <w:vAlign w:val="center"/>
          </w:tcPr>
          <w:p>
            <w:pPr>
              <w:jc w:val="left"/>
              <w:rPr>
                <w:rFonts w:ascii="Times New Roman" w:hAnsi="Times New Roman" w:eastAsia="仿宋_GB2312" w:cs="Times New Roman"/>
                <w:kern w:val="0"/>
                <w:sz w:val="20"/>
                <w:szCs w:val="21"/>
              </w:rPr>
            </w:pPr>
            <w:r>
              <w:rPr>
                <w:rFonts w:hint="eastAsia" w:ascii="Times New Roman" w:hAnsi="Times New Roman" w:eastAsia="仿宋_GB2312" w:cs="Times New Roman"/>
                <w:kern w:val="0"/>
                <w:sz w:val="20"/>
                <w:szCs w:val="21"/>
              </w:rPr>
              <w:t>基本支出</w:t>
            </w:r>
          </w:p>
        </w:tc>
        <w:tc>
          <w:tcPr>
            <w:tcW w:w="5684" w:type="dxa"/>
            <w:vAlign w:val="center"/>
          </w:tcPr>
          <w:p>
            <w:pPr>
              <w:widowControl/>
              <w:ind w:firstLine="400" w:firstLineChars="200"/>
              <w:jc w:val="center"/>
              <w:textAlignment w:val="center"/>
              <w:rPr>
                <w:rFonts w:hint="default" w:ascii="Times New Roman" w:hAnsi="Times New Roman" w:eastAsia="仿宋_GB2312" w:cs="Times New Roman"/>
                <w:kern w:val="0"/>
                <w:sz w:val="20"/>
                <w:szCs w:val="21"/>
                <w:lang w:val="en-US"/>
              </w:rPr>
            </w:pPr>
            <w:r>
              <w:rPr>
                <w:rFonts w:hint="eastAsia" w:ascii="Times New Roman" w:hAnsi="Times New Roman" w:eastAsia="宋体" w:cs="Times New Roman"/>
                <w:color w:val="000000"/>
                <w:kern w:val="0"/>
                <w:sz w:val="20"/>
                <w:szCs w:val="21"/>
                <w:lang w:val="en-US" w:eastAsia="zh-CN"/>
              </w:rPr>
              <w:t>396.15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757" w:type="dxa"/>
            <w:vAlign w:val="center"/>
          </w:tcPr>
          <w:p>
            <w:pPr>
              <w:ind w:firstLine="400" w:firstLineChars="200"/>
              <w:rPr>
                <w:rFonts w:ascii="Times New Roman" w:hAnsi="Times New Roman" w:eastAsia="仿宋_GB2312" w:cs="Times New Roman"/>
                <w:kern w:val="0"/>
                <w:sz w:val="20"/>
                <w:szCs w:val="21"/>
              </w:rPr>
            </w:pPr>
            <w:r>
              <w:rPr>
                <w:rFonts w:hint="eastAsia" w:ascii="Times New Roman" w:hAnsi="Times New Roman" w:eastAsia="仿宋_GB2312" w:cs="Times New Roman"/>
                <w:kern w:val="0"/>
                <w:sz w:val="20"/>
                <w:szCs w:val="21"/>
              </w:rPr>
              <w:t>人员经费</w:t>
            </w:r>
          </w:p>
        </w:tc>
        <w:tc>
          <w:tcPr>
            <w:tcW w:w="5684" w:type="dxa"/>
            <w:vAlign w:val="center"/>
          </w:tcPr>
          <w:p>
            <w:pPr>
              <w:widowControl/>
              <w:ind w:firstLine="400" w:firstLineChars="200"/>
              <w:jc w:val="center"/>
              <w:textAlignment w:val="center"/>
              <w:rPr>
                <w:rFonts w:hint="default" w:ascii="Times New Roman" w:hAnsi="Times New Roman" w:eastAsia="仿宋_GB2312" w:cs="Times New Roman"/>
                <w:kern w:val="0"/>
                <w:sz w:val="20"/>
                <w:szCs w:val="21"/>
                <w:lang w:val="en-US"/>
              </w:rPr>
            </w:pPr>
            <w:r>
              <w:rPr>
                <w:rFonts w:hint="eastAsia" w:ascii="Times New Roman" w:hAnsi="Times New Roman" w:eastAsia="宋体" w:cs="Times New Roman"/>
                <w:color w:val="000000"/>
                <w:kern w:val="0"/>
                <w:sz w:val="20"/>
                <w:szCs w:val="21"/>
                <w:lang w:val="en-US" w:eastAsia="zh-CN"/>
              </w:rPr>
              <w:t>356.80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757" w:type="dxa"/>
            <w:vAlign w:val="center"/>
          </w:tcPr>
          <w:p>
            <w:pPr>
              <w:ind w:firstLine="400" w:firstLineChars="200"/>
              <w:rPr>
                <w:rFonts w:ascii="Times New Roman" w:hAnsi="Times New Roman" w:eastAsia="仿宋_GB2312" w:cs="Times New Roman"/>
                <w:kern w:val="0"/>
                <w:sz w:val="20"/>
                <w:szCs w:val="21"/>
              </w:rPr>
            </w:pPr>
            <w:r>
              <w:rPr>
                <w:rFonts w:hint="eastAsia" w:ascii="Times New Roman" w:hAnsi="Times New Roman" w:eastAsia="仿宋_GB2312" w:cs="Times New Roman"/>
                <w:kern w:val="0"/>
                <w:sz w:val="20"/>
                <w:szCs w:val="21"/>
              </w:rPr>
              <w:t>日常公用经费</w:t>
            </w:r>
          </w:p>
        </w:tc>
        <w:tc>
          <w:tcPr>
            <w:tcW w:w="5684" w:type="dxa"/>
            <w:vAlign w:val="center"/>
          </w:tcPr>
          <w:p>
            <w:pPr>
              <w:widowControl/>
              <w:ind w:firstLine="400" w:firstLineChars="200"/>
              <w:jc w:val="center"/>
              <w:textAlignment w:val="center"/>
              <w:rPr>
                <w:rFonts w:hint="default" w:ascii="Times New Roman" w:hAnsi="Times New Roman" w:eastAsia="仿宋_GB2312" w:cs="Times New Roman"/>
                <w:kern w:val="0"/>
                <w:sz w:val="20"/>
                <w:szCs w:val="21"/>
                <w:lang w:val="en-US"/>
              </w:rPr>
            </w:pPr>
            <w:r>
              <w:rPr>
                <w:rFonts w:hint="eastAsia" w:ascii="Times New Roman" w:hAnsi="Times New Roman" w:eastAsia="宋体" w:cs="Times New Roman"/>
                <w:color w:val="000000"/>
                <w:kern w:val="0"/>
                <w:sz w:val="20"/>
                <w:szCs w:val="21"/>
                <w:lang w:val="en-US" w:eastAsia="zh-CN"/>
              </w:rPr>
              <w:t>39.35</w:t>
            </w:r>
          </w:p>
        </w:tc>
      </w:tr>
    </w:tbl>
    <w:p>
      <w:pPr>
        <w:pStyle w:val="3"/>
        <w:numPr>
          <w:ilvl w:val="0"/>
          <w:numId w:val="4"/>
        </w:numPr>
        <w:rPr>
          <w:szCs w:val="32"/>
        </w:rPr>
      </w:pPr>
      <w:r>
        <w:rPr>
          <w:rFonts w:hint="eastAsia"/>
          <w:szCs w:val="32"/>
        </w:rPr>
        <w:t>项目支出情况</w:t>
      </w:r>
    </w:p>
    <w:p>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202</w:t>
      </w:r>
      <w:r>
        <w:rPr>
          <w:rFonts w:hint="eastAsia" w:cs="黑体" w:asciiTheme="minorEastAsia" w:hAnsiTheme="minorEastAsia"/>
          <w:color w:val="000000"/>
          <w:kern w:val="0"/>
          <w:sz w:val="32"/>
          <w:szCs w:val="32"/>
          <w:lang w:val="en-US" w:eastAsia="zh-CN"/>
        </w:rPr>
        <w:t>3</w:t>
      </w:r>
      <w:r>
        <w:rPr>
          <w:rFonts w:hint="eastAsia" w:cs="黑体" w:asciiTheme="minorEastAsia" w:hAnsiTheme="minorEastAsia"/>
          <w:color w:val="000000"/>
          <w:kern w:val="0"/>
          <w:sz w:val="32"/>
          <w:szCs w:val="32"/>
        </w:rPr>
        <w:t>年本单位项目支出</w:t>
      </w:r>
      <w:r>
        <w:rPr>
          <w:rFonts w:hint="eastAsia" w:cs="黑体" w:asciiTheme="minorEastAsia" w:hAnsiTheme="minorEastAsia"/>
          <w:color w:val="000000"/>
          <w:kern w:val="0"/>
          <w:sz w:val="32"/>
          <w:szCs w:val="32"/>
          <w:lang w:val="en-US" w:eastAsia="zh-CN"/>
        </w:rPr>
        <w:t>379.11</w:t>
      </w:r>
      <w:r>
        <w:rPr>
          <w:rFonts w:hint="eastAsia" w:cs="黑体" w:asciiTheme="minorEastAsia" w:hAnsiTheme="minorEastAsia"/>
          <w:color w:val="000000"/>
          <w:kern w:val="0"/>
          <w:sz w:val="32"/>
          <w:szCs w:val="32"/>
        </w:rPr>
        <w:t>万元，主要是单位为完成原种保种工作任务而发生的支出</w:t>
      </w:r>
      <w:r>
        <w:rPr>
          <w:rFonts w:hint="eastAsia" w:cs="黑体" w:asciiTheme="minorEastAsia" w:hAnsiTheme="minorEastAsia"/>
          <w:color w:val="000000"/>
          <w:kern w:val="0"/>
          <w:sz w:val="32"/>
          <w:szCs w:val="32"/>
          <w:lang w:eastAsia="zh-CN"/>
        </w:rPr>
        <w:t>以及湖南省鱼类种质资源场建设的前期费用</w:t>
      </w:r>
      <w:r>
        <w:rPr>
          <w:rFonts w:hint="eastAsia" w:cs="黑体" w:asciiTheme="minorEastAsia" w:hAnsiTheme="minorEastAsia"/>
          <w:color w:val="000000"/>
          <w:kern w:val="0"/>
          <w:sz w:val="32"/>
          <w:szCs w:val="32"/>
        </w:rPr>
        <w:t>，其中：商品服务支出</w:t>
      </w:r>
      <w:r>
        <w:rPr>
          <w:rFonts w:hint="eastAsia" w:cs="黑体" w:asciiTheme="minorEastAsia" w:hAnsiTheme="minorEastAsia"/>
          <w:color w:val="000000"/>
          <w:kern w:val="0"/>
          <w:sz w:val="32"/>
          <w:szCs w:val="32"/>
          <w:lang w:val="en-US" w:eastAsia="zh-CN"/>
        </w:rPr>
        <w:t>379.11</w:t>
      </w:r>
      <w:r>
        <w:rPr>
          <w:rFonts w:hint="eastAsia" w:cs="黑体" w:asciiTheme="minorEastAsia" w:hAnsiTheme="minorEastAsia"/>
          <w:color w:val="000000"/>
          <w:kern w:val="0"/>
          <w:sz w:val="32"/>
          <w:szCs w:val="32"/>
        </w:rPr>
        <w:t>万元，主要用于项目相关的差旅、劳务、</w:t>
      </w:r>
      <w:r>
        <w:rPr>
          <w:rFonts w:hint="eastAsia" w:cs="黑体" w:asciiTheme="minorEastAsia" w:hAnsiTheme="minorEastAsia"/>
          <w:color w:val="000000"/>
          <w:kern w:val="0"/>
          <w:sz w:val="32"/>
          <w:szCs w:val="32"/>
          <w:lang w:eastAsia="zh-CN"/>
        </w:rPr>
        <w:t>维修（护）费、</w:t>
      </w:r>
      <w:r>
        <w:rPr>
          <w:rFonts w:hint="eastAsia" w:cs="黑体" w:asciiTheme="minorEastAsia" w:hAnsiTheme="minorEastAsia"/>
          <w:color w:val="000000"/>
          <w:kern w:val="0"/>
          <w:sz w:val="32"/>
          <w:szCs w:val="32"/>
        </w:rPr>
        <w:t>专用材料、</w:t>
      </w:r>
      <w:r>
        <w:rPr>
          <w:rFonts w:hint="eastAsia" w:cs="黑体" w:asciiTheme="minorEastAsia" w:hAnsiTheme="minorEastAsia"/>
          <w:color w:val="000000"/>
          <w:kern w:val="0"/>
          <w:sz w:val="32"/>
          <w:szCs w:val="32"/>
          <w:lang w:eastAsia="zh-CN"/>
        </w:rPr>
        <w:t>委托业务费、咨询费、</w:t>
      </w:r>
      <w:r>
        <w:rPr>
          <w:rFonts w:hint="eastAsia" w:cs="黑体" w:asciiTheme="minorEastAsia" w:hAnsiTheme="minorEastAsia"/>
          <w:color w:val="000000"/>
          <w:kern w:val="0"/>
          <w:sz w:val="32"/>
          <w:szCs w:val="32"/>
        </w:rPr>
        <w:t>电费等方面。</w:t>
      </w:r>
    </w:p>
    <w:p>
      <w:pPr>
        <w:numPr>
          <w:ilvl w:val="0"/>
          <w:numId w:val="4"/>
        </w:numPr>
        <w:ind w:left="641"/>
        <w:rPr>
          <w:rFonts w:ascii="Arial" w:hAnsi="Arial" w:eastAsia="黑体"/>
          <w:sz w:val="32"/>
          <w:szCs w:val="32"/>
        </w:rPr>
      </w:pPr>
      <w:r>
        <w:rPr>
          <w:rFonts w:hint="eastAsia" w:ascii="Arial" w:hAnsi="Arial" w:eastAsia="黑体"/>
          <w:sz w:val="32"/>
          <w:szCs w:val="32"/>
        </w:rPr>
        <w:t>经营支出情况</w:t>
      </w:r>
    </w:p>
    <w:p>
      <w:pPr>
        <w:autoSpaceDE w:val="0"/>
        <w:autoSpaceDN w:val="0"/>
        <w:adjustRightInd w:val="0"/>
        <w:ind w:firstLine="640" w:firstLineChars="200"/>
        <w:jc w:val="left"/>
        <w:rPr>
          <w:rFonts w:hint="default"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eastAsia="zh-CN"/>
        </w:rPr>
        <w:t>无。</w:t>
      </w:r>
    </w:p>
    <w:p>
      <w:pPr>
        <w:pStyle w:val="14"/>
        <w:widowControl/>
        <w:numPr>
          <w:ilvl w:val="0"/>
          <w:numId w:val="2"/>
        </w:numPr>
        <w:spacing w:line="600" w:lineRule="exact"/>
        <w:ind w:firstLineChars="0"/>
        <w:jc w:val="left"/>
        <w:rPr>
          <w:rFonts w:ascii="Times New Roman" w:hAnsi="Times New Roman" w:eastAsia="黑体"/>
          <w:sz w:val="32"/>
          <w:szCs w:val="32"/>
        </w:rPr>
      </w:pPr>
      <w:r>
        <w:rPr>
          <w:rFonts w:ascii="Times New Roman" w:hAnsi="Times New Roman" w:eastAsia="黑体"/>
          <w:sz w:val="32"/>
          <w:szCs w:val="32"/>
        </w:rPr>
        <w:t>政府性基金预算支出情况</w:t>
      </w:r>
    </w:p>
    <w:p>
      <w:pPr>
        <w:widowControl/>
        <w:spacing w:line="600" w:lineRule="exact"/>
        <w:ind w:firstLine="640" w:firstLineChars="200"/>
        <w:jc w:val="left"/>
        <w:rPr>
          <w:rFonts w:eastAsia="仿宋_GB2312"/>
          <w:color w:val="000000"/>
          <w:sz w:val="32"/>
          <w:szCs w:val="32"/>
        </w:rPr>
      </w:pPr>
      <w:r>
        <w:rPr>
          <w:rFonts w:hint="eastAsia" w:cs="黑体" w:asciiTheme="minorEastAsia" w:hAnsiTheme="minorEastAsia"/>
          <w:color w:val="000000"/>
          <w:kern w:val="0"/>
          <w:sz w:val="32"/>
          <w:szCs w:val="32"/>
          <w:lang w:eastAsia="zh-CN"/>
        </w:rPr>
        <w:t>无</w:t>
      </w:r>
      <w:r>
        <w:rPr>
          <w:rFonts w:hint="eastAsia" w:eastAsia="仿宋_GB2312"/>
          <w:color w:val="000000"/>
          <w:sz w:val="32"/>
          <w:szCs w:val="32"/>
        </w:rPr>
        <w:t>。</w:t>
      </w:r>
    </w:p>
    <w:p>
      <w:pPr>
        <w:pStyle w:val="14"/>
        <w:widowControl/>
        <w:numPr>
          <w:ilvl w:val="0"/>
          <w:numId w:val="2"/>
        </w:numPr>
        <w:spacing w:line="600" w:lineRule="exact"/>
        <w:ind w:firstLineChars="0"/>
        <w:jc w:val="left"/>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14"/>
        <w:widowControl/>
        <w:spacing w:line="600" w:lineRule="exact"/>
        <w:ind w:left="640" w:firstLine="0" w:firstLineChars="0"/>
        <w:jc w:val="left"/>
        <w:rPr>
          <w:rFonts w:ascii="Times New Roman" w:hAnsi="Times New Roman" w:eastAsia="仿宋_GB2312"/>
          <w:color w:val="000000"/>
          <w:sz w:val="32"/>
          <w:szCs w:val="32"/>
        </w:rPr>
      </w:pPr>
      <w:r>
        <w:rPr>
          <w:rFonts w:hint="eastAsia" w:cs="黑体" w:asciiTheme="minorEastAsia" w:hAnsiTheme="minorEastAsia" w:eastAsiaTheme="minorEastAsia"/>
          <w:color w:val="000000"/>
          <w:kern w:val="0"/>
          <w:sz w:val="32"/>
          <w:szCs w:val="32"/>
          <w:lang w:val="en-US" w:eastAsia="zh-CN" w:bidi="ar-SA"/>
        </w:rPr>
        <w:t>无。</w:t>
      </w:r>
    </w:p>
    <w:p>
      <w:pPr>
        <w:pStyle w:val="14"/>
        <w:widowControl/>
        <w:numPr>
          <w:ilvl w:val="0"/>
          <w:numId w:val="2"/>
        </w:numPr>
        <w:spacing w:line="600" w:lineRule="exact"/>
        <w:ind w:firstLineChars="0"/>
        <w:jc w:val="left"/>
        <w:rPr>
          <w:rFonts w:ascii="Times New Roman" w:hAnsi="Times New Roman" w:eastAsia="黑体"/>
          <w:sz w:val="32"/>
          <w:szCs w:val="32"/>
        </w:rPr>
      </w:pPr>
      <w:r>
        <w:rPr>
          <w:rFonts w:ascii="Times New Roman" w:hAnsi="Times New Roman" w:eastAsia="黑体"/>
          <w:sz w:val="32"/>
          <w:szCs w:val="32"/>
        </w:rPr>
        <w:t>社会保险基金预算支出情况</w:t>
      </w:r>
    </w:p>
    <w:p>
      <w:pPr>
        <w:pStyle w:val="14"/>
        <w:widowControl/>
        <w:spacing w:line="600" w:lineRule="exact"/>
        <w:ind w:left="640" w:firstLine="0" w:firstLineChars="0"/>
        <w:jc w:val="left"/>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无。</w:t>
      </w:r>
    </w:p>
    <w:p>
      <w:pPr>
        <w:widowControl/>
        <w:numPr>
          <w:ilvl w:val="0"/>
          <w:numId w:val="2"/>
        </w:numPr>
        <w:spacing w:line="600" w:lineRule="exact"/>
        <w:jc w:val="left"/>
        <w:rPr>
          <w:rFonts w:eastAsia="黑体"/>
          <w:sz w:val="32"/>
          <w:szCs w:val="32"/>
        </w:rPr>
      </w:pPr>
      <w:r>
        <w:rPr>
          <w:rFonts w:eastAsia="黑体"/>
          <w:sz w:val="32"/>
          <w:szCs w:val="32"/>
        </w:rPr>
        <w:t>部门整体支出绩效情况</w:t>
      </w:r>
    </w:p>
    <w:p>
      <w:pPr>
        <w:pStyle w:val="7"/>
        <w:spacing w:before="0" w:beforeAutospacing="0" w:after="0" w:afterAutospacing="0" w:line="560" w:lineRule="exact"/>
        <w:ind w:firstLine="640" w:firstLineChars="200"/>
        <w:jc w:val="both"/>
        <w:rPr>
          <w:rFonts w:hint="eastAsia" w:ascii="Arial" w:hAnsi="Arial" w:eastAsia="黑体" w:cs="Times New Roman"/>
          <w:kern w:val="2"/>
          <w:sz w:val="32"/>
          <w:szCs w:val="32"/>
          <w:lang w:val="en-US" w:eastAsia="zh-CN" w:bidi="ar-SA"/>
        </w:rPr>
      </w:pPr>
      <w:r>
        <w:rPr>
          <w:rFonts w:hint="eastAsia" w:ascii="Arial" w:hAnsi="Arial" w:eastAsia="黑体" w:cs="Times New Roman"/>
          <w:kern w:val="2"/>
          <w:sz w:val="32"/>
          <w:szCs w:val="32"/>
          <w:lang w:val="en-US" w:eastAsia="zh-CN" w:bidi="ar-SA"/>
        </w:rPr>
        <w:t>（一）绩效评价结果</w:t>
      </w:r>
    </w:p>
    <w:p>
      <w:pPr>
        <w:keepNext w:val="0"/>
        <w:keepLines w:val="0"/>
        <w:pageBreakBefore w:val="0"/>
        <w:widowControl w:val="0"/>
        <w:kinsoku/>
        <w:wordWrap/>
        <w:overflowPunct/>
        <w:topLinePunct w:val="0"/>
        <w:autoSpaceDE w:val="0"/>
        <w:autoSpaceDN w:val="0"/>
        <w:bidi w:val="0"/>
        <w:adjustRightInd/>
        <w:snapToGrid/>
        <w:spacing w:line="600" w:lineRule="exact"/>
        <w:ind w:left="0" w:leftChars="0" w:firstLine="640" w:firstLineChars="200"/>
        <w:jc w:val="both"/>
        <w:textAlignment w:val="auto"/>
        <w:rPr>
          <w:rFonts w:hint="eastAsia" w:cs="黑体" w:asciiTheme="minorEastAsia" w:hAnsiTheme="minorEastAsia" w:eastAsiaTheme="minorEastAsia"/>
          <w:color w:val="000000"/>
          <w:kern w:val="0"/>
          <w:sz w:val="32"/>
          <w:szCs w:val="32"/>
          <w:lang w:val="en-US" w:eastAsia="zh-CN" w:bidi="ar-SA"/>
        </w:rPr>
      </w:pPr>
      <w:r>
        <w:rPr>
          <w:rFonts w:hint="default" w:cs="黑体" w:asciiTheme="minorEastAsia" w:hAnsiTheme="minorEastAsia" w:eastAsiaTheme="minorEastAsia"/>
          <w:color w:val="000000"/>
          <w:kern w:val="0"/>
          <w:sz w:val="32"/>
          <w:szCs w:val="32"/>
          <w:lang w:val="en-US" w:eastAsia="zh-CN" w:bidi="ar-SA"/>
        </w:rPr>
        <w:t>2023年，在</w:t>
      </w:r>
      <w:r>
        <w:rPr>
          <w:rFonts w:hint="eastAsia" w:cs="黑体" w:asciiTheme="minorEastAsia" w:hAnsiTheme="minorEastAsia" w:eastAsiaTheme="minorEastAsia"/>
          <w:color w:val="000000"/>
          <w:kern w:val="0"/>
          <w:sz w:val="32"/>
          <w:szCs w:val="32"/>
          <w:lang w:val="en-US" w:eastAsia="zh-CN" w:bidi="ar-SA"/>
        </w:rPr>
        <w:t>农业农村部、湖南省农业农村厅以及水科</w:t>
      </w:r>
      <w:r>
        <w:rPr>
          <w:rFonts w:hint="default" w:cs="黑体" w:asciiTheme="minorEastAsia" w:hAnsiTheme="minorEastAsia" w:eastAsiaTheme="minorEastAsia"/>
          <w:color w:val="000000"/>
          <w:kern w:val="0"/>
          <w:sz w:val="32"/>
          <w:szCs w:val="32"/>
          <w:lang w:val="en-US" w:eastAsia="zh-CN" w:bidi="ar-SA"/>
        </w:rPr>
        <w:t>所</w:t>
      </w:r>
      <w:r>
        <w:rPr>
          <w:rFonts w:hint="eastAsia" w:cs="黑体" w:asciiTheme="minorEastAsia" w:hAnsiTheme="minorEastAsia" w:eastAsiaTheme="minorEastAsia"/>
          <w:color w:val="000000"/>
          <w:kern w:val="0"/>
          <w:sz w:val="32"/>
          <w:szCs w:val="32"/>
          <w:lang w:val="en-US" w:eastAsia="zh-CN" w:bidi="ar-SA"/>
        </w:rPr>
        <w:t>党委</w:t>
      </w:r>
      <w:r>
        <w:rPr>
          <w:rFonts w:hint="default" w:cs="黑体" w:asciiTheme="minorEastAsia" w:hAnsiTheme="minorEastAsia" w:eastAsiaTheme="minorEastAsia"/>
          <w:color w:val="000000"/>
          <w:kern w:val="0"/>
          <w:sz w:val="32"/>
          <w:szCs w:val="32"/>
          <w:lang w:val="en-US" w:eastAsia="zh-CN" w:bidi="ar-SA"/>
        </w:rPr>
        <w:t>的</w:t>
      </w:r>
      <w:r>
        <w:rPr>
          <w:rFonts w:hint="eastAsia" w:cs="黑体" w:asciiTheme="minorEastAsia" w:hAnsiTheme="minorEastAsia" w:eastAsiaTheme="minorEastAsia"/>
          <w:color w:val="000000"/>
          <w:kern w:val="0"/>
          <w:sz w:val="32"/>
          <w:szCs w:val="32"/>
          <w:lang w:val="en-US" w:eastAsia="zh-CN" w:bidi="ar-SA"/>
        </w:rPr>
        <w:t>正确领导</w:t>
      </w:r>
      <w:r>
        <w:rPr>
          <w:rFonts w:hint="default" w:cs="黑体" w:asciiTheme="minorEastAsia" w:hAnsiTheme="minorEastAsia" w:eastAsiaTheme="minorEastAsia"/>
          <w:color w:val="000000"/>
          <w:kern w:val="0"/>
          <w:sz w:val="32"/>
          <w:szCs w:val="32"/>
          <w:lang w:val="en-US" w:eastAsia="zh-CN" w:bidi="ar-SA"/>
        </w:rPr>
        <w:t>下，</w:t>
      </w:r>
      <w:r>
        <w:rPr>
          <w:rFonts w:hint="eastAsia" w:cs="黑体" w:asciiTheme="minorEastAsia" w:hAnsiTheme="minorEastAsia" w:eastAsiaTheme="minorEastAsia"/>
          <w:color w:val="000000"/>
          <w:kern w:val="0"/>
          <w:sz w:val="32"/>
          <w:szCs w:val="32"/>
          <w:lang w:val="en-US" w:eastAsia="zh-CN" w:bidi="ar-SA"/>
        </w:rPr>
        <w:t>湖南省水产原种场坚持党建引领，把握中心工作，精心谋划布局，坚持以种业为基础、以管理为保障、以服务为目标，内强能力，外强服务，多措并举、开源节流，</w:t>
      </w:r>
      <w:r>
        <w:rPr>
          <w:rFonts w:hint="default" w:cs="黑体" w:asciiTheme="minorEastAsia" w:hAnsiTheme="minorEastAsia" w:eastAsiaTheme="minorEastAsia"/>
          <w:color w:val="000000"/>
          <w:kern w:val="0"/>
          <w:sz w:val="32"/>
          <w:szCs w:val="32"/>
          <w:lang w:val="en-US" w:eastAsia="zh-CN" w:bidi="ar-SA"/>
        </w:rPr>
        <w:t>圆满完成了预定</w:t>
      </w:r>
      <w:r>
        <w:rPr>
          <w:rFonts w:hint="eastAsia" w:cs="黑体" w:asciiTheme="minorEastAsia" w:hAnsiTheme="minorEastAsia" w:eastAsiaTheme="minorEastAsia"/>
          <w:color w:val="000000"/>
          <w:kern w:val="0"/>
          <w:sz w:val="32"/>
          <w:szCs w:val="32"/>
          <w:lang w:val="en-US" w:eastAsia="zh-CN" w:bidi="ar-SA"/>
        </w:rPr>
        <w:t>年度目标</w:t>
      </w:r>
      <w:r>
        <w:rPr>
          <w:rFonts w:hint="default" w:cs="黑体" w:asciiTheme="minorEastAsia" w:hAnsiTheme="minorEastAsia" w:eastAsiaTheme="minorEastAsia"/>
          <w:color w:val="000000"/>
          <w:kern w:val="0"/>
          <w:sz w:val="32"/>
          <w:szCs w:val="32"/>
          <w:lang w:val="en-US" w:eastAsia="zh-CN" w:bidi="ar-SA"/>
        </w:rPr>
        <w:t>。</w:t>
      </w:r>
      <w:r>
        <w:rPr>
          <w:rFonts w:hint="eastAsia" w:cs="黑体" w:asciiTheme="minorEastAsia" w:hAnsiTheme="minorEastAsia" w:eastAsiaTheme="minorEastAsia"/>
          <w:color w:val="000000"/>
          <w:kern w:val="0"/>
          <w:sz w:val="32"/>
          <w:szCs w:val="32"/>
          <w:lang w:val="en-US" w:eastAsia="zh-CN" w:bidi="ar-SA"/>
        </w:rPr>
        <w:t>根据《部门整体支出绩效自评表》（详见附件2），单位整体支出绩效为“优”。</w:t>
      </w:r>
    </w:p>
    <w:p>
      <w:pPr>
        <w:widowControl/>
        <w:spacing w:line="600" w:lineRule="exact"/>
        <w:ind w:firstLine="640" w:firstLineChars="200"/>
        <w:jc w:val="left"/>
        <w:rPr>
          <w:rFonts w:hint="eastAsia" w:eastAsia="仿宋_GB2312"/>
          <w:color w:val="000000"/>
          <w:sz w:val="32"/>
          <w:szCs w:val="32"/>
        </w:rPr>
      </w:pPr>
      <w:r>
        <w:rPr>
          <w:rFonts w:hint="eastAsia" w:ascii="Arial" w:hAnsi="Arial" w:eastAsia="黑体" w:cs="Times New Roman"/>
          <w:kern w:val="2"/>
          <w:sz w:val="32"/>
          <w:szCs w:val="32"/>
          <w:lang w:val="en-US" w:eastAsia="zh-CN" w:bidi="ar-SA"/>
        </w:rPr>
        <w:t>（二）绩效评价结果具体分析</w:t>
      </w:r>
    </w:p>
    <w:p>
      <w:pPr>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1、坚持政治引领，扎实推进党的建设</w:t>
      </w:r>
    </w:p>
    <w:p>
      <w:pPr>
        <w:ind w:firstLine="640" w:firstLineChars="200"/>
        <w:rPr>
          <w:rFonts w:hint="eastAsia"/>
          <w:sz w:val="28"/>
          <w:szCs w:val="28"/>
        </w:rPr>
      </w:pPr>
      <w:r>
        <w:rPr>
          <w:rFonts w:hint="eastAsia" w:cs="黑体" w:asciiTheme="minorEastAsia" w:hAnsiTheme="minorEastAsia" w:eastAsiaTheme="minorEastAsia"/>
          <w:color w:val="000000"/>
          <w:kern w:val="0"/>
          <w:sz w:val="32"/>
          <w:szCs w:val="32"/>
          <w:lang w:val="en-US" w:eastAsia="zh-CN" w:bidi="ar-SA"/>
        </w:rPr>
        <w:t>按照《湖南省农业农村厅涉农项目资金审批分配问题整治暨领导干部利用职权或影响力为亲友牟利专项整治工作方案》要求，组织全场职工开展了“两项整治”工作动员部署与专题培训，开展自查自纠。我场规范填报《厅机关和厅直单位直接使用的涉农项目资金情况统计表》《近五年来农业资金项目安排或采购招标明细统计表》，领导干部按时填报“两表一书”和《领导干部利用职权或影响力为亲友牟利问题自查表》。</w:t>
      </w:r>
    </w:p>
    <w:p>
      <w:pPr>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2、改进生产管理模式，提高综合能力</w:t>
      </w:r>
    </w:p>
    <w:p>
      <w:pPr>
        <w:ind w:firstLine="640" w:firstLineChars="200"/>
        <w:rPr>
          <w:rFonts w:hint="default"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我场注重技术队伍建设，组织2名技术人员参与全国现代水产育种技术培训班，并完成公开招聘程序，引进硕士研究生1名，积极推动科技创新。2023年共发表论文5篇，其中SCI2篇；发明专利6项。主持湖南省水产种业创新项目《倒刺鲃》，参加《中华鳖品种选育研究》、省科教联合项目《中华鳖卵泡发育基因鉴定及作用机制研究》；完成长沙市自然科学基金面上项目《</w:t>
      </w:r>
      <w:r>
        <w:rPr>
          <w:rFonts w:hint="default" w:cs="黑体" w:asciiTheme="minorEastAsia" w:hAnsiTheme="minorEastAsia" w:eastAsiaTheme="minorEastAsia"/>
          <w:color w:val="000000"/>
          <w:kern w:val="0"/>
          <w:sz w:val="32"/>
          <w:szCs w:val="32"/>
          <w:lang w:val="en-US" w:eastAsia="zh-CN" w:bidi="ar-SA"/>
        </w:rPr>
        <w:t>基于eDNA宏条形码技术的湘江鱼类多样性研究及水生态健康评价</w:t>
      </w:r>
      <w:r>
        <w:rPr>
          <w:rFonts w:hint="eastAsia" w:cs="黑体" w:asciiTheme="minorEastAsia" w:hAnsiTheme="minorEastAsia" w:eastAsiaTheme="minorEastAsia"/>
          <w:color w:val="000000"/>
          <w:kern w:val="0"/>
          <w:sz w:val="32"/>
          <w:szCs w:val="32"/>
          <w:lang w:val="en-US" w:eastAsia="zh-CN" w:bidi="ar-SA"/>
        </w:rPr>
        <w:t>》，结题准备中；开展了鲢、鳙及杂交中间体的形态和生理生化比较研究，完成对君山、汉寿、沅江、邵东、衡阳县五个中华鳖不同地理群体的遗传学测序检测。</w:t>
      </w:r>
    </w:p>
    <w:p>
      <w:pPr>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3、夯实种业基础，经济效益和产能明显提升</w:t>
      </w:r>
    </w:p>
    <w:p>
      <w:pPr>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0" w:leftChars="0" w:right="0" w:rightChars="0" w:firstLine="640" w:firstLineChars="200"/>
        <w:jc w:val="left"/>
        <w:textAlignment w:val="auto"/>
        <w:rPr>
          <w:rFonts w:hint="eastAsia" w:cs="Times New Roman"/>
          <w:b/>
          <w:bCs/>
          <w:sz w:val="28"/>
          <w:szCs w:val="28"/>
          <w:lang w:val="en-US" w:eastAsia="zh-CN"/>
        </w:rPr>
      </w:pPr>
      <w:r>
        <w:rPr>
          <w:rFonts w:hint="default" w:cs="黑体" w:asciiTheme="minorEastAsia" w:hAnsiTheme="minorEastAsia" w:eastAsiaTheme="minorEastAsia"/>
          <w:color w:val="000000"/>
          <w:kern w:val="0"/>
          <w:sz w:val="32"/>
          <w:szCs w:val="32"/>
          <w:lang w:val="en-US" w:eastAsia="zh-CN" w:bidi="ar-SA"/>
        </w:rPr>
        <w:t>原种场是国家公益二类事业单位，</w:t>
      </w:r>
      <w:r>
        <w:rPr>
          <w:rFonts w:hint="eastAsia" w:cs="黑体" w:asciiTheme="minorEastAsia" w:hAnsiTheme="minorEastAsia" w:eastAsiaTheme="minorEastAsia"/>
          <w:color w:val="000000"/>
          <w:kern w:val="0"/>
          <w:sz w:val="32"/>
          <w:szCs w:val="32"/>
          <w:lang w:val="en-US" w:eastAsia="zh-CN" w:bidi="ar-SA"/>
        </w:rPr>
        <w:t>保持基本运转经费</w:t>
      </w:r>
      <w:r>
        <w:rPr>
          <w:rFonts w:hint="default" w:cs="黑体" w:asciiTheme="minorEastAsia" w:hAnsiTheme="minorEastAsia" w:eastAsiaTheme="minorEastAsia"/>
          <w:color w:val="000000"/>
          <w:kern w:val="0"/>
          <w:sz w:val="32"/>
          <w:szCs w:val="32"/>
          <w:lang w:val="en-US" w:eastAsia="zh-CN" w:bidi="ar-SA"/>
        </w:rPr>
        <w:t>缺口</w:t>
      </w:r>
      <w:r>
        <w:rPr>
          <w:rFonts w:hint="eastAsia" w:cs="黑体" w:asciiTheme="minorEastAsia" w:hAnsiTheme="minorEastAsia" w:eastAsiaTheme="minorEastAsia"/>
          <w:color w:val="000000"/>
          <w:kern w:val="0"/>
          <w:sz w:val="32"/>
          <w:szCs w:val="32"/>
          <w:lang w:val="en-US" w:eastAsia="zh-CN" w:bidi="ar-SA"/>
        </w:rPr>
        <w:t>近150</w:t>
      </w:r>
      <w:r>
        <w:rPr>
          <w:rFonts w:hint="default" w:cs="黑体" w:asciiTheme="minorEastAsia" w:hAnsiTheme="minorEastAsia" w:eastAsiaTheme="minorEastAsia"/>
          <w:color w:val="000000"/>
          <w:kern w:val="0"/>
          <w:sz w:val="32"/>
          <w:szCs w:val="32"/>
          <w:lang w:val="en-US" w:eastAsia="zh-CN" w:bidi="ar-SA"/>
        </w:rPr>
        <w:t>万元。</w:t>
      </w:r>
      <w:r>
        <w:rPr>
          <w:rFonts w:hint="eastAsia" w:cs="黑体" w:asciiTheme="minorEastAsia" w:hAnsiTheme="minorEastAsia" w:eastAsiaTheme="minorEastAsia"/>
          <w:color w:val="000000"/>
          <w:kern w:val="0"/>
          <w:sz w:val="32"/>
          <w:szCs w:val="32"/>
          <w:lang w:val="en-US" w:eastAsia="zh-CN" w:bidi="ar-SA"/>
        </w:rPr>
        <w:t>通过一年的努力实现“四个新”。自留账户金额由2022年12月年底54万余元，增长到2023年12月底194万余元。年创收超300万元，经济创收近五年新高。</w:t>
      </w:r>
      <w:r>
        <w:rPr>
          <w:rFonts w:hint="default" w:cs="黑体" w:asciiTheme="minorEastAsia" w:hAnsiTheme="minorEastAsia" w:eastAsiaTheme="minorEastAsia"/>
          <w:color w:val="000000"/>
          <w:kern w:val="0"/>
          <w:sz w:val="32"/>
          <w:szCs w:val="32"/>
          <w:lang w:val="en-US" w:eastAsia="zh-CN" w:bidi="ar-SA"/>
        </w:rPr>
        <w:t>孵化</w:t>
      </w:r>
      <w:r>
        <w:rPr>
          <w:rFonts w:hint="eastAsia" w:cs="黑体" w:asciiTheme="minorEastAsia" w:hAnsiTheme="minorEastAsia" w:eastAsiaTheme="minorEastAsia"/>
          <w:color w:val="000000"/>
          <w:kern w:val="0"/>
          <w:sz w:val="32"/>
          <w:szCs w:val="32"/>
          <w:lang w:val="en-US" w:eastAsia="zh-CN" w:bidi="ar-SA"/>
        </w:rPr>
        <w:t>中华鳖</w:t>
      </w:r>
      <w:r>
        <w:rPr>
          <w:rFonts w:hint="default" w:cs="黑体" w:asciiTheme="minorEastAsia" w:hAnsiTheme="minorEastAsia" w:eastAsiaTheme="minorEastAsia"/>
          <w:color w:val="000000"/>
          <w:kern w:val="0"/>
          <w:sz w:val="32"/>
          <w:szCs w:val="32"/>
          <w:lang w:val="en-US" w:eastAsia="zh-CN" w:bidi="ar-SA"/>
        </w:rPr>
        <w:t>稚鳖1.82万只，孵化率86.7%。受精卵数量与孵化率均创近</w:t>
      </w:r>
      <w:r>
        <w:rPr>
          <w:rFonts w:hint="eastAsia" w:cs="黑体" w:asciiTheme="minorEastAsia" w:hAnsiTheme="minorEastAsia" w:eastAsiaTheme="minorEastAsia"/>
          <w:color w:val="000000"/>
          <w:kern w:val="0"/>
          <w:sz w:val="32"/>
          <w:szCs w:val="32"/>
          <w:lang w:val="en-US" w:eastAsia="zh-CN" w:bidi="ar-SA"/>
        </w:rPr>
        <w:t>五</w:t>
      </w:r>
      <w:r>
        <w:rPr>
          <w:rFonts w:hint="default" w:cs="黑体" w:asciiTheme="minorEastAsia" w:hAnsiTheme="minorEastAsia" w:eastAsiaTheme="minorEastAsia"/>
          <w:color w:val="000000"/>
          <w:kern w:val="0"/>
          <w:sz w:val="32"/>
          <w:szCs w:val="32"/>
          <w:lang w:val="en-US" w:eastAsia="zh-CN" w:bidi="ar-SA"/>
        </w:rPr>
        <w:t>年来新高。拓展横向项目业务</w:t>
      </w:r>
      <w:r>
        <w:rPr>
          <w:rFonts w:hint="eastAsia" w:cs="黑体" w:asciiTheme="minorEastAsia" w:hAnsiTheme="minorEastAsia" w:eastAsiaTheme="minorEastAsia"/>
          <w:color w:val="000000"/>
          <w:kern w:val="0"/>
          <w:sz w:val="32"/>
          <w:szCs w:val="32"/>
          <w:lang w:val="en-US" w:eastAsia="zh-CN" w:bidi="ar-SA"/>
        </w:rPr>
        <w:t>，</w:t>
      </w:r>
      <w:r>
        <w:rPr>
          <w:rFonts w:hint="default" w:cs="黑体" w:asciiTheme="minorEastAsia" w:hAnsiTheme="minorEastAsia" w:eastAsiaTheme="minorEastAsia"/>
          <w:color w:val="000000"/>
          <w:kern w:val="0"/>
          <w:sz w:val="32"/>
          <w:szCs w:val="32"/>
          <w:lang w:val="en-US" w:eastAsia="zh-CN" w:bidi="ar-SA"/>
        </w:rPr>
        <w:t>签订项目</w:t>
      </w:r>
      <w:r>
        <w:rPr>
          <w:rFonts w:hint="eastAsia" w:cs="黑体" w:asciiTheme="minorEastAsia" w:hAnsiTheme="minorEastAsia" w:eastAsiaTheme="minorEastAsia"/>
          <w:color w:val="000000"/>
          <w:kern w:val="0"/>
          <w:sz w:val="32"/>
          <w:szCs w:val="32"/>
          <w:lang w:val="en-US" w:eastAsia="zh-CN" w:bidi="ar-SA"/>
        </w:rPr>
        <w:t>8</w:t>
      </w:r>
      <w:r>
        <w:rPr>
          <w:rFonts w:hint="default" w:cs="黑体" w:asciiTheme="minorEastAsia" w:hAnsiTheme="minorEastAsia" w:eastAsiaTheme="minorEastAsia"/>
          <w:color w:val="000000"/>
          <w:kern w:val="0"/>
          <w:sz w:val="32"/>
          <w:szCs w:val="32"/>
          <w:lang w:val="en-US" w:eastAsia="zh-CN" w:bidi="ar-SA"/>
        </w:rPr>
        <w:t>个，累计合同金额1</w:t>
      </w:r>
      <w:r>
        <w:rPr>
          <w:rFonts w:hint="eastAsia" w:cs="黑体" w:asciiTheme="minorEastAsia" w:hAnsiTheme="minorEastAsia" w:eastAsiaTheme="minorEastAsia"/>
          <w:color w:val="000000"/>
          <w:kern w:val="0"/>
          <w:sz w:val="32"/>
          <w:szCs w:val="32"/>
          <w:lang w:val="en-US" w:eastAsia="zh-CN" w:bidi="ar-SA"/>
        </w:rPr>
        <w:t>2</w:t>
      </w:r>
      <w:r>
        <w:rPr>
          <w:rFonts w:hint="default" w:cs="黑体" w:asciiTheme="minorEastAsia" w:hAnsiTheme="minorEastAsia" w:eastAsiaTheme="minorEastAsia"/>
          <w:color w:val="000000"/>
          <w:kern w:val="0"/>
          <w:sz w:val="32"/>
          <w:szCs w:val="32"/>
          <w:lang w:val="en-US" w:eastAsia="zh-CN" w:bidi="ar-SA"/>
        </w:rPr>
        <w:t>0.6万元，实现原种场横向项目</w:t>
      </w:r>
      <w:r>
        <w:rPr>
          <w:rFonts w:hint="eastAsia" w:cs="黑体" w:asciiTheme="minorEastAsia" w:hAnsiTheme="minorEastAsia" w:eastAsiaTheme="minorEastAsia"/>
          <w:color w:val="000000"/>
          <w:kern w:val="0"/>
          <w:sz w:val="32"/>
          <w:szCs w:val="32"/>
          <w:lang w:val="en-US" w:eastAsia="zh-CN" w:bidi="ar-SA"/>
        </w:rPr>
        <w:t>创新</w:t>
      </w:r>
      <w:r>
        <w:rPr>
          <w:rFonts w:hint="default" w:cs="黑体" w:asciiTheme="minorEastAsia" w:hAnsiTheme="minorEastAsia" w:eastAsiaTheme="minorEastAsia"/>
          <w:color w:val="000000"/>
          <w:kern w:val="0"/>
          <w:sz w:val="32"/>
          <w:szCs w:val="32"/>
          <w:lang w:val="en-US" w:eastAsia="zh-CN" w:bidi="ar-SA"/>
        </w:rPr>
        <w:t>零的突破</w:t>
      </w:r>
      <w:r>
        <w:rPr>
          <w:rFonts w:hint="eastAsia" w:cs="黑体" w:asciiTheme="minorEastAsia" w:hAnsiTheme="minorEastAsia" w:eastAsiaTheme="minorEastAsia"/>
          <w:color w:val="000000"/>
          <w:kern w:val="0"/>
          <w:sz w:val="32"/>
          <w:szCs w:val="32"/>
          <w:lang w:val="en-US" w:eastAsia="zh-CN" w:bidi="ar-SA"/>
        </w:rPr>
        <w:t>。全年生产鳜鱼原种4000余公斤，对外销售额突破50万元，自建场来新高。</w:t>
      </w:r>
    </w:p>
    <w:p>
      <w:pPr>
        <w:pStyle w:val="14"/>
        <w:widowControl/>
        <w:numPr>
          <w:ilvl w:val="0"/>
          <w:numId w:val="5"/>
        </w:numPr>
        <w:spacing w:line="600" w:lineRule="exact"/>
        <w:ind w:firstLineChars="0"/>
        <w:jc w:val="left"/>
        <w:rPr>
          <w:rFonts w:ascii="Times New Roman" w:hAnsi="Times New Roman" w:eastAsia="黑体"/>
          <w:sz w:val="32"/>
          <w:szCs w:val="32"/>
        </w:rPr>
      </w:pPr>
      <w:r>
        <w:rPr>
          <w:rFonts w:ascii="Times New Roman" w:hAnsi="Times New Roman" w:eastAsia="黑体"/>
          <w:sz w:val="32"/>
          <w:szCs w:val="32"/>
        </w:rPr>
        <w:t>存在的问题及</w:t>
      </w:r>
      <w:r>
        <w:rPr>
          <w:rFonts w:hint="eastAsia" w:ascii="Times New Roman" w:hAnsi="Times New Roman" w:eastAsia="黑体"/>
          <w:sz w:val="32"/>
          <w:szCs w:val="32"/>
        </w:rPr>
        <w:t>原因分析</w:t>
      </w:r>
    </w:p>
    <w:p>
      <w:pPr>
        <w:overflowPunct w:val="0"/>
        <w:spacing w:line="560" w:lineRule="exact"/>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目前，我场存在科研基础设施落后，原种保种、育种能力有待提高。</w:t>
      </w:r>
    </w:p>
    <w:p>
      <w:pPr>
        <w:widowControl/>
        <w:numPr>
          <w:ilvl w:val="0"/>
          <w:numId w:val="5"/>
        </w:numPr>
        <w:spacing w:line="600" w:lineRule="exact"/>
        <w:jc w:val="left"/>
        <w:rPr>
          <w:rFonts w:eastAsia="黑体"/>
          <w:sz w:val="32"/>
          <w:szCs w:val="32"/>
        </w:rPr>
      </w:pPr>
      <w:r>
        <w:rPr>
          <w:rFonts w:ascii="黑体" w:hAnsi="黑体" w:eastAsia="黑体"/>
          <w:sz w:val="32"/>
          <w:szCs w:val="32"/>
        </w:rPr>
        <w:t>下一步</w:t>
      </w:r>
      <w:r>
        <w:rPr>
          <w:rFonts w:eastAsia="黑体"/>
          <w:sz w:val="32"/>
          <w:szCs w:val="32"/>
        </w:rPr>
        <w:t>改进措施</w:t>
      </w:r>
    </w:p>
    <w:p>
      <w:pPr>
        <w:overflowPunct w:val="0"/>
        <w:spacing w:line="560" w:lineRule="exact"/>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（一）聚焦种业创新，主动扛起资源普查与原种选育重任，夯实种业创新基础。</w:t>
      </w:r>
    </w:p>
    <w:p>
      <w:pPr>
        <w:overflowPunct w:val="0"/>
        <w:spacing w:line="560" w:lineRule="exact"/>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（二）推进原种亲本应用更新，提高种苗质量，进一步加强四大家鱼、中华鳖、鳜鱼原种生产工作，提高良种养殖普及率，促进水产养殖业提质增效。</w:t>
      </w:r>
    </w:p>
    <w:p>
      <w:pPr>
        <w:overflowPunct w:val="0"/>
        <w:spacing w:line="560" w:lineRule="exact"/>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（三）持续做好湘江早期鱼类资源调查工作，改进原种采集方式方法，开展原种种质测定与遗传多样性研究，夯实保种工作基础。</w:t>
      </w:r>
    </w:p>
    <w:p>
      <w:pPr>
        <w:widowControl/>
        <w:spacing w:line="600" w:lineRule="exact"/>
        <w:ind w:firstLine="645"/>
        <w:jc w:val="left"/>
        <w:rPr>
          <w:rFonts w:eastAsia="黑体"/>
          <w:sz w:val="32"/>
          <w:szCs w:val="32"/>
        </w:rPr>
      </w:pPr>
      <w:r>
        <w:rPr>
          <w:rFonts w:hint="eastAsia" w:eastAsia="黑体"/>
          <w:sz w:val="32"/>
          <w:szCs w:val="32"/>
        </w:rPr>
        <w:t>九、</w:t>
      </w:r>
      <w:r>
        <w:rPr>
          <w:rFonts w:eastAsia="黑体"/>
          <w:sz w:val="32"/>
          <w:szCs w:val="32"/>
        </w:rPr>
        <w:t>绩效自评结果拟应用和公开情况</w:t>
      </w:r>
    </w:p>
    <w:p>
      <w:pPr>
        <w:overflowPunct w:val="0"/>
        <w:spacing w:line="560" w:lineRule="exact"/>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（一）反馈整改。我单位将对评价中发现的问题，及时进行督促整改。各内设机构要加强预算管理意识，严格按照预算编制的相关制度和要求，结合年度收支计划，科学编制预算，遵循预算管理办法。</w:t>
      </w:r>
    </w:p>
    <w:p>
      <w:pPr>
        <w:overflowPunct w:val="0"/>
        <w:spacing w:line="560" w:lineRule="exact"/>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（二）公开结果。除涉密信息外，我单位将全面公开202</w:t>
      </w:r>
      <w:r>
        <w:rPr>
          <w:rFonts w:hint="eastAsia" w:cs="黑体" w:asciiTheme="minorEastAsia" w:hAnsiTheme="minorEastAsia"/>
          <w:color w:val="000000"/>
          <w:kern w:val="0"/>
          <w:sz w:val="32"/>
          <w:szCs w:val="32"/>
          <w:lang w:val="en-US" w:eastAsia="zh-CN" w:bidi="ar-SA"/>
        </w:rPr>
        <w:t>3</w:t>
      </w:r>
      <w:r>
        <w:rPr>
          <w:rFonts w:hint="eastAsia" w:cs="黑体" w:asciiTheme="minorEastAsia" w:hAnsiTheme="minorEastAsia" w:eastAsiaTheme="minorEastAsia"/>
          <w:color w:val="000000"/>
          <w:kern w:val="0"/>
          <w:sz w:val="32"/>
          <w:szCs w:val="32"/>
          <w:lang w:val="en-US" w:eastAsia="zh-CN" w:bidi="ar-SA"/>
        </w:rPr>
        <w:t>年度部门支出绩效自评报告，接受社会监督。</w:t>
      </w:r>
    </w:p>
    <w:p>
      <w:pPr>
        <w:overflowPunct w:val="0"/>
        <w:spacing w:line="560" w:lineRule="exact"/>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附表：1.202</w:t>
      </w:r>
      <w:r>
        <w:rPr>
          <w:rFonts w:hint="eastAsia" w:cs="黑体" w:asciiTheme="minorEastAsia" w:hAnsiTheme="minorEastAsia"/>
          <w:color w:val="000000"/>
          <w:kern w:val="0"/>
          <w:sz w:val="32"/>
          <w:szCs w:val="32"/>
          <w:lang w:val="en-US" w:eastAsia="zh-CN" w:bidi="ar-SA"/>
        </w:rPr>
        <w:t>3</w:t>
      </w:r>
      <w:r>
        <w:rPr>
          <w:rFonts w:hint="eastAsia" w:cs="黑体" w:asciiTheme="minorEastAsia" w:hAnsiTheme="minorEastAsia" w:eastAsiaTheme="minorEastAsia"/>
          <w:color w:val="000000"/>
          <w:kern w:val="0"/>
          <w:sz w:val="32"/>
          <w:szCs w:val="32"/>
          <w:lang w:val="en-US" w:eastAsia="zh-CN" w:bidi="ar-SA"/>
        </w:rPr>
        <w:t>年度部门整体支出绩效评价基础数据表</w:t>
      </w:r>
    </w:p>
    <w:p>
      <w:pPr>
        <w:overflowPunct w:val="0"/>
        <w:spacing w:line="560" w:lineRule="exact"/>
        <w:ind w:firstLine="640" w:firstLineChars="200"/>
        <w:rPr>
          <w:rFonts w:hint="eastAsia" w:cs="黑体" w:asciiTheme="minorEastAsia" w:hAnsiTheme="minorEastAsia" w:eastAsiaTheme="minorEastAsia"/>
          <w:color w:val="000000"/>
          <w:kern w:val="0"/>
          <w:sz w:val="32"/>
          <w:szCs w:val="32"/>
          <w:lang w:val="en-US" w:eastAsia="zh-CN" w:bidi="ar-SA"/>
        </w:rPr>
      </w:pPr>
      <w:r>
        <w:rPr>
          <w:rFonts w:hint="eastAsia" w:cs="黑体" w:asciiTheme="minorEastAsia" w:hAnsiTheme="minorEastAsia" w:eastAsiaTheme="minorEastAsia"/>
          <w:color w:val="000000"/>
          <w:kern w:val="0"/>
          <w:sz w:val="32"/>
          <w:szCs w:val="32"/>
          <w:lang w:val="en-US" w:eastAsia="zh-CN" w:bidi="ar-SA"/>
        </w:rPr>
        <w:t xml:space="preserve">      2.202</w:t>
      </w:r>
      <w:r>
        <w:rPr>
          <w:rFonts w:hint="eastAsia" w:cs="黑体" w:asciiTheme="minorEastAsia" w:hAnsiTheme="minorEastAsia"/>
          <w:color w:val="000000"/>
          <w:kern w:val="0"/>
          <w:sz w:val="32"/>
          <w:szCs w:val="32"/>
          <w:lang w:val="en-US" w:eastAsia="zh-CN" w:bidi="ar-SA"/>
        </w:rPr>
        <w:t>3</w:t>
      </w:r>
      <w:r>
        <w:rPr>
          <w:rFonts w:hint="eastAsia" w:cs="黑体" w:asciiTheme="minorEastAsia" w:hAnsiTheme="minorEastAsia" w:eastAsiaTheme="minorEastAsia"/>
          <w:color w:val="000000"/>
          <w:kern w:val="0"/>
          <w:sz w:val="32"/>
          <w:szCs w:val="32"/>
          <w:lang w:val="en-US" w:eastAsia="zh-CN" w:bidi="ar-SA"/>
        </w:rPr>
        <w:t>年度部门整体支出绩效自评表</w:t>
      </w:r>
    </w:p>
    <w:p>
      <w:pPr>
        <w:widowControl/>
        <w:spacing w:line="600" w:lineRule="exact"/>
        <w:ind w:firstLine="645"/>
        <w:jc w:val="left"/>
        <w:rPr>
          <w:rFonts w:hint="eastAsia" w:eastAsia="仿宋_GB2312"/>
          <w:sz w:val="32"/>
          <w:szCs w:val="32"/>
        </w:rPr>
      </w:pPr>
    </w:p>
    <w:p>
      <w:pPr>
        <w:widowControl/>
        <w:spacing w:line="600" w:lineRule="exact"/>
        <w:ind w:firstLine="645"/>
        <w:jc w:val="left"/>
        <w:rPr>
          <w:rFonts w:hint="eastAsia" w:eastAsia="仿宋_GB2312"/>
          <w:sz w:val="32"/>
          <w:szCs w:val="32"/>
        </w:rPr>
      </w:pPr>
    </w:p>
    <w:p>
      <w:pPr>
        <w:widowControl/>
        <w:spacing w:line="600" w:lineRule="exact"/>
        <w:ind w:firstLine="645"/>
        <w:jc w:val="left"/>
        <w:rPr>
          <w:rFonts w:hint="eastAsia" w:eastAsia="仿宋_GB2312"/>
          <w:sz w:val="32"/>
          <w:szCs w:val="32"/>
        </w:rPr>
      </w:pPr>
    </w:p>
    <w:p>
      <w:pPr>
        <w:widowControl/>
        <w:spacing w:line="600" w:lineRule="exact"/>
        <w:ind w:firstLine="645"/>
        <w:jc w:val="left"/>
        <w:rPr>
          <w:rFonts w:hint="eastAsia" w:eastAsia="仿宋_GB2312"/>
          <w:sz w:val="32"/>
          <w:szCs w:val="32"/>
        </w:rPr>
      </w:pPr>
    </w:p>
    <w:p>
      <w:pPr>
        <w:widowControl/>
        <w:spacing w:line="600" w:lineRule="exact"/>
        <w:jc w:val="left"/>
        <w:rPr>
          <w:rFonts w:hint="eastAsia" w:eastAsia="仿宋_GB2312"/>
          <w:sz w:val="32"/>
          <w:szCs w:val="32"/>
        </w:rPr>
      </w:pPr>
    </w:p>
    <w:p>
      <w:pPr>
        <w:widowControl/>
        <w:spacing w:line="600" w:lineRule="exact"/>
        <w:jc w:val="left"/>
        <w:rPr>
          <w:rFonts w:hint="eastAsia" w:eastAsia="仿宋_GB2312"/>
          <w:sz w:val="32"/>
          <w:szCs w:val="32"/>
        </w:rPr>
      </w:pPr>
    </w:p>
    <w:tbl>
      <w:tblPr>
        <w:tblStyle w:val="8"/>
        <w:tblW w:w="10589" w:type="dxa"/>
        <w:tblInd w:w="93" w:type="dxa"/>
        <w:tblLayout w:type="fixed"/>
        <w:tblCellMar>
          <w:top w:w="0" w:type="dxa"/>
          <w:left w:w="108" w:type="dxa"/>
          <w:bottom w:w="0" w:type="dxa"/>
          <w:right w:w="108" w:type="dxa"/>
        </w:tblCellMar>
      </w:tblPr>
      <w:tblGrid>
        <w:gridCol w:w="3877"/>
        <w:gridCol w:w="1086"/>
        <w:gridCol w:w="1086"/>
        <w:gridCol w:w="1086"/>
        <w:gridCol w:w="1280"/>
        <w:gridCol w:w="1087"/>
        <w:gridCol w:w="1087"/>
      </w:tblGrid>
      <w:tr>
        <w:tblPrEx>
          <w:tblLayout w:type="fixed"/>
          <w:tblCellMar>
            <w:top w:w="0" w:type="dxa"/>
            <w:left w:w="108" w:type="dxa"/>
            <w:bottom w:w="0" w:type="dxa"/>
            <w:right w:w="108" w:type="dxa"/>
          </w:tblCellMar>
        </w:tblPrEx>
        <w:trPr>
          <w:trHeight w:val="642" w:hRule="atLeast"/>
        </w:trPr>
        <w:tc>
          <w:tcPr>
            <w:tcW w:w="10589" w:type="dxa"/>
            <w:gridSpan w:val="7"/>
            <w:tcBorders>
              <w:top w:val="nil"/>
              <w:left w:val="nil"/>
              <w:bottom w:val="nil"/>
              <w:right w:val="nil"/>
            </w:tcBorders>
            <w:shd w:val="clear" w:color="auto" w:fill="auto"/>
            <w:noWrap/>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附件1</w:t>
            </w:r>
          </w:p>
          <w:p>
            <w:pPr>
              <w:widowControl/>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202</w:t>
            </w:r>
            <w:r>
              <w:rPr>
                <w:rFonts w:hint="eastAsia" w:ascii="宋体" w:hAnsi="宋体" w:eastAsia="宋体" w:cs="宋体"/>
                <w:b/>
                <w:bCs/>
                <w:color w:val="000000"/>
                <w:kern w:val="0"/>
                <w:sz w:val="28"/>
                <w:szCs w:val="28"/>
                <w:lang w:val="en-US" w:eastAsia="zh-CN"/>
              </w:rPr>
              <w:t>3</w:t>
            </w:r>
            <w:r>
              <w:rPr>
                <w:rFonts w:hint="eastAsia" w:ascii="宋体" w:hAnsi="宋体" w:eastAsia="宋体" w:cs="宋体"/>
                <w:b/>
                <w:bCs/>
                <w:color w:val="000000"/>
                <w:kern w:val="0"/>
                <w:sz w:val="28"/>
                <w:szCs w:val="28"/>
              </w:rPr>
              <w:t>年度部门整体支出绩效评价基础数据表</w:t>
            </w:r>
          </w:p>
        </w:tc>
      </w:tr>
      <w:tr>
        <w:tblPrEx>
          <w:tblLayout w:type="fixed"/>
          <w:tblCellMar>
            <w:top w:w="0" w:type="dxa"/>
            <w:left w:w="108" w:type="dxa"/>
            <w:bottom w:w="0" w:type="dxa"/>
            <w:right w:w="108" w:type="dxa"/>
          </w:tblCellMar>
        </w:tblPrEx>
        <w:trPr>
          <w:trHeight w:val="402" w:hRule="atLeast"/>
        </w:trPr>
        <w:tc>
          <w:tcPr>
            <w:tcW w:w="38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财政供养人员情况</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编制数</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202</w:t>
            </w:r>
            <w:r>
              <w:rPr>
                <w:rFonts w:hint="eastAsia" w:ascii="Times New Roman" w:hAnsi="Times New Roman" w:eastAsia="宋体" w:cs="Times New Roman"/>
                <w:color w:val="000000"/>
                <w:kern w:val="0"/>
                <w:szCs w:val="21"/>
                <w:lang w:val="en-US" w:eastAsia="zh-CN"/>
              </w:rPr>
              <w:t>3</w:t>
            </w:r>
            <w:r>
              <w:rPr>
                <w:rFonts w:hint="eastAsia" w:ascii="仿宋_GB2312" w:hAnsi="Times New Roman" w:eastAsia="仿宋_GB2312" w:cs="Times New Roman"/>
                <w:color w:val="000000"/>
                <w:kern w:val="0"/>
                <w:szCs w:val="21"/>
              </w:rPr>
              <w:t>年实际在职人数</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控制率</w:t>
            </w:r>
          </w:p>
        </w:tc>
      </w:tr>
      <w:tr>
        <w:tblPrEx>
          <w:tblLayout w:type="fixed"/>
          <w:tblCellMar>
            <w:top w:w="0" w:type="dxa"/>
            <w:left w:w="108" w:type="dxa"/>
            <w:bottom w:w="0" w:type="dxa"/>
            <w:right w:w="108" w:type="dxa"/>
          </w:tblCellMar>
        </w:tblPrEx>
        <w:trPr>
          <w:trHeight w:val="402" w:hRule="atLeast"/>
        </w:trPr>
        <w:tc>
          <w:tcPr>
            <w:tcW w:w="38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15</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75</w:t>
            </w:r>
            <w:r>
              <w:rPr>
                <w:rFonts w:ascii="Times New Roman" w:hAnsi="Times New Roman" w:eastAsia="宋体" w:cs="Times New Roman"/>
                <w:color w:val="000000"/>
                <w:kern w:val="0"/>
                <w:szCs w:val="21"/>
              </w:rPr>
              <w:t>.00%</w:t>
            </w:r>
          </w:p>
        </w:tc>
      </w:tr>
      <w:tr>
        <w:tblPrEx>
          <w:tblLayout w:type="fixed"/>
          <w:tblCellMar>
            <w:top w:w="0" w:type="dxa"/>
            <w:left w:w="108" w:type="dxa"/>
            <w:bottom w:w="0" w:type="dxa"/>
            <w:right w:w="108" w:type="dxa"/>
          </w:tblCellMar>
        </w:tblPrEx>
        <w:trPr>
          <w:trHeight w:val="402"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经费控制情况</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w:t>
            </w:r>
            <w:r>
              <w:rPr>
                <w:rFonts w:hint="eastAsia" w:ascii="Times New Roman" w:hAnsi="Times New Roman" w:eastAsia="宋体" w:cs="Times New Roman"/>
                <w:color w:val="000000"/>
                <w:kern w:val="0"/>
                <w:szCs w:val="21"/>
                <w:lang w:val="en-US" w:eastAsia="zh-CN"/>
              </w:rPr>
              <w:t>22</w:t>
            </w:r>
            <w:r>
              <w:rPr>
                <w:rFonts w:hint="eastAsia" w:ascii="仿宋_GB2312" w:hAnsi="Times New Roman" w:eastAsia="仿宋_GB2312" w:cs="Times New Roman"/>
                <w:color w:val="000000"/>
                <w:kern w:val="0"/>
                <w:szCs w:val="21"/>
              </w:rPr>
              <w:t>年决算数</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202</w:t>
            </w:r>
            <w:r>
              <w:rPr>
                <w:rFonts w:hint="eastAsia" w:ascii="Times New Roman" w:hAnsi="Times New Roman" w:eastAsia="宋体" w:cs="Times New Roman"/>
                <w:color w:val="000000"/>
                <w:kern w:val="0"/>
                <w:szCs w:val="21"/>
                <w:lang w:val="en-US" w:eastAsia="zh-CN"/>
              </w:rPr>
              <w:t>3</w:t>
            </w:r>
            <w:r>
              <w:rPr>
                <w:rFonts w:hint="eastAsia" w:ascii="仿宋_GB2312" w:hAnsi="Times New Roman" w:eastAsia="仿宋_GB2312" w:cs="Times New Roman"/>
                <w:color w:val="000000"/>
                <w:kern w:val="0"/>
                <w:szCs w:val="21"/>
              </w:rPr>
              <w:t>年预算数</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202</w:t>
            </w:r>
            <w:r>
              <w:rPr>
                <w:rFonts w:hint="eastAsia" w:ascii="Times New Roman" w:hAnsi="Times New Roman" w:eastAsia="宋体" w:cs="Times New Roman"/>
                <w:color w:val="000000"/>
                <w:kern w:val="0"/>
                <w:szCs w:val="21"/>
                <w:lang w:val="en-US" w:eastAsia="zh-CN"/>
              </w:rPr>
              <w:t>3</w:t>
            </w:r>
            <w:r>
              <w:rPr>
                <w:rFonts w:hint="eastAsia" w:ascii="仿宋_GB2312" w:hAnsi="Times New Roman" w:eastAsia="仿宋_GB2312" w:cs="Times New Roman"/>
                <w:color w:val="000000"/>
                <w:kern w:val="0"/>
                <w:szCs w:val="21"/>
              </w:rPr>
              <w:t>年决算数</w:t>
            </w:r>
          </w:p>
        </w:tc>
      </w:tr>
      <w:tr>
        <w:tblPrEx>
          <w:tblLayout w:type="fixed"/>
          <w:tblCellMar>
            <w:top w:w="0" w:type="dxa"/>
            <w:left w:w="108" w:type="dxa"/>
            <w:bottom w:w="0" w:type="dxa"/>
            <w:right w:w="108" w:type="dxa"/>
          </w:tblCellMar>
        </w:tblPrEx>
        <w:trPr>
          <w:trHeight w:val="402"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三公经费</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rPr>
            </w:pPr>
            <w:r>
              <w:rPr>
                <w:rFonts w:hint="eastAsia" w:ascii="Times New Roman" w:hAnsi="Times New Roman" w:eastAsia="宋体" w:cs="Times New Roman"/>
                <w:color w:val="000000"/>
                <w:kern w:val="0"/>
                <w:szCs w:val="21"/>
                <w:lang w:val="en-US" w:eastAsia="zh-CN"/>
              </w:rPr>
              <w:t>3.00</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3.00</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3.00</w:t>
            </w:r>
          </w:p>
        </w:tc>
      </w:tr>
      <w:tr>
        <w:tblPrEx>
          <w:tblLayout w:type="fixed"/>
          <w:tblCellMar>
            <w:top w:w="0" w:type="dxa"/>
            <w:left w:w="108" w:type="dxa"/>
            <w:bottom w:w="0" w:type="dxa"/>
            <w:right w:w="108" w:type="dxa"/>
          </w:tblCellMar>
        </w:tblPrEx>
        <w:trPr>
          <w:trHeight w:val="402"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1、公务用车购置和维护经费</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3.00</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3.00</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3.00</w:t>
            </w:r>
          </w:p>
        </w:tc>
      </w:tr>
      <w:tr>
        <w:tblPrEx>
          <w:tblLayout w:type="fixed"/>
          <w:tblCellMar>
            <w:top w:w="0" w:type="dxa"/>
            <w:left w:w="108" w:type="dxa"/>
            <w:bottom w:w="0" w:type="dxa"/>
            <w:right w:w="108" w:type="dxa"/>
          </w:tblCellMar>
        </w:tblPrEx>
        <w:trPr>
          <w:trHeight w:val="379"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       其中：公车购置</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         公车运行维护</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rPr>
            </w:pPr>
            <w:r>
              <w:rPr>
                <w:rFonts w:hint="eastAsia" w:ascii="Times New Roman" w:hAnsi="Times New Roman" w:eastAsia="宋体" w:cs="Times New Roman"/>
                <w:color w:val="000000"/>
                <w:kern w:val="0"/>
                <w:szCs w:val="21"/>
                <w:lang w:val="en-US" w:eastAsia="zh-CN"/>
              </w:rPr>
              <w:t>3.00</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3.00</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3.00</w:t>
            </w:r>
          </w:p>
        </w:tc>
      </w:tr>
      <w:tr>
        <w:tblPrEx>
          <w:tblLayout w:type="fixed"/>
          <w:tblCellMar>
            <w:top w:w="0" w:type="dxa"/>
            <w:left w:w="108" w:type="dxa"/>
            <w:bottom w:w="0" w:type="dxa"/>
            <w:right w:w="108" w:type="dxa"/>
          </w:tblCellMar>
        </w:tblPrEx>
        <w:trPr>
          <w:trHeight w:val="402"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2、出国经费</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3、公务接待</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项目支出：</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w:t>
            </w:r>
            <w:r>
              <w:rPr>
                <w:rFonts w:hint="eastAsia" w:ascii="宋体" w:hAnsi="宋体" w:eastAsia="宋体" w:cs="Times New Roman"/>
                <w:color w:val="000000"/>
                <w:kern w:val="0"/>
                <w:szCs w:val="21"/>
              </w:rPr>
              <w:t>、业务工作专项</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2、运行维护专项</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0</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w:t>
            </w:r>
            <w:r>
              <w:rPr>
                <w:rFonts w:hint="eastAsia" w:ascii="仿宋_GB2312" w:hAnsi="Times New Roman" w:eastAsia="仿宋_GB2312" w:cs="Times New Roman"/>
                <w:color w:val="000000"/>
                <w:kern w:val="0"/>
                <w:szCs w:val="21"/>
              </w:rPr>
              <w:t>、省级专项资金（一个专项一行）</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养殖产业发展专项</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公用经费</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44.11</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rPr>
            </w:pPr>
            <w:r>
              <w:rPr>
                <w:rFonts w:hint="eastAsia" w:ascii="Times New Roman" w:hAnsi="Times New Roman" w:eastAsia="宋体" w:cs="Times New Roman"/>
                <w:color w:val="000000"/>
                <w:kern w:val="0"/>
                <w:szCs w:val="21"/>
                <w:lang w:val="en-US" w:eastAsia="zh-CN"/>
              </w:rPr>
              <w:t>39.35</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39.35</w:t>
            </w:r>
          </w:p>
        </w:tc>
      </w:tr>
      <w:tr>
        <w:tblPrEx>
          <w:tblLayout w:type="fixed"/>
          <w:tblCellMar>
            <w:top w:w="0" w:type="dxa"/>
            <w:left w:w="108" w:type="dxa"/>
            <w:bottom w:w="0" w:type="dxa"/>
            <w:right w:w="108" w:type="dxa"/>
          </w:tblCellMar>
        </w:tblPrEx>
        <w:trPr>
          <w:trHeight w:val="402"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    </w:t>
            </w:r>
            <w:r>
              <w:rPr>
                <w:rFonts w:hint="eastAsia" w:ascii="宋体" w:hAnsi="宋体" w:eastAsia="宋体" w:cs="Times New Roman"/>
                <w:color w:val="000000"/>
                <w:kern w:val="0"/>
                <w:szCs w:val="21"/>
              </w:rPr>
              <w:t>其中：办公经费</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kern w:val="0"/>
                <w:szCs w:val="21"/>
              </w:rPr>
            </w:pPr>
            <w:r>
              <w:rPr>
                <w:rFonts w:hint="eastAsia" w:ascii="Times New Roman" w:hAnsi="Times New Roman" w:eastAsia="宋体" w:cs="Times New Roman"/>
                <w:kern w:val="0"/>
                <w:szCs w:val="21"/>
                <w:lang w:val="en-US" w:eastAsia="zh-CN"/>
              </w:rPr>
              <w:t>0</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kern w:val="0"/>
                <w:szCs w:val="21"/>
              </w:rPr>
            </w:pPr>
            <w:r>
              <w:rPr>
                <w:rFonts w:hint="eastAsia" w:ascii="Times New Roman" w:hAnsi="Times New Roman" w:eastAsia="宋体" w:cs="Times New Roman"/>
                <w:kern w:val="0"/>
                <w:szCs w:val="21"/>
                <w:lang w:val="en-US" w:eastAsia="zh-CN"/>
              </w:rPr>
              <w:t>1</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r>
      <w:tr>
        <w:tblPrEx>
          <w:tblLayout w:type="fixed"/>
          <w:tblCellMar>
            <w:top w:w="0" w:type="dxa"/>
            <w:left w:w="108" w:type="dxa"/>
            <w:bottom w:w="0" w:type="dxa"/>
            <w:right w:w="108" w:type="dxa"/>
          </w:tblCellMar>
        </w:tblPrEx>
        <w:trPr>
          <w:trHeight w:val="402"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                </w:t>
            </w:r>
            <w:r>
              <w:rPr>
                <w:rFonts w:hint="eastAsia" w:ascii="宋体" w:hAnsi="宋体" w:eastAsia="宋体" w:cs="Times New Roman"/>
                <w:color w:val="000000"/>
                <w:kern w:val="0"/>
                <w:szCs w:val="21"/>
              </w:rPr>
              <w:t>水费、电费、差旅费</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10.00</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3.00</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3.00</w:t>
            </w:r>
          </w:p>
        </w:tc>
      </w:tr>
      <w:tr>
        <w:tblPrEx>
          <w:tblLayout w:type="fixed"/>
          <w:tblCellMar>
            <w:top w:w="0" w:type="dxa"/>
            <w:left w:w="108" w:type="dxa"/>
            <w:bottom w:w="0" w:type="dxa"/>
            <w:right w:w="108" w:type="dxa"/>
          </w:tblCellMar>
        </w:tblPrEx>
        <w:trPr>
          <w:trHeight w:val="402"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               </w:t>
            </w:r>
            <w:r>
              <w:rPr>
                <w:rFonts w:hint="eastAsia" w:ascii="宋体" w:hAnsi="宋体" w:eastAsia="宋体" w:cs="Times New Roman"/>
                <w:color w:val="000000"/>
                <w:kern w:val="0"/>
                <w:szCs w:val="21"/>
              </w:rPr>
              <w:t>会议费、培训费</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kern w:val="0"/>
                <w:szCs w:val="21"/>
              </w:rPr>
            </w:pPr>
            <w:r>
              <w:rPr>
                <w:rFonts w:hint="eastAsia" w:ascii="Times New Roman" w:hAnsi="Times New Roman" w:eastAsia="宋体" w:cs="Times New Roman"/>
                <w:kern w:val="0"/>
                <w:szCs w:val="21"/>
                <w:lang w:val="en-US" w:eastAsia="zh-CN"/>
              </w:rPr>
              <w:t>0</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kern w:val="0"/>
                <w:szCs w:val="21"/>
              </w:rPr>
            </w:pPr>
            <w:r>
              <w:rPr>
                <w:rFonts w:hint="eastAsia" w:ascii="Times New Roman" w:hAnsi="Times New Roman" w:eastAsia="宋体" w:cs="Times New Roman"/>
                <w:kern w:val="0"/>
                <w:szCs w:val="21"/>
                <w:lang w:val="en-US" w:eastAsia="zh-CN"/>
              </w:rPr>
              <w:t>0</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kern w:val="0"/>
                <w:szCs w:val="21"/>
              </w:rPr>
            </w:pPr>
            <w:r>
              <w:rPr>
                <w:rFonts w:hint="eastAsia" w:ascii="Times New Roman" w:hAnsi="Times New Roman" w:eastAsia="宋体" w:cs="Times New Roman"/>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政府采购金额</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lang w:val="en-US" w:eastAsia="zh-CN"/>
              </w:rPr>
              <w:t>0</w:t>
            </w:r>
          </w:p>
        </w:tc>
      </w:tr>
      <w:tr>
        <w:tblPrEx>
          <w:tblLayout w:type="fixed"/>
          <w:tblCellMar>
            <w:top w:w="0" w:type="dxa"/>
            <w:left w:w="108" w:type="dxa"/>
            <w:bottom w:w="0" w:type="dxa"/>
            <w:right w:w="108" w:type="dxa"/>
          </w:tblCellMar>
        </w:tblPrEx>
        <w:trPr>
          <w:trHeight w:val="402"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部门基本支出预算调整</w:t>
            </w:r>
          </w:p>
        </w:tc>
        <w:tc>
          <w:tcPr>
            <w:tcW w:w="21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w:t>
            </w:r>
          </w:p>
        </w:tc>
        <w:tc>
          <w:tcPr>
            <w:tcW w:w="2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396.15</w:t>
            </w:r>
          </w:p>
        </w:tc>
        <w:tc>
          <w:tcPr>
            <w:tcW w:w="21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396.15</w:t>
            </w:r>
          </w:p>
        </w:tc>
      </w:tr>
      <w:tr>
        <w:tblPrEx>
          <w:tblLayout w:type="fixed"/>
          <w:tblCellMar>
            <w:top w:w="0" w:type="dxa"/>
            <w:left w:w="108" w:type="dxa"/>
            <w:bottom w:w="0" w:type="dxa"/>
            <w:right w:w="108" w:type="dxa"/>
          </w:tblCellMar>
        </w:tblPrEx>
        <w:trPr>
          <w:trHeight w:val="402" w:hRule="atLeast"/>
        </w:trPr>
        <w:tc>
          <w:tcPr>
            <w:tcW w:w="38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楼堂馆所控制情况</w:t>
            </w:r>
            <w:r>
              <w:rPr>
                <w:rFonts w:ascii="Times New Roman" w:hAnsi="Times New Roman" w:eastAsia="宋体" w:cs="Times New Roman"/>
                <w:color w:val="000000"/>
                <w:kern w:val="0"/>
                <w:szCs w:val="21"/>
              </w:rPr>
              <w:br w:type="textWrapping"/>
            </w:r>
            <w:r>
              <w:rPr>
                <w:rFonts w:hint="eastAsia" w:ascii="宋体" w:hAnsi="宋体" w:eastAsia="宋体" w:cs="宋体"/>
                <w:color w:val="000000"/>
                <w:kern w:val="0"/>
                <w:szCs w:val="21"/>
              </w:rPr>
              <w:t>（</w:t>
            </w:r>
            <w:r>
              <w:rPr>
                <w:rFonts w:ascii="Times New Roman" w:hAnsi="Times New Roman" w:eastAsia="宋体" w:cs="Times New Roman"/>
                <w:color w:val="000000"/>
                <w:kern w:val="0"/>
                <w:szCs w:val="21"/>
              </w:rPr>
              <w:t>202</w:t>
            </w:r>
            <w:r>
              <w:rPr>
                <w:rFonts w:hint="eastAsia" w:ascii="Times New Roman" w:hAnsi="Times New Roman" w:eastAsia="宋体" w:cs="Times New Roman"/>
                <w:color w:val="000000"/>
                <w:kern w:val="0"/>
                <w:szCs w:val="21"/>
                <w:lang w:val="en-US" w:eastAsia="zh-CN"/>
              </w:rPr>
              <w:t>3</w:t>
            </w:r>
            <w:r>
              <w:rPr>
                <w:rFonts w:hint="eastAsia" w:ascii="宋体" w:hAnsi="宋体" w:eastAsia="宋体" w:cs="宋体"/>
                <w:color w:val="000000"/>
                <w:kern w:val="0"/>
                <w:szCs w:val="21"/>
              </w:rPr>
              <w:t>年完工项目）</w:t>
            </w:r>
          </w:p>
        </w:tc>
        <w:tc>
          <w:tcPr>
            <w:tcW w:w="10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批复规模</w:t>
            </w:r>
            <w:r>
              <w:rPr>
                <w:rFonts w:ascii="Times New Roman" w:hAnsi="Times New Roman" w:eastAsia="宋体" w:cs="Times New Roman"/>
                <w:color w:val="000000"/>
                <w:kern w:val="0"/>
                <w:szCs w:val="21"/>
              </w:rPr>
              <w:br w:type="textWrapping"/>
            </w:r>
            <w:r>
              <w:rPr>
                <w:rFonts w:hint="eastAsia" w:ascii="宋体" w:hAnsi="宋体" w:eastAsia="宋体" w:cs="宋体"/>
                <w:color w:val="000000"/>
                <w:kern w:val="0"/>
                <w:szCs w:val="21"/>
              </w:rPr>
              <w:t>（㎡）</w:t>
            </w:r>
          </w:p>
        </w:tc>
        <w:tc>
          <w:tcPr>
            <w:tcW w:w="10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实际规模（㎡）</w:t>
            </w:r>
          </w:p>
        </w:tc>
        <w:tc>
          <w:tcPr>
            <w:tcW w:w="10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规模控制率</w:t>
            </w:r>
          </w:p>
        </w:tc>
        <w:tc>
          <w:tcPr>
            <w:tcW w:w="12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预算投资（万元）</w:t>
            </w:r>
          </w:p>
        </w:tc>
        <w:tc>
          <w:tcPr>
            <w:tcW w:w="108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实际投资（万元）</w:t>
            </w:r>
          </w:p>
        </w:tc>
        <w:tc>
          <w:tcPr>
            <w:tcW w:w="108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投资概算控制率</w:t>
            </w:r>
          </w:p>
        </w:tc>
      </w:tr>
      <w:tr>
        <w:tblPrEx>
          <w:tblLayout w:type="fixed"/>
          <w:tblCellMar>
            <w:top w:w="0" w:type="dxa"/>
            <w:left w:w="108" w:type="dxa"/>
            <w:bottom w:w="0" w:type="dxa"/>
            <w:right w:w="108" w:type="dxa"/>
          </w:tblCellMar>
        </w:tblPrEx>
        <w:trPr>
          <w:trHeight w:val="402" w:hRule="atLeast"/>
        </w:trPr>
        <w:tc>
          <w:tcPr>
            <w:tcW w:w="387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08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086"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p>
        </w:tc>
        <w:tc>
          <w:tcPr>
            <w:tcW w:w="1086"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p>
        </w:tc>
        <w:tc>
          <w:tcPr>
            <w:tcW w:w="128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p>
        </w:tc>
        <w:tc>
          <w:tcPr>
            <w:tcW w:w="108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p>
        </w:tc>
        <w:tc>
          <w:tcPr>
            <w:tcW w:w="1087"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000000"/>
                <w:kern w:val="0"/>
                <w:szCs w:val="21"/>
              </w:rPr>
            </w:pPr>
          </w:p>
        </w:tc>
      </w:tr>
      <w:tr>
        <w:tblPrEx>
          <w:tblLayout w:type="fixed"/>
          <w:tblCellMar>
            <w:top w:w="0" w:type="dxa"/>
            <w:left w:w="108" w:type="dxa"/>
            <w:bottom w:w="0" w:type="dxa"/>
            <w:right w:w="108" w:type="dxa"/>
          </w:tblCellMar>
        </w:tblPrEx>
        <w:trPr>
          <w:trHeight w:val="402" w:hRule="atLeast"/>
        </w:trPr>
        <w:tc>
          <w:tcPr>
            <w:tcW w:w="387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Cs w:val="21"/>
              </w:rPr>
            </w:pPr>
          </w:p>
        </w:tc>
        <w:tc>
          <w:tcPr>
            <w:tcW w:w="1086"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c>
          <w:tcPr>
            <w:tcW w:w="1086"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c>
          <w:tcPr>
            <w:tcW w:w="1086"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c>
          <w:tcPr>
            <w:tcW w:w="1087"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c>
          <w:tcPr>
            <w:tcW w:w="1087" w:type="dxa"/>
            <w:tcBorders>
              <w:top w:val="nil"/>
              <w:left w:val="nil"/>
              <w:bottom w:val="single" w:color="auto" w:sz="4" w:space="0"/>
              <w:right w:val="single" w:color="auto" w:sz="4" w:space="0"/>
            </w:tcBorders>
            <w:shd w:val="clear" w:color="auto" w:fill="auto"/>
            <w:vAlign w:val="center"/>
          </w:tcPr>
          <w:p>
            <w:pPr>
              <w:widowControl/>
              <w:jc w:val="righ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r>
      <w:tr>
        <w:tblPrEx>
          <w:tblLayout w:type="fixed"/>
          <w:tblCellMar>
            <w:top w:w="0" w:type="dxa"/>
            <w:left w:w="108" w:type="dxa"/>
            <w:bottom w:w="0" w:type="dxa"/>
            <w:right w:w="108" w:type="dxa"/>
          </w:tblCellMar>
        </w:tblPrEx>
        <w:trPr>
          <w:trHeight w:val="402" w:hRule="atLeast"/>
        </w:trPr>
        <w:tc>
          <w:tcPr>
            <w:tcW w:w="387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厉行节约保障措施</w:t>
            </w:r>
          </w:p>
        </w:tc>
        <w:tc>
          <w:tcPr>
            <w:tcW w:w="671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tc>
      </w:tr>
      <w:tr>
        <w:tblPrEx>
          <w:tblLayout w:type="fixed"/>
          <w:tblCellMar>
            <w:top w:w="0" w:type="dxa"/>
            <w:left w:w="108" w:type="dxa"/>
            <w:bottom w:w="0" w:type="dxa"/>
            <w:right w:w="108" w:type="dxa"/>
          </w:tblCellMar>
        </w:tblPrEx>
        <w:trPr>
          <w:trHeight w:val="270" w:hRule="atLeast"/>
        </w:trPr>
        <w:tc>
          <w:tcPr>
            <w:tcW w:w="3877"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8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8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86"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87"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87"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0589" w:type="dxa"/>
            <w:gridSpan w:val="7"/>
            <w:tcBorders>
              <w:top w:val="nil"/>
              <w:left w:val="nil"/>
              <w:bottom w:val="nil"/>
              <w:right w:val="nil"/>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说明：“项目支出”需要填报基本支出以外的所有项目支出情况，“公用经费”填报基本支出中的一般商品和服务支出。</w:t>
            </w:r>
            <w:r>
              <w:rPr>
                <w:rFonts w:hint="eastAsia" w:ascii="宋体" w:hAnsi="宋体" w:eastAsia="宋体" w:cs="宋体"/>
                <w:color w:val="000000"/>
                <w:kern w:val="0"/>
                <w:sz w:val="22"/>
              </w:rPr>
              <w:br w:type="textWrapping"/>
            </w:r>
          </w:p>
          <w:p>
            <w:pPr>
              <w:widowControl/>
              <w:jc w:val="center"/>
              <w:rPr>
                <w:rFonts w:hint="eastAsia" w:ascii="宋体" w:hAnsi="宋体" w:eastAsia="宋体" w:cs="宋体"/>
                <w:color w:val="000000"/>
                <w:kern w:val="0"/>
                <w:sz w:val="22"/>
              </w:rPr>
            </w:pPr>
          </w:p>
          <w:p>
            <w:pPr>
              <w:widowControl/>
              <w:jc w:val="center"/>
              <w:rPr>
                <w:rFonts w:hint="eastAsia" w:ascii="宋体" w:hAnsi="宋体" w:eastAsia="宋体" w:cs="宋体"/>
                <w:color w:val="000000"/>
                <w:kern w:val="0"/>
                <w:sz w:val="22"/>
              </w:rPr>
            </w:pPr>
          </w:p>
          <w:p>
            <w:pPr>
              <w:widowControl/>
              <w:jc w:val="center"/>
              <w:rPr>
                <w:rFonts w:hint="eastAsia" w:ascii="宋体" w:hAnsi="宋体" w:eastAsia="宋体" w:cs="宋体"/>
                <w:color w:val="000000"/>
                <w:kern w:val="0"/>
                <w:sz w:val="22"/>
              </w:rPr>
            </w:pPr>
          </w:p>
          <w:p>
            <w:pPr>
              <w:widowControl/>
              <w:jc w:val="center"/>
              <w:rPr>
                <w:rFonts w:hint="eastAsia" w:ascii="宋体" w:hAnsi="宋体" w:eastAsia="宋体" w:cs="宋体"/>
                <w:color w:val="000000"/>
                <w:kern w:val="0"/>
                <w:sz w:val="22"/>
              </w:rPr>
            </w:pPr>
          </w:p>
          <w:p>
            <w:pPr>
              <w:widowControl/>
              <w:jc w:val="center"/>
              <w:rPr>
                <w:rFonts w:hint="eastAsia" w:ascii="宋体" w:hAnsi="宋体" w:eastAsia="宋体" w:cs="宋体"/>
                <w:color w:val="000000"/>
                <w:kern w:val="0"/>
                <w:sz w:val="22"/>
              </w:rPr>
            </w:pPr>
          </w:p>
          <w:p>
            <w:pPr>
              <w:widowControl/>
              <w:jc w:val="center"/>
              <w:rPr>
                <w:rFonts w:hint="eastAsia" w:ascii="宋体" w:hAnsi="宋体" w:eastAsia="宋体" w:cs="宋体"/>
                <w:color w:val="000000"/>
                <w:kern w:val="0"/>
                <w:sz w:val="22"/>
              </w:rPr>
            </w:pPr>
          </w:p>
          <w:p>
            <w:pPr>
              <w:widowControl/>
              <w:jc w:val="center"/>
              <w:rPr>
                <w:rFonts w:hint="eastAsia" w:ascii="宋体" w:hAnsi="宋体" w:eastAsia="宋体" w:cs="宋体"/>
                <w:color w:val="000000"/>
                <w:kern w:val="0"/>
                <w:sz w:val="22"/>
              </w:rPr>
            </w:pPr>
          </w:p>
          <w:p>
            <w:pPr>
              <w:widowControl/>
              <w:jc w:val="center"/>
              <w:rPr>
                <w:rFonts w:hint="eastAsia" w:ascii="宋体" w:hAnsi="宋体" w:eastAsia="宋体" w:cs="宋体"/>
                <w:color w:val="000000"/>
                <w:kern w:val="0"/>
                <w:sz w:val="22"/>
              </w:rPr>
            </w:pPr>
          </w:p>
          <w:p>
            <w:pPr>
              <w:widowControl/>
              <w:jc w:val="center"/>
              <w:rPr>
                <w:rFonts w:hint="eastAsia" w:ascii="宋体" w:hAnsi="宋体" w:eastAsia="宋体" w:cs="宋体"/>
                <w:color w:val="000000"/>
                <w:kern w:val="0"/>
                <w:sz w:val="22"/>
              </w:rPr>
            </w:pPr>
          </w:p>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附件2</w:t>
            </w:r>
          </w:p>
          <w:tbl>
            <w:tblPr>
              <w:tblStyle w:val="8"/>
              <w:tblW w:w="10373" w:type="dxa"/>
              <w:tblInd w:w="0" w:type="dxa"/>
              <w:tblLayout w:type="fixed"/>
              <w:tblCellMar>
                <w:top w:w="0" w:type="dxa"/>
                <w:left w:w="108" w:type="dxa"/>
                <w:bottom w:w="0" w:type="dxa"/>
                <w:right w:w="108" w:type="dxa"/>
              </w:tblCellMar>
            </w:tblPr>
            <w:tblGrid>
              <w:gridCol w:w="810"/>
              <w:gridCol w:w="810"/>
              <w:gridCol w:w="1149"/>
              <w:gridCol w:w="1304"/>
              <w:gridCol w:w="895"/>
              <w:gridCol w:w="1050"/>
              <w:gridCol w:w="1233"/>
              <w:gridCol w:w="810"/>
              <w:gridCol w:w="1149"/>
              <w:gridCol w:w="1163"/>
            </w:tblGrid>
            <w:tr>
              <w:tblPrEx>
                <w:tblLayout w:type="fixed"/>
                <w:tblCellMar>
                  <w:top w:w="0" w:type="dxa"/>
                  <w:left w:w="108" w:type="dxa"/>
                  <w:bottom w:w="0" w:type="dxa"/>
                  <w:right w:w="108" w:type="dxa"/>
                </w:tblCellMar>
              </w:tblPrEx>
              <w:trPr>
                <w:trHeight w:val="660" w:hRule="atLeast"/>
              </w:trPr>
              <w:tc>
                <w:tcPr>
                  <w:tcW w:w="10373" w:type="dxa"/>
                  <w:gridSpan w:val="10"/>
                  <w:tcBorders>
                    <w:top w:val="nil"/>
                    <w:left w:val="nil"/>
                    <w:bottom w:val="nil"/>
                    <w:right w:val="nil"/>
                  </w:tcBorders>
                  <w:shd w:val="clear" w:color="auto" w:fill="auto"/>
                  <w:noWrap/>
                  <w:vAlign w:val="center"/>
                </w:tcPr>
                <w:p>
                  <w:pPr>
                    <w:widowControl/>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202</w:t>
                  </w:r>
                  <w:r>
                    <w:rPr>
                      <w:rFonts w:hint="eastAsia" w:ascii="宋体" w:hAnsi="宋体" w:eastAsia="宋体" w:cs="宋体"/>
                      <w:b/>
                      <w:bCs/>
                      <w:color w:val="000000"/>
                      <w:kern w:val="0"/>
                      <w:sz w:val="28"/>
                      <w:szCs w:val="28"/>
                      <w:lang w:val="en-US" w:eastAsia="zh-CN"/>
                    </w:rPr>
                    <w:t>3</w:t>
                  </w:r>
                  <w:r>
                    <w:rPr>
                      <w:rFonts w:hint="eastAsia" w:ascii="宋体" w:hAnsi="宋体" w:eastAsia="宋体" w:cs="宋体"/>
                      <w:b/>
                      <w:bCs/>
                      <w:color w:val="000000"/>
                      <w:kern w:val="0"/>
                      <w:sz w:val="28"/>
                      <w:szCs w:val="28"/>
                    </w:rPr>
                    <w:t>年度部门整体支出绩效自评表</w:t>
                  </w:r>
                </w:p>
              </w:tc>
            </w:tr>
            <w:tr>
              <w:tblPrEx>
                <w:tblLayout w:type="fixed"/>
              </w:tblPrEx>
              <w:trPr>
                <w:trHeight w:val="540" w:hRule="atLeast"/>
              </w:trPr>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省级预算部门名称</w:t>
                  </w:r>
                </w:p>
              </w:tc>
              <w:tc>
                <w:tcPr>
                  <w:tcW w:w="9563" w:type="dxa"/>
                  <w:gridSpan w:val="9"/>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湖南省水产原种场</w:t>
                  </w:r>
                </w:p>
              </w:tc>
            </w:tr>
            <w:tr>
              <w:tblPrEx>
                <w:tblLayout w:type="fixed"/>
                <w:tblCellMar>
                  <w:top w:w="0" w:type="dxa"/>
                  <w:left w:w="108" w:type="dxa"/>
                  <w:bottom w:w="0" w:type="dxa"/>
                  <w:right w:w="108" w:type="dxa"/>
                </w:tblCellMar>
              </w:tblPrEx>
              <w:trPr>
                <w:trHeight w:val="312" w:hRule="atLeast"/>
              </w:trPr>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年度预</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算申请</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195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13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预算数</w:t>
                  </w:r>
                </w:p>
              </w:tc>
              <w:tc>
                <w:tcPr>
                  <w:tcW w:w="19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全年预算数</w:t>
                  </w:r>
                </w:p>
              </w:tc>
              <w:tc>
                <w:tcPr>
                  <w:tcW w:w="12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全年执行数</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114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执行率</w:t>
                  </w:r>
                </w:p>
              </w:tc>
              <w:tc>
                <w:tcPr>
                  <w:tcW w:w="11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r>
            <w:tr>
              <w:tblPrEx>
                <w:tblLayout w:type="fixed"/>
                <w:tblCellMar>
                  <w:top w:w="0" w:type="dxa"/>
                  <w:left w:w="108" w:type="dxa"/>
                  <w:bottom w:w="0" w:type="dxa"/>
                  <w:right w:w="108" w:type="dxa"/>
                </w:tblCellMar>
              </w:tblPrEx>
              <w:trPr>
                <w:trHeight w:val="312" w:hRule="atLeast"/>
              </w:trPr>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5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3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5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30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02" w:hRule="atLeast"/>
              </w:trPr>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95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1304" w:type="dxa"/>
                  <w:tcBorders>
                    <w:top w:val="nil"/>
                    <w:left w:val="nil"/>
                    <w:bottom w:val="single" w:color="000000" w:sz="4" w:space="0"/>
                    <w:right w:val="single" w:color="000000" w:sz="4" w:space="0"/>
                  </w:tcBorders>
                  <w:shd w:val="clear" w:color="auto" w:fill="auto"/>
                  <w:noWrap/>
                  <w:vAlign w:val="center"/>
                </w:tcPr>
                <w:p>
                  <w:pPr>
                    <w:widowControl/>
                    <w:jc w:val="righ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520.30</w:t>
                  </w:r>
                </w:p>
              </w:tc>
              <w:tc>
                <w:tcPr>
                  <w:tcW w:w="19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789.15</w:t>
                  </w:r>
                </w:p>
              </w:tc>
              <w:tc>
                <w:tcPr>
                  <w:tcW w:w="1233" w:type="dxa"/>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775.26</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val="en-US" w:eastAsia="zh-CN"/>
                    </w:rPr>
                    <w:t>98.24</w:t>
                  </w:r>
                  <w:r>
                    <w:rPr>
                      <w:rFonts w:hint="eastAsia" w:ascii="宋体" w:hAnsi="宋体" w:eastAsia="宋体" w:cs="宋体"/>
                      <w:color w:val="000000"/>
                      <w:kern w:val="0"/>
                      <w:sz w:val="22"/>
                    </w:rPr>
                    <w:t>%</w:t>
                  </w: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val="en-US" w:eastAsia="zh-CN"/>
                    </w:rPr>
                    <w:t>9</w:t>
                  </w:r>
                </w:p>
              </w:tc>
            </w:tr>
            <w:tr>
              <w:tblPrEx>
                <w:tblLayout w:type="fixed"/>
                <w:tblCellMar>
                  <w:top w:w="0" w:type="dxa"/>
                  <w:left w:w="108" w:type="dxa"/>
                  <w:bottom w:w="0" w:type="dxa"/>
                  <w:right w:w="108" w:type="dxa"/>
                </w:tblCellMar>
              </w:tblPrEx>
              <w:trPr>
                <w:trHeight w:val="402" w:hRule="atLeast"/>
              </w:trPr>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208"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按收入性质分：</w:t>
                  </w:r>
                </w:p>
              </w:tc>
              <w:tc>
                <w:tcPr>
                  <w:tcW w:w="4355"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按支出性质分：</w:t>
                  </w:r>
                </w:p>
              </w:tc>
            </w:tr>
            <w:tr>
              <w:tblPrEx>
                <w:tblLayout w:type="fixed"/>
                <w:tblCellMar>
                  <w:top w:w="0" w:type="dxa"/>
                  <w:left w:w="108" w:type="dxa"/>
                  <w:bottom w:w="0" w:type="dxa"/>
                  <w:right w:w="108" w:type="dxa"/>
                </w:tblCellMar>
              </w:tblPrEx>
              <w:trPr>
                <w:trHeight w:val="402" w:hRule="atLeast"/>
              </w:trPr>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208"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rPr>
                    <w:t xml:space="preserve">  其中：  一般公共预算：</w:t>
                  </w:r>
                  <w:r>
                    <w:rPr>
                      <w:rFonts w:hint="eastAsia" w:ascii="宋体" w:hAnsi="宋体" w:eastAsia="宋体" w:cs="宋体"/>
                      <w:color w:val="000000"/>
                      <w:kern w:val="0"/>
                      <w:sz w:val="22"/>
                      <w:lang w:val="en-US" w:eastAsia="zh-CN"/>
                    </w:rPr>
                    <w:t>789.15</w:t>
                  </w:r>
                </w:p>
              </w:tc>
              <w:tc>
                <w:tcPr>
                  <w:tcW w:w="4355"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22"/>
                      <w:lang w:val="en-US"/>
                    </w:rPr>
                  </w:pPr>
                  <w:r>
                    <w:rPr>
                      <w:rFonts w:hint="eastAsia" w:ascii="宋体" w:hAnsi="宋体" w:eastAsia="宋体" w:cs="宋体"/>
                      <w:color w:val="000000"/>
                      <w:kern w:val="0"/>
                      <w:sz w:val="22"/>
                    </w:rPr>
                    <w:t>其中：基本支出：</w:t>
                  </w:r>
                  <w:r>
                    <w:rPr>
                      <w:rFonts w:hint="eastAsia" w:ascii="宋体" w:hAnsi="宋体" w:eastAsia="宋体" w:cs="宋体"/>
                      <w:color w:val="000000"/>
                      <w:kern w:val="0"/>
                      <w:sz w:val="22"/>
                      <w:lang w:val="en-US" w:eastAsia="zh-CN"/>
                    </w:rPr>
                    <w:t>396.15</w:t>
                  </w:r>
                </w:p>
              </w:tc>
            </w:tr>
            <w:tr>
              <w:tblPrEx>
                <w:tblLayout w:type="fixed"/>
                <w:tblCellMar>
                  <w:top w:w="0" w:type="dxa"/>
                  <w:left w:w="108" w:type="dxa"/>
                  <w:bottom w:w="0" w:type="dxa"/>
                  <w:right w:w="108" w:type="dxa"/>
                </w:tblCellMar>
              </w:tblPrEx>
              <w:trPr>
                <w:trHeight w:val="402" w:hRule="atLeast"/>
              </w:trPr>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208" w:type="dxa"/>
                  <w:gridSpan w:val="5"/>
                  <w:tcBorders>
                    <w:top w:val="single" w:color="auto" w:sz="4" w:space="0"/>
                    <w:left w:val="nil"/>
                    <w:bottom w:val="single" w:color="auto" w:sz="4" w:space="0"/>
                    <w:right w:val="single" w:color="auto" w:sz="4" w:space="0"/>
                  </w:tcBorders>
                  <w:shd w:val="clear" w:color="auto" w:fill="auto"/>
                  <w:vAlign w:val="center"/>
                </w:tcPr>
                <w:p>
                  <w:pPr>
                    <w:widowControl/>
                    <w:ind w:firstLine="880" w:firstLineChars="400"/>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政府性基金拨款：</w:t>
                  </w:r>
                  <w:r>
                    <w:rPr>
                      <w:rFonts w:hint="eastAsia" w:ascii="宋体" w:hAnsi="宋体" w:eastAsia="宋体" w:cs="宋体"/>
                      <w:color w:val="000000"/>
                      <w:kern w:val="0"/>
                      <w:sz w:val="22"/>
                      <w:lang w:val="en-US" w:eastAsia="zh-CN"/>
                    </w:rPr>
                    <w:t>0</w:t>
                  </w:r>
                </w:p>
              </w:tc>
              <w:tc>
                <w:tcPr>
                  <w:tcW w:w="4355" w:type="dxa"/>
                  <w:gridSpan w:val="4"/>
                  <w:tcBorders>
                    <w:top w:val="single" w:color="auto" w:sz="4" w:space="0"/>
                    <w:left w:val="nil"/>
                    <w:bottom w:val="single" w:color="auto" w:sz="4" w:space="0"/>
                    <w:right w:val="single" w:color="auto" w:sz="4" w:space="0"/>
                  </w:tcBorders>
                  <w:shd w:val="clear" w:color="auto" w:fill="auto"/>
                  <w:vAlign w:val="center"/>
                </w:tcPr>
                <w:p>
                  <w:pPr>
                    <w:widowControl/>
                    <w:ind w:firstLine="660" w:firstLineChars="300"/>
                    <w:jc w:val="left"/>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rPr>
                    <w:t>项目支出：</w:t>
                  </w:r>
                  <w:r>
                    <w:rPr>
                      <w:rFonts w:hint="eastAsia" w:ascii="宋体" w:hAnsi="宋体" w:eastAsia="宋体" w:cs="宋体"/>
                      <w:color w:val="000000"/>
                      <w:kern w:val="0"/>
                      <w:sz w:val="22"/>
                      <w:lang w:val="en-US" w:eastAsia="zh-CN"/>
                    </w:rPr>
                    <w:t>379.11</w:t>
                  </w:r>
                </w:p>
              </w:tc>
            </w:tr>
            <w:tr>
              <w:tblPrEx>
                <w:tblLayout w:type="fixed"/>
                <w:tblCellMar>
                  <w:top w:w="0" w:type="dxa"/>
                  <w:left w:w="108" w:type="dxa"/>
                  <w:bottom w:w="0" w:type="dxa"/>
                  <w:right w:w="108" w:type="dxa"/>
                </w:tblCellMar>
              </w:tblPrEx>
              <w:trPr>
                <w:trHeight w:val="402" w:hRule="atLeast"/>
              </w:trPr>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208"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纳入专户管理的非税收入拨款：</w:t>
                  </w:r>
                  <w:r>
                    <w:rPr>
                      <w:rFonts w:hint="eastAsia" w:ascii="宋体" w:hAnsi="宋体" w:eastAsia="宋体" w:cs="宋体"/>
                      <w:color w:val="000000"/>
                      <w:kern w:val="0"/>
                      <w:sz w:val="22"/>
                      <w:lang w:val="en-US" w:eastAsia="zh-CN"/>
                    </w:rPr>
                    <w:t>0</w:t>
                  </w:r>
                </w:p>
              </w:tc>
              <w:tc>
                <w:tcPr>
                  <w:tcW w:w="4355"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val="en-US" w:eastAsia="zh-CN"/>
                    </w:rPr>
                  </w:pPr>
                  <w:r>
                    <w:rPr>
                      <w:rFonts w:hint="eastAsia" w:ascii="宋体" w:hAnsi="宋体" w:eastAsia="宋体" w:cs="宋体"/>
                      <w:color w:val="000000"/>
                      <w:kern w:val="0"/>
                      <w:sz w:val="22"/>
                    </w:rPr>
                    <w:t xml:space="preserve">       经营支出：</w:t>
                  </w:r>
                  <w:r>
                    <w:rPr>
                      <w:rFonts w:hint="eastAsia" w:ascii="宋体" w:hAnsi="宋体" w:eastAsia="宋体" w:cs="宋体"/>
                      <w:color w:val="000000"/>
                      <w:kern w:val="0"/>
                      <w:sz w:val="22"/>
                      <w:lang w:val="en-US" w:eastAsia="zh-CN"/>
                    </w:rPr>
                    <w:t>0</w:t>
                  </w:r>
                </w:p>
              </w:tc>
            </w:tr>
            <w:tr>
              <w:tblPrEx>
                <w:tblLayout w:type="fixed"/>
                <w:tblCellMar>
                  <w:top w:w="0" w:type="dxa"/>
                  <w:left w:w="108" w:type="dxa"/>
                  <w:bottom w:w="0" w:type="dxa"/>
                  <w:right w:w="108" w:type="dxa"/>
                </w:tblCellMar>
              </w:tblPrEx>
              <w:trPr>
                <w:trHeight w:val="402" w:hRule="atLeast"/>
              </w:trPr>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208" w:type="dxa"/>
                  <w:gridSpan w:val="5"/>
                  <w:tcBorders>
                    <w:top w:val="single" w:color="auto" w:sz="4" w:space="0"/>
                    <w:left w:val="nil"/>
                    <w:bottom w:val="single" w:color="auto" w:sz="4" w:space="0"/>
                    <w:right w:val="single" w:color="auto" w:sz="4" w:space="0"/>
                  </w:tcBorders>
                  <w:shd w:val="clear" w:color="auto" w:fill="auto"/>
                  <w:vAlign w:val="center"/>
                </w:tcPr>
                <w:p>
                  <w:pPr>
                    <w:widowControl/>
                    <w:ind w:firstLine="1540" w:firstLineChars="700"/>
                    <w:jc w:val="left"/>
                    <w:rPr>
                      <w:rFonts w:hint="default" w:ascii="宋体" w:hAnsi="宋体" w:eastAsia="宋体" w:cs="宋体"/>
                      <w:color w:val="000000"/>
                      <w:kern w:val="0"/>
                      <w:sz w:val="22"/>
                      <w:lang w:val="en-US" w:eastAsia="zh-CN"/>
                    </w:rPr>
                  </w:pPr>
                </w:p>
              </w:tc>
              <w:tc>
                <w:tcPr>
                  <w:tcW w:w="4355"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02" w:hRule="atLeast"/>
              </w:trPr>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520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预期目标</w:t>
                  </w:r>
                </w:p>
              </w:tc>
              <w:tc>
                <w:tcPr>
                  <w:tcW w:w="4355"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实际完成情况　</w:t>
                  </w:r>
                </w:p>
              </w:tc>
            </w:tr>
            <w:tr>
              <w:tblPrEx>
                <w:tblLayout w:type="fixed"/>
                <w:tblCellMar>
                  <w:top w:w="0" w:type="dxa"/>
                  <w:left w:w="108" w:type="dxa"/>
                  <w:bottom w:w="0" w:type="dxa"/>
                  <w:right w:w="108" w:type="dxa"/>
                </w:tblCellMar>
              </w:tblPrEx>
              <w:trPr>
                <w:trHeight w:val="900" w:hRule="atLeast"/>
              </w:trPr>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5208"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完成业务工作</w:t>
                  </w:r>
                </w:p>
              </w:tc>
              <w:tc>
                <w:tcPr>
                  <w:tcW w:w="4355"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圆满完成全年制订目标任务</w:t>
                  </w:r>
                </w:p>
              </w:tc>
            </w:tr>
            <w:tr>
              <w:tblPrEx>
                <w:tblLayout w:type="fixed"/>
                <w:tblCellMar>
                  <w:top w:w="0" w:type="dxa"/>
                  <w:left w:w="108" w:type="dxa"/>
                  <w:bottom w:w="0" w:type="dxa"/>
                  <w:right w:w="108" w:type="dxa"/>
                </w:tblCellMar>
              </w:tblPrEx>
              <w:trPr>
                <w:trHeight w:val="342" w:hRule="atLeast"/>
              </w:trPr>
              <w:tc>
                <w:tcPr>
                  <w:tcW w:w="810"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一级指标</w:t>
                  </w:r>
                </w:p>
              </w:tc>
              <w:tc>
                <w:tcPr>
                  <w:tcW w:w="114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二级指标</w:t>
                  </w:r>
                </w:p>
              </w:tc>
              <w:tc>
                <w:tcPr>
                  <w:tcW w:w="219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三级指标</w:t>
                  </w:r>
                </w:p>
              </w:tc>
              <w:tc>
                <w:tcPr>
                  <w:tcW w:w="105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指标值</w:t>
                  </w:r>
                </w:p>
              </w:tc>
              <w:tc>
                <w:tcPr>
                  <w:tcW w:w="1233" w:type="dxa"/>
                  <w:vMerge w:val="restart"/>
                  <w:tcBorders>
                    <w:top w:val="nil"/>
                    <w:left w:val="single" w:color="auto" w:sz="4" w:space="0"/>
                    <w:bottom w:val="single" w:color="auto" w:sz="4" w:space="0"/>
                    <w:right w:val="single" w:color="auto" w:sz="4" w:space="0"/>
                  </w:tcBorders>
                  <w:shd w:val="clear" w:color="auto" w:fill="auto"/>
                  <w:vAlign w:val="center"/>
                </w:tcPr>
                <w:p>
                  <w:pPr>
                    <w:widowControl/>
                    <w:rPr>
                      <w:rFonts w:ascii="宋体" w:hAnsi="宋体" w:eastAsia="宋体" w:cs="宋体"/>
                      <w:color w:val="000000"/>
                      <w:kern w:val="0"/>
                      <w:sz w:val="22"/>
                    </w:rPr>
                  </w:pPr>
                  <w:r>
                    <w:rPr>
                      <w:rFonts w:hint="eastAsia" w:ascii="宋体" w:hAnsi="宋体" w:eastAsia="宋体" w:cs="宋体"/>
                      <w:color w:val="000000"/>
                      <w:kern w:val="0"/>
                      <w:sz w:val="22"/>
                    </w:rPr>
                    <w:t>实际完成值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114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c>
                <w:tcPr>
                  <w:tcW w:w="11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偏差原因</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分析及</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改进措施</w:t>
                  </w:r>
                </w:p>
              </w:tc>
            </w:tr>
            <w:tr>
              <w:tblPrEx>
                <w:tblLayout w:type="fixed"/>
                <w:tblCellMar>
                  <w:top w:w="0" w:type="dxa"/>
                  <w:left w:w="108" w:type="dxa"/>
                  <w:bottom w:w="0" w:type="dxa"/>
                  <w:right w:w="108" w:type="dxa"/>
                </w:tblCellMar>
              </w:tblPrEx>
              <w:trPr>
                <w:trHeight w:val="342" w:hRule="atLeast"/>
              </w:trPr>
              <w:tc>
                <w:tcPr>
                  <w:tcW w:w="810" w:type="dxa"/>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19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0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42" w:hRule="atLeast"/>
              </w:trPr>
              <w:tc>
                <w:tcPr>
                  <w:tcW w:w="810" w:type="dxa"/>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19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0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42" w:hRule="atLeast"/>
              </w:trPr>
              <w:tc>
                <w:tcPr>
                  <w:tcW w:w="810" w:type="dxa"/>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219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0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23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6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679" w:hRule="atLeast"/>
              </w:trPr>
              <w:tc>
                <w:tcPr>
                  <w:tcW w:w="810" w:type="dxa"/>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产出指标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(50分)</w:t>
                  </w:r>
                </w:p>
              </w:tc>
              <w:tc>
                <w:tcPr>
                  <w:tcW w:w="114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数量指标</w:t>
                  </w:r>
                </w:p>
              </w:tc>
              <w:tc>
                <w:tcPr>
                  <w:tcW w:w="21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保障人员工资人数</w:t>
                  </w:r>
                </w:p>
              </w:tc>
              <w:tc>
                <w:tcPr>
                  <w:tcW w:w="10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1</w:t>
                  </w:r>
                  <w:r>
                    <w:rPr>
                      <w:rFonts w:hint="eastAsia" w:ascii="宋体" w:hAnsi="宋体" w:eastAsia="宋体" w:cs="宋体"/>
                      <w:color w:val="000000"/>
                      <w:kern w:val="0"/>
                      <w:sz w:val="22"/>
                      <w:lang w:val="en-US" w:eastAsia="zh-CN"/>
                    </w:rPr>
                    <w:t>5</w:t>
                  </w:r>
                  <w:r>
                    <w:rPr>
                      <w:rFonts w:hint="eastAsia" w:ascii="宋体" w:hAnsi="宋体" w:eastAsia="宋体" w:cs="宋体"/>
                      <w:color w:val="000000"/>
                      <w:kern w:val="0"/>
                      <w:sz w:val="22"/>
                    </w:rPr>
                    <w:t>人</w:t>
                  </w:r>
                </w:p>
              </w:tc>
              <w:tc>
                <w:tcPr>
                  <w:tcW w:w="12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16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600" w:hRule="atLeast"/>
              </w:trPr>
              <w:tc>
                <w:tcPr>
                  <w:tcW w:w="810" w:type="dxa"/>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21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lang w:eastAsia="zh-CN"/>
                    </w:rPr>
                  </w:pPr>
                  <w:r>
                    <w:rPr>
                      <w:rFonts w:hint="default" w:ascii="宋体" w:hAnsi="宋体" w:eastAsia="宋体" w:cs="宋体"/>
                      <w:kern w:val="0"/>
                      <w:sz w:val="22"/>
                      <w:lang w:val="en-US" w:eastAsia="zh-CN"/>
                    </w:rPr>
                    <w:t>孵化</w:t>
                  </w:r>
                  <w:r>
                    <w:rPr>
                      <w:rFonts w:hint="eastAsia" w:ascii="宋体" w:hAnsi="宋体" w:eastAsia="宋体" w:cs="宋体"/>
                      <w:kern w:val="0"/>
                      <w:sz w:val="22"/>
                      <w:lang w:val="en-US" w:eastAsia="zh-CN"/>
                    </w:rPr>
                    <w:t>中华鳖</w:t>
                  </w:r>
                  <w:r>
                    <w:rPr>
                      <w:rFonts w:hint="default" w:ascii="宋体" w:hAnsi="宋体" w:eastAsia="宋体" w:cs="宋体"/>
                      <w:kern w:val="0"/>
                      <w:sz w:val="22"/>
                      <w:lang w:val="en-US" w:eastAsia="zh-CN"/>
                    </w:rPr>
                    <w:t>稚鳖1.82万只</w:t>
                  </w:r>
                </w:p>
              </w:tc>
              <w:tc>
                <w:tcPr>
                  <w:tcW w:w="10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2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1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919" w:hRule="atLeast"/>
              </w:trPr>
              <w:tc>
                <w:tcPr>
                  <w:tcW w:w="810" w:type="dxa"/>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21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保存中华鳖亲本1000只</w:t>
                  </w:r>
                </w:p>
              </w:tc>
              <w:tc>
                <w:tcPr>
                  <w:tcW w:w="10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2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1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80" w:hRule="atLeast"/>
              </w:trPr>
              <w:tc>
                <w:tcPr>
                  <w:tcW w:w="810" w:type="dxa"/>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21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保存鳜鱼亲本400尾</w:t>
                  </w:r>
                </w:p>
              </w:tc>
              <w:tc>
                <w:tcPr>
                  <w:tcW w:w="10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100%</w:t>
                  </w:r>
                </w:p>
              </w:tc>
              <w:tc>
                <w:tcPr>
                  <w:tcW w:w="12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1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600" w:hRule="atLeast"/>
              </w:trPr>
              <w:tc>
                <w:tcPr>
                  <w:tcW w:w="810" w:type="dxa"/>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时效指标</w:t>
                  </w:r>
                </w:p>
              </w:tc>
              <w:tc>
                <w:tcPr>
                  <w:tcW w:w="21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完成全年工作目标任务</w:t>
                  </w:r>
                </w:p>
              </w:tc>
              <w:tc>
                <w:tcPr>
                  <w:tcW w:w="10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202</w:t>
                  </w:r>
                  <w:r>
                    <w:rPr>
                      <w:rFonts w:hint="eastAsia" w:ascii="宋体" w:hAnsi="宋体" w:eastAsia="宋体" w:cs="宋体"/>
                      <w:color w:val="000000"/>
                      <w:kern w:val="0"/>
                      <w:sz w:val="22"/>
                      <w:lang w:val="en-US" w:eastAsia="zh-CN"/>
                    </w:rPr>
                    <w:t>1</w:t>
                  </w:r>
                  <w:r>
                    <w:rPr>
                      <w:rFonts w:hint="eastAsia" w:ascii="宋体" w:hAnsi="宋体" w:eastAsia="宋体" w:cs="宋体"/>
                      <w:color w:val="000000"/>
                      <w:kern w:val="0"/>
                      <w:sz w:val="22"/>
                    </w:rPr>
                    <w:t>年全部完成</w:t>
                  </w:r>
                </w:p>
              </w:tc>
              <w:tc>
                <w:tcPr>
                  <w:tcW w:w="12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1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739" w:hRule="atLeast"/>
              </w:trPr>
              <w:tc>
                <w:tcPr>
                  <w:tcW w:w="810" w:type="dxa"/>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效益指标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（30分）</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经济效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益指标</w:t>
                  </w:r>
                </w:p>
              </w:tc>
              <w:tc>
                <w:tcPr>
                  <w:tcW w:w="21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推进原种亲本应用更新，提高种苗质量，促进水产养殖业提质增效，推动经济发展。</w:t>
                  </w:r>
                </w:p>
              </w:tc>
              <w:tc>
                <w:tcPr>
                  <w:tcW w:w="10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提高服务对象水产养殖水平</w:t>
                  </w:r>
                </w:p>
              </w:tc>
              <w:tc>
                <w:tcPr>
                  <w:tcW w:w="12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11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810" w:hRule="atLeast"/>
              </w:trPr>
              <w:tc>
                <w:tcPr>
                  <w:tcW w:w="810" w:type="dxa"/>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社会效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益指标</w:t>
                  </w:r>
                </w:p>
              </w:tc>
              <w:tc>
                <w:tcPr>
                  <w:tcW w:w="21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促进产业增产增收，增加就业机会</w:t>
                  </w:r>
                </w:p>
              </w:tc>
              <w:tc>
                <w:tcPr>
                  <w:tcW w:w="10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促进渔业健康可持续发展</w:t>
                  </w:r>
                </w:p>
              </w:tc>
              <w:tc>
                <w:tcPr>
                  <w:tcW w:w="12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val="en-US" w:eastAsia="zh-CN"/>
                    </w:rPr>
                    <w:t>7</w:t>
                  </w:r>
                </w:p>
              </w:tc>
              <w:tc>
                <w:tcPr>
                  <w:tcW w:w="11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540" w:hRule="atLeast"/>
              </w:trPr>
              <w:tc>
                <w:tcPr>
                  <w:tcW w:w="810" w:type="dxa"/>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21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减少饲料、药物等投入品使用，降低环境污染。</w:t>
                  </w:r>
                </w:p>
              </w:tc>
              <w:tc>
                <w:tcPr>
                  <w:tcW w:w="10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饲料投入量减少</w:t>
                  </w:r>
                </w:p>
              </w:tc>
              <w:tc>
                <w:tcPr>
                  <w:tcW w:w="12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val="en-US" w:eastAsia="zh-CN"/>
                    </w:rPr>
                    <w:t>8</w:t>
                  </w:r>
                </w:p>
              </w:tc>
              <w:tc>
                <w:tcPr>
                  <w:tcW w:w="11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582" w:hRule="atLeast"/>
              </w:trPr>
              <w:tc>
                <w:tcPr>
                  <w:tcW w:w="810" w:type="dxa"/>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可持续影响</w:t>
                  </w:r>
                </w:p>
              </w:tc>
              <w:tc>
                <w:tcPr>
                  <w:tcW w:w="2199"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建立可复制推广的健康养殖模式，保障水产品质量安全。</w:t>
                  </w:r>
                </w:p>
              </w:tc>
              <w:tc>
                <w:tcPr>
                  <w:tcW w:w="10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不断优化</w:t>
                  </w:r>
                </w:p>
              </w:tc>
              <w:tc>
                <w:tcPr>
                  <w:tcW w:w="12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已完成</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1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642" w:hRule="atLeast"/>
              </w:trPr>
              <w:tc>
                <w:tcPr>
                  <w:tcW w:w="81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效</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满意度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指标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（10分）</w:t>
                  </w:r>
                </w:p>
              </w:tc>
              <w:tc>
                <w:tcPr>
                  <w:tcW w:w="114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服务对象满意度指标</w:t>
                  </w:r>
                </w:p>
              </w:tc>
              <w:tc>
                <w:tcPr>
                  <w:tcW w:w="2199"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群众及服务对象满意率高</w:t>
                  </w:r>
                </w:p>
              </w:tc>
              <w:tc>
                <w:tcPr>
                  <w:tcW w:w="105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95%以上</w:t>
                  </w:r>
                </w:p>
              </w:tc>
              <w:tc>
                <w:tcPr>
                  <w:tcW w:w="123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95%以上</w:t>
                  </w:r>
                </w:p>
              </w:tc>
              <w:tc>
                <w:tcPr>
                  <w:tcW w:w="8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114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11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1020" w:hRule="atLeast"/>
              </w:trPr>
              <w:tc>
                <w:tcPr>
                  <w:tcW w:w="81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114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2199"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2"/>
                    </w:rPr>
                  </w:pPr>
                </w:p>
              </w:tc>
              <w:tc>
                <w:tcPr>
                  <w:tcW w:w="105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2"/>
                    </w:rPr>
                  </w:pPr>
                </w:p>
              </w:tc>
              <w:tc>
                <w:tcPr>
                  <w:tcW w:w="123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8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114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11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402" w:hRule="atLeast"/>
              </w:trPr>
              <w:tc>
                <w:tcPr>
                  <w:tcW w:w="7251"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总分</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100</w:t>
                  </w:r>
                </w:p>
              </w:tc>
              <w:tc>
                <w:tcPr>
                  <w:tcW w:w="1149"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2"/>
                      <w:lang w:val="en-US" w:eastAsia="zh-CN"/>
                    </w:rPr>
                  </w:pPr>
                  <w:r>
                    <w:rPr>
                      <w:rFonts w:hint="eastAsia" w:ascii="宋体" w:hAnsi="宋体" w:eastAsia="宋体" w:cs="宋体"/>
                      <w:color w:val="000000"/>
                      <w:kern w:val="0"/>
                      <w:sz w:val="22"/>
                      <w:lang w:val="en-US" w:eastAsia="zh-CN"/>
                    </w:rPr>
                    <w:t>97</w:t>
                  </w:r>
                </w:p>
              </w:tc>
              <w:tc>
                <w:tcPr>
                  <w:tcW w:w="11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w:t>
                  </w:r>
                </w:p>
              </w:tc>
            </w:tr>
            <w:tr>
              <w:tblPrEx>
                <w:tblLayout w:type="fixed"/>
                <w:tblCellMar>
                  <w:top w:w="0" w:type="dxa"/>
                  <w:left w:w="108" w:type="dxa"/>
                  <w:bottom w:w="0" w:type="dxa"/>
                  <w:right w:w="108" w:type="dxa"/>
                </w:tblCellMar>
              </w:tblPrEx>
              <w:trPr>
                <w:trHeight w:val="270" w:hRule="atLeast"/>
              </w:trPr>
              <w:tc>
                <w:tcPr>
                  <w:tcW w:w="81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81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4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30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895"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05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233"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81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49"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c>
                <w:tcPr>
                  <w:tcW w:w="1163"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270" w:hRule="atLeast"/>
              </w:trPr>
              <w:tc>
                <w:tcPr>
                  <w:tcW w:w="10373" w:type="dxa"/>
                  <w:gridSpan w:val="10"/>
                  <w:tcBorders>
                    <w:top w:val="nil"/>
                    <w:left w:val="nil"/>
                    <w:bottom w:val="nil"/>
                    <w:right w:val="nil"/>
                  </w:tcBorders>
                  <w:shd w:val="clear" w:color="auto" w:fill="auto"/>
                  <w:noWrap/>
                  <w:vAlign w:val="center"/>
                </w:tcPr>
                <w:p>
                  <w:pPr>
                    <w:widowControl/>
                    <w:jc w:val="center"/>
                    <w:rPr>
                      <w:rFonts w:ascii="宋体" w:hAnsi="宋体" w:eastAsia="宋体" w:cs="宋体"/>
                      <w:color w:val="000000"/>
                      <w:kern w:val="0"/>
                      <w:sz w:val="22"/>
                    </w:rPr>
                  </w:pPr>
                </w:p>
              </w:tc>
            </w:tr>
          </w:tbl>
          <w:p>
            <w:pPr>
              <w:widowControl/>
              <w:jc w:val="left"/>
              <w:rPr>
                <w:rFonts w:ascii="宋体" w:hAnsi="宋体" w:eastAsia="宋体" w:cs="宋体"/>
                <w:color w:val="000000"/>
                <w:kern w:val="0"/>
                <w:sz w:val="22"/>
              </w:rPr>
            </w:pPr>
          </w:p>
        </w:tc>
      </w:tr>
    </w:tbl>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A74F8E"/>
    <w:multiLevelType w:val="singleLevel"/>
    <w:tmpl w:val="ABA74F8E"/>
    <w:lvl w:ilvl="0" w:tentative="0">
      <w:start w:val="1"/>
      <w:numFmt w:val="chineseCounting"/>
      <w:suff w:val="nothing"/>
      <w:lvlText w:val="（%1）"/>
      <w:lvlJc w:val="left"/>
      <w:rPr>
        <w:rFonts w:hint="eastAsia"/>
      </w:rPr>
    </w:lvl>
  </w:abstractNum>
  <w:abstractNum w:abstractNumId="1">
    <w:nsid w:val="0053208E"/>
    <w:multiLevelType w:val="multilevel"/>
    <w:tmpl w:val="005320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C953307"/>
    <w:multiLevelType w:val="multilevel"/>
    <w:tmpl w:val="1C953307"/>
    <w:lvl w:ilvl="0" w:tentative="0">
      <w:start w:val="7"/>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18206AD"/>
    <w:multiLevelType w:val="multilevel"/>
    <w:tmpl w:val="318206AD"/>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79AC1E24"/>
    <w:multiLevelType w:val="multilevel"/>
    <w:tmpl w:val="79AC1E24"/>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MzgwOGYzMGUzMDdlZTdmYmQ4ZWM1ZjU1ZjNmNTkifQ=="/>
  </w:docVars>
  <w:rsids>
    <w:rsidRoot w:val="00184A7F"/>
    <w:rsid w:val="00184A7F"/>
    <w:rsid w:val="00252388"/>
    <w:rsid w:val="00540231"/>
    <w:rsid w:val="0057259E"/>
    <w:rsid w:val="006A3E95"/>
    <w:rsid w:val="00744FE2"/>
    <w:rsid w:val="007C0DB6"/>
    <w:rsid w:val="007D24A8"/>
    <w:rsid w:val="007D7122"/>
    <w:rsid w:val="007F66BF"/>
    <w:rsid w:val="008B230B"/>
    <w:rsid w:val="00CF3ABD"/>
    <w:rsid w:val="00D76283"/>
    <w:rsid w:val="00EA77C4"/>
    <w:rsid w:val="079D6851"/>
    <w:rsid w:val="07C2237C"/>
    <w:rsid w:val="10F93466"/>
    <w:rsid w:val="1B3E7E12"/>
    <w:rsid w:val="1CD76C74"/>
    <w:rsid w:val="1CEE3304"/>
    <w:rsid w:val="1CF50B53"/>
    <w:rsid w:val="1DA77F09"/>
    <w:rsid w:val="1F674F53"/>
    <w:rsid w:val="20427523"/>
    <w:rsid w:val="25085E9C"/>
    <w:rsid w:val="2ABC3685"/>
    <w:rsid w:val="2B3D52A7"/>
    <w:rsid w:val="2CAD4AA1"/>
    <w:rsid w:val="2E7035CF"/>
    <w:rsid w:val="2EFA1850"/>
    <w:rsid w:val="332A6F55"/>
    <w:rsid w:val="34FB6327"/>
    <w:rsid w:val="39CB2171"/>
    <w:rsid w:val="39F04F15"/>
    <w:rsid w:val="3C42453E"/>
    <w:rsid w:val="3FD049E7"/>
    <w:rsid w:val="40E9118E"/>
    <w:rsid w:val="425B4B8C"/>
    <w:rsid w:val="45202315"/>
    <w:rsid w:val="469E10E8"/>
    <w:rsid w:val="47946129"/>
    <w:rsid w:val="486C171E"/>
    <w:rsid w:val="49991A9C"/>
    <w:rsid w:val="4D1E70DD"/>
    <w:rsid w:val="4E3D0273"/>
    <w:rsid w:val="4EBA330F"/>
    <w:rsid w:val="50F25943"/>
    <w:rsid w:val="51045C38"/>
    <w:rsid w:val="5587107B"/>
    <w:rsid w:val="58A51FB1"/>
    <w:rsid w:val="59C36FD7"/>
    <w:rsid w:val="5CF83C5F"/>
    <w:rsid w:val="6131633F"/>
    <w:rsid w:val="67750BB5"/>
    <w:rsid w:val="67EC296B"/>
    <w:rsid w:val="68E92ABF"/>
    <w:rsid w:val="6BA84938"/>
    <w:rsid w:val="6D6A3A54"/>
    <w:rsid w:val="718378EC"/>
    <w:rsid w:val="75DA5028"/>
    <w:rsid w:val="78AB7450"/>
    <w:rsid w:val="79691AB0"/>
    <w:rsid w:val="7B192F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line="560" w:lineRule="exact"/>
      <w:ind w:left="200" w:leftChars="200"/>
      <w:outlineLvl w:val="0"/>
    </w:pPr>
    <w:rPr>
      <w:rFonts w:eastAsia="黑体"/>
      <w:bCs/>
      <w:kern w:val="44"/>
      <w:szCs w:val="44"/>
    </w:rPr>
  </w:style>
  <w:style w:type="paragraph" w:styleId="3">
    <w:name w:val="heading 2"/>
    <w:basedOn w:val="1"/>
    <w:next w:val="1"/>
    <w:unhideWhenUsed/>
    <w:qFormat/>
    <w:uiPriority w:val="0"/>
    <w:pPr>
      <w:keepNext/>
      <w:keepLines/>
      <w:spacing w:line="600" w:lineRule="exact"/>
      <w:ind w:left="641"/>
      <w:outlineLvl w:val="1"/>
    </w:pPr>
    <w:rPr>
      <w:rFonts w:ascii="Arial" w:hAnsi="Arial" w:eastAsia="黑体" w:cs="Times New Roman"/>
      <w:sz w:val="32"/>
      <w:szCs w:val="2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4">
    <w:name w:val="Balloon Text"/>
    <w:basedOn w:val="1"/>
    <w:link w:val="15"/>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style>
  <w:style w:type="character" w:customStyle="1" w:styleId="11">
    <w:name w:val="页眉 字符"/>
    <w:basedOn w:val="10"/>
    <w:link w:val="6"/>
    <w:qFormat/>
    <w:uiPriority w:val="99"/>
    <w:rPr>
      <w:sz w:val="18"/>
      <w:szCs w:val="18"/>
    </w:rPr>
  </w:style>
  <w:style w:type="character" w:customStyle="1" w:styleId="12">
    <w:name w:val="页脚 字符"/>
    <w:basedOn w:val="10"/>
    <w:link w:val="5"/>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字符"/>
    <w:basedOn w:val="10"/>
    <w:link w:val="4"/>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0.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3.xml><?xml version="1.0" encoding="utf-8"?>
<Properties xmlns:vt="http://schemas.openxmlformats.org/officeDocument/2006/docPropsVTypes" xmlns="http://schemas.openxmlformats.org/officeDocument/2006/custom-properties">
  <property fmtid="{D5CDD505-2E9C-101B-9397-08002B2CF9AE}" pid="2" name="KSOProductBuildVer">
    <vt:lpstr>2052-11.8.2.10125</vt:lpstr>
  </proper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5.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Office_11.8.2.10125_F1E327BC-269C-435d-A152-05C5408002CA</Application>
  <DocSecurity>0</DocSecurity>
  <Lines>63</Lines>
  <Paragraphs>18</Paragraphs>
  <Company>Microsoft</Company>
  <CharactersWithSpaces>9008</CharactersWithSpaces>
  <AppVersion>14.0000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2023-08-15T09:28:45Z</cp:lastPrinted>
  <dcterms:created xsi:type="dcterms:W3CDTF">2020-07-04T18:32:00Z</dcterms:created>
  <dcterms:modified xsi:type="dcterms:W3CDTF">2023-08-15T09:28:46Z</dcterms:modified>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8.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9.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693CDAC8-CB04-42AA-BD7E-2FDD1F7AC326}">
  <ds:schemaRefs/>
</ds:datastoreItem>
</file>

<file path=customXml/itemProps2.xml><?xml version="1.0" encoding="utf-8"?>
<ds:datastoreItem xmlns:ds="http://schemas.openxmlformats.org/officeDocument/2006/customXml" ds:itemID="{14EC6FEC-B820-49A9-92C0-3E3C55EADCAF}">
  <ds:schemaRefs/>
</ds:datastoreItem>
</file>

<file path=customXml/itemProps3.xml><?xml version="1.0" encoding="utf-8"?>
<ds:datastoreItem xmlns:ds="http://schemas.openxmlformats.org/officeDocument/2006/customXml" ds:itemID="{118F27CA-522C-4321-B02F-D05333AEA263}">
  <ds:schemaRefs/>
</ds:datastoreItem>
</file>

<file path=customXml/itemProps4.xml><?xml version="1.0" encoding="utf-8"?>
<ds:datastoreItem xmlns:ds="http://schemas.openxmlformats.org/officeDocument/2006/customXml" ds:itemID="{13D862CF-2F8F-439C-93B5-BAD449F97D3E}">
  <ds:schemaRefs/>
</ds:datastoreItem>
</file>

<file path=customXml/itemProps5.xml><?xml version="1.0" encoding="utf-8"?>
<ds:datastoreItem xmlns:ds="http://schemas.openxmlformats.org/officeDocument/2006/customXml" ds:itemID="{BC291EB0-CCA8-487D-9306-8DFAF04477BD}">
  <ds:schemaRefs/>
</ds:datastoreItem>
</file>

<file path=customXml/itemProps6.xml><?xml version="1.0" encoding="utf-8"?>
<ds:datastoreItem xmlns:ds="http://schemas.openxmlformats.org/officeDocument/2006/customXml" ds:itemID="{4D009258-5152-4051-BB10-3492A5738A0A}">
  <ds:schemaRefs/>
</ds:datastoreItem>
</file>

<file path=customXml/itemProps7.xml><?xml version="1.0" encoding="utf-8"?>
<ds:datastoreItem xmlns:ds="http://schemas.openxmlformats.org/officeDocument/2006/customXml" ds:itemID="{769D3944-AAB4-4A6A-B359-9439914A9207}">
  <ds:schemaRefs/>
</ds:datastoreItem>
</file>

<file path=customXml/itemProps8.xml><?xml version="1.0" encoding="utf-8"?>
<ds:datastoreItem xmlns:ds="http://schemas.openxmlformats.org/officeDocument/2006/customXml" ds:itemID="{CBB354B6-CA82-4531-A1EC-F5B82006B55A}">
  <ds:schemaRefs/>
</ds:datastoreItem>
</file>

<file path=customXml/itemProps9.xml><?xml version="1.0" encoding="utf-8"?>
<ds:datastoreItem xmlns:ds="http://schemas.openxmlformats.org/officeDocument/2006/customXml" ds:itemID="{E74DCF4C-83D1-4C3C-8870-8ED92623C59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33</Pages>
  <Words>10020</Words>
  <Characters>11910</Characters>
  <Lines>84</Lines>
  <Paragraphs>23</Paragraphs>
  <TotalTime>2</TotalTime>
  <ScaleCrop>false</ScaleCrop>
  <LinksUpToDate>false</LinksUpToDate>
  <CharactersWithSpaces>12755</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lenovo</cp:lastModifiedBy>
  <cp:lastPrinted>2023-08-15T09:28:00Z</cp:lastPrinted>
  <dcterms:modified xsi:type="dcterms:W3CDTF">2024-09-06T06:32:08Z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C8D134F86070441EBBF6930EDEE411DB_13</vt:lpwstr>
  </property>
</Properties>
</file>