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color w:val="auto"/>
          <w:sz w:val="56"/>
          <w:szCs w:val="56"/>
        </w:rPr>
      </w:pPr>
    </w:p>
    <w:p>
      <w:pPr>
        <w:pStyle w:val="14"/>
        <w:jc w:val="center"/>
        <w:rPr>
          <w:color w:val="auto"/>
          <w:sz w:val="56"/>
          <w:szCs w:val="56"/>
        </w:rPr>
      </w:pPr>
    </w:p>
    <w:p>
      <w:pPr>
        <w:pStyle w:val="14"/>
        <w:jc w:val="center"/>
        <w:rPr>
          <w:color w:val="auto"/>
          <w:sz w:val="84"/>
          <w:szCs w:val="84"/>
        </w:rPr>
      </w:pPr>
    </w:p>
    <w:p>
      <w:pPr>
        <w:pStyle w:val="14"/>
        <w:jc w:val="center"/>
        <w:rPr>
          <w:color w:val="auto"/>
          <w:sz w:val="84"/>
          <w:szCs w:val="84"/>
        </w:rPr>
      </w:pP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2023年度</w:t>
      </w: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湖南省棉花科学研究所</w:t>
      </w: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部门决算</w:t>
      </w:r>
    </w:p>
    <w:p>
      <w:pPr>
        <w:pStyle w:val="14"/>
        <w:jc w:val="center"/>
        <w:rPr>
          <w:rFonts w:ascii="方正小标宋_GBK" w:hAnsi="方正小标宋_GBK" w:eastAsia="方正小标宋_GBK" w:cs="方正小标宋_GBK"/>
          <w:color w:val="auto"/>
          <w:sz w:val="56"/>
          <w:szCs w:val="56"/>
        </w:rPr>
      </w:pPr>
    </w:p>
    <w:p>
      <w:pPr>
        <w:pStyle w:val="14"/>
        <w:jc w:val="center"/>
        <w:rPr>
          <w:color w:val="auto"/>
          <w:sz w:val="56"/>
          <w:szCs w:val="56"/>
        </w:rPr>
      </w:pPr>
    </w:p>
    <w:p>
      <w:pPr>
        <w:pStyle w:val="14"/>
        <w:jc w:val="center"/>
        <w:rPr>
          <w:color w:val="auto"/>
          <w:sz w:val="56"/>
          <w:szCs w:val="56"/>
        </w:rPr>
      </w:pPr>
    </w:p>
    <w:p>
      <w:pPr>
        <w:pStyle w:val="14"/>
        <w:jc w:val="center"/>
        <w:rPr>
          <w:color w:val="auto"/>
          <w:sz w:val="56"/>
          <w:szCs w:val="56"/>
        </w:rPr>
      </w:pPr>
    </w:p>
    <w:p>
      <w:pPr>
        <w:pStyle w:val="14"/>
        <w:jc w:val="center"/>
        <w:rPr>
          <w:color w:val="auto"/>
          <w:sz w:val="32"/>
          <w:szCs w:val="32"/>
        </w:rPr>
      </w:pPr>
    </w:p>
    <w:p>
      <w:pPr>
        <w:pStyle w:val="14"/>
        <w:jc w:val="center"/>
        <w:rPr>
          <w:color w:val="auto"/>
          <w:sz w:val="32"/>
          <w:szCs w:val="32"/>
        </w:rPr>
      </w:pPr>
    </w:p>
    <w:p>
      <w:pPr>
        <w:pStyle w:val="14"/>
        <w:jc w:val="center"/>
        <w:rPr>
          <w:color w:val="auto"/>
          <w:sz w:val="32"/>
          <w:szCs w:val="32"/>
        </w:rPr>
      </w:pPr>
    </w:p>
    <w:p>
      <w:pPr>
        <w:pStyle w:val="14"/>
        <w:spacing w:line="500" w:lineRule="exact"/>
        <w:jc w:val="center"/>
        <w:rPr>
          <w:b/>
          <w:color w:val="auto"/>
          <w:sz w:val="36"/>
          <w:szCs w:val="28"/>
        </w:rPr>
      </w:pPr>
      <w:r>
        <w:rPr>
          <w:rFonts w:hint="eastAsia"/>
          <w:b/>
          <w:color w:val="auto"/>
          <w:sz w:val="36"/>
          <w:szCs w:val="28"/>
        </w:rPr>
        <w:t>目录</w:t>
      </w:r>
    </w:p>
    <w:p>
      <w:pPr>
        <w:pStyle w:val="14"/>
        <w:spacing w:line="500" w:lineRule="exact"/>
        <w:rPr>
          <w:rFonts w:hAnsi="黑体"/>
          <w:bCs/>
          <w:color w:val="auto"/>
          <w:sz w:val="28"/>
          <w:szCs w:val="28"/>
        </w:rPr>
      </w:pPr>
      <w:r>
        <w:rPr>
          <w:rFonts w:hint="eastAsia" w:hAnsi="黑体"/>
          <w:bCs/>
          <w:color w:val="auto"/>
          <w:sz w:val="28"/>
          <w:szCs w:val="28"/>
        </w:rPr>
        <w:t>第一部分湖南省棉花科学研究所概况</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一、部门职责</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二、机构设置</w:t>
      </w:r>
    </w:p>
    <w:p>
      <w:pPr>
        <w:pStyle w:val="14"/>
        <w:spacing w:line="500" w:lineRule="exact"/>
        <w:rPr>
          <w:rFonts w:hAnsi="黑体"/>
          <w:bCs/>
          <w:color w:val="auto"/>
          <w:sz w:val="28"/>
          <w:szCs w:val="28"/>
        </w:rPr>
      </w:pPr>
      <w:r>
        <w:rPr>
          <w:rFonts w:hint="eastAsia" w:hAnsi="黑体"/>
          <w:bCs/>
          <w:color w:val="auto"/>
          <w:sz w:val="28"/>
          <w:szCs w:val="28"/>
        </w:rPr>
        <w:t>第二部分部门决算表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二、收入决算表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三、支出决算表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四、财政拨款收入支出决算总表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五、一般公共预算财政拨款支出决算表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六、一般公共预算财政拨款基本支出决算明细表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七、政府性基金预算财政拨款收入支出决算表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八、国有资本经营预算财政拨款支出决算表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九、财政拨款“三公”经费支出决算表</w:t>
      </w:r>
    </w:p>
    <w:p>
      <w:pPr>
        <w:pStyle w:val="14"/>
        <w:spacing w:line="500" w:lineRule="exact"/>
        <w:rPr>
          <w:rFonts w:hAnsi="黑体"/>
          <w:bCs/>
          <w:color w:val="auto"/>
          <w:sz w:val="28"/>
          <w:szCs w:val="28"/>
        </w:rPr>
      </w:pPr>
      <w:r>
        <w:rPr>
          <w:rFonts w:hint="eastAsia" w:hAnsi="黑体"/>
          <w:bCs/>
          <w:color w:val="auto"/>
          <w:sz w:val="28"/>
          <w:szCs w:val="28"/>
        </w:rPr>
        <w:t>第三部分部门决算情况说明</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一、收入支出决算总体情况说明</w:t>
      </w:r>
    </w:p>
    <w:p>
      <w:pPr>
        <w:spacing w:line="500" w:lineRule="exact"/>
        <w:ind w:firstLine="700" w:firstLineChars="250"/>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七、财政拨款三公经费支出决算情况说明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十一、关于政府采购支出说明</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十二、关于国有资产占用情况说明</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十三、关于</w:t>
      </w:r>
      <w:r>
        <w:rPr>
          <w:rFonts w:ascii="Times New Roman" w:hAnsi="Times New Roman" w:eastAsia="仿宋_GB2312" w:cs="Times New Roman"/>
          <w:color w:val="auto"/>
          <w:sz w:val="28"/>
          <w:szCs w:val="28"/>
        </w:rPr>
        <w:t>2023</w:t>
      </w:r>
      <w:r>
        <w:rPr>
          <w:rFonts w:hint="eastAsia" w:ascii="仿宋_GB2312" w:hAnsi="仿宋_GB2312" w:eastAsia="仿宋_GB2312" w:cs="仿宋_GB2312"/>
          <w:color w:val="auto"/>
          <w:sz w:val="28"/>
          <w:szCs w:val="28"/>
        </w:rPr>
        <w:t>年度预算绩效情况的说明</w:t>
      </w:r>
    </w:p>
    <w:p>
      <w:pPr>
        <w:pStyle w:val="14"/>
        <w:spacing w:line="500" w:lineRule="exact"/>
        <w:rPr>
          <w:rFonts w:hAnsi="黑体"/>
          <w:bCs/>
          <w:color w:val="auto"/>
          <w:sz w:val="28"/>
          <w:szCs w:val="28"/>
        </w:rPr>
      </w:pPr>
      <w:r>
        <w:rPr>
          <w:rFonts w:hint="eastAsia" w:hAnsi="黑体"/>
          <w:bCs/>
          <w:color w:val="auto"/>
          <w:sz w:val="28"/>
          <w:szCs w:val="28"/>
        </w:rPr>
        <w:t>第四部分名词解释</w:t>
      </w:r>
    </w:p>
    <w:p>
      <w:pPr>
        <w:pStyle w:val="14"/>
        <w:spacing w:line="500" w:lineRule="exact"/>
        <w:rPr>
          <w:rFonts w:hAnsi="黑体"/>
          <w:bCs/>
          <w:color w:val="auto"/>
          <w:sz w:val="28"/>
          <w:szCs w:val="28"/>
        </w:rPr>
      </w:pPr>
      <w:r>
        <w:rPr>
          <w:rFonts w:hint="eastAsia" w:hAnsi="黑体"/>
          <w:bCs/>
          <w:color w:val="auto"/>
          <w:sz w:val="28"/>
          <w:szCs w:val="28"/>
        </w:rPr>
        <w:t>第五部分附件</w:t>
      </w:r>
    </w:p>
    <w:p>
      <w:pPr>
        <w:pStyle w:val="14"/>
        <w:spacing w:line="500" w:lineRule="exact"/>
        <w:rPr>
          <w:rFonts w:hAnsi="黑体"/>
          <w:bCs/>
          <w:color w:val="auto"/>
          <w:sz w:val="28"/>
          <w:szCs w:val="28"/>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 xml:space="preserve">第一部分 </w:t>
      </w:r>
    </w:p>
    <w:p>
      <w:pPr>
        <w:pStyle w:val="14"/>
        <w:jc w:val="center"/>
        <w:rPr>
          <w:rFonts w:ascii="方正小标宋_GBK" w:hAnsi="方正小标宋_GBK" w:eastAsia="方正小标宋_GBK" w:cs="方正小标宋_GBK"/>
          <w:color w:val="auto"/>
          <w:sz w:val="84"/>
          <w:szCs w:val="84"/>
        </w:rPr>
      </w:pP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湖南省棉花科学研究所</w:t>
      </w: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概况</w:t>
      </w:r>
    </w:p>
    <w:p>
      <w:pPr>
        <w:jc w:val="center"/>
        <w:rPr>
          <w:rFonts w:ascii="方正小标宋_GBK" w:hAnsi="方正小标宋_GBK" w:eastAsia="方正小标宋_GBK" w:cs="方正小标宋_GBK"/>
          <w:color w:val="auto"/>
          <w:sz w:val="72"/>
          <w:szCs w:val="72"/>
        </w:rPr>
      </w:pPr>
    </w:p>
    <w:p>
      <w:pPr>
        <w:jc w:val="center"/>
        <w:rPr>
          <w:rFonts w:ascii="方正小标宋_GBK" w:hAnsi="方正小标宋_GBK" w:eastAsia="方正小标宋_GBK" w:cs="方正小标宋_GBK"/>
          <w:color w:val="auto"/>
          <w:sz w:val="72"/>
          <w:szCs w:val="72"/>
        </w:rPr>
      </w:pPr>
    </w:p>
    <w:p>
      <w:pPr>
        <w:jc w:val="center"/>
        <w:rPr>
          <w:color w:val="auto"/>
          <w:sz w:val="72"/>
          <w:szCs w:val="72"/>
        </w:rPr>
      </w:pPr>
    </w:p>
    <w:p>
      <w:pPr>
        <w:pStyle w:val="15"/>
        <w:numPr>
          <w:ilvl w:val="0"/>
          <w:numId w:val="1"/>
        </w:numPr>
        <w:ind w:firstLineChars="0"/>
        <w:jc w:val="left"/>
        <w:rPr>
          <w:rFonts w:ascii="黑体" w:hAnsi="黑体" w:eastAsia="黑体" w:cs="黑体"/>
          <w:color w:val="auto"/>
          <w:sz w:val="32"/>
          <w:szCs w:val="32"/>
        </w:rPr>
      </w:pPr>
      <w:r>
        <w:rPr>
          <w:rFonts w:hint="eastAsia" w:ascii="黑体" w:hAnsi="黑体" w:eastAsia="黑体" w:cs="黑体"/>
          <w:color w:val="auto"/>
          <w:sz w:val="32"/>
          <w:szCs w:val="32"/>
        </w:rPr>
        <w:t>部门职责</w:t>
      </w:r>
    </w:p>
    <w:p>
      <w:pPr>
        <w:widowControl/>
        <w:spacing w:line="600" w:lineRule="exact"/>
        <w:ind w:firstLine="640" w:firstLineChars="200"/>
        <w:rPr>
          <w:rFonts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湖南省棉花科学研究所是湖南省农业农村厅直属非营利性社会公益类科研事业单位，为正处级。</w:t>
      </w:r>
    </w:p>
    <w:p>
      <w:pPr>
        <w:widowControl/>
        <w:spacing w:line="600" w:lineRule="exact"/>
        <w:ind w:firstLine="640" w:firstLineChars="200"/>
        <w:rPr>
          <w:rFonts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主要职责：从事棉花、油菜、中药材、甘薯、紫苏、花生、玉米、油葵等作物遗传育种、耕作栽培、病虫害防治、副产品综合利用等技术研究与成果推广。</w:t>
      </w:r>
    </w:p>
    <w:p>
      <w:pPr>
        <w:widowControl/>
        <w:spacing w:line="600" w:lineRule="exact"/>
        <w:rPr>
          <w:rFonts w:ascii="黑体" w:hAnsi="黑体" w:eastAsia="黑体" w:cs="黑体"/>
          <w:bCs/>
          <w:color w:val="auto"/>
          <w:kern w:val="0"/>
          <w:sz w:val="32"/>
          <w:szCs w:val="32"/>
        </w:rPr>
      </w:pPr>
      <w:r>
        <w:rPr>
          <w:rFonts w:hint="eastAsia" w:ascii="黑体" w:hAnsi="黑体" w:eastAsia="黑体" w:cs="黑体"/>
          <w:bCs/>
          <w:color w:val="auto"/>
          <w:kern w:val="0"/>
          <w:sz w:val="32"/>
          <w:szCs w:val="32"/>
        </w:rPr>
        <w:t>二、机构设置及决算单位构成</w:t>
      </w:r>
    </w:p>
    <w:p>
      <w:pPr>
        <w:widowControl/>
        <w:spacing w:line="600" w:lineRule="exact"/>
        <w:ind w:firstLine="640" w:firstLineChars="200"/>
        <w:rPr>
          <w:rFonts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一）内设机构设置。湖南省棉花科学研究所内设机构包括：办公室、政工人事科、计划财务科、监察审计室、科研管理科、科研服务中心、长沙棉花创新中心、工会（老干办）、棉花研究室、旱地作物研究室、栽培植保研究室等11个所属科室。棉花研究室下设棉花优质育种组、棉花抗逆育种组、棉花早熟育种组等3个研究课题组；旱地作物研究室下设旱粮课题组、油料课题组、中药材课题组等3个研究课题组；栽培植保研究室下设综合高效栽培课题组、植物保护课题组、区域试验课题组等3个研究课题组。</w:t>
      </w:r>
    </w:p>
    <w:p>
      <w:pPr>
        <w:widowControl/>
        <w:spacing w:line="600" w:lineRule="exact"/>
        <w:ind w:firstLine="640" w:firstLineChars="200"/>
        <w:rPr>
          <w:rFonts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（二）决算单位构成。湖南省棉花科学研究所2023年部门决算公开单位构成包括：湖南省棉花科学研究所本级。</w:t>
      </w: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pStyle w:val="2"/>
        <w:ind w:firstLine="560"/>
        <w:rPr>
          <w:rFonts w:ascii="黑体" w:hAnsi="黑体" w:eastAsia="黑体"/>
          <w:color w:val="auto"/>
          <w:sz w:val="28"/>
          <w:szCs w:val="28"/>
        </w:rPr>
      </w:pPr>
    </w:p>
    <w:p>
      <w:pPr>
        <w:rPr>
          <w:rFonts w:ascii="黑体" w:hAnsi="黑体" w:eastAsia="黑体"/>
          <w:color w:val="auto"/>
          <w:sz w:val="28"/>
          <w:szCs w:val="28"/>
        </w:rPr>
      </w:pPr>
    </w:p>
    <w:p>
      <w:pPr>
        <w:pStyle w:val="2"/>
        <w:ind w:firstLine="560"/>
        <w:rPr>
          <w:rFonts w:ascii="黑体" w:hAnsi="黑体" w:eastAsia="黑体"/>
          <w:color w:val="auto"/>
          <w:sz w:val="28"/>
          <w:szCs w:val="28"/>
        </w:rPr>
      </w:pPr>
    </w:p>
    <w:p>
      <w:pPr>
        <w:rPr>
          <w:rFonts w:ascii="黑体" w:hAnsi="黑体" w:eastAsia="黑体"/>
          <w:color w:val="auto"/>
          <w:sz w:val="28"/>
          <w:szCs w:val="28"/>
        </w:rPr>
      </w:pPr>
    </w:p>
    <w:p>
      <w:pPr>
        <w:pStyle w:val="2"/>
        <w:ind w:firstLine="560"/>
        <w:rPr>
          <w:rFonts w:ascii="黑体" w:hAnsi="黑体" w:eastAsia="黑体"/>
          <w:color w:val="auto"/>
          <w:sz w:val="28"/>
          <w:szCs w:val="28"/>
        </w:rPr>
      </w:pPr>
    </w:p>
    <w:p>
      <w:pPr>
        <w:rPr>
          <w:color w:val="auto"/>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第二部分</w:t>
      </w:r>
    </w:p>
    <w:p>
      <w:pPr>
        <w:pStyle w:val="14"/>
        <w:jc w:val="center"/>
        <w:rPr>
          <w:rFonts w:ascii="方正小标宋_GBK" w:hAnsi="方正小标宋_GBK" w:eastAsia="方正小标宋_GBK" w:cs="方正小标宋_GBK"/>
          <w:color w:val="auto"/>
          <w:sz w:val="84"/>
          <w:szCs w:val="84"/>
        </w:rPr>
      </w:pP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部门决算表</w:t>
      </w: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left"/>
        <w:rPr>
          <w:color w:val="auto"/>
          <w:sz w:val="32"/>
          <w:szCs w:val="32"/>
        </w:rPr>
      </w:pPr>
    </w:p>
    <w:p>
      <w:pPr>
        <w:jc w:val="left"/>
        <w:rPr>
          <w:rFonts w:asciiTheme="minorEastAsia" w:hAnsiTheme="minorEastAsia"/>
          <w:color w:val="auto"/>
          <w:sz w:val="32"/>
          <w:szCs w:val="32"/>
        </w:rPr>
        <w:sectPr>
          <w:pgSz w:w="11906" w:h="16838"/>
          <w:pgMar w:top="720" w:right="720" w:bottom="720" w:left="720" w:header="851" w:footer="992" w:gutter="0"/>
          <w:cols w:space="425" w:num="1"/>
          <w:docGrid w:type="lines" w:linePitch="312" w:charSpace="0"/>
        </w:sectPr>
      </w:pPr>
    </w:p>
    <w:tbl>
      <w:tblPr>
        <w:tblStyle w:val="10"/>
        <w:tblW w:w="14222" w:type="dxa"/>
        <w:tblInd w:w="1078" w:type="dxa"/>
        <w:tblLayout w:type="fixed"/>
        <w:tblCellMar>
          <w:top w:w="0" w:type="dxa"/>
          <w:left w:w="0" w:type="dxa"/>
          <w:bottom w:w="0" w:type="dxa"/>
          <w:right w:w="0" w:type="dxa"/>
        </w:tblCellMar>
      </w:tblPr>
      <w:tblGrid>
        <w:gridCol w:w="4941"/>
        <w:gridCol w:w="460"/>
        <w:gridCol w:w="1516"/>
        <w:gridCol w:w="4675"/>
        <w:gridCol w:w="460"/>
        <w:gridCol w:w="2170"/>
      </w:tblGrid>
      <w:tr>
        <w:tblPrEx>
          <w:tblLayout w:type="fixed"/>
          <w:tblCellMar>
            <w:top w:w="0" w:type="dxa"/>
            <w:left w:w="0" w:type="dxa"/>
            <w:bottom w:w="0" w:type="dxa"/>
            <w:right w:w="0" w:type="dxa"/>
          </w:tblCellMar>
        </w:tblPrEx>
        <w:trPr>
          <w:trHeight w:val="660" w:hRule="atLeast"/>
        </w:trPr>
        <w:tc>
          <w:tcPr>
            <w:tcW w:w="14222" w:type="dxa"/>
            <w:gridSpan w:val="6"/>
            <w:tcBorders>
              <w:top w:val="nil"/>
              <w:left w:val="nil"/>
              <w:bottom w:val="nil"/>
              <w:right w:val="nil"/>
            </w:tcBorders>
            <w:shd w:val="clear" w:color="auto" w:fill="auto"/>
            <w:noWrap/>
            <w:tcMar>
              <w:top w:w="10" w:type="dxa"/>
              <w:left w:w="10" w:type="dxa"/>
              <w:right w:w="10" w:type="dxa"/>
            </w:tcMar>
            <w:vAlign w:val="center"/>
          </w:tcPr>
          <w:p>
            <w:pPr>
              <w:widowControl/>
              <w:jc w:val="center"/>
              <w:rPr>
                <w:rFonts w:ascii="宋体" w:hAnsi="宋体" w:eastAsia="宋体" w:cs="宋体"/>
                <w:b/>
                <w:color w:val="auto"/>
                <w:sz w:val="22"/>
              </w:rPr>
            </w:pPr>
            <w:r>
              <w:rPr>
                <w:rFonts w:ascii="Times New Roman" w:hAnsi="Times New Roman" w:eastAsia="黑体" w:cs="Times New Roman"/>
                <w:bCs/>
                <w:color w:val="auto"/>
                <w:kern w:val="0"/>
                <w:sz w:val="32"/>
                <w:szCs w:val="32"/>
              </w:rPr>
              <w:br w:type="page"/>
            </w:r>
            <w:r>
              <w:rPr>
                <w:rFonts w:hint="eastAsia" w:ascii="宋体" w:hAnsi="宋体" w:eastAsia="宋体" w:cs="宋体"/>
                <w:b/>
                <w:color w:val="auto"/>
                <w:kern w:val="0"/>
                <w:sz w:val="22"/>
              </w:rPr>
              <w:t>收入支出决算总表</w:t>
            </w:r>
          </w:p>
        </w:tc>
      </w:tr>
      <w:tr>
        <w:tblPrEx>
          <w:tblLayout w:type="fixed"/>
          <w:tblCellMar>
            <w:top w:w="0" w:type="dxa"/>
            <w:left w:w="0" w:type="dxa"/>
            <w:bottom w:w="0" w:type="dxa"/>
            <w:right w:w="0" w:type="dxa"/>
          </w:tblCellMar>
        </w:tblPrEx>
        <w:trPr>
          <w:trHeight w:val="280" w:hRule="atLeast"/>
        </w:trPr>
        <w:tc>
          <w:tcPr>
            <w:tcW w:w="494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51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675"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217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公开01表</w:t>
            </w:r>
          </w:p>
        </w:tc>
      </w:tr>
      <w:tr>
        <w:tblPrEx>
          <w:tblLayout w:type="fixed"/>
          <w:tblCellMar>
            <w:top w:w="0" w:type="dxa"/>
            <w:left w:w="0" w:type="dxa"/>
            <w:bottom w:w="0" w:type="dxa"/>
            <w:right w:w="0" w:type="dxa"/>
          </w:tblCellMar>
        </w:tblPrEx>
        <w:trPr>
          <w:trHeight w:val="280" w:hRule="atLeast"/>
        </w:trPr>
        <w:tc>
          <w:tcPr>
            <w:tcW w:w="4941" w:type="dxa"/>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auto"/>
                <w:sz w:val="22"/>
              </w:rPr>
            </w:pPr>
            <w:r>
              <w:rPr>
                <w:rFonts w:hint="eastAsia" w:ascii="宋体" w:hAnsi="宋体" w:eastAsia="宋体" w:cs="宋体"/>
                <w:color w:val="auto"/>
                <w:kern w:val="0"/>
                <w:sz w:val="22"/>
              </w:rPr>
              <w:t>部门：湖南省棉花科学研究所</w:t>
            </w: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51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675"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217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69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收入</w:t>
            </w:r>
          </w:p>
        </w:tc>
        <w:tc>
          <w:tcPr>
            <w:tcW w:w="73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支出</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行次</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金额</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行次</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金额</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一、一般公共预算财政拨款收入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3,943.58</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一、一般公共服务支出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32</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二、政府性基金预算财政拨款收入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二、外交支出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33</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三、国有资本经营预算财政拨款收入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三、国防支出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34</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四、上级补助收入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四、公共安全支出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35</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五、事业收入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192.87</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五、教育支出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36</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六、经营收入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六、科学技术支出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37</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122.99</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七、附属单位上缴收入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7</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七、文化旅游体育与传媒支出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38</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八、其他收入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8</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319.88</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八、社会保障和就业支出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39</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103.89</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9</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九、卫生健康支出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40</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10</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十、节能环保支出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41</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11</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十一、城乡社区支出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42</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12</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十二、农林水支出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43</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3,995.54</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13</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十三、交通运输支出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44</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14</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十四、资源勘探工业信息等支出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45</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15</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十五、商业服务业等支出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46</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16</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十六、金融支出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47</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17</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十七、援助其他地区支出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48</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18</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十八、自然资源海洋气象等支出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49</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19</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十九、住房保障支出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50</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20</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二十、粮油物资储备支出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51</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21</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二十一、国有资本经营预算支出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52</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22</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二十二、灾害防治及应急管理支出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53</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23</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二十三、其他支出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54</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b/>
                <w:color w:val="auto"/>
                <w:sz w:val="20"/>
                <w:szCs w:val="20"/>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24</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二十四、债务还本支出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55</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0"/>
                <w:szCs w:val="20"/>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25</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二十五、债务付息支出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56</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0"/>
                <w:szCs w:val="20"/>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26</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二十六、抗疫特别国债安排的支出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57</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本年收入合计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27</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4,456.33</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本年支出合计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58</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4,242.42</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使用非财政拨款结余和专用结余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28</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43.50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结余分配</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59</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年初结转和结余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29</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1,245.72</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年末结转和结余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60</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1,503.13</w:t>
            </w: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30</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61</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49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31</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5,745.55</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62</w:t>
            </w:r>
          </w:p>
        </w:tc>
        <w:tc>
          <w:tcPr>
            <w:tcW w:w="21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5,745.55</w:t>
            </w:r>
          </w:p>
        </w:tc>
      </w:tr>
      <w:tr>
        <w:tblPrEx>
          <w:tblLayout w:type="fixed"/>
          <w:tblCellMar>
            <w:top w:w="0" w:type="dxa"/>
            <w:left w:w="0" w:type="dxa"/>
            <w:bottom w:w="0" w:type="dxa"/>
            <w:right w:w="0" w:type="dxa"/>
          </w:tblCellMar>
        </w:tblPrEx>
        <w:trPr>
          <w:trHeight w:val="300" w:hRule="atLeast"/>
        </w:trPr>
        <w:tc>
          <w:tcPr>
            <w:tcW w:w="14222" w:type="dxa"/>
            <w:gridSpan w:val="6"/>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注：1.本表反映部门本年度的总收支和年末结转结余情况。</w:t>
            </w:r>
          </w:p>
        </w:tc>
      </w:tr>
      <w:tr>
        <w:tblPrEx>
          <w:tblLayout w:type="fixed"/>
          <w:tblCellMar>
            <w:top w:w="0" w:type="dxa"/>
            <w:left w:w="0" w:type="dxa"/>
            <w:bottom w:w="0" w:type="dxa"/>
            <w:right w:w="0" w:type="dxa"/>
          </w:tblCellMar>
        </w:tblPrEx>
        <w:trPr>
          <w:trHeight w:val="300" w:hRule="atLeast"/>
        </w:trPr>
        <w:tc>
          <w:tcPr>
            <w:tcW w:w="14222" w:type="dxa"/>
            <w:gridSpan w:val="6"/>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 xml:space="preserve">    2.本套报表金额单位转换时可能存在尾数误差。</w:t>
            </w:r>
          </w:p>
        </w:tc>
      </w:tr>
    </w:tbl>
    <w:p>
      <w:pPr>
        <w:widowControl/>
        <w:jc w:val="left"/>
        <w:rPr>
          <w:rFonts w:ascii="Times New Roman" w:hAnsi="Times New Roman" w:eastAsia="黑体" w:cs="Times New Roman"/>
          <w:bCs/>
          <w:color w:val="auto"/>
          <w:kern w:val="0"/>
          <w:sz w:val="32"/>
          <w:szCs w:val="32"/>
        </w:rPr>
      </w:pPr>
    </w:p>
    <w:p>
      <w:pPr>
        <w:widowControl/>
        <w:rPr>
          <w:rFonts w:ascii="Times New Roman" w:hAnsi="Times New Roman" w:eastAsia="方正小标宋_GBK" w:cs="Times New Roman"/>
          <w:color w:val="auto"/>
          <w:kern w:val="0"/>
          <w:sz w:val="36"/>
          <w:szCs w:val="36"/>
        </w:rPr>
      </w:pPr>
    </w:p>
    <w:p>
      <w:pPr>
        <w:widowControl/>
        <w:jc w:val="left"/>
        <w:rPr>
          <w:rFonts w:ascii="Times New Roman" w:hAnsi="Times New Roman" w:eastAsia="仿宋_GB2312" w:cs="Times New Roman"/>
          <w:bCs/>
          <w:color w:val="auto"/>
          <w:kern w:val="0"/>
          <w:szCs w:val="21"/>
        </w:rPr>
      </w:pPr>
      <w:r>
        <w:rPr>
          <w:rFonts w:ascii="Times New Roman" w:hAnsi="Times New Roman" w:eastAsia="仿宋_GB2312" w:cs="Times New Roman"/>
          <w:bCs/>
          <w:color w:val="auto"/>
          <w:kern w:val="0"/>
          <w:szCs w:val="21"/>
        </w:rPr>
        <w:br w:type="page"/>
      </w:r>
    </w:p>
    <w:tbl>
      <w:tblPr>
        <w:tblStyle w:val="10"/>
        <w:tblW w:w="15646" w:type="dxa"/>
        <w:tblInd w:w="0" w:type="dxa"/>
        <w:tblLayout w:type="fixed"/>
        <w:tblCellMar>
          <w:top w:w="0" w:type="dxa"/>
          <w:left w:w="0" w:type="dxa"/>
          <w:bottom w:w="0" w:type="dxa"/>
          <w:right w:w="0" w:type="dxa"/>
        </w:tblCellMar>
      </w:tblPr>
      <w:tblGrid>
        <w:gridCol w:w="264"/>
        <w:gridCol w:w="264"/>
        <w:gridCol w:w="606"/>
        <w:gridCol w:w="3762"/>
        <w:gridCol w:w="1734"/>
        <w:gridCol w:w="1734"/>
        <w:gridCol w:w="1433"/>
        <w:gridCol w:w="1583"/>
        <w:gridCol w:w="1433"/>
        <w:gridCol w:w="1433"/>
        <w:gridCol w:w="1400"/>
      </w:tblGrid>
      <w:tr>
        <w:tblPrEx>
          <w:tblLayout w:type="fixed"/>
          <w:tblCellMar>
            <w:top w:w="0" w:type="dxa"/>
            <w:left w:w="0" w:type="dxa"/>
            <w:bottom w:w="0" w:type="dxa"/>
            <w:right w:w="0" w:type="dxa"/>
          </w:tblCellMar>
        </w:tblPrEx>
        <w:trPr>
          <w:trHeight w:val="660" w:hRule="atLeast"/>
        </w:trPr>
        <w:tc>
          <w:tcPr>
            <w:tcW w:w="15646" w:type="dxa"/>
            <w:gridSpan w:val="11"/>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8"/>
                <w:szCs w:val="28"/>
              </w:rPr>
            </w:pPr>
            <w:r>
              <w:rPr>
                <w:rFonts w:hint="eastAsia" w:ascii="宋体" w:hAnsi="宋体" w:eastAsia="宋体" w:cs="宋体"/>
                <w:b/>
                <w:color w:val="auto"/>
                <w:kern w:val="0"/>
                <w:sz w:val="28"/>
                <w:szCs w:val="28"/>
              </w:rPr>
              <w:t>收入决算表</w:t>
            </w:r>
          </w:p>
        </w:tc>
      </w:tr>
      <w:tr>
        <w:tblPrEx>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60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3762"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73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734"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433"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583"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433"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433"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40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公开02表</w:t>
            </w:r>
          </w:p>
        </w:tc>
      </w:tr>
      <w:tr>
        <w:tblPrEx>
          <w:tblLayout w:type="fixed"/>
          <w:tblCellMar>
            <w:top w:w="0" w:type="dxa"/>
            <w:left w:w="0" w:type="dxa"/>
            <w:bottom w:w="0" w:type="dxa"/>
            <w:right w:w="0" w:type="dxa"/>
          </w:tblCellMar>
        </w:tblPrEx>
        <w:trPr>
          <w:trHeight w:val="280" w:hRule="atLeast"/>
        </w:trPr>
        <w:tc>
          <w:tcPr>
            <w:tcW w:w="4896" w:type="dxa"/>
            <w:gridSpan w:val="4"/>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auto"/>
                <w:sz w:val="22"/>
              </w:rPr>
            </w:pPr>
            <w:r>
              <w:rPr>
                <w:rFonts w:hint="eastAsia" w:ascii="宋体" w:hAnsi="宋体" w:eastAsia="宋体" w:cs="宋体"/>
                <w:color w:val="auto"/>
                <w:kern w:val="0"/>
                <w:sz w:val="22"/>
              </w:rPr>
              <w:t>部门：湖南省棉花科学研究所</w:t>
            </w:r>
          </w:p>
        </w:tc>
        <w:tc>
          <w:tcPr>
            <w:tcW w:w="173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734"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433"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583"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433"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433"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40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489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本年收入合计</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财政拨款收入</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上级补助收入</w:t>
            </w:r>
          </w:p>
        </w:tc>
        <w:tc>
          <w:tcPr>
            <w:tcW w:w="1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事业收入</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经营收入</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附属单位上缴收入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其他收入</w:t>
            </w:r>
          </w:p>
        </w:tc>
      </w:tr>
      <w:tr>
        <w:tblPrEx>
          <w:tblLayout w:type="fixed"/>
          <w:tblCellMar>
            <w:top w:w="0" w:type="dxa"/>
            <w:left w:w="0" w:type="dxa"/>
            <w:bottom w:w="0" w:type="dxa"/>
            <w:right w:w="0" w:type="dxa"/>
          </w:tblCellMar>
        </w:tblPrEx>
        <w:trPr>
          <w:trHeight w:val="312" w:hRule="atLeast"/>
        </w:trPr>
        <w:tc>
          <w:tcPr>
            <w:tcW w:w="113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科目代码</w:t>
            </w:r>
          </w:p>
        </w:tc>
        <w:tc>
          <w:tcPr>
            <w:tcW w:w="376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科目名称</w:t>
            </w: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12" w:hRule="atLeast"/>
        </w:trPr>
        <w:tc>
          <w:tcPr>
            <w:tcW w:w="113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376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12" w:hRule="atLeast"/>
        </w:trPr>
        <w:tc>
          <w:tcPr>
            <w:tcW w:w="113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376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489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7</w:t>
            </w:r>
          </w:p>
        </w:tc>
      </w:tr>
      <w:tr>
        <w:tblPrEx>
          <w:tblLayout w:type="fixed"/>
          <w:tblCellMar>
            <w:top w:w="0" w:type="dxa"/>
            <w:left w:w="0" w:type="dxa"/>
            <w:bottom w:w="0" w:type="dxa"/>
            <w:right w:w="0" w:type="dxa"/>
          </w:tblCellMar>
        </w:tblPrEx>
        <w:trPr>
          <w:trHeight w:val="300" w:hRule="atLeast"/>
        </w:trPr>
        <w:tc>
          <w:tcPr>
            <w:tcW w:w="489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4,456.33</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3,943.58</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192.87</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319.88</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科学技术支出</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151.70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61.70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20603</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应用研究</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43.00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43.00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2060302</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社会公益研究</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43.00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43.00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20604</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技术研究与开发</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2060499</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其他技术研究与开发支出</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20609</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科技重大项目</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88.70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80.00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8.70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2060902</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重点研发计划</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88.70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80.00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8.70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20699</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其他科学技术支出</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2069901</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科技奖励</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社会保障和就业支出</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103.89</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103.89</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行政事业单位养老支出</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2080505</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机关事业单位基本养老保险缴费支出</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20808</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抚恤</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2080801</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死亡抚恤</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211</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节能环保支出</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21110</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能源节约利用</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2111001</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能源节约利用</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农林水支出</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4,180.74</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3,729.69</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192.87</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258.18</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农业农村</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2,275.74</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1,979.69</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192.87</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103.18</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2130101</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行政运行</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459.40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459.40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2130104</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事业运行</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1,237.34</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1,041.29</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192.87</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3.18</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2130106</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科技转化与推广服务</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204.00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104.00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2130109</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农产品质量安全</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2130122</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农业生产发展</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345.00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345.00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2130135</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农业资源保护修复与利用</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21309</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目标价格补贴</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1,905.00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1,750.00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155.00</w:t>
            </w:r>
          </w:p>
        </w:tc>
      </w:tr>
      <w:tr>
        <w:tblPrEx>
          <w:tblLayout w:type="fixed"/>
          <w:tblCellMar>
            <w:top w:w="0" w:type="dxa"/>
            <w:left w:w="0" w:type="dxa"/>
            <w:bottom w:w="0" w:type="dxa"/>
            <w:right w:w="0" w:type="dxa"/>
          </w:tblCellMar>
        </w:tblPrEx>
        <w:trPr>
          <w:trHeight w:val="300" w:hRule="atLeast"/>
        </w:trPr>
        <w:tc>
          <w:tcPr>
            <w:tcW w:w="113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2130901</w:t>
            </w:r>
          </w:p>
        </w:tc>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棉花目标价格补贴</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1,905.00</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1,750.00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155.00</w:t>
            </w:r>
          </w:p>
        </w:tc>
      </w:tr>
      <w:tr>
        <w:tblPrEx>
          <w:tblLayout w:type="fixed"/>
          <w:tblCellMar>
            <w:top w:w="0" w:type="dxa"/>
            <w:left w:w="0" w:type="dxa"/>
            <w:bottom w:w="0" w:type="dxa"/>
            <w:right w:w="0" w:type="dxa"/>
          </w:tblCellMar>
        </w:tblPrEx>
        <w:trPr>
          <w:trHeight w:val="300" w:hRule="atLeast"/>
        </w:trPr>
        <w:tc>
          <w:tcPr>
            <w:tcW w:w="15646" w:type="dxa"/>
            <w:gridSpan w:val="11"/>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注：本表反映部门本年度取得的各项收入情况。</w:t>
            </w:r>
          </w:p>
        </w:tc>
      </w:tr>
    </w:tbl>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pStyle w:val="9"/>
        <w:rPr>
          <w:rFonts w:ascii="Times New Roman" w:hAnsi="Times New Roman" w:eastAsia="方正小标宋_GBK" w:cs="Times New Roman"/>
          <w:color w:val="auto"/>
          <w:kern w:val="0"/>
          <w:sz w:val="36"/>
          <w:szCs w:val="36"/>
        </w:rPr>
      </w:pPr>
    </w:p>
    <w:p>
      <w:pPr>
        <w:pStyle w:val="2"/>
        <w:ind w:firstLine="720"/>
        <w:rPr>
          <w:rFonts w:ascii="Times New Roman" w:hAnsi="Times New Roman" w:eastAsia="方正小标宋_GBK" w:cs="Times New Roman"/>
          <w:color w:val="auto"/>
          <w:sz w:val="36"/>
          <w:szCs w:val="36"/>
        </w:rPr>
      </w:pPr>
    </w:p>
    <w:p>
      <w:pPr>
        <w:rPr>
          <w:rFonts w:ascii="Times New Roman" w:hAnsi="Times New Roman" w:eastAsia="方正小标宋_GBK" w:cs="Times New Roman"/>
          <w:color w:val="auto"/>
          <w:kern w:val="0"/>
          <w:sz w:val="36"/>
          <w:szCs w:val="36"/>
        </w:rPr>
      </w:pPr>
    </w:p>
    <w:p>
      <w:pPr>
        <w:pStyle w:val="9"/>
        <w:rPr>
          <w:color w:val="auto"/>
        </w:rPr>
      </w:pPr>
    </w:p>
    <w:p>
      <w:pPr>
        <w:pStyle w:val="9"/>
        <w:rPr>
          <w:rFonts w:ascii="Times New Roman" w:hAnsi="Times New Roman" w:eastAsia="方正小标宋_GBK" w:cs="Times New Roman"/>
          <w:color w:val="auto"/>
          <w:kern w:val="0"/>
          <w:sz w:val="36"/>
          <w:szCs w:val="36"/>
        </w:rPr>
      </w:pPr>
    </w:p>
    <w:p>
      <w:pPr>
        <w:pStyle w:val="2"/>
        <w:ind w:firstLine="720"/>
        <w:rPr>
          <w:rFonts w:ascii="Times New Roman" w:hAnsi="Times New Roman" w:eastAsia="方正小标宋_GBK" w:cs="Times New Roman"/>
          <w:color w:val="auto"/>
          <w:sz w:val="36"/>
          <w:szCs w:val="36"/>
        </w:rPr>
      </w:pPr>
    </w:p>
    <w:p>
      <w:pPr>
        <w:rPr>
          <w:rFonts w:ascii="Times New Roman" w:hAnsi="Times New Roman" w:eastAsia="方正小标宋_GBK" w:cs="Times New Roman"/>
          <w:color w:val="auto"/>
          <w:kern w:val="0"/>
          <w:sz w:val="36"/>
          <w:szCs w:val="36"/>
        </w:rPr>
      </w:pPr>
    </w:p>
    <w:p>
      <w:pPr>
        <w:pStyle w:val="9"/>
        <w:rPr>
          <w:rFonts w:ascii="Times New Roman" w:hAnsi="Times New Roman" w:eastAsia="方正小标宋_GBK" w:cs="Times New Roman"/>
          <w:color w:val="auto"/>
          <w:kern w:val="0"/>
          <w:sz w:val="36"/>
          <w:szCs w:val="36"/>
        </w:rPr>
      </w:pPr>
    </w:p>
    <w:p>
      <w:pPr>
        <w:pStyle w:val="2"/>
        <w:ind w:firstLine="720"/>
        <w:rPr>
          <w:rFonts w:ascii="Times New Roman" w:hAnsi="Times New Roman" w:eastAsia="方正小标宋_GBK" w:cs="Times New Roman"/>
          <w:color w:val="auto"/>
          <w:sz w:val="36"/>
          <w:szCs w:val="36"/>
        </w:rPr>
      </w:pPr>
    </w:p>
    <w:p>
      <w:pPr>
        <w:rPr>
          <w:rFonts w:ascii="Times New Roman" w:hAnsi="Times New Roman" w:eastAsia="方正小标宋_GBK" w:cs="Times New Roman"/>
          <w:color w:val="auto"/>
          <w:kern w:val="0"/>
          <w:sz w:val="36"/>
          <w:szCs w:val="36"/>
        </w:rPr>
      </w:pPr>
    </w:p>
    <w:p>
      <w:pPr>
        <w:pStyle w:val="9"/>
        <w:rPr>
          <w:rFonts w:ascii="Times New Roman" w:hAnsi="Times New Roman" w:eastAsia="方正小标宋_GBK" w:cs="Times New Roman"/>
          <w:color w:val="auto"/>
          <w:kern w:val="0"/>
          <w:sz w:val="36"/>
          <w:szCs w:val="36"/>
        </w:rPr>
        <w:sectPr>
          <w:pgSz w:w="16838" w:h="11906" w:orient="landscape"/>
          <w:pgMar w:top="720" w:right="720" w:bottom="720" w:left="720" w:header="851" w:footer="992" w:gutter="0"/>
          <w:cols w:space="425" w:num="1"/>
          <w:docGrid w:type="lines" w:linePitch="312" w:charSpace="0"/>
        </w:sectPr>
      </w:pPr>
    </w:p>
    <w:tbl>
      <w:tblPr>
        <w:tblStyle w:val="10"/>
        <w:tblW w:w="15319" w:type="dxa"/>
        <w:tblInd w:w="0" w:type="dxa"/>
        <w:tblLayout w:type="fixed"/>
        <w:tblCellMar>
          <w:top w:w="0" w:type="dxa"/>
          <w:left w:w="0" w:type="dxa"/>
          <w:bottom w:w="0" w:type="dxa"/>
          <w:right w:w="0" w:type="dxa"/>
        </w:tblCellMar>
      </w:tblPr>
      <w:tblGrid>
        <w:gridCol w:w="264"/>
        <w:gridCol w:w="264"/>
        <w:gridCol w:w="481"/>
        <w:gridCol w:w="4679"/>
        <w:gridCol w:w="1690"/>
        <w:gridCol w:w="1690"/>
        <w:gridCol w:w="1690"/>
        <w:gridCol w:w="1397"/>
        <w:gridCol w:w="1397"/>
        <w:gridCol w:w="1767"/>
      </w:tblGrid>
      <w:tr>
        <w:tblPrEx>
          <w:tblLayout w:type="fixed"/>
          <w:tblCellMar>
            <w:top w:w="0" w:type="dxa"/>
            <w:left w:w="0" w:type="dxa"/>
            <w:bottom w:w="0" w:type="dxa"/>
            <w:right w:w="0" w:type="dxa"/>
          </w:tblCellMar>
        </w:tblPrEx>
        <w:trPr>
          <w:trHeight w:val="660" w:hRule="atLeast"/>
        </w:trPr>
        <w:tc>
          <w:tcPr>
            <w:tcW w:w="15319" w:type="dxa"/>
            <w:gridSpan w:val="10"/>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8"/>
                <w:szCs w:val="28"/>
              </w:rPr>
            </w:pPr>
            <w:r>
              <w:rPr>
                <w:rFonts w:hint="eastAsia" w:ascii="宋体" w:hAnsi="宋体" w:eastAsia="宋体" w:cs="宋体"/>
                <w:b/>
                <w:color w:val="auto"/>
                <w:kern w:val="0"/>
                <w:sz w:val="28"/>
                <w:szCs w:val="28"/>
              </w:rPr>
              <w:t>支出决算表</w:t>
            </w:r>
          </w:p>
        </w:tc>
      </w:tr>
      <w:tr>
        <w:tblPrEx>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8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679"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690"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690"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690"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39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39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767"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公开03表</w:t>
            </w:r>
          </w:p>
        </w:tc>
      </w:tr>
      <w:tr>
        <w:tblPrEx>
          <w:tblLayout w:type="fixed"/>
          <w:tblCellMar>
            <w:top w:w="0" w:type="dxa"/>
            <w:left w:w="0" w:type="dxa"/>
            <w:bottom w:w="0" w:type="dxa"/>
            <w:right w:w="0" w:type="dxa"/>
          </w:tblCellMar>
        </w:tblPrEx>
        <w:trPr>
          <w:trHeight w:val="280" w:hRule="atLeast"/>
        </w:trPr>
        <w:tc>
          <w:tcPr>
            <w:tcW w:w="5688" w:type="dxa"/>
            <w:gridSpan w:val="4"/>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auto"/>
                <w:sz w:val="22"/>
              </w:rPr>
            </w:pPr>
            <w:r>
              <w:rPr>
                <w:rFonts w:hint="eastAsia" w:ascii="宋体" w:hAnsi="宋体" w:eastAsia="宋体" w:cs="宋体"/>
                <w:color w:val="auto"/>
                <w:kern w:val="0"/>
                <w:sz w:val="22"/>
              </w:rPr>
              <w:t>部门：湖南省棉花科学研究所</w:t>
            </w:r>
          </w:p>
        </w:tc>
        <w:tc>
          <w:tcPr>
            <w:tcW w:w="1690"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690"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690"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39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39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767"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568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1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本年支出合计</w:t>
            </w:r>
          </w:p>
        </w:tc>
        <w:tc>
          <w:tcPr>
            <w:tcW w:w="1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基本支出</w:t>
            </w:r>
          </w:p>
        </w:tc>
        <w:tc>
          <w:tcPr>
            <w:tcW w:w="1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项目支出</w:t>
            </w:r>
          </w:p>
        </w:tc>
        <w:tc>
          <w:tcPr>
            <w:tcW w:w="139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上缴上级支出</w:t>
            </w:r>
          </w:p>
        </w:tc>
        <w:tc>
          <w:tcPr>
            <w:tcW w:w="139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经营支出</w:t>
            </w:r>
          </w:p>
        </w:tc>
        <w:tc>
          <w:tcPr>
            <w:tcW w:w="176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对附属单位补助支出</w:t>
            </w:r>
          </w:p>
        </w:tc>
      </w:tr>
      <w:tr>
        <w:tblPrEx>
          <w:tblLayout w:type="fixed"/>
          <w:tblCellMar>
            <w:top w:w="0" w:type="dxa"/>
            <w:left w:w="0" w:type="dxa"/>
            <w:bottom w:w="0" w:type="dxa"/>
            <w:right w:w="0" w:type="dxa"/>
          </w:tblCellMar>
        </w:tblPrEx>
        <w:trPr>
          <w:trHeight w:val="312" w:hRule="atLeast"/>
        </w:trPr>
        <w:tc>
          <w:tcPr>
            <w:tcW w:w="100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科目代码</w:t>
            </w:r>
          </w:p>
        </w:tc>
        <w:tc>
          <w:tcPr>
            <w:tcW w:w="467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科目名称</w:t>
            </w:r>
          </w:p>
        </w:tc>
        <w:tc>
          <w:tcPr>
            <w:tcW w:w="1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7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12" w:hRule="atLeast"/>
        </w:trPr>
        <w:tc>
          <w:tcPr>
            <w:tcW w:w="10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67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7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12" w:hRule="atLeast"/>
        </w:trPr>
        <w:tc>
          <w:tcPr>
            <w:tcW w:w="10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67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7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568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3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13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c>
          <w:tcPr>
            <w:tcW w:w="17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w:t>
            </w:r>
          </w:p>
        </w:tc>
      </w:tr>
      <w:tr>
        <w:tblPrEx>
          <w:tblLayout w:type="fixed"/>
          <w:tblCellMar>
            <w:top w:w="0" w:type="dxa"/>
            <w:left w:w="0" w:type="dxa"/>
            <w:bottom w:w="0" w:type="dxa"/>
            <w:right w:w="0" w:type="dxa"/>
          </w:tblCellMar>
        </w:tblPrEx>
        <w:trPr>
          <w:trHeight w:val="300" w:hRule="atLeast"/>
        </w:trPr>
        <w:tc>
          <w:tcPr>
            <w:tcW w:w="568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4,242.42</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1,844.16</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2,398.26</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科学技术支出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122.99</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122.99</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20603</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应用研究</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29.40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29.40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2060302</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社会公益研究</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29.40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29.40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20604</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技术研究与开发</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6.38</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6.38</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2060499</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其他技术研究与开发支出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6.38</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6.38</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20607</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科学技术普及</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3.25</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3.25</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2060704</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学术交流活动</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3.25</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3.25</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20609</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科技重大项目</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71.97</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71.97</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2060902</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重点研发计划</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71.97</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71.97</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20699</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其他科学技术支出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2069901</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科技奖励</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社会保障和就业支出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103.89</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103.89</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行政事业单位养老支出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2080505</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机关事业单位基本养老保险缴费支出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20808</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抚恤</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2080801</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死亡抚恤</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211</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节能环保支出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21110</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能源节约利用</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2111001</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能源节约利用</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农林水支出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3,995.54</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1,740.27</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2,255.27</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农业农村</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2,417.52</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1,740.27</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677.26</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2130101</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行政运行</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459.40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459.40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2130104</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事业运行</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1,280.87</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1,280.87</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2130106</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科技转化与推广服务</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179.33</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179.33</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2130108</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病虫害控制</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0.03</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0.03</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2130109</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农产品质量安全</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28.39</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28.39</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2130111</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统计监测与信息服务</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0.32</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0.32</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2130119</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防灾救灾</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20.01</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20.01</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2130122</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农业生产发展</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327.14</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327.14</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2130135</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农业资源保护修复与利用</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98.32</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98.32</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2130199</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其他农业农村支出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23.72</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23.72</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21309</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目标价格补贴</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1,578.01</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1,578.01</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2130901</w:t>
            </w:r>
          </w:p>
        </w:tc>
        <w:tc>
          <w:tcPr>
            <w:tcW w:w="46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棉花目标价格补贴</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1,578.01</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1,578.01</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5319" w:type="dxa"/>
            <w:gridSpan w:val="10"/>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注：本表反映部门本年度各项支出情况。</w:t>
            </w:r>
          </w:p>
        </w:tc>
      </w:tr>
    </w:tbl>
    <w:p>
      <w:pPr>
        <w:pStyle w:val="2"/>
        <w:ind w:firstLine="480"/>
        <w:rPr>
          <w:color w:val="auto"/>
        </w:rPr>
        <w:sectPr>
          <w:pgSz w:w="16838" w:h="11906" w:orient="landscape"/>
          <w:pgMar w:top="720" w:right="720" w:bottom="720" w:left="720" w:header="851" w:footer="992" w:gutter="0"/>
          <w:cols w:space="425" w:num="1"/>
          <w:docGrid w:type="lines" w:linePitch="312" w:charSpace="0"/>
        </w:sectPr>
      </w:pPr>
    </w:p>
    <w:p>
      <w:pPr>
        <w:rPr>
          <w:color w:val="auto"/>
        </w:rPr>
      </w:pPr>
    </w:p>
    <w:p>
      <w:pPr>
        <w:pStyle w:val="2"/>
        <w:ind w:firstLine="720"/>
        <w:rPr>
          <w:rFonts w:ascii="Times New Roman" w:hAnsi="Times New Roman" w:eastAsia="方正小标宋_GBK" w:cs="Times New Roman"/>
          <w:color w:val="auto"/>
          <w:sz w:val="36"/>
          <w:szCs w:val="36"/>
        </w:rPr>
      </w:pPr>
    </w:p>
    <w:tbl>
      <w:tblPr>
        <w:tblStyle w:val="10"/>
        <w:tblW w:w="15418" w:type="dxa"/>
        <w:tblInd w:w="0" w:type="dxa"/>
        <w:tblLayout w:type="fixed"/>
        <w:tblCellMar>
          <w:top w:w="0" w:type="dxa"/>
          <w:left w:w="0" w:type="dxa"/>
          <w:bottom w:w="0" w:type="dxa"/>
          <w:right w:w="0" w:type="dxa"/>
        </w:tblCellMar>
      </w:tblPr>
      <w:tblGrid>
        <w:gridCol w:w="3102"/>
        <w:gridCol w:w="523"/>
        <w:gridCol w:w="1541"/>
        <w:gridCol w:w="3356"/>
        <w:gridCol w:w="523"/>
        <w:gridCol w:w="901"/>
        <w:gridCol w:w="1541"/>
        <w:gridCol w:w="1514"/>
        <w:gridCol w:w="2417"/>
      </w:tblGrid>
      <w:tr>
        <w:tblPrEx>
          <w:tblLayout w:type="fixed"/>
          <w:tblCellMar>
            <w:top w:w="0" w:type="dxa"/>
            <w:left w:w="0" w:type="dxa"/>
            <w:bottom w:w="0" w:type="dxa"/>
            <w:right w:w="0" w:type="dxa"/>
          </w:tblCellMar>
        </w:tblPrEx>
        <w:trPr>
          <w:trHeight w:val="660" w:hRule="atLeast"/>
        </w:trPr>
        <w:tc>
          <w:tcPr>
            <w:tcW w:w="15418" w:type="dxa"/>
            <w:gridSpan w:val="9"/>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8"/>
                <w:szCs w:val="28"/>
              </w:rPr>
            </w:pPr>
            <w:r>
              <w:rPr>
                <w:rFonts w:hint="eastAsia" w:ascii="宋体" w:hAnsi="宋体" w:eastAsia="宋体" w:cs="宋体"/>
                <w:b/>
                <w:color w:val="auto"/>
                <w:kern w:val="0"/>
                <w:sz w:val="28"/>
                <w:szCs w:val="28"/>
              </w:rPr>
              <w:t>财政拨款收入支出决算总表</w:t>
            </w:r>
          </w:p>
        </w:tc>
      </w:tr>
      <w:tr>
        <w:tblPrEx>
          <w:tblLayout w:type="fixed"/>
          <w:tblCellMar>
            <w:top w:w="0" w:type="dxa"/>
            <w:left w:w="0" w:type="dxa"/>
            <w:bottom w:w="0" w:type="dxa"/>
            <w:right w:w="0" w:type="dxa"/>
          </w:tblCellMar>
        </w:tblPrEx>
        <w:trPr>
          <w:trHeight w:val="280" w:hRule="atLeast"/>
        </w:trPr>
        <w:tc>
          <w:tcPr>
            <w:tcW w:w="3102"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523"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54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335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523"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901"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541"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514"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2417"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公开04表</w:t>
            </w:r>
          </w:p>
        </w:tc>
      </w:tr>
      <w:tr>
        <w:tblPrEx>
          <w:tblLayout w:type="fixed"/>
          <w:tblCellMar>
            <w:top w:w="0" w:type="dxa"/>
            <w:left w:w="0" w:type="dxa"/>
            <w:bottom w:w="0" w:type="dxa"/>
            <w:right w:w="0" w:type="dxa"/>
          </w:tblCellMar>
        </w:tblPrEx>
        <w:trPr>
          <w:trHeight w:val="280" w:hRule="atLeast"/>
        </w:trPr>
        <w:tc>
          <w:tcPr>
            <w:tcW w:w="3102" w:type="dxa"/>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auto"/>
                <w:sz w:val="22"/>
              </w:rPr>
            </w:pPr>
            <w:r>
              <w:rPr>
                <w:rFonts w:hint="eastAsia" w:ascii="宋体" w:hAnsi="宋体" w:eastAsia="宋体" w:cs="宋体"/>
                <w:color w:val="auto"/>
                <w:kern w:val="0"/>
                <w:sz w:val="22"/>
              </w:rPr>
              <w:t>部门：湖南省棉花科学研究所</w:t>
            </w:r>
          </w:p>
        </w:tc>
        <w:tc>
          <w:tcPr>
            <w:tcW w:w="523"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54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335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523"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901"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541"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514"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2417"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5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收     入</w:t>
            </w:r>
          </w:p>
        </w:tc>
        <w:tc>
          <w:tcPr>
            <w:tcW w:w="10252"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支     出</w:t>
            </w:r>
          </w:p>
        </w:tc>
      </w:tr>
      <w:tr>
        <w:tblPrEx>
          <w:tblLayout w:type="fixed"/>
          <w:tblCellMar>
            <w:top w:w="0" w:type="dxa"/>
            <w:left w:w="0" w:type="dxa"/>
            <w:bottom w:w="0" w:type="dxa"/>
            <w:right w:w="0" w:type="dxa"/>
          </w:tblCellMar>
        </w:tblPrEx>
        <w:trPr>
          <w:trHeight w:val="312" w:hRule="atLeast"/>
        </w:trPr>
        <w:tc>
          <w:tcPr>
            <w:tcW w:w="310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行次</w:t>
            </w:r>
          </w:p>
        </w:tc>
        <w:tc>
          <w:tcPr>
            <w:tcW w:w="15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金额</w:t>
            </w:r>
          </w:p>
        </w:tc>
        <w:tc>
          <w:tcPr>
            <w:tcW w:w="33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行次</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15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一般公共预算财政拨款</w:t>
            </w:r>
          </w:p>
        </w:tc>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政府性基金预算财政拨款</w:t>
            </w:r>
          </w:p>
        </w:tc>
        <w:tc>
          <w:tcPr>
            <w:tcW w:w="24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国有资本经营预算财政拨款</w:t>
            </w:r>
          </w:p>
        </w:tc>
      </w:tr>
      <w:tr>
        <w:tblPrEx>
          <w:tblLayout w:type="fixed"/>
          <w:tblCellMar>
            <w:top w:w="0" w:type="dxa"/>
            <w:left w:w="0" w:type="dxa"/>
            <w:bottom w:w="0" w:type="dxa"/>
            <w:right w:w="0" w:type="dxa"/>
          </w:tblCellMar>
        </w:tblPrEx>
        <w:trPr>
          <w:trHeight w:val="600" w:hRule="atLeast"/>
        </w:trPr>
        <w:tc>
          <w:tcPr>
            <w:tcW w:w="31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33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24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3,943.58</w:t>
            </w: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一、一般公共服务支出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33</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二、外交支出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34</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三、国防支出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35</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四、公共安全支出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36</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五、教育支出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37</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六、科学技术支出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38</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73.41</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73.41</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7</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七、文化旅游体育与传媒支出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39</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8</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八、社会保障和就业支出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40</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103.89</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103.89</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9</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九、卫生健康支出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41</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十、节能环保支出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42</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11</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十一、城乡社区支出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43</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十二、农林水支出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44</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3,462.83</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3,462.83</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13</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十三、交通运输支出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45</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14</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十四、资源勘探工业信息等支出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46</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15</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十五、商业服务业等支出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47</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16</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十六、金融支出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48</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17</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十七、援助其他地区支出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49</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18</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十八、自然资源海洋气象等支出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50</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19</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十九、住房保障支出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51</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二十、粮油物资储备支出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52</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21</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二十一、国有资本经营预算支出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53</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二十二、灾害防治及应急管理支出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54</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23</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二十三、其他支出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55</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b/>
                <w:color w:val="auto"/>
                <w:sz w:val="20"/>
                <w:szCs w:val="20"/>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24</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二十四、债务还本支出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56</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0"/>
                <w:szCs w:val="20"/>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25</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二十五、债务付息支出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57</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0"/>
                <w:szCs w:val="20"/>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26</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二十六、抗疫特别国债安排的支出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58</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27</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3,943.58</w:t>
            </w: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本年支出合计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59</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3,660.13</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3,660.13</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28</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897.39</w:t>
            </w: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年末财政拨款结转和结余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60</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1,180.84</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1,180.84</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29</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897.39</w:t>
            </w: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61</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30</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62</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31</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63</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31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4,840.97</w:t>
            </w:r>
          </w:p>
        </w:tc>
        <w:tc>
          <w:tcPr>
            <w:tcW w:w="3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64</w:t>
            </w:r>
          </w:p>
        </w:tc>
        <w:tc>
          <w:tcPr>
            <w:tcW w:w="9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4,840.97</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4,840.97</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001" w:type="dxa"/>
            <w:gridSpan w:val="8"/>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注：本表反映部门本年度一般公共预算财政拨款、政府性基金预算财政拨款和国有资本经营预算财政拨款的总收支和年末结转结余情况。</w:t>
            </w:r>
          </w:p>
        </w:tc>
        <w:tc>
          <w:tcPr>
            <w:tcW w:w="2417" w:type="dxa"/>
            <w:tcBorders>
              <w:top w:val="nil"/>
              <w:left w:val="nil"/>
              <w:bottom w:val="nil"/>
              <w:right w:val="nil"/>
            </w:tcBorders>
            <w:shd w:val="clear" w:color="auto" w:fill="FFFFFF"/>
            <w:noWrap/>
            <w:tcMar>
              <w:top w:w="10" w:type="dxa"/>
              <w:left w:w="10" w:type="dxa"/>
              <w:right w:w="10" w:type="dxa"/>
            </w:tcMar>
            <w:vAlign w:val="center"/>
          </w:tcPr>
          <w:p>
            <w:pPr>
              <w:jc w:val="left"/>
              <w:rPr>
                <w:rFonts w:ascii="宋体" w:hAnsi="宋体" w:eastAsia="宋体" w:cs="宋体"/>
                <w:color w:val="auto"/>
                <w:sz w:val="20"/>
                <w:szCs w:val="20"/>
              </w:rPr>
            </w:pPr>
          </w:p>
        </w:tc>
      </w:tr>
    </w:tbl>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tbl>
      <w:tblPr>
        <w:tblStyle w:val="10"/>
        <w:tblW w:w="12026" w:type="dxa"/>
        <w:tblInd w:w="1032" w:type="dxa"/>
        <w:tblLayout w:type="fixed"/>
        <w:tblCellMar>
          <w:top w:w="0" w:type="dxa"/>
          <w:left w:w="0" w:type="dxa"/>
          <w:bottom w:w="0" w:type="dxa"/>
          <w:right w:w="0" w:type="dxa"/>
        </w:tblCellMar>
      </w:tblPr>
      <w:tblGrid>
        <w:gridCol w:w="264"/>
        <w:gridCol w:w="264"/>
        <w:gridCol w:w="899"/>
        <w:gridCol w:w="4659"/>
        <w:gridCol w:w="1955"/>
        <w:gridCol w:w="1955"/>
        <w:gridCol w:w="2030"/>
      </w:tblGrid>
      <w:tr>
        <w:tblPrEx>
          <w:tblLayout w:type="fixed"/>
          <w:tblCellMar>
            <w:top w:w="0" w:type="dxa"/>
            <w:left w:w="0" w:type="dxa"/>
            <w:bottom w:w="0" w:type="dxa"/>
            <w:right w:w="0" w:type="dxa"/>
          </w:tblCellMar>
        </w:tblPrEx>
        <w:trPr>
          <w:trHeight w:val="560" w:hRule="atLeast"/>
        </w:trPr>
        <w:tc>
          <w:tcPr>
            <w:tcW w:w="12026" w:type="dxa"/>
            <w:gridSpan w:val="7"/>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8"/>
                <w:szCs w:val="28"/>
              </w:rPr>
            </w:pPr>
            <w:r>
              <w:rPr>
                <w:rFonts w:hint="eastAsia" w:ascii="宋体" w:hAnsi="宋体" w:eastAsia="宋体" w:cs="宋体"/>
                <w:b/>
                <w:color w:val="auto"/>
                <w:kern w:val="0"/>
                <w:sz w:val="28"/>
                <w:szCs w:val="28"/>
              </w:rPr>
              <w:t>一般公共预算财政拨款支出决算表</w:t>
            </w:r>
          </w:p>
        </w:tc>
      </w:tr>
      <w:tr>
        <w:tblPrEx>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899"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659"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955"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955"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203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公开05表</w:t>
            </w:r>
          </w:p>
        </w:tc>
      </w:tr>
      <w:tr>
        <w:tblPrEx>
          <w:tblLayout w:type="fixed"/>
          <w:tblCellMar>
            <w:top w:w="0" w:type="dxa"/>
            <w:left w:w="0" w:type="dxa"/>
            <w:bottom w:w="0" w:type="dxa"/>
            <w:right w:w="0" w:type="dxa"/>
          </w:tblCellMar>
        </w:tblPrEx>
        <w:trPr>
          <w:trHeight w:val="560" w:hRule="atLeast"/>
        </w:trPr>
        <w:tc>
          <w:tcPr>
            <w:tcW w:w="6086" w:type="dxa"/>
            <w:gridSpan w:val="4"/>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auto"/>
                <w:sz w:val="22"/>
              </w:rPr>
            </w:pPr>
            <w:r>
              <w:rPr>
                <w:rFonts w:hint="eastAsia" w:ascii="宋体" w:hAnsi="宋体" w:eastAsia="宋体" w:cs="宋体"/>
                <w:color w:val="auto"/>
                <w:kern w:val="0"/>
                <w:sz w:val="22"/>
              </w:rPr>
              <w:t>部门：湖南省棉花科学研究所</w:t>
            </w:r>
          </w:p>
        </w:tc>
        <w:tc>
          <w:tcPr>
            <w:tcW w:w="1955"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955"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203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608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594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本年支出</w:t>
            </w:r>
          </w:p>
        </w:tc>
      </w:tr>
      <w:tr>
        <w:tblPrEx>
          <w:tblLayout w:type="fixed"/>
          <w:tblCellMar>
            <w:top w:w="0" w:type="dxa"/>
            <w:left w:w="0" w:type="dxa"/>
            <w:bottom w:w="0" w:type="dxa"/>
            <w:right w:w="0" w:type="dxa"/>
          </w:tblCellMar>
        </w:tblPrEx>
        <w:trPr>
          <w:trHeight w:val="312" w:hRule="atLeast"/>
        </w:trPr>
        <w:tc>
          <w:tcPr>
            <w:tcW w:w="142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科目代码</w:t>
            </w:r>
          </w:p>
        </w:tc>
        <w:tc>
          <w:tcPr>
            <w:tcW w:w="465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科目名称</w:t>
            </w:r>
          </w:p>
        </w:tc>
        <w:tc>
          <w:tcPr>
            <w:tcW w:w="1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小计</w:t>
            </w:r>
          </w:p>
        </w:tc>
        <w:tc>
          <w:tcPr>
            <w:tcW w:w="1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基本支出</w:t>
            </w:r>
          </w:p>
        </w:tc>
        <w:tc>
          <w:tcPr>
            <w:tcW w:w="20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项目支出</w:t>
            </w:r>
          </w:p>
        </w:tc>
      </w:tr>
      <w:tr>
        <w:tblPrEx>
          <w:tblLayout w:type="fixed"/>
          <w:tblCellMar>
            <w:top w:w="0" w:type="dxa"/>
            <w:left w:w="0" w:type="dxa"/>
            <w:bottom w:w="0" w:type="dxa"/>
            <w:right w:w="0" w:type="dxa"/>
          </w:tblCellMar>
        </w:tblPrEx>
        <w:trPr>
          <w:trHeight w:val="312" w:hRule="atLeast"/>
        </w:trPr>
        <w:tc>
          <w:tcPr>
            <w:tcW w:w="14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65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20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12" w:hRule="atLeast"/>
        </w:trPr>
        <w:tc>
          <w:tcPr>
            <w:tcW w:w="14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65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20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608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r>
      <w:tr>
        <w:tblPrEx>
          <w:tblLayout w:type="fixed"/>
          <w:tblCellMar>
            <w:top w:w="0" w:type="dxa"/>
            <w:left w:w="0" w:type="dxa"/>
            <w:bottom w:w="0" w:type="dxa"/>
            <w:right w:w="0" w:type="dxa"/>
          </w:tblCellMar>
        </w:tblPrEx>
        <w:trPr>
          <w:trHeight w:val="300" w:hRule="atLeast"/>
        </w:trPr>
        <w:tc>
          <w:tcPr>
            <w:tcW w:w="608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3,660.13</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1,604.61</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2,055.52</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科学技术支出</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73.41</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73.41</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20607</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科学技术普及</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3.25</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3.25</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2060704</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学术交流活动</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3.25</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3.25</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20609</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科技重大项目</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60.16</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60.16</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2060902</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重点研发计划</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60.16</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60.16</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20699</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其他科学技术支出</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2069901</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科技奖励</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社会保障和就业支出</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103.89</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103.89</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行政事业单位养老支出</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2080505</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机关事业单位基本养老保险缴费支出</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91.17</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20808</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抚恤</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2080801</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死亡抚恤</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12.72</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211</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节能环保支出</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21110</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能源节约利用</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2111001</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能源节约利用</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农林水支出</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3,462.83</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1,500.72</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1,962.11</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农业农村</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1,957.64</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1,500.72</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456.92</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2130101</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行政运行</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459.40</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459.40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2130104</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事业运行</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1,041.32</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1,041.32</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2130106</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科技转化与推广服务</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91.79</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91.79</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2130109</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农产品质量安全</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14.76</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14.76</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2130111</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统计监测与信息服务</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0.32</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0.32</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2130122</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农业生产发展</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327.14</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327.14</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2130135</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农业资源保护修复与利用</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19.20</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19.20</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2130199</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其他农业农村支出</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3.72</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3.72</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21309</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目标价格补贴</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1,505.19</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1,505.19</w:t>
            </w:r>
          </w:p>
        </w:tc>
      </w:tr>
      <w:tr>
        <w:tblPrEx>
          <w:tblLayout w:type="fixed"/>
          <w:tblCellMar>
            <w:top w:w="0" w:type="dxa"/>
            <w:left w:w="0" w:type="dxa"/>
            <w:bottom w:w="0" w:type="dxa"/>
            <w:right w:w="0" w:type="dxa"/>
          </w:tblCellMar>
        </w:tblPrEx>
        <w:trPr>
          <w:trHeight w:val="300" w:hRule="atLeast"/>
        </w:trPr>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2130901</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棉花目标价格补贴</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1,505.19</w:t>
            </w:r>
          </w:p>
        </w:tc>
        <w:tc>
          <w:tcPr>
            <w:tcW w:w="1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1,505.19</w:t>
            </w:r>
          </w:p>
        </w:tc>
      </w:tr>
      <w:tr>
        <w:tblPrEx>
          <w:tblLayout w:type="fixed"/>
          <w:tblCellMar>
            <w:top w:w="0" w:type="dxa"/>
            <w:left w:w="0" w:type="dxa"/>
            <w:bottom w:w="0" w:type="dxa"/>
            <w:right w:w="0" w:type="dxa"/>
          </w:tblCellMar>
        </w:tblPrEx>
        <w:trPr>
          <w:trHeight w:val="300" w:hRule="atLeast"/>
        </w:trPr>
        <w:tc>
          <w:tcPr>
            <w:tcW w:w="12026" w:type="dxa"/>
            <w:gridSpan w:val="7"/>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注：本表反映部门本年度一般公共预算财政拨款支出情况。</w:t>
            </w:r>
          </w:p>
        </w:tc>
      </w:tr>
    </w:tbl>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480"/>
        <w:rPr>
          <w:color w:val="auto"/>
        </w:rPr>
      </w:pPr>
    </w:p>
    <w:p>
      <w:pPr>
        <w:rPr>
          <w:color w:val="auto"/>
        </w:rPr>
      </w:pPr>
    </w:p>
    <w:p>
      <w:pPr>
        <w:pStyle w:val="9"/>
        <w:rPr>
          <w:color w:val="auto"/>
        </w:rPr>
      </w:pPr>
    </w:p>
    <w:p>
      <w:pPr>
        <w:pStyle w:val="2"/>
        <w:ind w:firstLine="0" w:firstLineChars="0"/>
        <w:rPr>
          <w:color w:val="auto"/>
        </w:rPr>
      </w:pPr>
      <w:r>
        <w:rPr>
          <w:color w:val="auto"/>
        </w:rPr>
        <w:drawing>
          <wp:inline distT="0" distB="0" distL="114300" distR="114300">
            <wp:extent cx="9766300" cy="58623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766300" cy="5862320"/>
                    </a:xfrm>
                    <a:prstGeom prst="rect">
                      <a:avLst/>
                    </a:prstGeom>
                    <a:noFill/>
                    <a:ln>
                      <a:noFill/>
                    </a:ln>
                  </pic:spPr>
                </pic:pic>
              </a:graphicData>
            </a:graphic>
          </wp:inline>
        </w:drawing>
      </w:r>
    </w:p>
    <w:p>
      <w:pPr>
        <w:rPr>
          <w:color w:val="auto"/>
        </w:rPr>
      </w:pPr>
    </w:p>
    <w:tbl>
      <w:tblPr>
        <w:tblStyle w:val="10"/>
        <w:tblW w:w="15360" w:type="dxa"/>
        <w:tblInd w:w="0" w:type="dxa"/>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auto"/>
                <w:kern w:val="0"/>
                <w:sz w:val="32"/>
                <w:szCs w:val="32"/>
              </w:rPr>
            </w:pPr>
          </w:p>
          <w:p>
            <w:pPr>
              <w:widowControl/>
              <w:jc w:val="center"/>
              <w:textAlignment w:val="center"/>
              <w:rPr>
                <w:rFonts w:ascii="华文中宋" w:hAnsi="华文中宋" w:eastAsia="华文中宋" w:cs="华文中宋"/>
                <w:color w:val="auto"/>
                <w:sz w:val="32"/>
                <w:szCs w:val="32"/>
              </w:rPr>
            </w:pPr>
            <w:r>
              <w:rPr>
                <w:rFonts w:hint="eastAsia" w:ascii="华文中宋" w:hAnsi="华文中宋" w:eastAsia="华文中宋" w:cs="华文中宋"/>
                <w:color w:val="auto"/>
                <w:kern w:val="0"/>
                <w:sz w:val="32"/>
                <w:szCs w:val="32"/>
              </w:rPr>
              <w:t>政府性基金预算财政拨款收入支出决算表</w:t>
            </w:r>
          </w:p>
        </w:tc>
      </w:tr>
      <w:tr>
        <w:tblPrEx>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240"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1402"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公开07表</w:t>
            </w:r>
          </w:p>
        </w:tc>
      </w:tr>
      <w:tr>
        <w:tblPrEx>
          <w:tblLayout w:type="fixed"/>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ascii="宋体" w:hAnsi="宋体" w:eastAsia="宋体" w:cs="宋体"/>
                <w:color w:val="auto"/>
                <w:sz w:val="20"/>
                <w:szCs w:val="20"/>
              </w:rPr>
            </w:pPr>
            <w:r>
              <w:rPr>
                <w:rFonts w:hint="eastAsia" w:ascii="宋体" w:hAnsi="宋体" w:eastAsia="宋体" w:cs="宋体"/>
                <w:color w:val="auto"/>
                <w:kern w:val="0"/>
                <w:sz w:val="20"/>
                <w:szCs w:val="20"/>
              </w:rPr>
              <w:t>部门：</w:t>
            </w:r>
            <w:r>
              <w:rPr>
                <w:rFonts w:hint="eastAsia" w:ascii="宋体" w:hAnsi="宋体" w:eastAsia="宋体" w:cs="宋体"/>
                <w:color w:val="auto"/>
                <w:kern w:val="0"/>
                <w:sz w:val="22"/>
              </w:rPr>
              <w:t>湖南省棉花科学研究所</w:t>
            </w: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 xml:space="preserve">项 </w:t>
            </w:r>
            <w:r>
              <w:rPr>
                <w:rStyle w:val="18"/>
                <w:rFonts w:hint="default"/>
                <w:color w:val="auto"/>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年末结转和结余</w:t>
            </w:r>
          </w:p>
        </w:tc>
      </w:tr>
      <w:tr>
        <w:tblPrEx>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6</w:t>
            </w:r>
          </w:p>
        </w:tc>
      </w:tr>
      <w:tr>
        <w:tblPrEx>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0"/>
                <w:szCs w:val="20"/>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0"/>
                <w:szCs w:val="20"/>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widowControl/>
              <w:jc w:val="left"/>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注：本表反映部门本年度政府性基金预算财政拨款收入、支出及结转和结余情况。</w:t>
            </w:r>
          </w:p>
          <w:p>
            <w:pPr>
              <w:widowControl/>
              <w:jc w:val="left"/>
              <w:textAlignment w:val="center"/>
              <w:rPr>
                <w:rFonts w:ascii="宋体" w:hAnsi="宋体" w:eastAsia="宋体" w:cs="宋体"/>
                <w:color w:val="auto"/>
                <w:kern w:val="0"/>
                <w:sz w:val="24"/>
                <w:szCs w:val="24"/>
              </w:rPr>
            </w:pPr>
          </w:p>
          <w:p>
            <w:pPr>
              <w:widowControl/>
              <w:jc w:val="left"/>
              <w:textAlignment w:val="center"/>
              <w:rPr>
                <w:rFonts w:ascii="宋体" w:hAnsi="宋体" w:eastAsia="宋体" w:cs="宋体"/>
                <w:color w:val="auto"/>
                <w:kern w:val="0"/>
                <w:sz w:val="24"/>
                <w:szCs w:val="24"/>
              </w:rPr>
            </w:pPr>
            <w:r>
              <w:rPr>
                <w:rFonts w:hint="eastAsia" w:ascii="楷体" w:hAnsi="楷体" w:eastAsia="楷体" w:cs="楷体"/>
                <w:b/>
                <w:bCs/>
                <w:color w:val="auto"/>
                <w:kern w:val="0"/>
                <w:sz w:val="24"/>
                <w:szCs w:val="24"/>
              </w:rPr>
              <w:t>说明：我单位没有政府性基金收入，也没有使用政府性基金安排的支出，故本表无数据。</w:t>
            </w:r>
          </w:p>
        </w:tc>
      </w:tr>
    </w:tbl>
    <w:p>
      <w:pPr>
        <w:pStyle w:val="9"/>
        <w:rPr>
          <w:color w:val="auto"/>
        </w:rPr>
      </w:pPr>
    </w:p>
    <w:p>
      <w:pPr>
        <w:pStyle w:val="9"/>
        <w:rPr>
          <w:color w:val="auto"/>
        </w:rPr>
      </w:pPr>
    </w:p>
    <w:tbl>
      <w:tblPr>
        <w:tblStyle w:val="10"/>
        <w:tblW w:w="15120" w:type="dxa"/>
        <w:tblInd w:w="93" w:type="dxa"/>
        <w:tblLayout w:type="fixed"/>
        <w:tblCellMar>
          <w:top w:w="0" w:type="dxa"/>
          <w:left w:w="108" w:type="dxa"/>
          <w:bottom w:w="0" w:type="dxa"/>
          <w:right w:w="108" w:type="dxa"/>
        </w:tblCellMar>
      </w:tblPr>
      <w:tblGrid>
        <w:gridCol w:w="1326"/>
        <w:gridCol w:w="701"/>
        <w:gridCol w:w="2292"/>
        <w:gridCol w:w="3315"/>
        <w:gridCol w:w="3315"/>
        <w:gridCol w:w="4171"/>
      </w:tblGrid>
      <w:tr>
        <w:tblPrEx>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auto"/>
                <w:sz w:val="32"/>
                <w:szCs w:val="32"/>
              </w:rPr>
            </w:pPr>
            <w:r>
              <w:rPr>
                <w:rFonts w:hint="eastAsia" w:ascii="华文中宋" w:hAnsi="华文中宋" w:eastAsia="华文中宋" w:cs="华文中宋"/>
                <w:color w:val="auto"/>
                <w:kern w:val="0"/>
                <w:sz w:val="32"/>
                <w:szCs w:val="32"/>
              </w:rPr>
              <w:t>国有资本经营预算财政拨款支出决算表</w:t>
            </w:r>
          </w:p>
        </w:tc>
      </w:tr>
      <w:tr>
        <w:tblPrEx>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2292"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公开08表</w:t>
            </w:r>
          </w:p>
        </w:tc>
      </w:tr>
      <w:tr>
        <w:tblPrEx>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ascii="宋体" w:hAnsi="宋体" w:eastAsia="宋体" w:cs="宋体"/>
                <w:color w:val="auto"/>
                <w:sz w:val="20"/>
                <w:szCs w:val="20"/>
              </w:rPr>
            </w:pPr>
            <w:r>
              <w:rPr>
                <w:rFonts w:hint="eastAsia" w:ascii="宋体" w:hAnsi="宋体" w:eastAsia="宋体" w:cs="宋体"/>
                <w:color w:val="auto"/>
                <w:kern w:val="0"/>
                <w:sz w:val="20"/>
                <w:szCs w:val="20"/>
              </w:rPr>
              <w:t>部门：</w:t>
            </w:r>
            <w:r>
              <w:rPr>
                <w:rFonts w:hint="eastAsia" w:ascii="宋体" w:hAnsi="宋体" w:eastAsia="宋体" w:cs="宋体"/>
                <w:color w:val="auto"/>
                <w:kern w:val="0"/>
                <w:sz w:val="22"/>
              </w:rPr>
              <w:t>湖南省棉花科学研究所</w:t>
            </w:r>
          </w:p>
        </w:tc>
        <w:tc>
          <w:tcPr>
            <w:tcW w:w="3315"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 xml:space="preserve">项 </w:t>
            </w:r>
            <w:r>
              <w:rPr>
                <w:rStyle w:val="19"/>
                <w:rFonts w:hint="default"/>
                <w:color w:val="auto"/>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本年支出</w:t>
            </w:r>
          </w:p>
        </w:tc>
      </w:tr>
      <w:tr>
        <w:tblPrEx>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项目支出</w:t>
            </w: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3</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注：本表反映部门本年度国有资本经营预算财政拨款支出情况。</w:t>
            </w:r>
          </w:p>
          <w:p>
            <w:pPr>
              <w:widowControl/>
              <w:jc w:val="left"/>
              <w:textAlignment w:val="center"/>
              <w:rPr>
                <w:rFonts w:ascii="宋体" w:hAnsi="宋体" w:eastAsia="宋体" w:cs="宋体"/>
                <w:color w:val="auto"/>
                <w:kern w:val="0"/>
                <w:sz w:val="24"/>
                <w:szCs w:val="24"/>
              </w:rPr>
            </w:pPr>
          </w:p>
          <w:p>
            <w:pPr>
              <w:widowControl/>
              <w:jc w:val="left"/>
              <w:textAlignment w:val="center"/>
              <w:rPr>
                <w:rFonts w:ascii="宋体" w:hAnsi="宋体" w:eastAsia="宋体" w:cs="宋体"/>
                <w:color w:val="auto"/>
                <w:kern w:val="0"/>
                <w:sz w:val="24"/>
                <w:szCs w:val="24"/>
              </w:rPr>
            </w:pPr>
            <w:r>
              <w:rPr>
                <w:rFonts w:hint="eastAsia" w:ascii="楷体" w:hAnsi="楷体" w:eastAsia="楷体" w:cs="楷体"/>
                <w:b/>
                <w:bCs/>
                <w:color w:val="auto"/>
                <w:kern w:val="0"/>
                <w:sz w:val="24"/>
                <w:szCs w:val="24"/>
              </w:rPr>
              <w:t>说明：我单位没有使用国有资本经营预算安排的支出，故本表无数据。</w:t>
            </w:r>
          </w:p>
        </w:tc>
      </w:tr>
    </w:tbl>
    <w:p>
      <w:pPr>
        <w:widowControl/>
        <w:jc w:val="center"/>
        <w:rPr>
          <w:rFonts w:ascii="Times New Roman" w:hAnsi="Times New Roman" w:eastAsia="方正小标宋_GBK" w:cs="Times New Roman"/>
          <w:color w:val="auto"/>
          <w:kern w:val="0"/>
          <w:sz w:val="36"/>
          <w:szCs w:val="36"/>
        </w:rPr>
      </w:pPr>
    </w:p>
    <w:tbl>
      <w:tblPr>
        <w:tblStyle w:val="10"/>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auto"/>
                <w:kern w:val="0"/>
                <w:sz w:val="32"/>
                <w:szCs w:val="32"/>
              </w:rPr>
            </w:pPr>
          </w:p>
          <w:p>
            <w:pPr>
              <w:widowControl/>
              <w:jc w:val="center"/>
              <w:textAlignment w:val="center"/>
              <w:rPr>
                <w:rFonts w:ascii="华文中宋" w:hAnsi="华文中宋" w:eastAsia="华文中宋" w:cs="华文中宋"/>
                <w:color w:val="auto"/>
                <w:sz w:val="32"/>
                <w:szCs w:val="32"/>
              </w:rPr>
            </w:pPr>
            <w:r>
              <w:rPr>
                <w:rFonts w:hint="eastAsia" w:ascii="华文中宋" w:hAnsi="华文中宋" w:eastAsia="华文中宋" w:cs="华文中宋"/>
                <w:color w:val="auto"/>
                <w:kern w:val="0"/>
                <w:sz w:val="32"/>
                <w:szCs w:val="32"/>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公开09表</w:t>
            </w:r>
          </w:p>
        </w:tc>
      </w:tr>
      <w:tr>
        <w:tblPrEx>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ascii="宋体" w:hAnsi="宋体" w:eastAsia="宋体" w:cs="宋体"/>
                <w:color w:val="auto"/>
                <w:sz w:val="20"/>
                <w:szCs w:val="20"/>
              </w:rPr>
            </w:pPr>
            <w:r>
              <w:rPr>
                <w:rFonts w:hint="eastAsia" w:ascii="宋体" w:hAnsi="宋体" w:eastAsia="宋体" w:cs="宋体"/>
                <w:color w:val="auto"/>
                <w:kern w:val="0"/>
                <w:sz w:val="20"/>
                <w:szCs w:val="20"/>
              </w:rPr>
              <w:t>部门：</w:t>
            </w:r>
            <w:r>
              <w:rPr>
                <w:rFonts w:hint="eastAsia" w:ascii="宋体" w:hAnsi="宋体" w:eastAsia="宋体" w:cs="宋体"/>
                <w:color w:val="auto"/>
                <w:kern w:val="0"/>
                <w:sz w:val="22"/>
              </w:rPr>
              <w:t>湖南省棉花科学研究所</w:t>
            </w: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5.00</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widowControl/>
        <w:rPr>
          <w:color w:val="auto"/>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color w:val="auto"/>
          <w:szCs w:val="21"/>
        </w:rPr>
        <w:br w:type="page"/>
      </w:r>
    </w:p>
    <w:p>
      <w:pPr>
        <w:pStyle w:val="14"/>
        <w:rPr>
          <w:color w:val="auto"/>
          <w:sz w:val="72"/>
          <w:szCs w:val="72"/>
        </w:rPr>
      </w:pPr>
    </w:p>
    <w:p>
      <w:pPr>
        <w:pStyle w:val="14"/>
        <w:rPr>
          <w:color w:val="auto"/>
          <w:sz w:val="72"/>
          <w:szCs w:val="72"/>
        </w:rPr>
      </w:pPr>
    </w:p>
    <w:p>
      <w:pPr>
        <w:pStyle w:val="14"/>
        <w:rPr>
          <w:color w:val="auto"/>
          <w:sz w:val="72"/>
          <w:szCs w:val="72"/>
        </w:rPr>
      </w:pPr>
    </w:p>
    <w:p>
      <w:pPr>
        <w:pStyle w:val="14"/>
        <w:rPr>
          <w:color w:val="auto"/>
          <w:sz w:val="72"/>
          <w:szCs w:val="72"/>
        </w:rPr>
      </w:pPr>
    </w:p>
    <w:p>
      <w:pPr>
        <w:pStyle w:val="14"/>
        <w:jc w:val="center"/>
        <w:rPr>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第三部分</w:t>
      </w:r>
    </w:p>
    <w:p>
      <w:pPr>
        <w:pStyle w:val="14"/>
        <w:jc w:val="center"/>
        <w:rPr>
          <w:rFonts w:ascii="方正小标宋_GBK" w:hAnsi="方正小标宋_GBK" w:eastAsia="方正小标宋_GBK" w:cs="方正小标宋_GBK"/>
          <w:color w:val="auto"/>
          <w:sz w:val="70"/>
          <w:szCs w:val="70"/>
        </w:rPr>
      </w:pPr>
    </w:p>
    <w:p>
      <w:pPr>
        <w:pStyle w:val="14"/>
        <w:jc w:val="center"/>
        <w:rPr>
          <w:rFonts w:ascii="方正小标宋_GBK" w:hAnsi="方正小标宋_GBK" w:eastAsia="方正小标宋_GBK" w:cs="方正小标宋_GBK"/>
          <w:color w:val="auto"/>
          <w:sz w:val="70"/>
          <w:szCs w:val="70"/>
        </w:rPr>
      </w:pPr>
      <w:r>
        <w:rPr>
          <w:rFonts w:hint="eastAsia" w:ascii="方正小标宋_GBK" w:hAnsi="方正小标宋_GBK" w:eastAsia="方正小标宋_GBK" w:cs="方正小标宋_GBK"/>
          <w:color w:val="auto"/>
          <w:sz w:val="70"/>
          <w:szCs w:val="70"/>
        </w:rPr>
        <w:t>2023年度部门决算情况说明</w:t>
      </w:r>
    </w:p>
    <w:p>
      <w:pPr>
        <w:widowControl/>
        <w:jc w:val="left"/>
        <w:rPr>
          <w:rFonts w:asciiTheme="minorEastAsia" w:hAnsiTheme="minorEastAsia"/>
          <w:color w:val="auto"/>
          <w:sz w:val="32"/>
          <w:szCs w:val="32"/>
        </w:rPr>
      </w:pPr>
      <w:r>
        <w:rPr>
          <w:rFonts w:hint="eastAsia" w:ascii="方正小标宋_GBK" w:hAnsi="方正小标宋_GBK" w:eastAsia="方正小标宋_GBK" w:cs="方正小标宋_GBK"/>
          <w:color w:val="auto"/>
          <w:sz w:val="70"/>
          <w:szCs w:val="70"/>
        </w:rPr>
        <w:br w:type="page"/>
      </w:r>
    </w:p>
    <w:p>
      <w:pPr>
        <w:pStyle w:val="14"/>
        <w:spacing w:line="360" w:lineRule="auto"/>
        <w:ind w:firstLine="640" w:firstLineChars="200"/>
        <w:rPr>
          <w:rFonts w:hAnsi="黑体"/>
          <w:bCs/>
          <w:color w:val="auto"/>
          <w:sz w:val="32"/>
          <w:szCs w:val="32"/>
        </w:rPr>
      </w:pPr>
      <w:r>
        <w:rPr>
          <w:rFonts w:hint="eastAsia" w:hAnsi="黑体"/>
          <w:bCs/>
          <w:color w:val="auto"/>
          <w:sz w:val="32"/>
          <w:szCs w:val="32"/>
        </w:rPr>
        <w:t>一、收入支出决算总体情况说明</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2023年度收、支总计5745.55万元。与上年相比，增加1113.05万元，增长24.03%，主要是因为追加人员经费及专项经费增加。</w:t>
      </w:r>
    </w:p>
    <w:p>
      <w:pPr>
        <w:pStyle w:val="14"/>
        <w:spacing w:line="360" w:lineRule="auto"/>
        <w:ind w:firstLine="640" w:firstLineChars="200"/>
        <w:rPr>
          <w:rFonts w:hAnsi="黑体"/>
          <w:bCs/>
          <w:color w:val="auto"/>
          <w:sz w:val="32"/>
          <w:szCs w:val="32"/>
        </w:rPr>
      </w:pPr>
      <w:r>
        <w:rPr>
          <w:rFonts w:hint="eastAsia" w:hAnsi="黑体"/>
          <w:bCs/>
          <w:color w:val="auto"/>
          <w:sz w:val="32"/>
          <w:szCs w:val="32"/>
        </w:rPr>
        <w:t>二、收入决算情况说明</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2023年度收入合计4456.33万元，其中：财政拨款收入3943.58万元，占88.49%；上级补助收入0万元，占0%；事业收入192.87万元，占4.33%；经营收入0万元，占0%；附属单位上缴收入0万元，占0%；其他收入319.88万元，占7.18%。</w:t>
      </w:r>
    </w:p>
    <w:p>
      <w:pPr>
        <w:pStyle w:val="14"/>
        <w:spacing w:line="360" w:lineRule="auto"/>
        <w:ind w:firstLine="640" w:firstLineChars="200"/>
        <w:rPr>
          <w:rFonts w:hAnsi="黑体"/>
          <w:bCs/>
          <w:color w:val="auto"/>
          <w:sz w:val="32"/>
          <w:szCs w:val="32"/>
        </w:rPr>
      </w:pPr>
      <w:r>
        <w:rPr>
          <w:rFonts w:hint="eastAsia" w:hAnsi="黑体"/>
          <w:bCs/>
          <w:color w:val="auto"/>
          <w:sz w:val="32"/>
          <w:szCs w:val="32"/>
        </w:rPr>
        <w:t>三、支出决算情况说明</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2023年度支出合计4242.42万元，其中：基本支出1844.16万元，占43.47%；项目支出2398.26万元，占56.53%；上缴上级支出0万元，占0%；经营支出0万元，占0%；对附属单位补助支出0万元，占0%。</w:t>
      </w:r>
    </w:p>
    <w:p>
      <w:pPr>
        <w:pStyle w:val="14"/>
        <w:spacing w:line="360" w:lineRule="auto"/>
        <w:ind w:firstLine="640" w:firstLineChars="200"/>
        <w:rPr>
          <w:rFonts w:hAnsi="黑体"/>
          <w:bCs/>
          <w:color w:val="auto"/>
          <w:sz w:val="32"/>
          <w:szCs w:val="32"/>
        </w:rPr>
      </w:pPr>
      <w:r>
        <w:rPr>
          <w:rFonts w:hint="eastAsia" w:hAnsi="黑体"/>
          <w:bCs/>
          <w:color w:val="auto"/>
          <w:sz w:val="32"/>
          <w:szCs w:val="32"/>
        </w:rPr>
        <w:t>四、财政拨款收入支出决算总体情况说明</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 xml:space="preserve"> 2023年度财政拨款收、支总计4840.97万元，与上年相比，增加1556.44万元,增长47.39%，主要是因为追加人员经费及专项经费增加。</w:t>
      </w:r>
    </w:p>
    <w:p>
      <w:pPr>
        <w:pStyle w:val="14"/>
        <w:spacing w:line="360" w:lineRule="auto"/>
        <w:ind w:firstLine="640" w:firstLineChars="200"/>
        <w:rPr>
          <w:rFonts w:hAnsi="黑体"/>
          <w:bCs/>
          <w:color w:val="auto"/>
          <w:sz w:val="32"/>
          <w:szCs w:val="32"/>
        </w:rPr>
      </w:pPr>
      <w:r>
        <w:rPr>
          <w:rFonts w:hint="eastAsia" w:hAnsi="黑体"/>
          <w:bCs/>
          <w:color w:val="auto"/>
          <w:sz w:val="32"/>
          <w:szCs w:val="32"/>
        </w:rPr>
        <w:t>五、一般公共预算财政拨款支出决算情况说明</w:t>
      </w:r>
    </w:p>
    <w:p>
      <w:pPr>
        <w:pStyle w:val="14"/>
        <w:spacing w:line="360" w:lineRule="auto"/>
        <w:ind w:firstLine="640" w:firstLineChars="200"/>
        <w:rPr>
          <w:rFonts w:ascii="楷体" w:hAnsi="楷体" w:eastAsia="楷体" w:cs="楷体"/>
          <w:bCs/>
          <w:color w:val="auto"/>
          <w:sz w:val="32"/>
          <w:szCs w:val="32"/>
        </w:rPr>
      </w:pPr>
      <w:r>
        <w:rPr>
          <w:rFonts w:hint="eastAsia" w:ascii="楷体" w:hAnsi="楷体" w:eastAsia="楷体" w:cs="楷体"/>
          <w:bCs/>
          <w:color w:val="auto"/>
          <w:sz w:val="32"/>
          <w:szCs w:val="32"/>
        </w:rPr>
        <w:t>（一）一般公共预算财政拨款支出决算总体情况</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2023年度财政拨款支出3660.13万元，占本年支出合计的86.27%，与上年相比，财政拨款支出增加1272.96万元，增长53.33%，主要是因为追加人员经费及专项经费增加。</w:t>
      </w:r>
    </w:p>
    <w:p>
      <w:pPr>
        <w:pStyle w:val="14"/>
        <w:spacing w:line="360" w:lineRule="auto"/>
        <w:ind w:firstLine="480" w:firstLineChars="150"/>
        <w:rPr>
          <w:rFonts w:ascii="楷体" w:hAnsi="楷体" w:eastAsia="楷体" w:cs="楷体"/>
          <w:bCs/>
          <w:color w:val="auto"/>
          <w:sz w:val="32"/>
          <w:szCs w:val="32"/>
        </w:rPr>
      </w:pPr>
      <w:r>
        <w:rPr>
          <w:rFonts w:hint="eastAsia" w:ascii="楷体" w:hAnsi="楷体" w:eastAsia="楷体" w:cs="楷体"/>
          <w:bCs/>
          <w:color w:val="auto"/>
          <w:sz w:val="32"/>
          <w:szCs w:val="32"/>
        </w:rPr>
        <w:t>（二）一般公共预算财政拨款支出决算结构情况</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度财政拨款支出3660.13万元，主要用于以下方面：科学技术（类）支出73.41万元，占2.00%；社会保障和就业（类）支出103.89万元，占2.84%；节能环保（类）支出20万元，占0.55%；农林水（类）支出3462.83万元，占94.61%。</w:t>
      </w:r>
    </w:p>
    <w:p>
      <w:pPr>
        <w:pStyle w:val="14"/>
        <w:spacing w:line="360" w:lineRule="auto"/>
        <w:ind w:firstLine="800" w:firstLineChars="250"/>
        <w:rPr>
          <w:rFonts w:ascii="楷体" w:hAnsi="楷体" w:eastAsia="楷体" w:cs="楷体"/>
          <w:bCs/>
          <w:color w:val="auto"/>
          <w:sz w:val="32"/>
          <w:szCs w:val="32"/>
        </w:rPr>
      </w:pPr>
      <w:r>
        <w:rPr>
          <w:rFonts w:hint="eastAsia" w:ascii="楷体" w:hAnsi="楷体" w:eastAsia="楷体" w:cs="楷体"/>
          <w:bCs/>
          <w:color w:val="auto"/>
          <w:sz w:val="32"/>
          <w:szCs w:val="32"/>
        </w:rPr>
        <w:t>（三）一般公共预算财政拨款支出决算具体情况</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2023年度财政拨款支出年初预算数为2396.62万元，支出决算数为3660.13万元，完成年初预算的152.72%，其中：</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1、科学技术（类）科学技术普及（款）学术交流活动（项）。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年初预算为3.25万元，支出决算为3.25万元，完成年初预算的100%。</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2、科学技术（类）科技重大项目（款）重点研发计划（项）。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年初预算为0万元，支出决算为60.16万元，决算数大于年初预算数的主要原因是：年中追加项目资金。</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3、科学技术（类）其他科学技术支出（款）科技奖励（项）。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年初预算为0万元，支出决算为10万元，决算数大于年初预算数的主要原因是：年中追加项目资金。</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4、社会保障和就业（类）行政事业单位养老支出（款）机关事业单位基本养老保险缴费支出（项）。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年初预算为91.17万元，支出决算为91.17万元，完成年初预算的100%。</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5、社会保障和就业（类）抚恤（款）死亡抚恤（项）。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年初预算为0万元，支出决算为12.72万元，决算数大于年初预算数的主要原因是：年中追加抚恤金。</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6、节能环保（类）能源节约利用（款）能源节约利用（项）。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年初预算为0万元，支出决算为20.00万元，决算数大于年初预算数的主要原因是：年中追加项目资金。</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7、农林水（类）农业农村（款）行政运行（项）。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年初预算为0万元，支出决算为459.40万元，决算数大于年初预算数的主要原因是：追加人员经费。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8、农林水（类）农业农村（款）事业运行（项）。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年初预算为1038.09万元，支出决算为1041.32万元，完成年初预算的100.31%。决算数大于年初预算数的主要原因是：年中追加基本支出经费。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9、农林水（类）农业农村（款）科技转化与推广服务（项）。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年初预算为25万元，支出决算为91.79万元，完成年初预算的367.16%，决算数大于年初预算数的主要原因是：年中追加项目经费。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10、农林水（类）农业农村（款）农产品质量安全（项）。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年初预算为0万元，支出决算为14.76元，决算数大于年初预算数的主要原因是：年中追加项目经费。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11、农林水（类）农业农村（款）统计监测与信息服务（项）。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年初预算为0.32万元，支出决算为0.32万元，完成年初预算的100%。</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12、农林水（类）农业农村（款）农业生产发展（项）。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年初预算为347.50万元，支出决算为327.14万元，完成年初预算的94.15%，决算数小于年初预算数的主要原因是：相关工作调整至2024年上半年完成，主要结转差旅费。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13、农林水（类）农业农村（款）农业资源保护修复与利用（项）。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年初预算为14.65万元，支出决算为19.20万元，完成年初预算的131.06%，决算数大于年初预算数的主要原因是：年中追加2023年农业种质资源保护与利用项目资金。</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14、农林水（类）农业农村（款）其他农业农村支出（项）。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年初预算为3.72万元，支出决算为3.72万元，完成年初预算的100%。</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15、农林水（类）目标价格补贴（款）棉花目标价格补贴（项）。</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年初预算为872.92万元，支出决算为1505.19万元，完成年初预算的171.25%，决算数大于年初预算数的主要原因是：年中追加项目资金。</w:t>
      </w:r>
    </w:p>
    <w:p>
      <w:pPr>
        <w:pStyle w:val="14"/>
        <w:spacing w:line="360" w:lineRule="auto"/>
        <w:ind w:firstLine="640" w:firstLineChars="200"/>
        <w:rPr>
          <w:rFonts w:hAnsi="黑体"/>
          <w:bCs/>
          <w:color w:val="auto"/>
          <w:sz w:val="32"/>
          <w:szCs w:val="32"/>
        </w:rPr>
      </w:pPr>
      <w:r>
        <w:rPr>
          <w:rFonts w:hint="eastAsia" w:hAnsi="黑体"/>
          <w:bCs/>
          <w:color w:val="auto"/>
          <w:sz w:val="32"/>
          <w:szCs w:val="32"/>
        </w:rPr>
        <w:t>六、一般公共预算财政拨款基本支出决算情况说明</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2023年度财政拨款基本支出1604.61万元，其中：</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b/>
          <w:bCs/>
          <w:color w:val="auto"/>
          <w:sz w:val="32"/>
          <w:szCs w:val="32"/>
        </w:rPr>
        <w:t>人员经费</w:t>
      </w:r>
      <w:r>
        <w:rPr>
          <w:rFonts w:hint="eastAsia" w:ascii="Times New Roman" w:hAnsi="Times New Roman" w:eastAsia="仿宋_GB2312"/>
          <w:color w:val="auto"/>
          <w:sz w:val="32"/>
          <w:szCs w:val="32"/>
        </w:rPr>
        <w:t>1520.91万元，占基本支出的94.78%,主要包括基本工资、津贴补贴、伙食补助费、绩效工资、 退休费、 机关事业单位基本养老保险缴费、住房公积金、职工基本医疗保险缴费等。</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b/>
          <w:bCs/>
          <w:color w:val="auto"/>
          <w:sz w:val="32"/>
          <w:szCs w:val="32"/>
        </w:rPr>
        <w:t>公用经费</w:t>
      </w:r>
      <w:r>
        <w:rPr>
          <w:rFonts w:hint="eastAsia" w:ascii="Times New Roman" w:hAnsi="Times New Roman" w:eastAsia="仿宋_GB2312"/>
          <w:color w:val="auto"/>
          <w:sz w:val="32"/>
          <w:szCs w:val="32"/>
        </w:rPr>
        <w:t>83.70万元，占基本支出的5.22%，主要包括办公费、印刷费、工会经费、福利费、差旅费、公务用车运行维护费、税金及附加费用、公务接待费、邮电费等。</w:t>
      </w:r>
    </w:p>
    <w:p>
      <w:pPr>
        <w:pStyle w:val="14"/>
        <w:numPr>
          <w:ilvl w:val="0"/>
          <w:numId w:val="2"/>
        </w:numPr>
        <w:spacing w:line="360" w:lineRule="auto"/>
        <w:ind w:firstLine="640" w:firstLineChars="200"/>
        <w:rPr>
          <w:rFonts w:hAnsi="黑体"/>
          <w:bCs/>
          <w:color w:val="auto"/>
          <w:sz w:val="32"/>
          <w:szCs w:val="32"/>
        </w:rPr>
      </w:pPr>
      <w:r>
        <w:rPr>
          <w:rFonts w:hint="eastAsia" w:hAnsi="黑体"/>
          <w:bCs/>
          <w:color w:val="auto"/>
          <w:sz w:val="32"/>
          <w:szCs w:val="32"/>
        </w:rPr>
        <w:t>财政拨款三公经费支出决算情况说明</w:t>
      </w:r>
    </w:p>
    <w:p>
      <w:pPr>
        <w:pStyle w:val="14"/>
        <w:spacing w:line="360" w:lineRule="auto"/>
        <w:ind w:firstLine="640" w:firstLineChars="200"/>
        <w:rPr>
          <w:rFonts w:ascii="楷体" w:hAnsi="楷体" w:eastAsia="楷体" w:cs="楷体"/>
          <w:b/>
          <w:color w:val="auto"/>
          <w:sz w:val="32"/>
          <w:szCs w:val="32"/>
        </w:rPr>
      </w:pPr>
      <w:r>
        <w:rPr>
          <w:rFonts w:hint="eastAsia" w:ascii="楷体" w:hAnsi="楷体" w:eastAsia="楷体" w:cs="楷体"/>
          <w:b/>
          <w:color w:val="auto"/>
          <w:sz w:val="32"/>
          <w:szCs w:val="32"/>
        </w:rPr>
        <w:t>（一）“三公”经费财政拨款支出决算总体情况说明</w:t>
      </w:r>
    </w:p>
    <w:p>
      <w:pPr>
        <w:pStyle w:val="14"/>
        <w:spacing w:line="360" w:lineRule="auto"/>
        <w:ind w:firstLine="800" w:firstLineChars="25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“三公”经费财政拨款支出预算为10万元，支出决算为10万元，完成预算的100%，与上年相比减少2万元，减少16.67%，减少的主要原因是厉行节约，压减“三公”经费支出。其中：</w:t>
      </w:r>
    </w:p>
    <w:p>
      <w:pPr>
        <w:pStyle w:val="14"/>
        <w:spacing w:line="360" w:lineRule="auto"/>
        <w:ind w:firstLine="800" w:firstLineChars="25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因公出国（境）费支出预算为0万元，支出决算为0万元，与上年持平。</w:t>
      </w:r>
    </w:p>
    <w:p>
      <w:pPr>
        <w:pStyle w:val="14"/>
        <w:spacing w:line="360" w:lineRule="auto"/>
        <w:ind w:firstLine="800" w:firstLineChars="25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公务接待费支出预算为5万元，支出决算为5万元，完成预算的100%，与上年相比减少1万元，减少16.67%，减少的主要原因是厉行节约，压减“三公”经费支出。</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公务用车购置费支出预算为0万元，支出决算为0万元，与上年持平。</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公务用车运行维护费支出预算为5万元，支出决算为5万元，完成预算的100%，与上年相比减少1万元，减少16.67%，减少的主要原因是厉行节约，压减“三公”经费支出。</w:t>
      </w:r>
    </w:p>
    <w:p>
      <w:pPr>
        <w:pStyle w:val="14"/>
        <w:spacing w:line="360" w:lineRule="auto"/>
        <w:ind w:firstLine="640" w:firstLineChars="200"/>
        <w:rPr>
          <w:rFonts w:ascii="楷体" w:hAnsi="楷体" w:eastAsia="楷体" w:cs="楷体"/>
          <w:b/>
          <w:color w:val="auto"/>
          <w:sz w:val="32"/>
          <w:szCs w:val="32"/>
        </w:rPr>
      </w:pPr>
      <w:r>
        <w:rPr>
          <w:rFonts w:hint="eastAsia" w:ascii="楷体" w:hAnsi="楷体" w:eastAsia="楷体" w:cs="楷体"/>
          <w:b/>
          <w:color w:val="auto"/>
          <w:sz w:val="32"/>
          <w:szCs w:val="32"/>
        </w:rPr>
        <w:t>（二）“三公”经费财政拨款支出决算具体情况说明</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2023年度“三公”经费财政拨款支出决算中，公务接待费支出决算5万元，占50%,因公出国（境）费支出决算0万元，占0%,公务用车购置费及运行维护费支出决算5万元，占50%。其中：</w:t>
      </w:r>
    </w:p>
    <w:p>
      <w:pPr>
        <w:pStyle w:val="14"/>
        <w:spacing w:line="360" w:lineRule="auto"/>
        <w:ind w:firstLine="800" w:firstLineChars="250"/>
        <w:rPr>
          <w:rFonts w:ascii="楷体" w:hAnsi="楷体" w:eastAsia="仿宋_GB2312" w:cs="楷体"/>
          <w:b/>
          <w:bCs/>
          <w:i/>
          <w:color w:val="auto"/>
          <w:sz w:val="32"/>
          <w:szCs w:val="32"/>
        </w:rPr>
      </w:pPr>
      <w:r>
        <w:rPr>
          <w:rFonts w:hint="eastAsia" w:ascii="Times New Roman" w:hAnsi="Times New Roman" w:eastAsia="仿宋_GB2312"/>
          <w:color w:val="auto"/>
          <w:sz w:val="32"/>
          <w:szCs w:val="32"/>
        </w:rPr>
        <w:t>1、因公出国（境）费支出决算为0万元，全年安排因公出国（境）团组0个，累计0人次。</w:t>
      </w:r>
    </w:p>
    <w:p>
      <w:pPr>
        <w:pStyle w:val="14"/>
        <w:spacing w:line="360" w:lineRule="auto"/>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2、公务接待费支出决算为5万元，全年共接待来访团组72个、来宾323人次，主要是省市县等相关部门、企业进行调研、考察、项目对接等发生的接待支出。</w:t>
      </w:r>
    </w:p>
    <w:p>
      <w:pPr>
        <w:spacing w:line="360" w:lineRule="auto"/>
        <w:ind w:firstLine="800" w:firstLineChars="250"/>
        <w:rPr>
          <w:rFonts w:ascii="楷体" w:hAnsi="楷体" w:eastAsia="楷体" w:cs="楷体"/>
          <w:b/>
          <w:bCs/>
          <w:i/>
          <w:color w:val="auto"/>
          <w:kern w:val="0"/>
          <w:sz w:val="32"/>
          <w:szCs w:val="32"/>
        </w:rPr>
      </w:pPr>
      <w:r>
        <w:rPr>
          <w:rFonts w:hint="eastAsia" w:ascii="Times New Roman" w:hAnsi="Times New Roman" w:eastAsia="仿宋_GB2312"/>
          <w:color w:val="auto"/>
          <w:sz w:val="32"/>
          <w:szCs w:val="32"/>
        </w:rPr>
        <w:t>3、公务用车购置费及运行维护费支出决算为5万元，其中：公务用车购置费0万元，单位本级更新公务用车0辆。公务用车运行维护费5万元，主要是辆燃油、保险、维修、通行费等支出，截止2023年12月31日，我单位开支财政拨款的公务用车保有量为2辆。</w:t>
      </w:r>
    </w:p>
    <w:p>
      <w:pPr>
        <w:pStyle w:val="14"/>
        <w:spacing w:line="360" w:lineRule="auto"/>
        <w:ind w:firstLine="640" w:firstLineChars="200"/>
        <w:rPr>
          <w:rFonts w:hAnsi="黑体"/>
          <w:bCs/>
          <w:color w:val="auto"/>
          <w:sz w:val="32"/>
          <w:szCs w:val="32"/>
        </w:rPr>
      </w:pPr>
      <w:r>
        <w:rPr>
          <w:rFonts w:hint="eastAsia" w:hAnsi="黑体"/>
          <w:bCs/>
          <w:color w:val="auto"/>
          <w:sz w:val="32"/>
          <w:szCs w:val="32"/>
        </w:rPr>
        <w:t>八、政府性基金预算收入支出决算情况</w:t>
      </w:r>
    </w:p>
    <w:p>
      <w:pPr>
        <w:pStyle w:val="14"/>
        <w:spacing w:line="360" w:lineRule="auto"/>
        <w:rPr>
          <w:rFonts w:ascii="Times New Roman" w:hAnsi="Times New Roman" w:eastAsia="仿宋_GB2312"/>
          <w:color w:val="auto"/>
          <w:sz w:val="32"/>
          <w:szCs w:val="32"/>
        </w:rPr>
      </w:pPr>
      <w:r>
        <w:rPr>
          <w:rFonts w:hint="eastAsia" w:ascii="Times New Roman" w:hAnsi="Times New Roman" w:eastAsia="仿宋_GB2312"/>
          <w:color w:val="auto"/>
          <w:sz w:val="32"/>
          <w:szCs w:val="32"/>
        </w:rPr>
        <w:t xml:space="preserve">     2023年度本单位无政府性基金收支</w:t>
      </w:r>
    </w:p>
    <w:p>
      <w:pPr>
        <w:pStyle w:val="14"/>
        <w:spacing w:line="360" w:lineRule="auto"/>
        <w:ind w:firstLine="640" w:firstLineChars="200"/>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本部门2023年度无机关运行经费支出。</w:t>
      </w:r>
    </w:p>
    <w:p>
      <w:pPr>
        <w:pStyle w:val="14"/>
        <w:spacing w:line="360" w:lineRule="auto"/>
        <w:ind w:firstLine="640" w:firstLineChars="200"/>
        <w:rPr>
          <w:rFonts w:hAnsi="黑体"/>
          <w:bCs/>
          <w:color w:val="auto"/>
          <w:sz w:val="32"/>
          <w:szCs w:val="32"/>
        </w:rPr>
      </w:pPr>
      <w:r>
        <w:rPr>
          <w:rFonts w:hint="eastAsia" w:hAnsi="黑体"/>
          <w:bCs/>
          <w:color w:val="auto"/>
          <w:sz w:val="32"/>
          <w:szCs w:val="32"/>
        </w:rPr>
        <w:t>十、一般性支出情况说明</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2023年本部门开支会议费23.79万元，共774人，其中：</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严格管控区棉花替代种植推进会，3.06万元，13人；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全省棉花生产工作部署会，4.05万元，140人；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参加第五届农作物连作障碍绿色解决方案技术与经验交流会，0.26万元，2人；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全省棉花机械直播技术指导会，3.65万元，83人；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全省棉花机械直播现场会，4.98万元，126人；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棉花科技创新项目及社会化服务项目现场答辩会，1.92万元，52人；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参加全国植保科技工作者学术论坛会议，0.14万元，1人；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参加中国作物学会棉花专业委员会第二届学术研讨会，0.08万元，1人；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机采棉田间管理现场观摩会，0.18万元，30人；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重金属污染耕地（严格管控区）棉花高产与镉高富集协调栽培技术现场评议会，0.05万元，10人；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棉花政策调研会议，0.52万元，15人；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机采棉高密栽培现场测产观摩会，1.31万元，70人；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高产优质花生品种及其种子快繁技术观摩测产现场会，0.18万元，14人；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2023年上半年全省种植业经济暨棉花产销形势分析会，2.04万元，57人；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棉花科技创新项目评审会，1.07万元，42人；</w:t>
      </w:r>
    </w:p>
    <w:p>
      <w:pPr>
        <w:pStyle w:val="14"/>
        <w:numPr>
          <w:ilvl w:val="0"/>
          <w:numId w:val="3"/>
        </w:numPr>
        <w:spacing w:line="360" w:lineRule="auto"/>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棉花大县奖励政策实施成效评估会，0.30万元，18人。</w:t>
      </w:r>
    </w:p>
    <w:p>
      <w:pPr>
        <w:pStyle w:val="14"/>
        <w:spacing w:line="360" w:lineRule="auto"/>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开支培训费2.65万元，67人，其中：</w:t>
      </w:r>
    </w:p>
    <w:p>
      <w:pPr>
        <w:pStyle w:val="14"/>
        <w:numPr>
          <w:ilvl w:val="0"/>
          <w:numId w:val="4"/>
        </w:numPr>
        <w:spacing w:line="360" w:lineRule="auto"/>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在职人员继续教育培训，1.34万元，62人；</w:t>
      </w:r>
    </w:p>
    <w:p>
      <w:pPr>
        <w:pStyle w:val="14"/>
        <w:numPr>
          <w:ilvl w:val="0"/>
          <w:numId w:val="4"/>
        </w:numPr>
        <w:spacing w:line="360" w:lineRule="auto"/>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参加农业地方标准编写专题培训班，0.45万元，3人；</w:t>
      </w:r>
    </w:p>
    <w:p>
      <w:pPr>
        <w:pStyle w:val="14"/>
        <w:numPr>
          <w:ilvl w:val="0"/>
          <w:numId w:val="4"/>
        </w:numPr>
        <w:spacing w:line="360" w:lineRule="auto"/>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参加第九届全国油菜遗传育种与生产实践培训班，0.4万元，2人；</w:t>
      </w:r>
    </w:p>
    <w:p>
      <w:pPr>
        <w:pStyle w:val="14"/>
        <w:numPr>
          <w:ilvl w:val="0"/>
          <w:numId w:val="4"/>
        </w:numPr>
        <w:spacing w:line="360" w:lineRule="auto"/>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党建培训，0.23万元，62人；</w:t>
      </w:r>
    </w:p>
    <w:p>
      <w:pPr>
        <w:pStyle w:val="14"/>
        <w:numPr>
          <w:ilvl w:val="0"/>
          <w:numId w:val="4"/>
        </w:numPr>
        <w:spacing w:line="360" w:lineRule="auto"/>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业务知识培训，0.23万元，62人。</w:t>
      </w:r>
    </w:p>
    <w:p>
      <w:pPr>
        <w:pStyle w:val="14"/>
        <w:spacing w:line="360" w:lineRule="auto"/>
        <w:ind w:firstLine="640" w:firstLineChars="200"/>
        <w:rPr>
          <w:rFonts w:hAnsi="黑体"/>
          <w:bCs/>
          <w:color w:val="auto"/>
          <w:sz w:val="32"/>
          <w:szCs w:val="32"/>
        </w:rPr>
      </w:pPr>
      <w:r>
        <w:rPr>
          <w:rFonts w:hint="eastAsia" w:hAnsi="黑体"/>
          <w:bCs/>
          <w:color w:val="auto"/>
          <w:sz w:val="32"/>
          <w:szCs w:val="32"/>
        </w:rPr>
        <w:t>十一、关于政府采购支出说明</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本部门2023年度政府采购支出总额666.17万元，其中：政府采购货物支出666.17元、政府采购工程支出0万元、政府采购服务支出0万元。授予中小企业合同金额666.17万元，占政府采购支出总额的100%，其中：授予小微企业合同金额666.17万元，占授予中小企业合同金额的100%。货物采购授予中小企业合同金额占货物支出金额的100%</w:t>
      </w:r>
    </w:p>
    <w:p>
      <w:pPr>
        <w:pStyle w:val="14"/>
        <w:spacing w:line="360" w:lineRule="auto"/>
        <w:ind w:firstLine="640" w:firstLineChars="200"/>
        <w:rPr>
          <w:rFonts w:hAnsi="黑体"/>
          <w:bCs/>
          <w:color w:val="auto"/>
          <w:sz w:val="32"/>
          <w:szCs w:val="32"/>
        </w:rPr>
      </w:pPr>
      <w:r>
        <w:rPr>
          <w:rFonts w:hint="eastAsia" w:hAnsi="黑体"/>
          <w:bCs/>
          <w:color w:val="auto"/>
          <w:sz w:val="32"/>
          <w:szCs w:val="32"/>
        </w:rPr>
        <w:t>十二、关于国有资产占用情况说明</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2023年12月31日，单位共有车辆2辆，其中，副部（省）级及以上领导用车0辆、主要负责人用车0辆、机要通信用车0辆、应急保障用车0辆、执法执勤用车0辆、特种专业技术用车0辆、离退休干部服务用车0辆、其他用车2辆，其他用车主要是科技服务下乡车辆及农用车；单位价值100万元以上设备（不含车辆）0台（套）。</w:t>
      </w:r>
    </w:p>
    <w:p>
      <w:pPr>
        <w:pStyle w:val="14"/>
        <w:spacing w:line="360" w:lineRule="auto"/>
        <w:ind w:firstLine="640" w:firstLineChars="200"/>
        <w:rPr>
          <w:rFonts w:hAnsi="黑体"/>
          <w:bCs/>
          <w:color w:val="auto"/>
          <w:sz w:val="32"/>
          <w:szCs w:val="32"/>
        </w:rPr>
      </w:pPr>
      <w:r>
        <w:rPr>
          <w:rFonts w:hint="eastAsia" w:hAnsi="黑体"/>
          <w:bCs/>
          <w:color w:val="auto"/>
          <w:sz w:val="32"/>
          <w:szCs w:val="32"/>
        </w:rPr>
        <w:t>十三、关于</w:t>
      </w:r>
      <w:r>
        <w:rPr>
          <w:rFonts w:hint="eastAsia" w:ascii="Times New Roman" w:hAnsi="Times New Roman" w:eastAsia="仿宋_GB2312"/>
          <w:color w:val="auto"/>
          <w:sz w:val="32"/>
          <w:szCs w:val="32"/>
        </w:rPr>
        <w:t>2023</w:t>
      </w:r>
      <w:r>
        <w:rPr>
          <w:rFonts w:hint="eastAsia" w:hAnsi="黑体"/>
          <w:bCs/>
          <w:color w:val="auto"/>
          <w:sz w:val="32"/>
          <w:szCs w:val="32"/>
        </w:rPr>
        <w:t>年度预算绩效情况的说明</w:t>
      </w:r>
    </w:p>
    <w:p>
      <w:pPr>
        <w:pStyle w:val="14"/>
        <w:spacing w:line="360" w:lineRule="auto"/>
        <w:ind w:firstLine="640"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（一）绩效管理工作开展情况</w:t>
      </w:r>
    </w:p>
    <w:p>
      <w:pPr>
        <w:pStyle w:val="14"/>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年度省级预算部门绩效自评和部门评价的通知》（湘财绩〔2024〕1号）要求，我所成立部门整体支出绩效自评工作组，于2024年4月对 2023 年整体支出实施了预算绩效自评。</w:t>
      </w:r>
    </w:p>
    <w:p>
      <w:pPr>
        <w:pStyle w:val="14"/>
        <w:spacing w:line="360" w:lineRule="auto"/>
        <w:ind w:firstLine="640"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（二）单位整体支出绩效情况</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1、运行成本</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2023</w:t>
      </w:r>
      <w:r>
        <w:rPr>
          <w:rFonts w:ascii="Times New Roman" w:hAnsi="仿宋_GB2312" w:eastAsia="仿宋_GB2312" w:cs="Times New Roman"/>
          <w:color w:val="auto"/>
          <w:sz w:val="32"/>
          <w:szCs w:val="32"/>
        </w:rPr>
        <w:t>年全年预算数</w:t>
      </w:r>
      <w:r>
        <w:rPr>
          <w:rFonts w:ascii="Times New Roman" w:hAnsi="Times New Roman" w:eastAsia="仿宋_GB2312" w:cs="Times New Roman"/>
          <w:color w:val="auto"/>
          <w:sz w:val="32"/>
          <w:szCs w:val="32"/>
        </w:rPr>
        <w:t>5745.55</w:t>
      </w:r>
      <w:r>
        <w:rPr>
          <w:rFonts w:ascii="Times New Roman" w:hAnsi="仿宋_GB2312" w:eastAsia="仿宋_GB2312" w:cs="Times New Roman"/>
          <w:color w:val="auto"/>
          <w:sz w:val="32"/>
          <w:szCs w:val="32"/>
        </w:rPr>
        <w:t>万元，决算数</w:t>
      </w:r>
      <w:r>
        <w:rPr>
          <w:rFonts w:ascii="Times New Roman" w:hAnsi="Times New Roman" w:eastAsia="仿宋_GB2312" w:cs="Times New Roman"/>
          <w:color w:val="auto"/>
          <w:sz w:val="32"/>
          <w:szCs w:val="32"/>
        </w:rPr>
        <w:t>4242.42</w:t>
      </w:r>
      <w:r>
        <w:rPr>
          <w:rFonts w:ascii="Times New Roman" w:hAnsi="仿宋_GB2312" w:eastAsia="仿宋_GB2312" w:cs="Times New Roman"/>
          <w:color w:val="auto"/>
          <w:sz w:val="32"/>
          <w:szCs w:val="32"/>
        </w:rPr>
        <w:t>万元，预算执行率</w:t>
      </w:r>
      <w:r>
        <w:rPr>
          <w:rFonts w:ascii="Times New Roman" w:hAnsi="Times New Roman" w:eastAsia="仿宋_GB2312" w:cs="Times New Roman"/>
          <w:color w:val="auto"/>
          <w:sz w:val="32"/>
          <w:szCs w:val="32"/>
        </w:rPr>
        <w:t>73.84%</w:t>
      </w:r>
      <w:r>
        <w:rPr>
          <w:rFonts w:ascii="Times New Roman" w:hAnsi="仿宋_GB2312" w:eastAsia="仿宋_GB2312" w:cs="Times New Roman"/>
          <w:color w:val="auto"/>
          <w:sz w:val="32"/>
          <w:szCs w:val="32"/>
        </w:rPr>
        <w:t>。</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1</w:t>
      </w:r>
      <w:r>
        <w:rPr>
          <w:rFonts w:ascii="Times New Roman" w:hAnsi="仿宋_GB2312" w:eastAsia="仿宋_GB2312" w:cs="Times New Roman"/>
          <w:color w:val="auto"/>
          <w:sz w:val="32"/>
          <w:szCs w:val="32"/>
        </w:rPr>
        <w:t>）基本支出情况</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2023</w:t>
      </w:r>
      <w:r>
        <w:rPr>
          <w:rFonts w:ascii="Times New Roman" w:hAnsi="仿宋_GB2312" w:eastAsia="仿宋_GB2312" w:cs="Times New Roman"/>
          <w:color w:val="auto"/>
          <w:sz w:val="32"/>
          <w:szCs w:val="32"/>
        </w:rPr>
        <w:t>年度基本支出预算</w:t>
      </w:r>
      <w:r>
        <w:rPr>
          <w:rFonts w:ascii="Times New Roman" w:hAnsi="Times New Roman" w:eastAsia="仿宋_GB2312" w:cs="Times New Roman"/>
          <w:color w:val="auto"/>
          <w:sz w:val="32"/>
          <w:szCs w:val="32"/>
        </w:rPr>
        <w:t>1844.16</w:t>
      </w:r>
      <w:r>
        <w:rPr>
          <w:rFonts w:ascii="Times New Roman" w:hAnsi="仿宋_GB2312" w:eastAsia="仿宋_GB2312" w:cs="Times New Roman"/>
          <w:color w:val="auto"/>
          <w:sz w:val="32"/>
          <w:szCs w:val="32"/>
        </w:rPr>
        <w:t>万元，基本支出决算数为</w:t>
      </w:r>
      <w:r>
        <w:rPr>
          <w:rFonts w:ascii="Times New Roman" w:hAnsi="Times New Roman" w:eastAsia="仿宋_GB2312" w:cs="Times New Roman"/>
          <w:color w:val="auto"/>
          <w:sz w:val="32"/>
          <w:szCs w:val="32"/>
        </w:rPr>
        <w:t>1844.16</w:t>
      </w:r>
      <w:r>
        <w:rPr>
          <w:rFonts w:ascii="Times New Roman" w:hAnsi="仿宋_GB2312" w:eastAsia="仿宋_GB2312" w:cs="Times New Roman"/>
          <w:color w:val="auto"/>
          <w:sz w:val="32"/>
          <w:szCs w:val="32"/>
        </w:rPr>
        <w:t>万元。其中人员经费</w:t>
      </w:r>
      <w:r>
        <w:rPr>
          <w:rFonts w:ascii="Times New Roman" w:hAnsi="Times New Roman" w:eastAsia="仿宋_GB2312" w:cs="Times New Roman"/>
          <w:color w:val="auto"/>
          <w:sz w:val="32"/>
          <w:szCs w:val="32"/>
        </w:rPr>
        <w:t>1746.63</w:t>
      </w:r>
      <w:r>
        <w:rPr>
          <w:rFonts w:ascii="Times New Roman" w:hAnsi="仿宋_GB2312" w:eastAsia="仿宋_GB2312" w:cs="Times New Roman"/>
          <w:color w:val="auto"/>
          <w:sz w:val="32"/>
          <w:szCs w:val="32"/>
        </w:rPr>
        <w:t>万元、日常公用经费</w:t>
      </w:r>
      <w:r>
        <w:rPr>
          <w:rFonts w:ascii="Times New Roman" w:hAnsi="Times New Roman" w:eastAsia="仿宋_GB2312" w:cs="Times New Roman"/>
          <w:color w:val="auto"/>
          <w:sz w:val="32"/>
          <w:szCs w:val="32"/>
        </w:rPr>
        <w:t>97.53</w:t>
      </w:r>
      <w:r>
        <w:rPr>
          <w:rFonts w:ascii="Times New Roman" w:hAnsi="仿宋_GB2312" w:eastAsia="仿宋_GB2312" w:cs="Times New Roman"/>
          <w:color w:val="auto"/>
          <w:sz w:val="32"/>
          <w:szCs w:val="32"/>
        </w:rPr>
        <w:t>万元。本年基本支出结余</w:t>
      </w:r>
      <w:r>
        <w:rPr>
          <w:rFonts w:ascii="Times New Roman" w:hAnsi="Times New Roman" w:eastAsia="仿宋_GB2312" w:cs="Times New Roman"/>
          <w:color w:val="auto"/>
          <w:sz w:val="32"/>
          <w:szCs w:val="32"/>
        </w:rPr>
        <w:t>0</w:t>
      </w:r>
      <w:r>
        <w:rPr>
          <w:rFonts w:ascii="Times New Roman" w:hAnsi="仿宋_GB2312" w:eastAsia="仿宋_GB2312" w:cs="Times New Roman"/>
          <w:color w:val="auto"/>
          <w:sz w:val="32"/>
          <w:szCs w:val="32"/>
        </w:rPr>
        <w:t>万元。</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2</w:t>
      </w:r>
      <w:r>
        <w:rPr>
          <w:rFonts w:ascii="Times New Roman" w:hAnsi="仿宋_GB2312" w:eastAsia="仿宋_GB2312" w:cs="Times New Roman"/>
          <w:color w:val="auto"/>
          <w:sz w:val="32"/>
          <w:szCs w:val="32"/>
        </w:rPr>
        <w:t>）项目支出情况</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2023</w:t>
      </w:r>
      <w:r>
        <w:rPr>
          <w:rFonts w:ascii="Times New Roman" w:hAnsi="仿宋_GB2312" w:eastAsia="仿宋_GB2312" w:cs="Times New Roman"/>
          <w:color w:val="auto"/>
          <w:sz w:val="32"/>
          <w:szCs w:val="32"/>
        </w:rPr>
        <w:t>年度项目支出年初结余</w:t>
      </w:r>
      <w:r>
        <w:rPr>
          <w:rFonts w:ascii="Times New Roman" w:hAnsi="Times New Roman" w:eastAsia="仿宋_GB2312" w:cs="Times New Roman"/>
          <w:color w:val="auto"/>
          <w:sz w:val="32"/>
          <w:szCs w:val="32"/>
        </w:rPr>
        <w:t>1245.</w:t>
      </w:r>
      <w:r>
        <w:rPr>
          <w:rFonts w:hint="eastAsia" w:ascii="Times New Roman" w:hAnsi="Times New Roman" w:eastAsia="仿宋_GB2312" w:cs="Times New Roman"/>
          <w:color w:val="auto"/>
          <w:sz w:val="32"/>
          <w:szCs w:val="32"/>
        </w:rPr>
        <w:t>69</w:t>
      </w:r>
      <w:r>
        <w:rPr>
          <w:rFonts w:ascii="Times New Roman" w:hAnsi="仿宋_GB2312" w:eastAsia="仿宋_GB2312" w:cs="Times New Roman"/>
          <w:color w:val="auto"/>
          <w:sz w:val="32"/>
          <w:szCs w:val="32"/>
        </w:rPr>
        <w:t>万元，全年项目支出预算数为</w:t>
      </w:r>
      <w:r>
        <w:rPr>
          <w:rFonts w:ascii="Times New Roman" w:hAnsi="Times New Roman" w:eastAsia="仿宋_GB2312" w:cs="Times New Roman"/>
          <w:color w:val="auto"/>
          <w:sz w:val="32"/>
          <w:szCs w:val="32"/>
        </w:rPr>
        <w:t>3901.39</w:t>
      </w:r>
      <w:r>
        <w:rPr>
          <w:rFonts w:ascii="Times New Roman" w:hAnsi="仿宋_GB2312" w:eastAsia="仿宋_GB2312" w:cs="Times New Roman"/>
          <w:color w:val="auto"/>
          <w:sz w:val="32"/>
          <w:szCs w:val="32"/>
        </w:rPr>
        <w:t>万元。</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项目支出决算数为</w:t>
      </w:r>
      <w:r>
        <w:rPr>
          <w:rFonts w:ascii="Times New Roman" w:hAnsi="Times New Roman" w:eastAsia="仿宋_GB2312" w:cs="Times New Roman"/>
          <w:color w:val="auto"/>
          <w:sz w:val="32"/>
          <w:szCs w:val="32"/>
        </w:rPr>
        <w:t>2398.26</w:t>
      </w:r>
      <w:r>
        <w:rPr>
          <w:rFonts w:ascii="Times New Roman" w:hAnsi="仿宋_GB2312" w:eastAsia="仿宋_GB2312" w:cs="Times New Roman"/>
          <w:color w:val="auto"/>
          <w:sz w:val="32"/>
          <w:szCs w:val="32"/>
        </w:rPr>
        <w:t>万元，年末结余</w:t>
      </w:r>
      <w:r>
        <w:rPr>
          <w:rFonts w:ascii="Times New Roman" w:hAnsi="Times New Roman" w:eastAsia="仿宋_GB2312" w:cs="Times New Roman"/>
          <w:color w:val="auto"/>
          <w:sz w:val="32"/>
          <w:szCs w:val="32"/>
        </w:rPr>
        <w:t>1503.13</w:t>
      </w:r>
      <w:r>
        <w:rPr>
          <w:rFonts w:ascii="Times New Roman" w:hAnsi="仿宋_GB2312" w:eastAsia="仿宋_GB2312" w:cs="Times New Roman"/>
          <w:color w:val="auto"/>
          <w:sz w:val="32"/>
          <w:szCs w:val="32"/>
        </w:rPr>
        <w:t>万元。主要用于洞庭湖综合试验站</w:t>
      </w:r>
      <w:r>
        <w:rPr>
          <w:rFonts w:ascii="Times New Roman" w:hAnsi="Times New Roman" w:eastAsia="仿宋_GB2312" w:cs="Times New Roman"/>
          <w:color w:val="auto"/>
          <w:sz w:val="32"/>
          <w:szCs w:val="32"/>
        </w:rPr>
        <w:t>CARS-15-46</w:t>
      </w:r>
      <w:r>
        <w:rPr>
          <w:rFonts w:ascii="Times New Roman" w:hAnsi="仿宋_GB2312" w:eastAsia="仿宋_GB2312" w:cs="Times New Roman"/>
          <w:color w:val="auto"/>
          <w:sz w:val="32"/>
          <w:szCs w:val="32"/>
        </w:rPr>
        <w:t>建设、技术研发和技术创新引导项目资金</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棉花病虫害智能化识别技术研发与应用、桥南院和茅湾科研基地线管线路节能改造、</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蔬油两用油菜</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油葵</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模式技术研究与应用、绿色轻简高效植棉技术服务、湖南</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湘九味</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优势特色产业集群建设</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中药材种质资源保存中心建设项目、优质高抗百合品种选育及高效繁育技术研究、棉花水肥一体设施建设、</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一主四辅</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自动墒情监测站、</w:t>
      </w:r>
      <w:r>
        <w:rPr>
          <w:rFonts w:ascii="Times New Roman" w:hAnsi="Times New Roman" w:eastAsia="仿宋_GB2312" w:cs="Times New Roman"/>
          <w:color w:val="auto"/>
          <w:sz w:val="32"/>
          <w:szCs w:val="32"/>
        </w:rPr>
        <w:t>2022</w:t>
      </w:r>
      <w:r>
        <w:rPr>
          <w:rFonts w:ascii="Times New Roman" w:hAnsi="仿宋_GB2312" w:eastAsia="仿宋_GB2312" w:cs="Times New Roman"/>
          <w:color w:val="auto"/>
          <w:sz w:val="32"/>
          <w:szCs w:val="32"/>
        </w:rPr>
        <w:t>年棉花</w:t>
      </w:r>
      <w:r>
        <w:rPr>
          <w:rFonts w:hint="eastAsia" w:ascii="Times New Roman" w:hAnsi="仿宋_GB2312" w:eastAsia="仿宋_GB2312" w:cs="Times New Roman"/>
          <w:color w:val="auto"/>
          <w:sz w:val="32"/>
          <w:szCs w:val="32"/>
        </w:rPr>
        <w:t>项目</w:t>
      </w:r>
      <w:r>
        <w:rPr>
          <w:rFonts w:ascii="Times New Roman" w:hAnsi="仿宋_GB2312" w:eastAsia="仿宋_GB2312" w:cs="Times New Roman"/>
          <w:color w:val="auto"/>
          <w:sz w:val="32"/>
          <w:szCs w:val="32"/>
        </w:rPr>
        <w:t>结转</w:t>
      </w:r>
      <w:r>
        <w:rPr>
          <w:rFonts w:hint="eastAsia" w:ascii="Times New Roman" w:hAnsi="仿宋_GB2312" w:eastAsia="仿宋_GB2312" w:cs="Times New Roman"/>
          <w:color w:val="auto"/>
          <w:sz w:val="32"/>
          <w:szCs w:val="32"/>
        </w:rPr>
        <w:t>和</w:t>
      </w:r>
      <w:r>
        <w:rPr>
          <w:rFonts w:ascii="Times New Roman" w:hAnsi="Times New Roman" w:eastAsia="仿宋_GB2312" w:cs="Times New Roman"/>
          <w:color w:val="auto"/>
          <w:sz w:val="32"/>
          <w:szCs w:val="32"/>
        </w:rPr>
        <w:t>2023</w:t>
      </w:r>
      <w:r>
        <w:rPr>
          <w:rFonts w:ascii="Times New Roman" w:hAnsi="仿宋_GB2312" w:eastAsia="仿宋_GB2312" w:cs="Times New Roman"/>
          <w:color w:val="auto"/>
          <w:sz w:val="32"/>
          <w:szCs w:val="32"/>
        </w:rPr>
        <w:t>年棉花</w:t>
      </w:r>
      <w:r>
        <w:rPr>
          <w:rFonts w:hint="eastAsia" w:ascii="Times New Roman" w:hAnsi="仿宋_GB2312" w:eastAsia="仿宋_GB2312" w:cs="Times New Roman"/>
          <w:color w:val="auto"/>
          <w:sz w:val="32"/>
          <w:szCs w:val="32"/>
        </w:rPr>
        <w:t>项目资金、创新型省份建设、</w:t>
      </w:r>
      <w:r>
        <w:rPr>
          <w:rFonts w:hint="eastAsia" w:ascii="仿宋_GB2312" w:hAnsi="仿宋_GB2312" w:eastAsia="仿宋_GB2312" w:cs="仿宋_GB2312"/>
          <w:color w:val="auto"/>
          <w:sz w:val="32"/>
          <w:szCs w:val="32"/>
        </w:rPr>
        <w:t>现代农业产业技术体系建设与种业核心技术攻关、省级农产品质量安全监管、早稻集中育秧督导与核查、经济作物科研基地（数字农业）建设、紫苏梗饲料化开发与利用、农业种质资源保护与种业发展（特色作物）、甘薯脱毒种苗产业化示范推广</w:t>
      </w:r>
      <w:r>
        <w:rPr>
          <w:rFonts w:ascii="Times New Roman" w:hAnsi="仿宋_GB2312" w:eastAsia="仿宋_GB2312" w:cs="Times New Roman"/>
          <w:color w:val="auto"/>
          <w:sz w:val="32"/>
          <w:szCs w:val="32"/>
        </w:rPr>
        <w:t>等方面的支出。</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2、管理效率</w:t>
      </w:r>
    </w:p>
    <w:p>
      <w:pPr>
        <w:spacing w:line="360" w:lineRule="auto"/>
        <w:ind w:firstLine="64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1</w:t>
      </w:r>
      <w:r>
        <w:rPr>
          <w:rFonts w:ascii="Times New Roman" w:hAnsi="仿宋_GB2312" w:eastAsia="仿宋_GB2312" w:cs="Times New Roman"/>
          <w:color w:val="auto"/>
          <w:sz w:val="32"/>
          <w:szCs w:val="32"/>
        </w:rPr>
        <w:t>）深入调查研究促发展。主题教育期间组织开展技术培训</w:t>
      </w:r>
      <w:r>
        <w:rPr>
          <w:rFonts w:ascii="Times New Roman" w:hAnsi="Times New Roman" w:eastAsia="仿宋_GB2312" w:cs="Times New Roman"/>
          <w:color w:val="auto"/>
          <w:sz w:val="32"/>
          <w:szCs w:val="32"/>
        </w:rPr>
        <w:t>6</w:t>
      </w:r>
      <w:r>
        <w:rPr>
          <w:rFonts w:ascii="Times New Roman" w:hAnsi="仿宋_GB2312" w:eastAsia="仿宋_GB2312" w:cs="Times New Roman"/>
          <w:color w:val="auto"/>
          <w:sz w:val="32"/>
          <w:szCs w:val="32"/>
        </w:rPr>
        <w:t>次，联基层党支部</w:t>
      </w:r>
      <w:r>
        <w:rPr>
          <w:rFonts w:ascii="Times New Roman" w:hAnsi="Times New Roman" w:eastAsia="仿宋_GB2312" w:cs="Times New Roman"/>
          <w:color w:val="auto"/>
          <w:sz w:val="32"/>
          <w:szCs w:val="32"/>
        </w:rPr>
        <w:t>1</w:t>
      </w:r>
      <w:r>
        <w:rPr>
          <w:rFonts w:ascii="Times New Roman" w:hAnsi="仿宋_GB2312" w:eastAsia="仿宋_GB2312" w:cs="Times New Roman"/>
          <w:color w:val="auto"/>
          <w:sz w:val="32"/>
          <w:szCs w:val="32"/>
        </w:rPr>
        <w:t>个，进企业</w:t>
      </w:r>
      <w:r>
        <w:rPr>
          <w:rFonts w:ascii="Times New Roman" w:hAnsi="Times New Roman" w:eastAsia="仿宋_GB2312" w:cs="Times New Roman"/>
          <w:color w:val="auto"/>
          <w:sz w:val="32"/>
          <w:szCs w:val="32"/>
        </w:rPr>
        <w:t>11</w:t>
      </w:r>
      <w:r>
        <w:rPr>
          <w:rFonts w:ascii="Times New Roman" w:hAnsi="仿宋_GB2312" w:eastAsia="仿宋_GB2312" w:cs="Times New Roman"/>
          <w:color w:val="auto"/>
          <w:sz w:val="32"/>
          <w:szCs w:val="32"/>
        </w:rPr>
        <w:t>家，随机走访基层党员群众</w:t>
      </w:r>
      <w:r>
        <w:rPr>
          <w:rFonts w:ascii="Times New Roman" w:hAnsi="Times New Roman" w:eastAsia="仿宋_GB2312" w:cs="Times New Roman"/>
          <w:color w:val="auto"/>
          <w:sz w:val="32"/>
          <w:szCs w:val="32"/>
        </w:rPr>
        <w:t>500</w:t>
      </w:r>
      <w:r>
        <w:rPr>
          <w:rFonts w:ascii="Times New Roman" w:hAnsi="仿宋_GB2312" w:eastAsia="仿宋_GB2312" w:cs="Times New Roman"/>
          <w:color w:val="auto"/>
          <w:sz w:val="32"/>
          <w:szCs w:val="32"/>
        </w:rPr>
        <w:t>多人次，撰写调查报告</w:t>
      </w:r>
      <w:r>
        <w:rPr>
          <w:rFonts w:ascii="Times New Roman" w:hAnsi="Times New Roman" w:eastAsia="仿宋_GB2312" w:cs="Times New Roman"/>
          <w:color w:val="auto"/>
          <w:sz w:val="32"/>
          <w:szCs w:val="32"/>
        </w:rPr>
        <w:t>2</w:t>
      </w:r>
      <w:r>
        <w:rPr>
          <w:rFonts w:ascii="Times New Roman" w:hAnsi="仿宋_GB2312" w:eastAsia="仿宋_GB2312" w:cs="Times New Roman"/>
          <w:color w:val="auto"/>
          <w:sz w:val="32"/>
          <w:szCs w:val="32"/>
        </w:rPr>
        <w:t>份。</w:t>
      </w:r>
    </w:p>
    <w:p>
      <w:pPr>
        <w:spacing w:line="360" w:lineRule="auto"/>
        <w:ind w:firstLine="64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2</w:t>
      </w:r>
      <w:r>
        <w:rPr>
          <w:rFonts w:ascii="Times New Roman" w:hAnsi="仿宋_GB2312" w:eastAsia="仿宋_GB2312" w:cs="Times New Roman"/>
          <w:color w:val="auto"/>
          <w:sz w:val="32"/>
          <w:szCs w:val="32"/>
        </w:rPr>
        <w:t>）成功构建并不断优化甘薯组培脱毒技术体系，甘薯脱毒组培苗累计扩繁</w:t>
      </w:r>
      <w:r>
        <w:rPr>
          <w:rFonts w:ascii="Times New Roman" w:hAnsi="Times New Roman" w:eastAsia="仿宋_GB2312" w:cs="Times New Roman"/>
          <w:color w:val="auto"/>
          <w:sz w:val="32"/>
          <w:szCs w:val="32"/>
        </w:rPr>
        <w:t>50</w:t>
      </w:r>
      <w:r>
        <w:rPr>
          <w:rFonts w:ascii="Times New Roman" w:hAnsi="仿宋_GB2312" w:eastAsia="仿宋_GB2312" w:cs="Times New Roman"/>
          <w:color w:val="auto"/>
          <w:sz w:val="32"/>
          <w:szCs w:val="32"/>
        </w:rPr>
        <w:t>万株以上</w:t>
      </w:r>
      <w:r>
        <w:rPr>
          <w:rFonts w:hint="eastAsia" w:ascii="Times New Roman" w:hAnsi="仿宋_GB2312" w:eastAsia="仿宋_GB2312" w:cs="Times New Roman"/>
          <w:color w:val="auto"/>
          <w:sz w:val="32"/>
          <w:szCs w:val="32"/>
        </w:rPr>
        <w:t>。</w:t>
      </w:r>
    </w:p>
    <w:p>
      <w:pPr>
        <w:spacing w:line="360" w:lineRule="auto"/>
        <w:ind w:firstLine="64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3</w:t>
      </w:r>
      <w:r>
        <w:rPr>
          <w:rFonts w:ascii="Times New Roman" w:hAnsi="仿宋_GB2312" w:eastAsia="仿宋_GB2312" w:cs="Times New Roman"/>
          <w:color w:val="auto"/>
          <w:sz w:val="32"/>
          <w:szCs w:val="32"/>
        </w:rPr>
        <w:t>）发表论文</w:t>
      </w:r>
      <w:r>
        <w:rPr>
          <w:rFonts w:ascii="Times New Roman" w:hAnsi="Times New Roman" w:eastAsia="仿宋_GB2312" w:cs="Times New Roman"/>
          <w:color w:val="auto"/>
          <w:sz w:val="32"/>
          <w:szCs w:val="32"/>
        </w:rPr>
        <w:t>29</w:t>
      </w:r>
      <w:r>
        <w:rPr>
          <w:rFonts w:ascii="Times New Roman" w:hAnsi="仿宋_GB2312" w:eastAsia="仿宋_GB2312" w:cs="Times New Roman"/>
          <w:color w:val="auto"/>
          <w:sz w:val="32"/>
          <w:szCs w:val="32"/>
        </w:rPr>
        <w:t>篇，其中</w:t>
      </w:r>
      <w:r>
        <w:rPr>
          <w:rFonts w:ascii="Times New Roman" w:hAnsi="Times New Roman" w:eastAsia="仿宋_GB2312" w:cs="Times New Roman"/>
          <w:color w:val="auto"/>
          <w:sz w:val="32"/>
          <w:szCs w:val="32"/>
        </w:rPr>
        <w:t>SCI</w:t>
      </w:r>
      <w:r>
        <w:rPr>
          <w:rFonts w:ascii="Times New Roman" w:hAnsi="仿宋_GB2312" w:eastAsia="仿宋_GB2312" w:cs="Times New Roman"/>
          <w:color w:val="auto"/>
          <w:sz w:val="32"/>
          <w:szCs w:val="32"/>
        </w:rPr>
        <w:t>论文</w:t>
      </w:r>
      <w:r>
        <w:rPr>
          <w:rFonts w:ascii="Times New Roman" w:hAnsi="Times New Roman" w:eastAsia="仿宋_GB2312" w:cs="Times New Roman"/>
          <w:color w:val="auto"/>
          <w:sz w:val="32"/>
          <w:szCs w:val="32"/>
        </w:rPr>
        <w:t>10</w:t>
      </w:r>
      <w:r>
        <w:rPr>
          <w:rFonts w:ascii="Times New Roman" w:hAnsi="仿宋_GB2312" w:eastAsia="仿宋_GB2312" w:cs="Times New Roman"/>
          <w:color w:val="auto"/>
          <w:sz w:val="32"/>
          <w:szCs w:val="32"/>
        </w:rPr>
        <w:t>篇，</w:t>
      </w:r>
      <w:r>
        <w:rPr>
          <w:rFonts w:ascii="Times New Roman" w:hAnsi="Times New Roman" w:eastAsia="仿宋_GB2312" w:cs="Times New Roman"/>
          <w:color w:val="auto"/>
          <w:sz w:val="32"/>
          <w:szCs w:val="32"/>
        </w:rPr>
        <w:t>CSCD</w:t>
      </w:r>
      <w:r>
        <w:rPr>
          <w:rFonts w:ascii="Times New Roman" w:hAnsi="仿宋_GB2312" w:eastAsia="仿宋_GB2312" w:cs="Times New Roman"/>
          <w:color w:val="auto"/>
          <w:sz w:val="32"/>
          <w:szCs w:val="32"/>
        </w:rPr>
        <w:t>论文</w:t>
      </w:r>
      <w:r>
        <w:rPr>
          <w:rFonts w:ascii="Times New Roman" w:hAnsi="Times New Roman" w:eastAsia="仿宋_GB2312" w:cs="Times New Roman"/>
          <w:color w:val="auto"/>
          <w:sz w:val="32"/>
          <w:szCs w:val="32"/>
        </w:rPr>
        <w:t>5</w:t>
      </w:r>
      <w:r>
        <w:rPr>
          <w:rFonts w:ascii="Times New Roman" w:hAnsi="仿宋_GB2312" w:eastAsia="仿宋_GB2312" w:cs="Times New Roman"/>
          <w:color w:val="auto"/>
          <w:sz w:val="32"/>
          <w:szCs w:val="32"/>
        </w:rPr>
        <w:t>篇。</w:t>
      </w:r>
    </w:p>
    <w:p>
      <w:pPr>
        <w:pStyle w:val="2"/>
        <w:spacing w:line="360" w:lineRule="auto"/>
        <w:ind w:left="0" w:leftChars="0" w:firstLine="640"/>
        <w:rPr>
          <w:rFonts w:ascii="Times New Roman" w:hAnsi="Times New Roman" w:cs="Times New Roman"/>
          <w:color w:val="auto"/>
        </w:rPr>
      </w:pPr>
      <w:r>
        <w:rPr>
          <w:rFonts w:ascii="Times New Roman" w:hAnsi="Times New Roman" w:eastAsia="仿宋" w:cs="Times New Roman"/>
          <w:color w:val="auto"/>
          <w:kern w:val="2"/>
          <w:sz w:val="32"/>
          <w:szCs w:val="32"/>
        </w:rPr>
        <w:t>（4）申报国际与国家发明专利15项，获授权国际发明专利4项、国家发明专利5项。获软件著作权15项，实用新型专利1项。</w:t>
      </w:r>
    </w:p>
    <w:p>
      <w:pPr>
        <w:pStyle w:val="14"/>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3、履职效能</w:t>
      </w:r>
    </w:p>
    <w:p>
      <w:pPr>
        <w:snapToGrid w:val="0"/>
        <w:spacing w:line="360" w:lineRule="auto"/>
        <w:ind w:firstLine="640" w:firstLineChars="200"/>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（1）高质量承办棉花机械技术培训会等，5月16日承办了全省棉花机械直播现场观摩暨技术培训会，10月16日承办了全省棉花机械采收现场观摩暨技术培训会，11月6日承办了宜机棉品种现场观摩会。</w:t>
      </w:r>
    </w:p>
    <w:p>
      <w:pPr>
        <w:snapToGrid w:val="0"/>
        <w:spacing w:line="360" w:lineRule="auto"/>
        <w:ind w:firstLine="640" w:firstLineChars="200"/>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（2）新棉花品种通过国家或省级审定，2个棉花品种通过国家审定，3个棉花品种通过湖南省审定。</w:t>
      </w:r>
    </w:p>
    <w:p>
      <w:pPr>
        <w:snapToGrid w:val="0"/>
        <w:spacing w:line="360" w:lineRule="auto"/>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rPr>
        <w:t>4</w:t>
      </w:r>
      <w:r>
        <w:rPr>
          <w:rFonts w:ascii="Times New Roman" w:hAnsi="Times New Roman" w:eastAsia="仿宋" w:cs="Times New Roman"/>
          <w:color w:val="auto"/>
          <w:sz w:val="32"/>
          <w:szCs w:val="32"/>
        </w:rPr>
        <w:t>、时效指标</w:t>
      </w:r>
    </w:p>
    <w:p>
      <w:pPr>
        <w:snapToGrid w:val="0"/>
        <w:spacing w:line="360" w:lineRule="auto"/>
        <w:ind w:firstLine="640" w:firstLineChars="200"/>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（1）</w:t>
      </w:r>
      <w:r>
        <w:rPr>
          <w:rFonts w:ascii="Times New Roman" w:hAnsi="Times New Roman" w:eastAsia="仿宋" w:cs="Times New Roman"/>
          <w:color w:val="auto"/>
          <w:kern w:val="0"/>
          <w:sz w:val="32"/>
          <w:szCs w:val="32"/>
        </w:rPr>
        <w:t>选定“棉花产业稳定提质增效调研”“甘薯产业提质增效研究调研”两个调研题目，按时完成调研报告。</w:t>
      </w:r>
    </w:p>
    <w:p>
      <w:pPr>
        <w:snapToGrid w:val="0"/>
        <w:spacing w:line="360" w:lineRule="auto"/>
        <w:ind w:firstLine="640" w:firstLineChars="200"/>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（2）完成中国农学会棉花分会2023年年会，8月18日至19日承办了中国农学会棉花分会2023年年会，极大地提振了推进我国棉花产业恢复性发展的信心。</w:t>
      </w:r>
    </w:p>
    <w:p>
      <w:pPr>
        <w:pStyle w:val="14"/>
        <w:spacing w:line="360" w:lineRule="auto"/>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5</w:t>
      </w:r>
      <w:r>
        <w:rPr>
          <w:rFonts w:ascii="Times New Roman" w:hAnsi="Times New Roman" w:eastAsia="仿宋_GB2312" w:cs="Times New Roman"/>
          <w:color w:val="auto"/>
          <w:sz w:val="32"/>
          <w:szCs w:val="32"/>
        </w:rPr>
        <w:t>、社会效应</w:t>
      </w:r>
    </w:p>
    <w:p>
      <w:pPr>
        <w:snapToGrid w:val="0"/>
        <w:spacing w:line="360" w:lineRule="auto"/>
        <w:ind w:firstLine="640" w:firstLineChars="200"/>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科技成果转化成效显著。成功转让国审棉花品种湘FZ031、湘XH50和油菜新品种晟湘油88等生产经营权，促进了产业发展。</w:t>
      </w:r>
    </w:p>
    <w:p>
      <w:pPr>
        <w:pStyle w:val="14"/>
        <w:spacing w:line="360" w:lineRule="auto"/>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6</w:t>
      </w:r>
      <w:r>
        <w:rPr>
          <w:rFonts w:ascii="Times New Roman" w:hAnsi="Times New Roman" w:eastAsia="仿宋_GB2312" w:cs="Times New Roman"/>
          <w:color w:val="auto"/>
          <w:sz w:val="32"/>
          <w:szCs w:val="32"/>
        </w:rPr>
        <w:t>、可持续发展能力</w:t>
      </w:r>
    </w:p>
    <w:p>
      <w:pPr>
        <w:snapToGrid w:val="0"/>
        <w:spacing w:line="360" w:lineRule="auto"/>
        <w:ind w:firstLine="640" w:firstLineChars="200"/>
        <w:rPr>
          <w:rFonts w:ascii="Times New Roman" w:hAnsi="Times New Roman" w:eastAsia="仿宋" w:cs="Times New Roman"/>
          <w:color w:val="auto"/>
          <w:sz w:val="32"/>
          <w:szCs w:val="32"/>
        </w:rPr>
      </w:pPr>
      <w:r>
        <w:rPr>
          <w:rFonts w:ascii="Times New Roman" w:hAnsi="仿宋" w:eastAsia="仿宋" w:cs="Times New Roman"/>
          <w:color w:val="auto"/>
          <w:sz w:val="32"/>
          <w:szCs w:val="32"/>
        </w:rPr>
        <w:t>（</w:t>
      </w:r>
      <w:r>
        <w:rPr>
          <w:rFonts w:ascii="Times New Roman" w:hAnsi="Times New Roman" w:eastAsia="仿宋" w:cs="Times New Roman"/>
          <w:color w:val="auto"/>
          <w:sz w:val="32"/>
          <w:szCs w:val="32"/>
        </w:rPr>
        <w:t>1</w:t>
      </w:r>
      <w:r>
        <w:rPr>
          <w:rFonts w:ascii="Times New Roman" w:hAnsi="仿宋" w:eastAsia="仿宋" w:cs="Times New Roman"/>
          <w:color w:val="auto"/>
          <w:sz w:val="32"/>
          <w:szCs w:val="32"/>
        </w:rPr>
        <w:t>）</w:t>
      </w:r>
      <w:r>
        <w:rPr>
          <w:rFonts w:ascii="Times New Roman" w:hAnsi="仿宋" w:eastAsia="仿宋" w:cs="Times New Roman"/>
          <w:bCs/>
          <w:color w:val="auto"/>
          <w:sz w:val="32"/>
          <w:szCs w:val="32"/>
        </w:rPr>
        <w:t>甘薯研究取得新突破。</w:t>
      </w:r>
      <w:r>
        <w:rPr>
          <w:rFonts w:ascii="Times New Roman" w:hAnsi="Times New Roman" w:eastAsia="仿宋" w:cs="Times New Roman"/>
          <w:color w:val="auto"/>
          <w:sz w:val="32"/>
          <w:szCs w:val="32"/>
        </w:rPr>
        <w:t>成功构建并不断优化甘薯组培脱毒技术体系，甘薯脱毒组培苗累计扩繁50万株以上，产品辐射全省9个市16个县市区，成为我省第一家直接面向市场、面向生产、面向农户的甘薯脱毒苗扩繁科研机构。</w:t>
      </w:r>
    </w:p>
    <w:p>
      <w:pPr>
        <w:snapToGrid w:val="0"/>
        <w:spacing w:line="360" w:lineRule="auto"/>
        <w:ind w:firstLine="640" w:firstLineChars="200"/>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2）加快长沙棉花创新中心建设，搭建新型科研信息化基础平台、高标准实验室与科研科普展示窗口，吸引高端科研人才。3月选拔任用了想干事、能干事、干成事的3名正科级、6名副科级科研骨干，80后、90后占比89%，群众认可度100%。设立青年基金，支持3个年轻科研干部30万元开展项目研究。免收青年科研骨干过渡性公租房租金。选送26名骨干前往中国农科院、湖南中医药大学进修，组织14名科辅人员前往省农科院、湖南农大见学。完善职称申报、等级晋升制度。规范双肩挑人员。</w:t>
      </w:r>
    </w:p>
    <w:p>
      <w:pPr>
        <w:pStyle w:val="14"/>
        <w:spacing w:line="360" w:lineRule="auto"/>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7</w:t>
      </w:r>
      <w:r>
        <w:rPr>
          <w:rFonts w:ascii="Times New Roman" w:hAnsi="Times New Roman" w:eastAsia="仿宋_GB2312" w:cs="Times New Roman"/>
          <w:color w:val="auto"/>
          <w:sz w:val="32"/>
          <w:szCs w:val="32"/>
        </w:rPr>
        <w:t>、服务对象满意度</w:t>
      </w:r>
    </w:p>
    <w:p>
      <w:pPr>
        <w:snapToGrid w:val="0"/>
        <w:spacing w:line="360" w:lineRule="auto"/>
        <w:ind w:firstLine="640" w:firstLineChars="200"/>
        <w:rPr>
          <w:rFonts w:ascii="Times New Roman" w:hAnsi="Times New Roman" w:eastAsia="仿宋" w:cs="Times New Roman"/>
          <w:color w:val="auto"/>
          <w:sz w:val="32"/>
          <w:szCs w:val="32"/>
        </w:rPr>
      </w:pPr>
      <w:r>
        <w:rPr>
          <w:rFonts w:ascii="Times New Roman" w:hAnsi="仿宋" w:eastAsia="仿宋" w:cs="Times New Roman"/>
          <w:color w:val="auto"/>
          <w:sz w:val="32"/>
          <w:szCs w:val="32"/>
        </w:rPr>
        <w:t>社会公众或服务对象的满意程度</w:t>
      </w:r>
      <w:r>
        <w:rPr>
          <w:rFonts w:ascii="Times New Roman" w:hAnsi="Times New Roman" w:eastAsia="仿宋" w:cs="Times New Roman"/>
          <w:color w:val="auto"/>
          <w:sz w:val="32"/>
          <w:szCs w:val="32"/>
        </w:rPr>
        <w:t>94%</w:t>
      </w:r>
      <w:r>
        <w:rPr>
          <w:rFonts w:hint="eastAsia" w:ascii="Times New Roman" w:hAnsi="Times New Roman" w:eastAsia="仿宋" w:cs="Times New Roman"/>
          <w:color w:val="auto"/>
          <w:sz w:val="32"/>
          <w:szCs w:val="32"/>
        </w:rPr>
        <w:t>。</w:t>
      </w:r>
    </w:p>
    <w:p>
      <w:pPr>
        <w:pStyle w:val="14"/>
        <w:spacing w:line="360" w:lineRule="auto"/>
        <w:ind w:firstLine="640" w:firstLineChars="200"/>
        <w:rPr>
          <w:rFonts w:ascii="Times New Roman" w:hAnsi="Times New Roman" w:eastAsia="楷体" w:cs="Times New Roman"/>
          <w:b/>
          <w:bCs/>
          <w:color w:val="auto"/>
          <w:sz w:val="32"/>
          <w:szCs w:val="32"/>
        </w:rPr>
      </w:pPr>
      <w:r>
        <w:rPr>
          <w:rFonts w:ascii="Times New Roman" w:hAnsi="楷体" w:eastAsia="楷体" w:cs="Times New Roman"/>
          <w:b/>
          <w:bCs/>
          <w:color w:val="auto"/>
          <w:sz w:val="32"/>
          <w:szCs w:val="32"/>
        </w:rPr>
        <w:t>（三）存在的问题及原因分析</w:t>
      </w:r>
    </w:p>
    <w:p>
      <w:pPr>
        <w:snapToGrid w:val="0"/>
        <w:spacing w:line="360" w:lineRule="auto"/>
        <w:ind w:firstLine="640" w:firstLineChars="200"/>
        <w:rPr>
          <w:rFonts w:ascii="Times New Roman" w:hAnsi="Times New Roman" w:eastAsia="仿宋" w:cs="Times New Roman"/>
          <w:color w:val="auto"/>
          <w:sz w:val="32"/>
          <w:szCs w:val="32"/>
        </w:rPr>
      </w:pPr>
      <w:r>
        <w:rPr>
          <w:rFonts w:ascii="Times New Roman" w:hAnsi="仿宋" w:eastAsia="仿宋" w:cs="Times New Roman"/>
          <w:color w:val="auto"/>
          <w:sz w:val="32"/>
          <w:szCs w:val="32"/>
        </w:rPr>
        <w:t>存在的问题：全年预算执行率</w:t>
      </w:r>
      <w:r>
        <w:rPr>
          <w:rFonts w:ascii="Times New Roman" w:hAnsi="Times New Roman" w:eastAsia="仿宋" w:cs="Times New Roman"/>
          <w:color w:val="auto"/>
          <w:sz w:val="32"/>
          <w:szCs w:val="32"/>
        </w:rPr>
        <w:t>73.84%</w:t>
      </w:r>
      <w:r>
        <w:rPr>
          <w:rFonts w:ascii="Times New Roman" w:hAnsi="仿宋" w:eastAsia="仿宋" w:cs="Times New Roman"/>
          <w:color w:val="auto"/>
          <w:sz w:val="32"/>
          <w:szCs w:val="32"/>
        </w:rPr>
        <w:t>，预算执行率偏低的原因主要是</w:t>
      </w:r>
      <w:r>
        <w:rPr>
          <w:rFonts w:ascii="Times New Roman" w:hAnsi="Times New Roman" w:eastAsia="仿宋" w:cs="Times New Roman"/>
          <w:color w:val="auto"/>
          <w:sz w:val="32"/>
          <w:szCs w:val="32"/>
        </w:rPr>
        <w:t>2023</w:t>
      </w:r>
      <w:r>
        <w:rPr>
          <w:rFonts w:ascii="Times New Roman" w:hAnsi="仿宋" w:eastAsia="仿宋" w:cs="Times New Roman"/>
          <w:color w:val="auto"/>
          <w:sz w:val="32"/>
          <w:szCs w:val="32"/>
        </w:rPr>
        <w:t>年棉花项目结转金额为</w:t>
      </w:r>
      <w:r>
        <w:rPr>
          <w:rFonts w:ascii="Times New Roman" w:hAnsi="Times New Roman" w:eastAsia="仿宋" w:cs="Times New Roman"/>
          <w:color w:val="auto"/>
          <w:sz w:val="32"/>
          <w:szCs w:val="32"/>
        </w:rPr>
        <w:t>1117.73</w:t>
      </w:r>
      <w:r>
        <w:rPr>
          <w:rFonts w:ascii="Times New Roman" w:hAnsi="仿宋" w:eastAsia="仿宋" w:cs="Times New Roman"/>
          <w:color w:val="auto"/>
          <w:sz w:val="32"/>
          <w:szCs w:val="32"/>
        </w:rPr>
        <w:t>万元。该项目财政执行周期为</w:t>
      </w:r>
      <w:r>
        <w:rPr>
          <w:rFonts w:ascii="Times New Roman" w:hAnsi="Times New Roman" w:eastAsia="仿宋" w:cs="Times New Roman"/>
          <w:color w:val="auto"/>
          <w:sz w:val="32"/>
          <w:szCs w:val="32"/>
        </w:rPr>
        <w:t>2023</w:t>
      </w:r>
      <w:r>
        <w:rPr>
          <w:rFonts w:ascii="Times New Roman" w:hAnsi="仿宋" w:eastAsia="仿宋" w:cs="Times New Roman"/>
          <w:color w:val="auto"/>
          <w:sz w:val="32"/>
          <w:szCs w:val="32"/>
        </w:rPr>
        <w:t>年</w:t>
      </w:r>
      <w:r>
        <w:rPr>
          <w:rFonts w:ascii="Times New Roman" w:hAnsi="Times New Roman" w:eastAsia="仿宋" w:cs="Times New Roman"/>
          <w:color w:val="auto"/>
          <w:sz w:val="32"/>
          <w:szCs w:val="32"/>
        </w:rPr>
        <w:t>6</w:t>
      </w:r>
      <w:r>
        <w:rPr>
          <w:rFonts w:ascii="Times New Roman" w:hAnsi="仿宋" w:eastAsia="仿宋" w:cs="Times New Roman"/>
          <w:color w:val="auto"/>
          <w:sz w:val="32"/>
          <w:szCs w:val="32"/>
        </w:rPr>
        <w:t>月至</w:t>
      </w:r>
      <w:r>
        <w:rPr>
          <w:rFonts w:ascii="Times New Roman" w:hAnsi="Times New Roman" w:eastAsia="仿宋" w:cs="Times New Roman"/>
          <w:color w:val="auto"/>
          <w:sz w:val="32"/>
          <w:szCs w:val="32"/>
        </w:rPr>
        <w:t>2024</w:t>
      </w:r>
      <w:r>
        <w:rPr>
          <w:rFonts w:ascii="Times New Roman" w:hAnsi="仿宋" w:eastAsia="仿宋" w:cs="Times New Roman"/>
          <w:color w:val="auto"/>
          <w:sz w:val="32"/>
          <w:szCs w:val="32"/>
        </w:rPr>
        <w:t>年</w:t>
      </w:r>
      <w:r>
        <w:rPr>
          <w:rFonts w:ascii="Times New Roman" w:hAnsi="Times New Roman" w:eastAsia="仿宋" w:cs="Times New Roman"/>
          <w:color w:val="auto"/>
          <w:sz w:val="32"/>
          <w:szCs w:val="32"/>
        </w:rPr>
        <w:t>6</w:t>
      </w:r>
      <w:r>
        <w:rPr>
          <w:rFonts w:ascii="Times New Roman" w:hAnsi="仿宋" w:eastAsia="仿宋" w:cs="Times New Roman"/>
          <w:color w:val="auto"/>
          <w:sz w:val="32"/>
          <w:szCs w:val="32"/>
        </w:rPr>
        <w:t>月。其中，棉花科研创新课题研究与试验示范工作已按计划基本支出完毕。湖南省棉花科技创新能力建设项目资金</w:t>
      </w:r>
      <w:r>
        <w:rPr>
          <w:rFonts w:ascii="Times New Roman" w:hAnsi="Times New Roman" w:eastAsia="仿宋" w:cs="Times New Roman"/>
          <w:color w:val="auto"/>
          <w:sz w:val="32"/>
          <w:szCs w:val="32"/>
        </w:rPr>
        <w:t>1000</w:t>
      </w:r>
      <w:r>
        <w:rPr>
          <w:rFonts w:ascii="Times New Roman" w:hAnsi="仿宋" w:eastAsia="仿宋" w:cs="Times New Roman"/>
          <w:color w:val="auto"/>
          <w:sz w:val="32"/>
          <w:szCs w:val="32"/>
        </w:rPr>
        <w:t>万元，涉及茅湾基地提质升级、购置仪器设备、采购分子育种系统软件、开展科研科普展示与宣传推介、建设植棉全程机械化关键技术试验示范点等</w:t>
      </w:r>
      <w:r>
        <w:rPr>
          <w:rFonts w:ascii="Times New Roman" w:hAnsi="Times New Roman" w:eastAsia="仿宋" w:cs="Times New Roman"/>
          <w:color w:val="auto"/>
          <w:sz w:val="32"/>
          <w:szCs w:val="32"/>
        </w:rPr>
        <w:t>5</w:t>
      </w:r>
      <w:r>
        <w:rPr>
          <w:rFonts w:ascii="Times New Roman" w:hAnsi="仿宋" w:eastAsia="仿宋" w:cs="Times New Roman"/>
          <w:color w:val="auto"/>
          <w:sz w:val="32"/>
          <w:szCs w:val="32"/>
        </w:rPr>
        <w:t>个方面，建设植棉全程机械化关键技术试验示范点已经按照方案完成资金支付，其它</w:t>
      </w:r>
      <w:r>
        <w:rPr>
          <w:rFonts w:ascii="Times New Roman" w:hAnsi="Times New Roman" w:eastAsia="仿宋" w:cs="Times New Roman"/>
          <w:color w:val="auto"/>
          <w:sz w:val="32"/>
          <w:szCs w:val="32"/>
        </w:rPr>
        <w:t>4</w:t>
      </w:r>
      <w:r>
        <w:rPr>
          <w:rFonts w:ascii="Times New Roman" w:hAnsi="仿宋" w:eastAsia="仿宋" w:cs="Times New Roman"/>
          <w:color w:val="auto"/>
          <w:sz w:val="32"/>
          <w:szCs w:val="32"/>
        </w:rPr>
        <w:t>个方面的建设内容已经完成建设方案的整体设计与详细预算编制工作，正在准备财政评审工作，预计按照财政执行截止时间</w:t>
      </w:r>
      <w:r>
        <w:rPr>
          <w:rFonts w:ascii="Times New Roman" w:hAnsi="Times New Roman" w:eastAsia="仿宋" w:cs="Times New Roman"/>
          <w:color w:val="auto"/>
          <w:sz w:val="32"/>
          <w:szCs w:val="32"/>
        </w:rPr>
        <w:t>2024</w:t>
      </w:r>
      <w:r>
        <w:rPr>
          <w:rFonts w:ascii="Times New Roman" w:hAnsi="仿宋" w:eastAsia="仿宋" w:cs="Times New Roman"/>
          <w:color w:val="auto"/>
          <w:sz w:val="32"/>
          <w:szCs w:val="32"/>
        </w:rPr>
        <w:t>年</w:t>
      </w:r>
      <w:r>
        <w:rPr>
          <w:rFonts w:ascii="Times New Roman" w:hAnsi="Times New Roman" w:eastAsia="仿宋" w:cs="Times New Roman"/>
          <w:color w:val="auto"/>
          <w:sz w:val="32"/>
          <w:szCs w:val="32"/>
        </w:rPr>
        <w:t>6</w:t>
      </w:r>
      <w:r>
        <w:rPr>
          <w:rFonts w:ascii="Times New Roman" w:hAnsi="仿宋" w:eastAsia="仿宋" w:cs="Times New Roman"/>
          <w:color w:val="auto"/>
          <w:sz w:val="32"/>
          <w:szCs w:val="32"/>
        </w:rPr>
        <w:t>月可以完成。</w:t>
      </w:r>
    </w:p>
    <w:p>
      <w:pPr>
        <w:pStyle w:val="14"/>
        <w:spacing w:line="360" w:lineRule="auto"/>
        <w:ind w:firstLine="640" w:firstLineChars="200"/>
        <w:rPr>
          <w:rFonts w:ascii="Times New Roman" w:hAnsi="Times New Roman" w:eastAsia="仿宋_GB2312" w:cs="Times New Roman"/>
          <w:color w:val="auto"/>
          <w:sz w:val="32"/>
          <w:szCs w:val="32"/>
        </w:rPr>
      </w:pPr>
    </w:p>
    <w:p>
      <w:pPr>
        <w:pStyle w:val="14"/>
        <w:spacing w:line="360" w:lineRule="auto"/>
        <w:jc w:val="both"/>
        <w:rPr>
          <w:color w:val="auto"/>
          <w:sz w:val="72"/>
          <w:szCs w:val="72"/>
        </w:rPr>
      </w:pPr>
    </w:p>
    <w:p>
      <w:pPr>
        <w:pStyle w:val="14"/>
        <w:spacing w:line="360" w:lineRule="auto"/>
        <w:jc w:val="center"/>
        <w:rPr>
          <w:color w:val="auto"/>
          <w:sz w:val="72"/>
          <w:szCs w:val="72"/>
        </w:rPr>
      </w:pPr>
    </w:p>
    <w:p>
      <w:pPr>
        <w:pStyle w:val="14"/>
        <w:spacing w:line="360" w:lineRule="auto"/>
        <w:jc w:val="center"/>
        <w:rPr>
          <w:color w:val="auto"/>
          <w:sz w:val="72"/>
          <w:szCs w:val="72"/>
        </w:rPr>
      </w:pPr>
    </w:p>
    <w:p>
      <w:pPr>
        <w:pStyle w:val="14"/>
        <w:spacing w:line="360" w:lineRule="auto"/>
        <w:jc w:val="both"/>
        <w:rPr>
          <w:rFonts w:ascii="方正小标宋_GBK" w:hAnsi="方正小标宋_GBK" w:eastAsia="方正小标宋_GBK" w:cs="方正小标宋_GBK"/>
          <w:color w:val="auto"/>
          <w:sz w:val="72"/>
          <w:szCs w:val="72"/>
        </w:rPr>
      </w:pPr>
    </w:p>
    <w:p>
      <w:pPr>
        <w:pStyle w:val="14"/>
        <w:spacing w:line="360" w:lineRule="auto"/>
        <w:jc w:val="center"/>
        <w:rPr>
          <w:rFonts w:ascii="方正小标宋_GBK" w:hAnsi="方正小标宋_GBK" w:eastAsia="方正小标宋_GBK" w:cs="方正小标宋_GBK"/>
          <w:color w:val="auto"/>
          <w:sz w:val="72"/>
          <w:szCs w:val="72"/>
        </w:rPr>
      </w:pPr>
    </w:p>
    <w:p>
      <w:pPr>
        <w:pStyle w:val="14"/>
        <w:spacing w:line="360" w:lineRule="auto"/>
        <w:jc w:val="center"/>
        <w:rPr>
          <w:rFonts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第四部分</w:t>
      </w:r>
    </w:p>
    <w:p>
      <w:pPr>
        <w:spacing w:line="360" w:lineRule="auto"/>
        <w:jc w:val="center"/>
        <w:rPr>
          <w:rFonts w:ascii="方正小标宋_GBK" w:hAnsi="方正小标宋_GBK" w:eastAsia="方正小标宋_GBK" w:cs="方正小标宋_GBK"/>
          <w:color w:val="auto"/>
          <w:kern w:val="0"/>
          <w:sz w:val="70"/>
          <w:szCs w:val="70"/>
        </w:rPr>
      </w:pPr>
    </w:p>
    <w:p>
      <w:pPr>
        <w:spacing w:line="360" w:lineRule="auto"/>
        <w:jc w:val="center"/>
        <w:rPr>
          <w:rFonts w:ascii="方正小标宋_GBK" w:hAnsi="方正小标宋_GBK" w:eastAsia="方正小标宋_GBK" w:cs="方正小标宋_GBK"/>
          <w:color w:val="auto"/>
          <w:kern w:val="0"/>
          <w:sz w:val="70"/>
          <w:szCs w:val="70"/>
        </w:rPr>
      </w:pPr>
      <w:r>
        <w:rPr>
          <w:rFonts w:hint="eastAsia" w:ascii="方正小标宋_GBK" w:hAnsi="方正小标宋_GBK" w:eastAsia="方正小标宋_GBK" w:cs="方正小标宋_GBK"/>
          <w:color w:val="auto"/>
          <w:kern w:val="0"/>
          <w:sz w:val="70"/>
          <w:szCs w:val="70"/>
        </w:rPr>
        <w:t>名词解释</w:t>
      </w:r>
    </w:p>
    <w:p>
      <w:pPr>
        <w:widowControl/>
        <w:spacing w:line="360" w:lineRule="auto"/>
        <w:jc w:val="left"/>
        <w:rPr>
          <w:rFonts w:cs="黑体" w:asciiTheme="minorEastAsia" w:hAnsiTheme="minorEastAsia"/>
          <w:color w:val="auto"/>
          <w:kern w:val="0"/>
          <w:sz w:val="32"/>
          <w:szCs w:val="32"/>
        </w:rPr>
      </w:pPr>
      <w:r>
        <w:rPr>
          <w:rFonts w:hint="eastAsia" w:ascii="方正小标宋_GBK" w:hAnsi="方正小标宋_GBK" w:eastAsia="方正小标宋_GBK" w:cs="方正小标宋_GBK"/>
          <w:color w:val="auto"/>
          <w:kern w:val="0"/>
          <w:sz w:val="70"/>
          <w:szCs w:val="70"/>
        </w:rPr>
        <w:br w:type="page"/>
      </w:r>
    </w:p>
    <w:p>
      <w:pPr>
        <w:pStyle w:val="14"/>
        <w:spacing w:line="360" w:lineRule="auto"/>
        <w:ind w:firstLine="600" w:firstLineChars="20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（一）基</w:t>
      </w:r>
      <w:r>
        <w:rPr>
          <w:rFonts w:ascii="Times New Roman" w:hAnsi="仿宋" w:eastAsia="仿宋" w:cs="Times New Roman"/>
          <w:color w:val="auto"/>
          <w:sz w:val="30"/>
          <w:szCs w:val="30"/>
        </w:rPr>
        <w:t>本支出：指为保障机构正常运转、完成日常工作任务而 发生的各项支出，包括人员支出和公用支出。</w:t>
      </w:r>
    </w:p>
    <w:p>
      <w:pPr>
        <w:pStyle w:val="14"/>
        <w:spacing w:line="360" w:lineRule="auto"/>
        <w:ind w:firstLine="450" w:firstLineChars="15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（二）</w:t>
      </w:r>
      <w:r>
        <w:rPr>
          <w:rFonts w:ascii="Times New Roman" w:hAnsi="仿宋" w:eastAsia="仿宋" w:cs="Times New Roman"/>
          <w:color w:val="auto"/>
          <w:sz w:val="30"/>
          <w:szCs w:val="30"/>
        </w:rPr>
        <w:t xml:space="preserve"> 项目支出：指在基本支出以外为完成相关行政任务和事业 发展目标所发生的各项支出。 </w:t>
      </w:r>
    </w:p>
    <w:p>
      <w:pPr>
        <w:pStyle w:val="14"/>
        <w:spacing w:line="360" w:lineRule="auto"/>
        <w:ind w:firstLine="600" w:firstLineChars="200"/>
        <w:rPr>
          <w:rFonts w:ascii="仿宋" w:hAnsi="仿宋" w:eastAsia="仿宋"/>
          <w:bCs/>
          <w:color w:val="auto"/>
          <w:sz w:val="32"/>
          <w:szCs w:val="32"/>
        </w:rPr>
      </w:pPr>
      <w:r>
        <w:rPr>
          <w:rFonts w:hint="eastAsia" w:ascii="Times New Roman" w:hAnsi="仿宋" w:eastAsia="仿宋" w:cs="Times New Roman"/>
          <w:color w:val="auto"/>
          <w:sz w:val="30"/>
          <w:szCs w:val="30"/>
        </w:rPr>
        <w:t>（三）</w:t>
      </w:r>
      <w:r>
        <w:rPr>
          <w:rFonts w:hint="eastAsia" w:ascii="仿宋" w:hAnsi="仿宋" w:eastAsia="仿宋"/>
          <w:bCs/>
          <w:color w:val="auto"/>
          <w:sz w:val="32"/>
          <w:szCs w:val="32"/>
        </w:rPr>
        <w:t>“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spacing w:line="360" w:lineRule="auto"/>
        <w:ind w:firstLine="600" w:firstLineChars="200"/>
        <w:jc w:val="left"/>
        <w:rPr>
          <w:rFonts w:ascii="黑体" w:eastAsia="黑体" w:cs="黑体"/>
          <w:color w:val="auto"/>
          <w:kern w:val="0"/>
          <w:sz w:val="70"/>
          <w:szCs w:val="70"/>
        </w:rPr>
      </w:pPr>
      <w:r>
        <w:rPr>
          <w:rFonts w:hint="eastAsia" w:ascii="Times New Roman" w:hAnsi="仿宋" w:eastAsia="仿宋" w:cs="Times New Roman"/>
          <w:color w:val="auto"/>
          <w:sz w:val="30"/>
          <w:szCs w:val="30"/>
        </w:rPr>
        <w:t>（四）</w:t>
      </w:r>
      <w:r>
        <w:rPr>
          <w:rFonts w:ascii="Times New Roman" w:hAnsi="仿宋" w:eastAsia="仿宋" w:cs="Times New Roman"/>
          <w:color w:val="auto"/>
          <w:sz w:val="30"/>
          <w:szCs w:val="30"/>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4"/>
        <w:spacing w:line="360" w:lineRule="auto"/>
        <w:jc w:val="center"/>
        <w:rPr>
          <w:color w:val="auto"/>
          <w:sz w:val="72"/>
          <w:szCs w:val="72"/>
        </w:rPr>
      </w:pPr>
    </w:p>
    <w:p>
      <w:pPr>
        <w:pStyle w:val="14"/>
        <w:spacing w:line="360" w:lineRule="auto"/>
        <w:jc w:val="center"/>
        <w:rPr>
          <w:color w:val="auto"/>
          <w:sz w:val="72"/>
          <w:szCs w:val="72"/>
        </w:rPr>
      </w:pPr>
    </w:p>
    <w:p>
      <w:pPr>
        <w:pStyle w:val="14"/>
        <w:spacing w:line="360" w:lineRule="auto"/>
        <w:jc w:val="center"/>
        <w:rPr>
          <w:color w:val="auto"/>
          <w:sz w:val="72"/>
          <w:szCs w:val="72"/>
        </w:rPr>
      </w:pPr>
    </w:p>
    <w:p>
      <w:pPr>
        <w:pStyle w:val="14"/>
        <w:spacing w:line="360" w:lineRule="auto"/>
        <w:jc w:val="center"/>
        <w:rPr>
          <w:color w:val="auto"/>
          <w:sz w:val="72"/>
          <w:szCs w:val="72"/>
        </w:rPr>
      </w:pPr>
    </w:p>
    <w:p>
      <w:pPr>
        <w:pStyle w:val="14"/>
        <w:spacing w:line="360" w:lineRule="auto"/>
        <w:jc w:val="center"/>
        <w:rPr>
          <w:color w:val="auto"/>
          <w:sz w:val="72"/>
          <w:szCs w:val="72"/>
        </w:rPr>
      </w:pPr>
    </w:p>
    <w:p>
      <w:pPr>
        <w:pStyle w:val="14"/>
        <w:spacing w:line="360" w:lineRule="auto"/>
        <w:jc w:val="center"/>
        <w:rPr>
          <w:color w:val="auto"/>
          <w:sz w:val="72"/>
          <w:szCs w:val="72"/>
        </w:rPr>
      </w:pPr>
    </w:p>
    <w:p>
      <w:pPr>
        <w:spacing w:line="360" w:lineRule="auto"/>
        <w:rPr>
          <w:color w:val="auto"/>
          <w:sz w:val="72"/>
          <w:szCs w:val="72"/>
        </w:rPr>
      </w:pPr>
      <w:r>
        <w:rPr>
          <w:color w:val="auto"/>
          <w:sz w:val="72"/>
          <w:szCs w:val="72"/>
        </w:rPr>
        <w:br w:type="page"/>
      </w:r>
    </w:p>
    <w:p>
      <w:pPr>
        <w:pStyle w:val="14"/>
        <w:spacing w:line="360" w:lineRule="auto"/>
        <w:jc w:val="center"/>
        <w:rPr>
          <w:rFonts w:ascii="方正小标宋_GBK" w:hAnsi="方正小标宋_GBK" w:eastAsia="方正小标宋_GBK" w:cs="方正小标宋_GBK"/>
          <w:color w:val="auto"/>
          <w:sz w:val="72"/>
          <w:szCs w:val="72"/>
        </w:rPr>
      </w:pPr>
    </w:p>
    <w:p>
      <w:pPr>
        <w:pStyle w:val="14"/>
        <w:spacing w:line="360" w:lineRule="auto"/>
        <w:jc w:val="center"/>
        <w:rPr>
          <w:rFonts w:ascii="方正小标宋_GBK" w:hAnsi="方正小标宋_GBK" w:eastAsia="方正小标宋_GBK" w:cs="方正小标宋_GBK"/>
          <w:color w:val="auto"/>
          <w:sz w:val="72"/>
          <w:szCs w:val="72"/>
        </w:rPr>
      </w:pPr>
    </w:p>
    <w:p>
      <w:pPr>
        <w:pStyle w:val="14"/>
        <w:spacing w:line="360" w:lineRule="auto"/>
        <w:jc w:val="center"/>
        <w:rPr>
          <w:rFonts w:ascii="方正小标宋_GBK" w:hAnsi="方正小标宋_GBK" w:eastAsia="方正小标宋_GBK" w:cs="方正小标宋_GBK"/>
          <w:color w:val="auto"/>
          <w:sz w:val="72"/>
          <w:szCs w:val="72"/>
        </w:rPr>
      </w:pPr>
    </w:p>
    <w:p>
      <w:pPr>
        <w:pStyle w:val="14"/>
        <w:spacing w:line="360" w:lineRule="auto"/>
        <w:jc w:val="center"/>
        <w:rPr>
          <w:rFonts w:ascii="方正小标宋_GBK" w:hAnsi="方正小标宋_GBK" w:eastAsia="方正小标宋_GBK" w:cs="方正小标宋_GBK"/>
          <w:color w:val="auto"/>
          <w:sz w:val="72"/>
          <w:szCs w:val="72"/>
        </w:rPr>
      </w:pPr>
    </w:p>
    <w:p>
      <w:pPr>
        <w:pStyle w:val="14"/>
        <w:spacing w:line="360" w:lineRule="auto"/>
        <w:jc w:val="center"/>
        <w:rPr>
          <w:rFonts w:ascii="方正小标宋_GBK" w:hAnsi="方正小标宋_GBK" w:eastAsia="方正小标宋_GBK" w:cs="方正小标宋_GBK"/>
          <w:color w:val="auto"/>
          <w:sz w:val="72"/>
          <w:szCs w:val="72"/>
        </w:rPr>
      </w:pPr>
    </w:p>
    <w:p>
      <w:pPr>
        <w:pStyle w:val="14"/>
        <w:spacing w:line="360" w:lineRule="auto"/>
        <w:jc w:val="center"/>
        <w:rPr>
          <w:rFonts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第五部分</w:t>
      </w:r>
    </w:p>
    <w:p>
      <w:pPr>
        <w:pStyle w:val="14"/>
        <w:spacing w:line="360" w:lineRule="auto"/>
        <w:jc w:val="center"/>
        <w:rPr>
          <w:rFonts w:ascii="方正小标宋_GBK" w:hAnsi="方正小标宋_GBK" w:eastAsia="方正小标宋_GBK" w:cs="方正小标宋_GBK"/>
          <w:color w:val="auto"/>
          <w:sz w:val="70"/>
          <w:szCs w:val="70"/>
        </w:rPr>
      </w:pPr>
    </w:p>
    <w:p>
      <w:pPr>
        <w:pStyle w:val="14"/>
        <w:spacing w:line="360" w:lineRule="auto"/>
        <w:jc w:val="center"/>
        <w:rPr>
          <w:color w:val="auto"/>
          <w:sz w:val="72"/>
          <w:szCs w:val="72"/>
        </w:rPr>
      </w:pPr>
      <w:r>
        <w:rPr>
          <w:rFonts w:hint="eastAsia" w:ascii="方正小标宋_GBK" w:hAnsi="方正小标宋_GBK" w:eastAsia="方正小标宋_GBK" w:cs="方正小标宋_GBK"/>
          <w:color w:val="auto"/>
          <w:sz w:val="70"/>
          <w:szCs w:val="70"/>
        </w:rPr>
        <w:t>附件</w:t>
      </w:r>
    </w:p>
    <w:p>
      <w:pPr>
        <w:spacing w:line="360" w:lineRule="auto"/>
        <w:rPr>
          <w:color w:val="auto"/>
          <w:sz w:val="72"/>
          <w:szCs w:val="72"/>
        </w:rPr>
      </w:pPr>
      <w:r>
        <w:rPr>
          <w:color w:val="auto"/>
          <w:sz w:val="72"/>
          <w:szCs w:val="72"/>
        </w:rPr>
        <w:br w:type="page"/>
      </w:r>
    </w:p>
    <w:p>
      <w:pPr>
        <w:pStyle w:val="14"/>
        <w:spacing w:line="360" w:lineRule="auto"/>
        <w:ind w:firstLine="640" w:firstLineChars="200"/>
        <w:rPr>
          <w:rFonts w:ascii="Times New Roman" w:hAnsi="Times New Roman" w:eastAsia="仿宋_GB2312"/>
          <w:color w:val="auto"/>
          <w:sz w:val="32"/>
          <w:szCs w:val="32"/>
        </w:rPr>
      </w:pPr>
      <w:r>
        <w:rPr>
          <w:rFonts w:hint="eastAsia" w:ascii="楷体" w:hAnsi="楷体" w:eastAsia="楷体" w:cs="楷体"/>
          <w:b/>
          <w:bCs/>
          <w:color w:val="auto"/>
          <w:sz w:val="32"/>
          <w:szCs w:val="32"/>
        </w:rPr>
        <w:t>一、</w:t>
      </w:r>
      <w:r>
        <w:rPr>
          <w:rFonts w:hint="eastAsia" w:ascii="Times New Roman" w:hAnsi="Times New Roman" w:eastAsia="仿宋_GB2312"/>
          <w:color w:val="auto"/>
          <w:sz w:val="32"/>
          <w:szCs w:val="32"/>
        </w:rPr>
        <w:t>2023年度单位</w:t>
      </w:r>
      <w:bookmarkStart w:id="3" w:name="_GoBack"/>
      <w:bookmarkEnd w:id="3"/>
      <w:r>
        <w:rPr>
          <w:rFonts w:hint="eastAsia" w:ascii="Times New Roman" w:hAnsi="Times New Roman" w:eastAsia="仿宋_GB2312"/>
          <w:color w:val="auto"/>
          <w:sz w:val="32"/>
          <w:szCs w:val="32"/>
        </w:rPr>
        <w:t>整体支出绩效自评报告。</w:t>
      </w:r>
    </w:p>
    <w:p>
      <w:pPr>
        <w:pStyle w:val="4"/>
        <w:spacing w:line="360" w:lineRule="auto"/>
        <w:rPr>
          <w:color w:val="auto"/>
          <w:spacing w:val="-8"/>
        </w:rPr>
      </w:pPr>
      <w:r>
        <w:rPr>
          <w:rFonts w:hint="eastAsia"/>
          <w:color w:val="auto"/>
          <w:spacing w:val="-8"/>
        </w:rPr>
        <w:t>2023</w:t>
      </w:r>
      <w:r>
        <w:rPr>
          <w:color w:val="auto"/>
          <w:spacing w:val="-8"/>
        </w:rPr>
        <w:t>年度</w:t>
      </w:r>
      <w:r>
        <w:rPr>
          <w:rFonts w:hint="eastAsia"/>
          <w:color w:val="auto"/>
          <w:spacing w:val="-8"/>
        </w:rPr>
        <w:t>湖南省棉花科学研究所</w:t>
      </w:r>
    </w:p>
    <w:p>
      <w:pPr>
        <w:pStyle w:val="4"/>
        <w:spacing w:line="360" w:lineRule="auto"/>
        <w:rPr>
          <w:color w:val="auto"/>
          <w:spacing w:val="-8"/>
        </w:rPr>
      </w:pPr>
      <w:r>
        <w:rPr>
          <w:color w:val="auto"/>
          <w:spacing w:val="-8"/>
        </w:rPr>
        <w:t>整体支出绩效自评报告</w:t>
      </w:r>
    </w:p>
    <w:p>
      <w:pPr>
        <w:pStyle w:val="5"/>
        <w:spacing w:line="360" w:lineRule="auto"/>
        <w:ind w:firstLine="640"/>
        <w:rPr>
          <w:color w:val="auto"/>
        </w:rPr>
      </w:pPr>
    </w:p>
    <w:p>
      <w:pPr>
        <w:pStyle w:val="5"/>
        <w:numPr>
          <w:ilvl w:val="0"/>
          <w:numId w:val="5"/>
        </w:numPr>
        <w:spacing w:line="360" w:lineRule="auto"/>
        <w:ind w:firstLine="640"/>
        <w:rPr>
          <w:rFonts w:ascii="华文细黑" w:hAnsi="华文细黑" w:eastAsia="华文细黑" w:cs="华文细黑"/>
          <w:color w:val="auto"/>
          <w:sz w:val="32"/>
        </w:rPr>
      </w:pPr>
      <w:r>
        <w:rPr>
          <w:rFonts w:hint="eastAsia" w:ascii="华文细黑" w:hAnsi="华文细黑" w:eastAsia="华文细黑" w:cs="华文细黑"/>
          <w:color w:val="auto"/>
          <w:sz w:val="32"/>
        </w:rPr>
        <w:t>单位基本情况</w:t>
      </w:r>
    </w:p>
    <w:p>
      <w:pPr>
        <w:spacing w:line="360" w:lineRule="auto"/>
        <w:ind w:firstLine="64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主要职能。</w:t>
      </w:r>
    </w:p>
    <w:p>
      <w:pPr>
        <w:widowControl/>
        <w:spacing w:line="360" w:lineRule="auto"/>
        <w:ind w:firstLine="640" w:firstLineChars="200"/>
        <w:rPr>
          <w:rFonts w:ascii="Times New Roman" w:hAnsi="Times New Roman" w:eastAsia="仿宋_GB2312" w:cs="Times New Roman"/>
          <w:bCs/>
          <w:color w:val="auto"/>
          <w:kern w:val="0"/>
          <w:sz w:val="32"/>
          <w:szCs w:val="32"/>
        </w:rPr>
      </w:pPr>
      <w:r>
        <w:rPr>
          <w:rFonts w:ascii="Times New Roman" w:hAnsi="Times New Roman" w:eastAsia="仿宋_GB2312" w:cs="Times New Roman"/>
          <w:bCs/>
          <w:color w:val="auto"/>
          <w:kern w:val="0"/>
          <w:sz w:val="32"/>
          <w:szCs w:val="32"/>
        </w:rPr>
        <w:t>湖南省棉花科学研究所是湖南省农业农村厅直属非营利性社会公益类科研事业单位，为正处级。</w:t>
      </w:r>
    </w:p>
    <w:p>
      <w:pPr>
        <w:widowControl/>
        <w:spacing w:line="360" w:lineRule="auto"/>
        <w:ind w:firstLine="640" w:firstLineChars="200"/>
        <w:rPr>
          <w:rFonts w:ascii="Times New Roman" w:hAnsi="Times New Roman" w:eastAsia="仿宋_GB2312" w:cs="Times New Roman"/>
          <w:bCs/>
          <w:color w:val="auto"/>
          <w:kern w:val="0"/>
          <w:sz w:val="32"/>
          <w:szCs w:val="32"/>
        </w:rPr>
      </w:pPr>
      <w:r>
        <w:rPr>
          <w:rFonts w:ascii="Times New Roman" w:hAnsi="Times New Roman" w:eastAsia="仿宋_GB2312" w:cs="Times New Roman"/>
          <w:bCs/>
          <w:color w:val="auto"/>
          <w:kern w:val="0"/>
          <w:sz w:val="32"/>
          <w:szCs w:val="32"/>
        </w:rPr>
        <w:t>主要职责：从事棉花、油菜、中药材、甘薯、紫苏、花生、玉米、油葵等作物遗传育种、耕作栽培、病虫害防治、副产品综合利用等技术研究与成果推广。</w:t>
      </w:r>
    </w:p>
    <w:p>
      <w:pPr>
        <w:spacing w:line="360" w:lineRule="auto"/>
        <w:ind w:firstLine="64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仿宋_GB2312" w:eastAsia="仿宋_GB2312" w:cs="Times New Roman"/>
          <w:color w:val="auto"/>
          <w:sz w:val="32"/>
          <w:szCs w:val="32"/>
        </w:rPr>
        <w:t>、</w:t>
      </w:r>
      <w:r>
        <w:rPr>
          <w:rFonts w:ascii="Times New Roman" w:hAnsi="仿宋_GB2312" w:eastAsia="仿宋_GB2312" w:cs="Times New Roman"/>
          <w:color w:val="auto"/>
          <w:sz w:val="32"/>
          <w:szCs w:val="32"/>
        </w:rPr>
        <w:t>人员情况，湖南省棉花科学研究所编制</w:t>
      </w:r>
      <w:r>
        <w:rPr>
          <w:rFonts w:ascii="Times New Roman" w:hAnsi="Times New Roman" w:eastAsia="仿宋_GB2312" w:cs="Times New Roman"/>
          <w:color w:val="auto"/>
          <w:sz w:val="32"/>
          <w:szCs w:val="32"/>
        </w:rPr>
        <w:t>73</w:t>
      </w:r>
      <w:r>
        <w:rPr>
          <w:rFonts w:ascii="Times New Roman" w:hAnsi="仿宋_GB2312" w:eastAsia="仿宋_GB2312" w:cs="Times New Roman"/>
          <w:color w:val="auto"/>
          <w:sz w:val="32"/>
          <w:szCs w:val="32"/>
        </w:rPr>
        <w:t>人，现有在编在职人员</w:t>
      </w:r>
      <w:r>
        <w:rPr>
          <w:rFonts w:ascii="Times New Roman" w:hAnsi="Times New Roman" w:eastAsia="仿宋_GB2312" w:cs="Times New Roman"/>
          <w:color w:val="auto"/>
          <w:sz w:val="32"/>
          <w:szCs w:val="32"/>
        </w:rPr>
        <w:t>62</w:t>
      </w:r>
      <w:r>
        <w:rPr>
          <w:rFonts w:ascii="Times New Roman" w:hAnsi="仿宋_GB2312" w:eastAsia="仿宋_GB2312" w:cs="Times New Roman"/>
          <w:color w:val="auto"/>
          <w:sz w:val="32"/>
          <w:szCs w:val="32"/>
        </w:rPr>
        <w:t>人。</w:t>
      </w:r>
    </w:p>
    <w:p>
      <w:pPr>
        <w:pStyle w:val="5"/>
        <w:spacing w:line="360" w:lineRule="auto"/>
        <w:ind w:firstLine="640"/>
        <w:rPr>
          <w:rFonts w:ascii="Times New Roman" w:hAnsi="Times New Roman" w:eastAsia="华文细黑" w:cs="Times New Roman"/>
          <w:color w:val="auto"/>
          <w:sz w:val="32"/>
        </w:rPr>
      </w:pPr>
      <w:r>
        <w:rPr>
          <w:rFonts w:ascii="Times New Roman" w:hAnsi="华文细黑" w:eastAsia="华文细黑" w:cs="Times New Roman"/>
          <w:color w:val="auto"/>
          <w:sz w:val="32"/>
        </w:rPr>
        <w:t>二、一般公共预算支出情况</w:t>
      </w:r>
    </w:p>
    <w:p>
      <w:pPr>
        <w:spacing w:line="360" w:lineRule="auto"/>
        <w:ind w:firstLine="64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（一）基本支出情况</w:t>
      </w:r>
    </w:p>
    <w:p>
      <w:pPr>
        <w:spacing w:line="360" w:lineRule="auto"/>
        <w:ind w:firstLine="64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2023</w:t>
      </w:r>
      <w:r>
        <w:rPr>
          <w:rFonts w:ascii="Times New Roman" w:hAnsi="仿宋_GB2312" w:eastAsia="仿宋_GB2312" w:cs="Times New Roman"/>
          <w:color w:val="auto"/>
          <w:sz w:val="32"/>
          <w:szCs w:val="32"/>
        </w:rPr>
        <w:t>年度基本支出预算</w:t>
      </w:r>
      <w:r>
        <w:rPr>
          <w:rFonts w:ascii="Times New Roman" w:hAnsi="Times New Roman" w:eastAsia="仿宋_GB2312" w:cs="Times New Roman"/>
          <w:color w:val="auto"/>
          <w:sz w:val="32"/>
          <w:szCs w:val="32"/>
        </w:rPr>
        <w:t>1844.16</w:t>
      </w:r>
      <w:r>
        <w:rPr>
          <w:rFonts w:ascii="Times New Roman" w:hAnsi="仿宋_GB2312" w:eastAsia="仿宋_GB2312" w:cs="Times New Roman"/>
          <w:color w:val="auto"/>
          <w:sz w:val="32"/>
          <w:szCs w:val="32"/>
        </w:rPr>
        <w:t>万元，基本支出决算数为</w:t>
      </w:r>
      <w:r>
        <w:rPr>
          <w:rFonts w:ascii="Times New Roman" w:hAnsi="Times New Roman" w:eastAsia="仿宋_GB2312" w:cs="Times New Roman"/>
          <w:color w:val="auto"/>
          <w:sz w:val="32"/>
          <w:szCs w:val="32"/>
        </w:rPr>
        <w:t>1844.16</w:t>
      </w:r>
      <w:r>
        <w:rPr>
          <w:rFonts w:ascii="Times New Roman" w:hAnsi="仿宋_GB2312" w:eastAsia="仿宋_GB2312" w:cs="Times New Roman"/>
          <w:color w:val="auto"/>
          <w:sz w:val="32"/>
          <w:szCs w:val="32"/>
        </w:rPr>
        <w:t>万元。其中人员经费</w:t>
      </w:r>
      <w:r>
        <w:rPr>
          <w:rFonts w:ascii="Times New Roman" w:hAnsi="Times New Roman" w:eastAsia="仿宋_GB2312" w:cs="Times New Roman"/>
          <w:color w:val="auto"/>
          <w:sz w:val="32"/>
          <w:szCs w:val="32"/>
        </w:rPr>
        <w:t>1746.63</w:t>
      </w:r>
      <w:r>
        <w:rPr>
          <w:rFonts w:ascii="Times New Roman" w:hAnsi="仿宋_GB2312" w:eastAsia="仿宋_GB2312" w:cs="Times New Roman"/>
          <w:color w:val="auto"/>
          <w:sz w:val="32"/>
          <w:szCs w:val="32"/>
        </w:rPr>
        <w:t>万元、日常公用经费</w:t>
      </w:r>
      <w:r>
        <w:rPr>
          <w:rFonts w:ascii="Times New Roman" w:hAnsi="Times New Roman" w:eastAsia="仿宋_GB2312" w:cs="Times New Roman"/>
          <w:color w:val="auto"/>
          <w:sz w:val="32"/>
          <w:szCs w:val="32"/>
        </w:rPr>
        <w:t>97.53</w:t>
      </w:r>
      <w:r>
        <w:rPr>
          <w:rFonts w:ascii="Times New Roman" w:hAnsi="仿宋_GB2312" w:eastAsia="仿宋_GB2312" w:cs="Times New Roman"/>
          <w:color w:val="auto"/>
          <w:sz w:val="32"/>
          <w:szCs w:val="32"/>
        </w:rPr>
        <w:t>万元。本年基本支出结余</w:t>
      </w:r>
      <w:r>
        <w:rPr>
          <w:rFonts w:ascii="Times New Roman" w:hAnsi="Times New Roman" w:eastAsia="仿宋_GB2312" w:cs="Times New Roman"/>
          <w:color w:val="auto"/>
          <w:sz w:val="32"/>
          <w:szCs w:val="32"/>
        </w:rPr>
        <w:t>0</w:t>
      </w:r>
      <w:r>
        <w:rPr>
          <w:rFonts w:ascii="Times New Roman" w:hAnsi="仿宋_GB2312" w:eastAsia="仿宋_GB2312" w:cs="Times New Roman"/>
          <w:color w:val="auto"/>
          <w:sz w:val="32"/>
          <w:szCs w:val="32"/>
        </w:rPr>
        <w:t>万元。</w:t>
      </w:r>
    </w:p>
    <w:p>
      <w:pPr>
        <w:spacing w:line="360" w:lineRule="auto"/>
        <w:ind w:firstLine="64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（二）项目支出情况</w:t>
      </w:r>
    </w:p>
    <w:p>
      <w:pPr>
        <w:spacing w:line="360" w:lineRule="auto"/>
        <w:ind w:firstLine="64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2023</w:t>
      </w:r>
      <w:r>
        <w:rPr>
          <w:rFonts w:ascii="Times New Roman" w:hAnsi="仿宋_GB2312" w:eastAsia="仿宋_GB2312" w:cs="Times New Roman"/>
          <w:color w:val="auto"/>
          <w:sz w:val="32"/>
          <w:szCs w:val="32"/>
        </w:rPr>
        <w:t>年度项目支出年初结余</w:t>
      </w:r>
      <w:r>
        <w:rPr>
          <w:rFonts w:ascii="Times New Roman" w:hAnsi="Times New Roman" w:eastAsia="仿宋_GB2312" w:cs="Times New Roman"/>
          <w:color w:val="auto"/>
          <w:sz w:val="32"/>
          <w:szCs w:val="32"/>
        </w:rPr>
        <w:t>1245.69</w:t>
      </w:r>
      <w:r>
        <w:rPr>
          <w:rFonts w:ascii="Times New Roman" w:hAnsi="仿宋_GB2312" w:eastAsia="仿宋_GB2312" w:cs="Times New Roman"/>
          <w:color w:val="auto"/>
          <w:sz w:val="32"/>
          <w:szCs w:val="32"/>
        </w:rPr>
        <w:t>万元，全年项目支出预算数为</w:t>
      </w:r>
      <w:r>
        <w:rPr>
          <w:rFonts w:ascii="Times New Roman" w:hAnsi="Times New Roman" w:eastAsia="仿宋_GB2312" w:cs="Times New Roman"/>
          <w:color w:val="auto"/>
          <w:sz w:val="32"/>
          <w:szCs w:val="32"/>
        </w:rPr>
        <w:t>3901.39</w:t>
      </w:r>
      <w:r>
        <w:rPr>
          <w:rFonts w:ascii="Times New Roman" w:hAnsi="仿宋_GB2312" w:eastAsia="仿宋_GB2312" w:cs="Times New Roman"/>
          <w:color w:val="auto"/>
          <w:sz w:val="32"/>
          <w:szCs w:val="32"/>
        </w:rPr>
        <w:t>万元。</w:t>
      </w:r>
    </w:p>
    <w:p>
      <w:pPr>
        <w:spacing w:line="360" w:lineRule="auto"/>
        <w:ind w:firstLine="64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项目支出决算数为</w:t>
      </w:r>
      <w:r>
        <w:rPr>
          <w:rFonts w:ascii="Times New Roman" w:hAnsi="Times New Roman" w:eastAsia="仿宋_GB2312" w:cs="Times New Roman"/>
          <w:color w:val="auto"/>
          <w:sz w:val="32"/>
          <w:szCs w:val="32"/>
        </w:rPr>
        <w:t>2398.26</w:t>
      </w:r>
      <w:r>
        <w:rPr>
          <w:rFonts w:ascii="Times New Roman" w:hAnsi="仿宋_GB2312" w:eastAsia="仿宋_GB2312" w:cs="Times New Roman"/>
          <w:color w:val="auto"/>
          <w:sz w:val="32"/>
          <w:szCs w:val="32"/>
        </w:rPr>
        <w:t>万元，年末结余</w:t>
      </w:r>
      <w:r>
        <w:rPr>
          <w:rFonts w:ascii="Times New Roman" w:hAnsi="Times New Roman" w:eastAsia="仿宋_GB2312" w:cs="Times New Roman"/>
          <w:color w:val="auto"/>
          <w:sz w:val="32"/>
          <w:szCs w:val="32"/>
        </w:rPr>
        <w:t>1503.13</w:t>
      </w:r>
      <w:r>
        <w:rPr>
          <w:rFonts w:ascii="Times New Roman" w:hAnsi="仿宋_GB2312" w:eastAsia="仿宋_GB2312" w:cs="Times New Roman"/>
          <w:color w:val="auto"/>
          <w:sz w:val="32"/>
          <w:szCs w:val="32"/>
        </w:rPr>
        <w:t>万元。其中业务工作专项</w:t>
      </w:r>
      <w:r>
        <w:rPr>
          <w:rFonts w:ascii="Times New Roman" w:hAnsi="Times New Roman" w:eastAsia="仿宋_GB2312" w:cs="Times New Roman"/>
          <w:color w:val="auto"/>
          <w:sz w:val="32"/>
          <w:szCs w:val="32"/>
        </w:rPr>
        <w:t>1906.65</w:t>
      </w:r>
      <w:r>
        <w:rPr>
          <w:rFonts w:ascii="Times New Roman" w:hAnsi="仿宋_GB2312" w:eastAsia="仿宋_GB2312" w:cs="Times New Roman"/>
          <w:color w:val="auto"/>
          <w:sz w:val="32"/>
          <w:szCs w:val="32"/>
        </w:rPr>
        <w:t>万元，主要用于洞庭湖综合试验站</w:t>
      </w:r>
      <w:r>
        <w:rPr>
          <w:rFonts w:ascii="Times New Roman" w:hAnsi="Times New Roman" w:eastAsia="仿宋_GB2312" w:cs="Times New Roman"/>
          <w:color w:val="auto"/>
          <w:sz w:val="32"/>
          <w:szCs w:val="32"/>
        </w:rPr>
        <w:t>CARS-15-46</w:t>
      </w:r>
      <w:r>
        <w:rPr>
          <w:rFonts w:ascii="Times New Roman" w:hAnsi="仿宋_GB2312" w:eastAsia="仿宋_GB2312" w:cs="Times New Roman"/>
          <w:color w:val="auto"/>
          <w:sz w:val="32"/>
          <w:szCs w:val="32"/>
        </w:rPr>
        <w:t>建设、湖南省科学技术奖常德市获奖励项目奖补资金</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棉花分子标记关键技术研究集成与优质多抗育种应用、技术研发和技术创新引导项目资金</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棉花病虫害智能化识别技术研发与应用、桥南院和茅湾科研基地线管线路节能改造、</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蔬油两用油菜</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油葵</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模式技术研究与应用、绿色轻简高效植棉技术服务、湖南</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湘九味</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优势特色产业集群建设</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中药材种质资源保存中心建设项目、优质高抗百合品种选育及高效繁育技术研究、棉花水肥一体设施建设、</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一主四辅</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自动墒情监测站、</w:t>
      </w:r>
      <w:r>
        <w:rPr>
          <w:rFonts w:ascii="Times New Roman" w:hAnsi="Times New Roman" w:eastAsia="仿宋_GB2312" w:cs="Times New Roman"/>
          <w:color w:val="auto"/>
          <w:sz w:val="32"/>
          <w:szCs w:val="32"/>
        </w:rPr>
        <w:t>2022年棉花项目结转和2023年棉花项目</w:t>
      </w:r>
      <w:r>
        <w:rPr>
          <w:rFonts w:ascii="Times New Roman" w:hAnsi="仿宋_GB2312" w:eastAsia="仿宋_GB2312" w:cs="Times New Roman"/>
          <w:color w:val="auto"/>
          <w:sz w:val="32"/>
          <w:szCs w:val="32"/>
        </w:rPr>
        <w:t>等方面的支出。</w:t>
      </w:r>
    </w:p>
    <w:p>
      <w:pPr>
        <w:spacing w:line="360" w:lineRule="auto"/>
        <w:ind w:firstLine="64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省级专项</w:t>
      </w:r>
      <w:r>
        <w:rPr>
          <w:rFonts w:ascii="Times New Roman" w:hAnsi="Times New Roman" w:eastAsia="仿宋_GB2312" w:cs="Times New Roman"/>
          <w:color w:val="auto"/>
          <w:sz w:val="32"/>
          <w:szCs w:val="32"/>
        </w:rPr>
        <w:t>491.61</w:t>
      </w:r>
      <w:r>
        <w:rPr>
          <w:rFonts w:ascii="Times New Roman" w:hAnsi="仿宋_GB2312" w:eastAsia="仿宋_GB2312" w:cs="Times New Roman"/>
          <w:color w:val="auto"/>
          <w:sz w:val="32"/>
          <w:szCs w:val="32"/>
        </w:rPr>
        <w:t>万元，其中</w:t>
      </w:r>
      <w:r>
        <w:rPr>
          <w:rFonts w:ascii="Times New Roman" w:hAnsi="Times New Roman" w:eastAsia="仿宋_GB2312" w:cs="Times New Roman"/>
          <w:color w:val="auto"/>
          <w:sz w:val="32"/>
          <w:szCs w:val="32"/>
        </w:rPr>
        <w:t>:</w:t>
      </w:r>
    </w:p>
    <w:p>
      <w:pPr>
        <w:pStyle w:val="5"/>
        <w:spacing w:line="360" w:lineRule="auto"/>
        <w:ind w:firstLine="640" w:firstLineChars="200"/>
        <w:rPr>
          <w:rFonts w:ascii="Times New Roman" w:hAnsi="Times New Roman" w:eastAsia="仿宋_GB2312" w:cs="Times New Roman"/>
          <w:color w:val="auto"/>
          <w:sz w:val="32"/>
        </w:rPr>
      </w:pPr>
      <w:r>
        <w:rPr>
          <w:rFonts w:ascii="Times New Roman" w:hAnsi="Times New Roman" w:eastAsia="仿宋_GB2312" w:cs="Times New Roman"/>
          <w:color w:val="auto"/>
          <w:sz w:val="32"/>
        </w:rPr>
        <w:t>1</w:t>
      </w:r>
      <w:r>
        <w:rPr>
          <w:rFonts w:hint="eastAsia" w:ascii="Times New Roman" w:hAnsi="Times New Roman" w:eastAsia="仿宋_GB2312" w:cs="Times New Roman"/>
          <w:color w:val="auto"/>
          <w:sz w:val="32"/>
        </w:rPr>
        <w:t>、</w:t>
      </w:r>
      <w:r>
        <w:rPr>
          <w:rFonts w:ascii="Times New Roman" w:hAnsi="仿宋_GB2312" w:eastAsia="仿宋_GB2312" w:cs="Times New Roman"/>
          <w:color w:val="auto"/>
          <w:sz w:val="32"/>
        </w:rPr>
        <w:t>科普专项（科协）（</w:t>
      </w:r>
      <w:r>
        <w:rPr>
          <w:rFonts w:ascii="Times New Roman" w:hAnsi="Times New Roman" w:eastAsia="仿宋_GB2312" w:cs="Times New Roman"/>
          <w:color w:val="auto"/>
          <w:sz w:val="32"/>
        </w:rPr>
        <w:t>2022</w:t>
      </w:r>
      <w:r>
        <w:rPr>
          <w:rFonts w:ascii="Times New Roman" w:hAnsi="仿宋_GB2312" w:eastAsia="仿宋_GB2312" w:cs="Times New Roman"/>
          <w:color w:val="auto"/>
          <w:sz w:val="32"/>
        </w:rPr>
        <w:t>结转）</w:t>
      </w:r>
      <w:r>
        <w:rPr>
          <w:rFonts w:ascii="Times New Roman" w:hAnsi="Times New Roman" w:eastAsia="仿宋_GB2312" w:cs="Times New Roman"/>
          <w:color w:val="auto"/>
          <w:sz w:val="32"/>
        </w:rPr>
        <w:t>3.25</w:t>
      </w:r>
      <w:r>
        <w:rPr>
          <w:rFonts w:ascii="Times New Roman" w:hAnsi="仿宋_GB2312" w:eastAsia="仿宋_GB2312" w:cs="Times New Roman"/>
          <w:color w:val="auto"/>
          <w:sz w:val="32"/>
        </w:rPr>
        <w:t>万元，</w:t>
      </w:r>
      <w:r>
        <w:rPr>
          <w:rFonts w:ascii="Times New Roman" w:hAnsi="Times New Roman" w:eastAsia="仿宋_GB2312" w:cs="Times New Roman"/>
          <w:color w:val="auto"/>
          <w:sz w:val="32"/>
        </w:rPr>
        <w:t>本项目瞄准棉花生物修复环境的基础性技术问题、国际前沿问题和实际重金属污染治理难题，着力定向培养专业知识广博并掌握专门生物修复技术的复合型创新性中青年创新人才。项目主要内容和实施举措包括以下4点：一是跨领域、跨学科、理论与实践并重，为青年人才培养提供丰富的、多层次的学术交流平台，并推荐参加国内、国际学术交流；二是围绕耕地棉花生物修复的重点、难点问题，从多领域多角度锻炼和培养中青年学者，加大科研扶持力度，培育突破性成果；三是支持推荐对象与国内外在棉花基因工程、基因编辑及环境生物修复方面具有较强实力的高校和科研院所加强合作与交流，进行人才互访，项目合作，联合公关；四是推进科技成果在镉污染替代区的修复实践验证、示范推广及就地转化，实现棉花对镉污染耕地的高效生物修复。</w:t>
      </w:r>
    </w:p>
    <w:p>
      <w:pPr>
        <w:spacing w:line="360" w:lineRule="auto"/>
        <w:ind w:firstLine="64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创新型省份建设专项</w:t>
      </w:r>
      <w:r>
        <w:rPr>
          <w:rFonts w:ascii="Times New Roman" w:hAnsi="Times New Roman" w:eastAsia="仿宋_GB2312" w:cs="Times New Roman"/>
          <w:color w:val="auto"/>
          <w:sz w:val="32"/>
          <w:szCs w:val="32"/>
        </w:rPr>
        <w:t>60.16</w:t>
      </w:r>
      <w:r>
        <w:rPr>
          <w:rFonts w:ascii="Times New Roman" w:hAnsi="仿宋_GB2312" w:eastAsia="仿宋_GB2312" w:cs="Times New Roman"/>
          <w:color w:val="auto"/>
          <w:sz w:val="32"/>
          <w:szCs w:val="32"/>
        </w:rPr>
        <w:t>万元，</w:t>
      </w:r>
      <w:r>
        <w:rPr>
          <w:rFonts w:ascii="Times New Roman" w:hAnsi="Times New Roman" w:eastAsia="仿宋_GB2312" w:cs="Times New Roman"/>
          <w:color w:val="auto"/>
          <w:sz w:val="32"/>
          <w:szCs w:val="32"/>
        </w:rPr>
        <w:t>本项目旨在湖南种植结构调整和棉花产业现代化升级背景下，针对棉田病虫草害发生的变化，有害生物抗性水平逐步加重，以及与现代化植棉模式相适应的绿色高效防控手段匮乏的现状，重点以影响湖南棉花生产的黄萎病、斜纹夜蛾、牛筋草等为研究对象，开展其发生规律与成灾机制解析和绿色防控技术的研发，构建棉田恶性病虫草害绿色高效防控技术体系，并开展应用示范，有力促进湖南棉花产业绿色高质量发展。</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w:t>
      </w:r>
      <w:r>
        <w:rPr>
          <w:rFonts w:hint="eastAsia"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重要农产品稳产保供（市县）</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现代农业产业技术体系建设与种业核心技术攻关资金</w:t>
      </w:r>
      <w:r>
        <w:rPr>
          <w:rFonts w:ascii="Times New Roman" w:hAnsi="Times New Roman" w:eastAsia="仿宋_GB2312" w:cs="Times New Roman"/>
          <w:color w:val="auto"/>
          <w:sz w:val="32"/>
          <w:szCs w:val="32"/>
        </w:rPr>
        <w:t>66.79</w:t>
      </w:r>
      <w:r>
        <w:rPr>
          <w:rFonts w:ascii="Times New Roman" w:hAnsi="仿宋_GB2312" w:eastAsia="仿宋_GB2312" w:cs="Times New Roman"/>
          <w:color w:val="auto"/>
          <w:sz w:val="32"/>
          <w:szCs w:val="32"/>
        </w:rPr>
        <w:t>万元，协作攻关重点内容</w:t>
      </w:r>
      <w:r>
        <w:rPr>
          <w:rFonts w:ascii="Times New Roman" w:hAnsi="Times New Roman" w:eastAsia="仿宋_GB2312" w:cs="Times New Roman"/>
          <w:color w:val="auto"/>
          <w:sz w:val="32"/>
          <w:szCs w:val="32"/>
        </w:rPr>
        <w:t>:</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1</w:t>
      </w:r>
      <w:r>
        <w:rPr>
          <w:rFonts w:ascii="Times New Roman" w:hAnsi="仿宋_GB2312" w:eastAsia="仿宋_GB2312" w:cs="Times New Roman"/>
          <w:color w:val="auto"/>
          <w:sz w:val="32"/>
          <w:szCs w:val="32"/>
        </w:rPr>
        <w:t>）棉花产业体系首席岗位</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首席岗位协作攻关重点内容为：针对我省棉花宜机种质和品种缺乏问题，开展棉花高产、优质、多抗、宜机等优异种质创制与新品种选育；围绕棉花生产全程机械化，基于棉花机播、机管、机收条件下开展直播棉花一播全苗、密度配置、化肥减量等关键技术研究；直播棉田主要虫害、草害高效防控关键技术研究；自走切段式棉秆收获机创制；开展数字棉花生产技术集成攻关，构建病虫害智能识别</w:t>
      </w:r>
      <w:r>
        <w:rPr>
          <w:rFonts w:ascii="Times New Roman" w:hAnsi="Times New Roman" w:eastAsia="仿宋_GB2312" w:cs="Times New Roman"/>
          <w:color w:val="auto"/>
          <w:sz w:val="32"/>
          <w:szCs w:val="32"/>
        </w:rPr>
        <w:t xml:space="preserve"> APP </w:t>
      </w:r>
      <w:r>
        <w:rPr>
          <w:rFonts w:ascii="Times New Roman" w:hAnsi="仿宋_GB2312" w:eastAsia="仿宋_GB2312" w:cs="Times New Roman"/>
          <w:color w:val="auto"/>
          <w:sz w:val="32"/>
          <w:szCs w:val="32"/>
        </w:rPr>
        <w:t>与综合防控体系；棉田新型间作套种高效模式创优化集成。示范展示重点内容</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南方棉区机械直播与集中成铃试验示范；严格管控区镉高积累棉花新品系新技术集成与示范；</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棉田</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新型高效新型复种模式集成与示范；高产、优质、多抗、宜机棉花新品种</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系</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展示。</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2</w:t>
      </w:r>
      <w:r>
        <w:rPr>
          <w:rFonts w:ascii="Times New Roman" w:hAnsi="仿宋_GB2312" w:eastAsia="仿宋_GB2312" w:cs="Times New Roman"/>
          <w:color w:val="auto"/>
          <w:sz w:val="32"/>
          <w:szCs w:val="32"/>
        </w:rPr>
        <w:t>）棉花产业体系育种岗位　</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育种岗位主攻项目是：宜机棉品种选育与棉花全程机械化试验示范。协作攻关重点：高产优质多抗宜机棉花种质创制与品种选育；严格管控区镉高积累棉花种质筛选与种质资源创制。示范展示重点：传统棉区棉花全程机械化试验示范；严格管控区棉花新品系新技术试验示范。</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3</w:t>
      </w:r>
      <w:r>
        <w:rPr>
          <w:rFonts w:ascii="Times New Roman" w:hAnsi="仿宋_GB2312" w:eastAsia="仿宋_GB2312" w:cs="Times New Roman"/>
          <w:color w:val="auto"/>
          <w:sz w:val="32"/>
          <w:szCs w:val="32"/>
        </w:rPr>
        <w:t>）旱粮产业体系湘北试验站</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试验站重点任务：旱粮复合种植模式示范；大豆带状复合种植草害防控技术试验；大豆玉米带状复合种植大豆品种筛选；旱粮作物用于稻田救灾补损试验；示范种植甘薯</w:t>
      </w:r>
      <w:r>
        <w:rPr>
          <w:rFonts w:ascii="Times New Roman" w:hAnsi="Times New Roman" w:eastAsia="仿宋_GB2312" w:cs="Times New Roman"/>
          <w:color w:val="auto"/>
          <w:sz w:val="32"/>
          <w:szCs w:val="32"/>
        </w:rPr>
        <w:t>50</w:t>
      </w:r>
      <w:r>
        <w:rPr>
          <w:rFonts w:ascii="Times New Roman" w:hAnsi="仿宋_GB2312" w:eastAsia="仿宋_GB2312" w:cs="Times New Roman"/>
          <w:color w:val="auto"/>
          <w:sz w:val="32"/>
          <w:szCs w:val="32"/>
        </w:rPr>
        <w:t>亩；集成示范优质脱毒甘薯种苗生产技术，提高种植效益</w:t>
      </w:r>
      <w:r>
        <w:rPr>
          <w:rFonts w:ascii="Times New Roman" w:hAnsi="Times New Roman" w:eastAsia="仿宋_GB2312" w:cs="Times New Roman"/>
          <w:color w:val="auto"/>
          <w:sz w:val="32"/>
          <w:szCs w:val="32"/>
        </w:rPr>
        <w:t>10%</w:t>
      </w:r>
      <w:r>
        <w:rPr>
          <w:rFonts w:ascii="Times New Roman" w:hAnsi="仿宋_GB2312" w:eastAsia="仿宋_GB2312" w:cs="Times New Roman"/>
          <w:color w:val="auto"/>
          <w:sz w:val="32"/>
          <w:szCs w:val="32"/>
        </w:rPr>
        <w:t>。</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4</w:t>
      </w:r>
      <w:r>
        <w:rPr>
          <w:rFonts w:ascii="Times New Roman" w:hAnsi="仿宋_GB2312" w:eastAsia="仿宋_GB2312" w:cs="Times New Roman"/>
          <w:color w:val="auto"/>
          <w:sz w:val="32"/>
          <w:szCs w:val="32"/>
        </w:rPr>
        <w:t>）油菜产业技术体系环洞庭湖试验站</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本试验站围绕湖南省</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千亿</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产业发展的科技需求，以解决制约油料产业发展中的瓶颈问题为总体目标，对照本体系</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开展高品质强优势油菜和其他油料作物新品种选育、绿色生产和加工增值技术研究示范、促进产业升级发展</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的总体任务，主要对标省油菜体系各岗位专家科研技术成果，开展油菜新品种展示、轻简高效生产技术集成示范、油棉轮作模式高产高效油菜万亩示范片创建、薹油两用油菜示范片创建等重点工作，同时开展相关技术指导，组织产业调研等系列工作，促进湖南省油料产业可持续发展。</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5</w:t>
      </w:r>
      <w:r>
        <w:rPr>
          <w:rFonts w:ascii="Times New Roman" w:hAnsi="仿宋_GB2312" w:eastAsia="仿宋_GB2312" w:cs="Times New Roman"/>
          <w:color w:val="auto"/>
          <w:sz w:val="32"/>
          <w:szCs w:val="32"/>
        </w:rPr>
        <w:t>）中药材产业技术体系湘北试验站</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试验站主要任务为对接各岗位专家，在湖南银鸿农业发展有限公司黄精基地，开展黄精良种培育及高效繁苗技术、黄精野生抚育与林下仿野生栽培模式与配套栽培关键技术、黄精初加工及饮片炮制规范化技术、黄精根腐病绿色防控技术、黄精麻味消除方法及趁鲜加工技术等技术示范，协助质量安全岗位专家开展不同基原黄精质量评价研究与黄精药材质量追溯体系初步研究。</w:t>
      </w:r>
    </w:p>
    <w:p>
      <w:pPr>
        <w:spacing w:line="360" w:lineRule="auto"/>
        <w:ind w:firstLine="64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4</w:t>
      </w:r>
      <w:r>
        <w:rPr>
          <w:rFonts w:hint="eastAsia"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重要农产品稳产保供（市县）</w:t>
      </w:r>
      <w:r>
        <w:rPr>
          <w:rFonts w:ascii="Times New Roman" w:hAnsi="Times New Roman" w:eastAsia="仿宋_GB2312" w:cs="Times New Roman"/>
          <w:color w:val="auto"/>
          <w:sz w:val="32"/>
          <w:szCs w:val="32"/>
        </w:rPr>
        <w:t>-2023</w:t>
      </w:r>
      <w:r>
        <w:rPr>
          <w:rFonts w:ascii="Times New Roman" w:hAnsi="仿宋_GB2312" w:eastAsia="仿宋_GB2312" w:cs="Times New Roman"/>
          <w:color w:val="auto"/>
          <w:sz w:val="32"/>
          <w:szCs w:val="32"/>
        </w:rPr>
        <w:t>年省级农产品质量安全监管</w:t>
      </w:r>
      <w:r>
        <w:rPr>
          <w:rFonts w:ascii="Times New Roman" w:hAnsi="Times New Roman" w:eastAsia="仿宋_GB2312" w:cs="Times New Roman"/>
          <w:color w:val="auto"/>
          <w:sz w:val="32"/>
          <w:szCs w:val="32"/>
        </w:rPr>
        <w:t>14.76</w:t>
      </w:r>
      <w:r>
        <w:rPr>
          <w:rFonts w:ascii="Times New Roman" w:hAnsi="仿宋_GB2312" w:eastAsia="仿宋_GB2312" w:cs="Times New Roman"/>
          <w:color w:val="auto"/>
          <w:sz w:val="32"/>
          <w:szCs w:val="32"/>
        </w:rPr>
        <w:t>万元，本项目主要用于保障农产品质量安全，总体状况稳中向好，例行监测合格率</w:t>
      </w:r>
      <w:r>
        <w:rPr>
          <w:rFonts w:ascii="Times New Roman" w:hAnsi="Times New Roman" w:eastAsia="仿宋_GB2312" w:cs="Times New Roman"/>
          <w:color w:val="auto"/>
          <w:sz w:val="32"/>
          <w:szCs w:val="32"/>
        </w:rPr>
        <w:t>98%</w:t>
      </w:r>
      <w:r>
        <w:rPr>
          <w:rFonts w:ascii="Times New Roman" w:hAnsi="仿宋_GB2312" w:eastAsia="仿宋_GB2312" w:cs="Times New Roman"/>
          <w:color w:val="auto"/>
          <w:sz w:val="32"/>
          <w:szCs w:val="32"/>
        </w:rPr>
        <w:t>以上，确保不发生区域性、系统性农产品质量安全事件。</w:t>
      </w:r>
    </w:p>
    <w:p>
      <w:pPr>
        <w:spacing w:line="360" w:lineRule="auto"/>
        <w:ind w:firstLine="640"/>
        <w:rPr>
          <w:rFonts w:ascii="Times New Roman" w:hAnsi="Times New Roman" w:eastAsia="仿宋_GB2312" w:cs="Times New Roman"/>
          <w:color w:val="auto"/>
          <w:sz w:val="32"/>
        </w:rPr>
      </w:pPr>
      <w:r>
        <w:rPr>
          <w:rFonts w:ascii="Times New Roman" w:hAnsi="Times New Roman" w:eastAsia="仿宋_GB2312" w:cs="Times New Roman"/>
          <w:color w:val="auto"/>
          <w:sz w:val="32"/>
        </w:rPr>
        <w:t>5</w:t>
      </w:r>
      <w:r>
        <w:rPr>
          <w:rFonts w:hint="eastAsia" w:ascii="Times New Roman" w:hAnsi="Times New Roman" w:eastAsia="仿宋_GB2312" w:cs="Times New Roman"/>
          <w:color w:val="auto"/>
          <w:sz w:val="32"/>
        </w:rPr>
        <w:t>、</w:t>
      </w:r>
      <w:r>
        <w:rPr>
          <w:rFonts w:ascii="Times New Roman" w:hAnsi="仿宋_GB2312" w:eastAsia="仿宋_GB2312" w:cs="Times New Roman"/>
          <w:color w:val="auto"/>
          <w:sz w:val="32"/>
        </w:rPr>
        <w:t>农业生态环境监测与保护（</w:t>
      </w:r>
      <w:r>
        <w:rPr>
          <w:rFonts w:ascii="Times New Roman" w:hAnsi="Times New Roman" w:eastAsia="仿宋_GB2312" w:cs="Times New Roman"/>
          <w:color w:val="auto"/>
          <w:sz w:val="32"/>
        </w:rPr>
        <w:t>2022</w:t>
      </w:r>
      <w:r>
        <w:rPr>
          <w:rFonts w:ascii="Times New Roman" w:hAnsi="仿宋_GB2312" w:eastAsia="仿宋_GB2312" w:cs="Times New Roman"/>
          <w:color w:val="auto"/>
          <w:sz w:val="32"/>
        </w:rPr>
        <w:t>结转）</w:t>
      </w:r>
      <w:r>
        <w:rPr>
          <w:rFonts w:ascii="Times New Roman" w:hAnsi="Times New Roman" w:eastAsia="仿宋_GB2312" w:cs="Times New Roman"/>
          <w:color w:val="auto"/>
          <w:sz w:val="32"/>
        </w:rPr>
        <w:t>0.32</w:t>
      </w:r>
      <w:r>
        <w:rPr>
          <w:rFonts w:ascii="Times New Roman" w:hAnsi="仿宋_GB2312" w:eastAsia="仿宋_GB2312" w:cs="Times New Roman"/>
          <w:color w:val="auto"/>
          <w:sz w:val="32"/>
        </w:rPr>
        <w:t>万元，本项目</w:t>
      </w:r>
      <w:r>
        <w:rPr>
          <w:rFonts w:ascii="Times New Roman" w:hAnsi="Times New Roman" w:eastAsia="仿宋_GB2312" w:cs="Times New Roman"/>
          <w:color w:val="auto"/>
          <w:sz w:val="32"/>
        </w:rPr>
        <w:t>连续在省内主产棉区设点进行棉花生产监测，充分发挥生产监测在棉花市场监测预警、研判棉花供需形势、制定棉花产业政策的重要作用。</w:t>
      </w:r>
    </w:p>
    <w:p>
      <w:pPr>
        <w:spacing w:line="360" w:lineRule="auto"/>
        <w:ind w:firstLine="64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6</w:t>
      </w:r>
      <w:r>
        <w:rPr>
          <w:rFonts w:hint="eastAsia"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重点工作督导与核查</w:t>
      </w:r>
      <w:r>
        <w:rPr>
          <w:rFonts w:ascii="Times New Roman" w:hAnsi="Times New Roman" w:eastAsia="仿宋_GB2312" w:cs="Times New Roman"/>
          <w:color w:val="auto"/>
          <w:sz w:val="32"/>
          <w:szCs w:val="32"/>
        </w:rPr>
        <w:t>30.61</w:t>
      </w:r>
      <w:r>
        <w:rPr>
          <w:rFonts w:ascii="Times New Roman" w:hAnsi="仿宋_GB2312" w:eastAsia="仿宋_GB2312" w:cs="Times New Roman"/>
          <w:color w:val="auto"/>
          <w:sz w:val="32"/>
          <w:szCs w:val="32"/>
        </w:rPr>
        <w:t>万元，本项目主要为配合湖南省农业农村厅扎实抓好早稻集中育秧工作，稳定双季稻生产面积，确保全年粮食生产稳定发展，我所抽调</w:t>
      </w:r>
      <w:r>
        <w:rPr>
          <w:rFonts w:ascii="Times New Roman" w:hAnsi="Times New Roman" w:eastAsia="仿宋_GB2312" w:cs="Times New Roman"/>
          <w:color w:val="auto"/>
          <w:sz w:val="32"/>
          <w:szCs w:val="32"/>
        </w:rPr>
        <w:t>15</w:t>
      </w:r>
      <w:r>
        <w:rPr>
          <w:rFonts w:ascii="Times New Roman" w:hAnsi="仿宋_GB2312" w:eastAsia="仿宋_GB2312" w:cs="Times New Roman"/>
          <w:color w:val="auto"/>
          <w:sz w:val="32"/>
          <w:szCs w:val="32"/>
        </w:rPr>
        <w:t>名业务骨干参与早稻集中育秧及粮食生产调研指导工作，指导早稻集中育秧县市区，制定、完善稳定发展粮食生产和早稻集中育秧实施方案。</w:t>
      </w:r>
    </w:p>
    <w:p>
      <w:pPr>
        <w:spacing w:line="360" w:lineRule="auto"/>
        <w:ind w:firstLine="64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7</w:t>
      </w:r>
      <w:r>
        <w:rPr>
          <w:rFonts w:hint="eastAsia"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经济作物科研基地（数字农业）建设</w:t>
      </w:r>
      <w:r>
        <w:rPr>
          <w:rFonts w:ascii="Times New Roman" w:hAnsi="Times New Roman" w:eastAsia="仿宋_GB2312" w:cs="Times New Roman"/>
          <w:color w:val="auto"/>
          <w:sz w:val="32"/>
          <w:szCs w:val="32"/>
        </w:rPr>
        <w:t>150</w:t>
      </w:r>
      <w:r>
        <w:rPr>
          <w:rFonts w:ascii="Times New Roman" w:hAnsi="仿宋_GB2312" w:eastAsia="仿宋_GB2312" w:cs="Times New Roman"/>
          <w:color w:val="auto"/>
          <w:sz w:val="32"/>
          <w:szCs w:val="32"/>
        </w:rPr>
        <w:t>万元，本项目主要为支持</w:t>
      </w:r>
      <w:r>
        <w:rPr>
          <w:rFonts w:hint="eastAsia" w:ascii="Times New Roman" w:hAnsi="仿宋_GB2312" w:eastAsia="仿宋_GB2312" w:cs="Times New Roman"/>
          <w:color w:val="auto"/>
          <w:sz w:val="32"/>
          <w:szCs w:val="32"/>
        </w:rPr>
        <w:t>我所</w:t>
      </w:r>
      <w:r>
        <w:rPr>
          <w:rFonts w:ascii="Times New Roman" w:hAnsi="仿宋_GB2312" w:eastAsia="仿宋_GB2312" w:cs="Times New Roman"/>
          <w:color w:val="auto"/>
          <w:sz w:val="32"/>
          <w:szCs w:val="32"/>
        </w:rPr>
        <w:t>科研基地（数字农业）建设过程中产生的办公费、物业管理、水电费、印刷费、专用材料费、专用燃料费、劳务费、委托业务、维修费、差旅费、其它交通费等科研产生的费用，主要内容为：</w:t>
      </w:r>
      <w:r>
        <w:rPr>
          <w:rFonts w:ascii="Times New Roman" w:hAnsi="Times New Roman" w:eastAsia="仿宋_GB2312" w:cs="Times New Roman"/>
          <w:color w:val="auto"/>
          <w:sz w:val="32"/>
          <w:szCs w:val="32"/>
        </w:rPr>
        <w:t>1</w:t>
      </w:r>
      <w:r>
        <w:rPr>
          <w:rFonts w:ascii="Times New Roman" w:hAnsi="仿宋_GB2312" w:eastAsia="仿宋_GB2312" w:cs="Times New Roman"/>
          <w:color w:val="auto"/>
          <w:sz w:val="32"/>
          <w:szCs w:val="32"/>
        </w:rPr>
        <w:t>、对基地加强管理；</w:t>
      </w:r>
      <w:r>
        <w:rPr>
          <w:rFonts w:ascii="Times New Roman" w:hAnsi="Times New Roman" w:eastAsia="仿宋_GB2312" w:cs="Times New Roman"/>
          <w:color w:val="auto"/>
          <w:sz w:val="32"/>
          <w:szCs w:val="32"/>
        </w:rPr>
        <w:t>2</w:t>
      </w:r>
      <w:r>
        <w:rPr>
          <w:rFonts w:ascii="Times New Roman" w:hAnsi="仿宋_GB2312" w:eastAsia="仿宋_GB2312" w:cs="Times New Roman"/>
          <w:color w:val="auto"/>
          <w:sz w:val="32"/>
          <w:szCs w:val="32"/>
        </w:rPr>
        <w:t>、对现有基地房屋升级维护；</w:t>
      </w:r>
      <w:r>
        <w:rPr>
          <w:rFonts w:ascii="Times New Roman" w:hAnsi="Times New Roman" w:eastAsia="仿宋_GB2312" w:cs="Times New Roman"/>
          <w:color w:val="auto"/>
          <w:sz w:val="32"/>
          <w:szCs w:val="32"/>
        </w:rPr>
        <w:t>3</w:t>
      </w:r>
      <w:r>
        <w:rPr>
          <w:rFonts w:ascii="Times New Roman" w:hAnsi="仿宋_GB2312" w:eastAsia="仿宋_GB2312" w:cs="Times New Roman"/>
          <w:color w:val="auto"/>
          <w:sz w:val="32"/>
          <w:szCs w:val="32"/>
        </w:rPr>
        <w:t>、提升田地地力；</w:t>
      </w:r>
      <w:r>
        <w:rPr>
          <w:rFonts w:ascii="Times New Roman" w:hAnsi="Times New Roman" w:eastAsia="仿宋_GB2312" w:cs="Times New Roman"/>
          <w:color w:val="auto"/>
          <w:sz w:val="32"/>
          <w:szCs w:val="32"/>
        </w:rPr>
        <w:t>4</w:t>
      </w:r>
      <w:r>
        <w:rPr>
          <w:rFonts w:ascii="Times New Roman" w:hAnsi="仿宋_GB2312" w:eastAsia="仿宋_GB2312" w:cs="Times New Roman"/>
          <w:color w:val="auto"/>
          <w:sz w:val="32"/>
          <w:szCs w:val="32"/>
        </w:rPr>
        <w:t>、田间作业模式、品种选择、整地施肥、田间管理等智能化设施建设对基地建设进行规范。</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8</w:t>
      </w:r>
      <w:r>
        <w:rPr>
          <w:rFonts w:hint="eastAsia"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紫苏梗饲料化开发与利用</w:t>
      </w:r>
      <w:r>
        <w:rPr>
          <w:rFonts w:ascii="Times New Roman" w:hAnsi="Times New Roman" w:eastAsia="仿宋_GB2312" w:cs="Times New Roman"/>
          <w:color w:val="auto"/>
          <w:sz w:val="32"/>
          <w:szCs w:val="32"/>
        </w:rPr>
        <w:t>20</w:t>
      </w:r>
      <w:r>
        <w:rPr>
          <w:rFonts w:ascii="Times New Roman" w:hAnsi="仿宋_GB2312" w:eastAsia="仿宋_GB2312" w:cs="Times New Roman"/>
          <w:color w:val="auto"/>
          <w:sz w:val="32"/>
          <w:szCs w:val="32"/>
        </w:rPr>
        <w:t>万元，本项目以紫苏秸秆为主要原材料配制牛饲料，通过筛选</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药食两用</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紫苏秸秆，开发新型牛用饲料，建立牛饲料科学配方技术体系，形成具有中药替抗作用的牛饲料产品，以期为饲用抗生素的有效替代、实现资源合理化利用。在</w:t>
      </w:r>
      <w:r>
        <w:rPr>
          <w:rFonts w:ascii="Times New Roman" w:hAnsi="Times New Roman" w:eastAsia="仿宋_GB2312" w:cs="Times New Roman"/>
          <w:color w:val="auto"/>
          <w:sz w:val="32"/>
          <w:szCs w:val="32"/>
        </w:rPr>
        <w:t>2022</w:t>
      </w:r>
      <w:r>
        <w:rPr>
          <w:rFonts w:ascii="Times New Roman" w:hAnsi="仿宋_GB2312" w:eastAsia="仿宋_GB2312" w:cs="Times New Roman"/>
          <w:color w:val="auto"/>
          <w:sz w:val="32"/>
          <w:szCs w:val="32"/>
        </w:rPr>
        <w:t>年紫苏秸秆养牛饲料化的开发与应用项目取得较好反馈的基础上，进一步探索不同发酵方式、不同秸秆配比对育肥肉牛生长性能、血液生化指标以及肉质品质的影响，优化日粮配方。</w:t>
      </w:r>
    </w:p>
    <w:p>
      <w:pPr>
        <w:spacing w:line="360" w:lineRule="auto"/>
        <w:ind w:firstLine="64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9</w:t>
      </w:r>
      <w:r>
        <w:rPr>
          <w:rFonts w:hint="eastAsia"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农业种质资源保护与种业发展（特色作物）</w:t>
      </w:r>
      <w:r>
        <w:rPr>
          <w:rFonts w:ascii="Times New Roman" w:hAnsi="Times New Roman" w:eastAsia="仿宋_GB2312" w:cs="Times New Roman"/>
          <w:color w:val="auto"/>
          <w:sz w:val="32"/>
          <w:szCs w:val="32"/>
        </w:rPr>
        <w:t>30</w:t>
      </w:r>
      <w:r>
        <w:rPr>
          <w:rFonts w:ascii="Times New Roman" w:hAnsi="仿宋_GB2312" w:eastAsia="仿宋_GB2312" w:cs="Times New Roman"/>
          <w:color w:val="auto"/>
          <w:sz w:val="32"/>
          <w:szCs w:val="32"/>
        </w:rPr>
        <w:t>万元，本项目主要在全省范围内针对性开展特色作物调查工作，基本查清特色作物的种植历史、种植生态环境、品种数量、规模面积、栽培耕作模式、特有性状等基本信息，收集具有地方特色的古老、珍稀、出名的地方品种和野生资源，同时针对特异优良性状进行目标性的资源引进。利用传统的性状鉴别、理化鉴别结合现代分子生物学技术对收集的种质资源进行鉴定，通过对种质资源的表型性状、品质性状、遗传特性等数据进行汇总，建立特色作物种质资源特征数据库及系统科学的种质资源评价体系。在种质资源收集、评价的基础上，对特定优异地方种质资源进行繁殖繁育和推广应用，对有优势特征的种质资源进行种质创新。选择</w:t>
      </w:r>
      <w:r>
        <w:rPr>
          <w:rFonts w:ascii="Times New Roman" w:hAnsi="Times New Roman" w:eastAsia="仿宋_GB2312" w:cs="Times New Roman"/>
          <w:color w:val="auto"/>
          <w:sz w:val="32"/>
          <w:szCs w:val="32"/>
        </w:rPr>
        <w:t>30</w:t>
      </w:r>
      <w:r>
        <w:rPr>
          <w:rFonts w:ascii="Times New Roman" w:hAnsi="仿宋_GB2312" w:eastAsia="仿宋_GB2312" w:cs="Times New Roman"/>
          <w:color w:val="auto"/>
          <w:sz w:val="32"/>
          <w:szCs w:val="32"/>
        </w:rPr>
        <w:t>亩较为独立及隔离条件较好的试验地作为种质资源种植圃，并通过地力提升、水肥一体化建设、大棚设施建设等对资源圃进行升级改造。完善现有总容量为</w:t>
      </w:r>
      <w:r>
        <w:rPr>
          <w:rFonts w:ascii="Times New Roman" w:hAnsi="Times New Roman" w:eastAsia="仿宋_GB2312" w:cs="Times New Roman"/>
          <w:color w:val="auto"/>
          <w:sz w:val="32"/>
          <w:szCs w:val="32"/>
        </w:rPr>
        <w:t>200</w:t>
      </w:r>
      <w:r>
        <w:rPr>
          <w:rFonts w:ascii="Times New Roman" w:hAnsi="仿宋_GB2312" w:eastAsia="仿宋_GB2312" w:cs="Times New Roman"/>
          <w:color w:val="auto"/>
          <w:sz w:val="32"/>
          <w:szCs w:val="32"/>
        </w:rPr>
        <w:t>立方的冷库。</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10</w:t>
      </w:r>
      <w:r>
        <w:rPr>
          <w:rFonts w:hint="eastAsia"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美丽乡村（农村人居环境）美丽屋场、美丽庭院的模式研究及评估</w:t>
      </w:r>
      <w:r>
        <w:rPr>
          <w:rFonts w:ascii="Times New Roman" w:hAnsi="Times New Roman" w:eastAsia="仿宋_GB2312" w:cs="Times New Roman"/>
          <w:color w:val="auto"/>
          <w:sz w:val="32"/>
          <w:szCs w:val="32"/>
        </w:rPr>
        <w:t>44.03</w:t>
      </w:r>
      <w:r>
        <w:rPr>
          <w:rFonts w:ascii="Times New Roman" w:hAnsi="仿宋_GB2312" w:eastAsia="仿宋_GB2312" w:cs="Times New Roman"/>
          <w:color w:val="auto"/>
          <w:sz w:val="32"/>
          <w:szCs w:val="32"/>
        </w:rPr>
        <w:t>万元，本项目主要开展省级美丽乡村示范创建、美丽乡村（农村人居环境）美丽屋场、美丽庭院的模式研究及评估，是落实湖南省委农村工作领导小组、湖南省农业农村厅、湖南省财政厅和湖南省生态环境厅关于推进湖南省美丽乡村建设的需要。本项目围绕全省美丽乡村、农村人居环境做一些辅助性工作，重点开展休闲景观模式、农家乐景观模式和乡土景观模式研究规划与评估、数据采集与分析；开展对全省美丽乡村规划美、产业美、环境美、风尚美、治理美和生活美等</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六美</w:t>
      </w:r>
      <w:r>
        <w:rPr>
          <w:rFonts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建设内容进行考核和评估。</w:t>
      </w:r>
    </w:p>
    <w:p>
      <w:pPr>
        <w:spacing w:line="360" w:lineRule="auto"/>
        <w:ind w:firstLine="64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11</w:t>
      </w:r>
      <w:r>
        <w:rPr>
          <w:rFonts w:hint="eastAsia"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甘薯脱毒种苗产业化示范推广</w:t>
      </w:r>
      <w:r>
        <w:rPr>
          <w:rFonts w:ascii="Times New Roman" w:hAnsi="Times New Roman" w:eastAsia="仿宋_GB2312" w:cs="Times New Roman"/>
          <w:color w:val="auto"/>
          <w:sz w:val="32"/>
          <w:szCs w:val="32"/>
        </w:rPr>
        <w:t>50</w:t>
      </w:r>
      <w:r>
        <w:rPr>
          <w:rFonts w:ascii="Times New Roman" w:hAnsi="仿宋_GB2312" w:eastAsia="仿宋_GB2312" w:cs="Times New Roman"/>
          <w:color w:val="auto"/>
          <w:sz w:val="32"/>
          <w:szCs w:val="32"/>
        </w:rPr>
        <w:t>万元，本项目主要实施内容</w:t>
      </w:r>
      <w:r>
        <w:rPr>
          <w:rFonts w:hint="eastAsia" w:ascii="Times New Roman" w:hAnsi="仿宋_GB2312" w:eastAsia="仿宋_GB2312" w:cs="Times New Roman"/>
          <w:color w:val="auto"/>
          <w:sz w:val="32"/>
          <w:szCs w:val="32"/>
        </w:rPr>
        <w:t>为</w:t>
      </w:r>
      <w:r>
        <w:rPr>
          <w:rFonts w:ascii="Times New Roman" w:hAnsi="仿宋_GB2312" w:eastAsia="仿宋_GB2312" w:cs="Times New Roman"/>
          <w:color w:val="auto"/>
          <w:sz w:val="32"/>
          <w:szCs w:val="32"/>
        </w:rPr>
        <w:t>脱毒组培技术创新研究，主要开展组培条件优化，外植体优化选择，组培方法创新，试管苗保存体系优化等；甘薯品种筛选与选育，通过生态试验筛选适宜湖南种植的高产优质品种，通过集团杂交、单交、系统选育等方法，选育适合湖南种植的高产、优质甘薯新品种，促进甘薯生产能力；优质甘薯生产与推广，通过科企合作，共建优良种苗繁育和优质甘薯种植试验示范基地，生产优良原原种苗</w:t>
      </w:r>
      <w:r>
        <w:rPr>
          <w:rFonts w:ascii="Times New Roman" w:hAnsi="Times New Roman" w:eastAsia="仿宋_GB2312" w:cs="Times New Roman"/>
          <w:color w:val="auto"/>
          <w:sz w:val="32"/>
          <w:szCs w:val="32"/>
        </w:rPr>
        <w:t>30</w:t>
      </w:r>
      <w:r>
        <w:rPr>
          <w:rFonts w:ascii="Times New Roman" w:hAnsi="仿宋_GB2312" w:eastAsia="仿宋_GB2312" w:cs="Times New Roman"/>
          <w:color w:val="auto"/>
          <w:sz w:val="32"/>
          <w:szCs w:val="32"/>
        </w:rPr>
        <w:t>万株，生产优质甘薯</w:t>
      </w:r>
      <w:r>
        <w:rPr>
          <w:rFonts w:ascii="Times New Roman" w:hAnsi="Times New Roman" w:eastAsia="仿宋_GB2312" w:cs="Times New Roman"/>
          <w:color w:val="auto"/>
          <w:sz w:val="32"/>
          <w:szCs w:val="32"/>
        </w:rPr>
        <w:t>60</w:t>
      </w:r>
      <w:r>
        <w:rPr>
          <w:rFonts w:ascii="Times New Roman" w:hAnsi="仿宋_GB2312" w:eastAsia="仿宋_GB2312" w:cs="Times New Roman"/>
          <w:color w:val="auto"/>
          <w:sz w:val="32"/>
          <w:szCs w:val="32"/>
        </w:rPr>
        <w:t>吨。</w:t>
      </w:r>
    </w:p>
    <w:p>
      <w:pPr>
        <w:spacing w:line="360" w:lineRule="auto"/>
        <w:ind w:firstLine="640"/>
        <w:rPr>
          <w:rFonts w:ascii="Times New Roman" w:hAnsi="Times New Roman" w:eastAsia="仿宋_GB2312" w:cs="Times New Roman"/>
          <w:bCs/>
          <w:color w:val="auto"/>
          <w:sz w:val="32"/>
          <w:szCs w:val="32"/>
        </w:rPr>
      </w:pPr>
      <w:r>
        <w:rPr>
          <w:rFonts w:ascii="Times New Roman" w:hAnsi="Times New Roman" w:eastAsia="仿宋_GB2312" w:cs="Times New Roman"/>
          <w:color w:val="auto"/>
          <w:sz w:val="32"/>
          <w:szCs w:val="32"/>
        </w:rPr>
        <w:t>12</w:t>
      </w:r>
      <w:r>
        <w:rPr>
          <w:rFonts w:hint="eastAsia" w:ascii="Times New Roman" w:hAnsi="Times New Roman" w:eastAsia="仿宋_GB2312" w:cs="Times New Roman"/>
          <w:color w:val="auto"/>
          <w:sz w:val="32"/>
          <w:szCs w:val="32"/>
        </w:rPr>
        <w:t>、</w:t>
      </w:r>
      <w:r>
        <w:rPr>
          <w:rFonts w:ascii="Times New Roman" w:hAnsi="仿宋_GB2312" w:eastAsia="仿宋_GB2312" w:cs="Times New Roman"/>
          <w:color w:val="auto"/>
          <w:sz w:val="32"/>
          <w:szCs w:val="32"/>
        </w:rPr>
        <w:t>重金属污染耕地严格管控区植棉替代安全利用技术研究与示范（</w:t>
      </w:r>
      <w:r>
        <w:rPr>
          <w:rFonts w:ascii="Times New Roman" w:hAnsi="Times New Roman" w:eastAsia="仿宋_GB2312" w:cs="Times New Roman"/>
          <w:color w:val="auto"/>
          <w:sz w:val="32"/>
          <w:szCs w:val="32"/>
        </w:rPr>
        <w:t>2022</w:t>
      </w:r>
      <w:r>
        <w:rPr>
          <w:rFonts w:ascii="Times New Roman" w:hAnsi="仿宋_GB2312" w:eastAsia="仿宋_GB2312" w:cs="Times New Roman"/>
          <w:color w:val="auto"/>
          <w:sz w:val="32"/>
          <w:szCs w:val="32"/>
        </w:rPr>
        <w:t>结转）</w:t>
      </w:r>
      <w:r>
        <w:rPr>
          <w:rFonts w:ascii="Times New Roman" w:hAnsi="Times New Roman" w:eastAsia="仿宋_GB2312" w:cs="Times New Roman"/>
          <w:color w:val="auto"/>
          <w:sz w:val="32"/>
          <w:szCs w:val="32"/>
        </w:rPr>
        <w:t>2.5</w:t>
      </w:r>
      <w:r>
        <w:rPr>
          <w:rFonts w:ascii="Times New Roman" w:hAnsi="仿宋_GB2312" w:eastAsia="仿宋_GB2312" w:cs="Times New Roman"/>
          <w:color w:val="auto"/>
          <w:sz w:val="32"/>
          <w:szCs w:val="32"/>
        </w:rPr>
        <w:t>万元，本项目主要针对重金属污染耕地严格管控区植棉修复重金属污染耕地重点开展以下研究：（</w:t>
      </w:r>
      <w:r>
        <w:rPr>
          <w:rFonts w:ascii="Times New Roman" w:hAnsi="Times New Roman" w:eastAsia="仿宋_GB2312" w:cs="Times New Roman"/>
          <w:color w:val="auto"/>
          <w:sz w:val="32"/>
          <w:szCs w:val="32"/>
        </w:rPr>
        <w:t>1</w:t>
      </w:r>
      <w:r>
        <w:rPr>
          <w:rFonts w:ascii="Times New Roman" w:hAnsi="仿宋_GB2312" w:eastAsia="仿宋_GB2312" w:cs="Times New Roman"/>
          <w:color w:val="auto"/>
          <w:sz w:val="32"/>
          <w:szCs w:val="32"/>
        </w:rPr>
        <w:t>）高吸镉棉花新品种筛选；（</w:t>
      </w:r>
      <w:r>
        <w:rPr>
          <w:rFonts w:ascii="Times New Roman" w:hAnsi="Times New Roman" w:eastAsia="仿宋_GB2312" w:cs="Times New Roman"/>
          <w:color w:val="auto"/>
          <w:sz w:val="32"/>
          <w:szCs w:val="32"/>
        </w:rPr>
        <w:t>2</w:t>
      </w:r>
      <w:r>
        <w:rPr>
          <w:rFonts w:ascii="Times New Roman" w:hAnsi="仿宋_GB2312" w:eastAsia="仿宋_GB2312" w:cs="Times New Roman"/>
          <w:color w:val="auto"/>
          <w:sz w:val="32"/>
          <w:szCs w:val="32"/>
        </w:rPr>
        <w:t>）重金属污染耕地棉花安全生产技术集成；（</w:t>
      </w:r>
      <w:r>
        <w:rPr>
          <w:rFonts w:ascii="Times New Roman" w:hAnsi="Times New Roman" w:eastAsia="仿宋_GB2312" w:cs="Times New Roman"/>
          <w:color w:val="auto"/>
          <w:sz w:val="32"/>
          <w:szCs w:val="32"/>
        </w:rPr>
        <w:t>3</w:t>
      </w:r>
      <w:r>
        <w:rPr>
          <w:rFonts w:ascii="Times New Roman" w:hAnsi="仿宋_GB2312" w:eastAsia="仿宋_GB2312" w:cs="Times New Roman"/>
          <w:color w:val="auto"/>
          <w:sz w:val="32"/>
          <w:szCs w:val="32"/>
        </w:rPr>
        <w:t>）严格管控区规模化轻简植棉生产技术示范与推广。</w:t>
      </w:r>
    </w:p>
    <w:p>
      <w:pPr>
        <w:widowControl/>
        <w:kinsoku w:val="0"/>
        <w:autoSpaceDE w:val="0"/>
        <w:autoSpaceDN w:val="0"/>
        <w:adjustRightInd w:val="0"/>
        <w:snapToGrid w:val="0"/>
        <w:spacing w:before="1" w:line="360" w:lineRule="auto"/>
        <w:ind w:firstLine="640" w:firstLineChars="200"/>
        <w:textAlignment w:val="baseline"/>
        <w:rPr>
          <w:rFonts w:ascii="Times New Roman" w:hAnsi="Times New Roman" w:eastAsia="仿宋_GB2312" w:cs="Times New Roman"/>
          <w:bCs/>
          <w:color w:val="auto"/>
          <w:sz w:val="32"/>
          <w:szCs w:val="32"/>
        </w:rPr>
      </w:pPr>
      <w:r>
        <w:rPr>
          <w:rFonts w:ascii="Times New Roman" w:hAnsi="Times New Roman" w:eastAsia="仿宋_GB2312" w:cs="Times New Roman"/>
          <w:bCs/>
          <w:color w:val="auto"/>
          <w:sz w:val="32"/>
          <w:szCs w:val="32"/>
        </w:rPr>
        <w:t>13</w:t>
      </w:r>
      <w:r>
        <w:rPr>
          <w:rFonts w:hint="eastAsia" w:ascii="Times New Roman" w:hAnsi="Times New Roman" w:eastAsia="仿宋_GB2312" w:cs="Times New Roman"/>
          <w:bCs/>
          <w:color w:val="auto"/>
          <w:sz w:val="32"/>
          <w:szCs w:val="32"/>
        </w:rPr>
        <w:t>、</w:t>
      </w:r>
      <w:r>
        <w:rPr>
          <w:rFonts w:ascii="Times New Roman" w:hAnsi="仿宋_GB2312" w:eastAsia="仿宋_GB2312" w:cs="Times New Roman"/>
          <w:bCs/>
          <w:color w:val="auto"/>
          <w:sz w:val="32"/>
          <w:szCs w:val="32"/>
        </w:rPr>
        <w:t>重要农产品稳产保供（市县）</w:t>
      </w:r>
      <w:r>
        <w:rPr>
          <w:rFonts w:ascii="Times New Roman" w:hAnsi="Times New Roman" w:eastAsia="仿宋_GB2312" w:cs="Times New Roman"/>
          <w:bCs/>
          <w:color w:val="auto"/>
          <w:sz w:val="32"/>
          <w:szCs w:val="32"/>
        </w:rPr>
        <w:t>-</w:t>
      </w:r>
      <w:r>
        <w:rPr>
          <w:rFonts w:ascii="Times New Roman" w:hAnsi="仿宋_GB2312" w:eastAsia="仿宋_GB2312" w:cs="Times New Roman"/>
          <w:bCs/>
          <w:color w:val="auto"/>
          <w:sz w:val="32"/>
          <w:szCs w:val="32"/>
        </w:rPr>
        <w:t>农业种质资源保护与利用</w:t>
      </w:r>
      <w:r>
        <w:rPr>
          <w:rFonts w:ascii="Times New Roman" w:hAnsi="Times New Roman" w:eastAsia="仿宋_GB2312" w:cs="Times New Roman"/>
          <w:bCs/>
          <w:color w:val="auto"/>
          <w:sz w:val="32"/>
          <w:szCs w:val="32"/>
        </w:rPr>
        <w:t>4.54</w:t>
      </w:r>
      <w:r>
        <w:rPr>
          <w:rFonts w:ascii="Times New Roman" w:hAnsi="仿宋_GB2312" w:eastAsia="仿宋_GB2312" w:cs="Times New Roman"/>
          <w:bCs/>
          <w:color w:val="auto"/>
          <w:sz w:val="32"/>
          <w:szCs w:val="32"/>
        </w:rPr>
        <w:t>万元，本项目主要用于特色作物资源抢救性收集、生物学特性鉴定评价、专项资源状况报告编写核查评审等。</w:t>
      </w:r>
    </w:p>
    <w:p>
      <w:pPr>
        <w:pStyle w:val="5"/>
        <w:spacing w:line="360" w:lineRule="auto"/>
        <w:ind w:firstLine="640" w:firstLineChars="200"/>
        <w:rPr>
          <w:rFonts w:ascii="Times New Roman" w:hAnsi="Times New Roman" w:eastAsia="仿宋_GB2312" w:cs="Times New Roman"/>
          <w:bCs w:val="0"/>
          <w:color w:val="auto"/>
          <w:sz w:val="32"/>
        </w:rPr>
      </w:pPr>
      <w:r>
        <w:rPr>
          <w:rFonts w:ascii="Times New Roman" w:hAnsi="Times New Roman" w:eastAsia="仿宋_GB2312" w:cs="Times New Roman"/>
          <w:color w:val="auto"/>
          <w:sz w:val="32"/>
        </w:rPr>
        <w:t>14</w:t>
      </w:r>
      <w:r>
        <w:rPr>
          <w:rFonts w:hint="eastAsia" w:ascii="Times New Roman" w:hAnsi="Times New Roman" w:eastAsia="仿宋_GB2312" w:cs="Times New Roman"/>
          <w:color w:val="auto"/>
          <w:sz w:val="32"/>
        </w:rPr>
        <w:t>、</w:t>
      </w:r>
      <w:r>
        <w:rPr>
          <w:rFonts w:ascii="Times New Roman" w:hAnsi="Times New Roman" w:eastAsia="仿宋_GB2312" w:cs="Times New Roman"/>
          <w:color w:val="auto"/>
          <w:sz w:val="32"/>
        </w:rPr>
        <w:t>2022</w:t>
      </w:r>
      <w:r>
        <w:rPr>
          <w:rFonts w:ascii="Times New Roman" w:hAnsi="仿宋_GB2312" w:eastAsia="仿宋_GB2312" w:cs="Times New Roman"/>
          <w:color w:val="auto"/>
          <w:sz w:val="32"/>
        </w:rPr>
        <w:t>年农业种质资源保护与利用（</w:t>
      </w:r>
      <w:r>
        <w:rPr>
          <w:rFonts w:ascii="Times New Roman" w:hAnsi="Times New Roman" w:eastAsia="仿宋_GB2312" w:cs="Times New Roman"/>
          <w:color w:val="auto"/>
          <w:sz w:val="32"/>
        </w:rPr>
        <w:t>2022</w:t>
      </w:r>
      <w:r>
        <w:rPr>
          <w:rFonts w:ascii="Times New Roman" w:hAnsi="仿宋_GB2312" w:eastAsia="仿宋_GB2312" w:cs="Times New Roman"/>
          <w:color w:val="auto"/>
          <w:sz w:val="32"/>
        </w:rPr>
        <w:t>结转）</w:t>
      </w:r>
      <w:r>
        <w:rPr>
          <w:rFonts w:ascii="Times New Roman" w:hAnsi="Times New Roman" w:eastAsia="仿宋_GB2312" w:cs="Times New Roman"/>
          <w:color w:val="auto"/>
          <w:sz w:val="32"/>
        </w:rPr>
        <w:t>14.65</w:t>
      </w:r>
      <w:r>
        <w:rPr>
          <w:rFonts w:ascii="Times New Roman" w:hAnsi="仿宋_GB2312" w:eastAsia="仿宋_GB2312" w:cs="Times New Roman"/>
          <w:color w:val="auto"/>
          <w:sz w:val="32"/>
        </w:rPr>
        <w:t>万元，本项目主要在全省范围内针对性开展特色作物种质资源普查与收集工作，并对收集的资源进行评价鉴定，建立特色作物种质资源特征数据库、高标准种质资源种植圃和中长期种质资源保存库，保存优异特色作物种质资源。</w:t>
      </w:r>
    </w:p>
    <w:p>
      <w:pPr>
        <w:pStyle w:val="5"/>
        <w:spacing w:line="360" w:lineRule="auto"/>
        <w:ind w:firstLine="640"/>
        <w:rPr>
          <w:rFonts w:ascii="Times New Roman" w:hAnsi="Times New Roman" w:eastAsia="华文细黑" w:cs="Times New Roman"/>
          <w:color w:val="auto"/>
          <w:sz w:val="32"/>
        </w:rPr>
      </w:pPr>
      <w:r>
        <w:rPr>
          <w:rFonts w:ascii="Times New Roman" w:hAnsi="华文细黑" w:eastAsia="华文细黑" w:cs="Times New Roman"/>
          <w:color w:val="auto"/>
          <w:sz w:val="32"/>
        </w:rPr>
        <w:t>三、部门整体支出绩效情况</w:t>
      </w:r>
    </w:p>
    <w:p>
      <w:pPr>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2023年，省棉科所在省农业农村厅党组坚强领导下，在厅机关各处室和厅直单位大力支持下，深入学习贯彻党的二十大精神，高举习近平新时代中国特色社会主义思想伟大旗帜，全所干部职工团结一心、踔厉奋发，增强科研发展内驱力，推动各项科技攻关，各项工作成绩显著。</w:t>
      </w:r>
      <w:r>
        <w:rPr>
          <w:rFonts w:ascii="Times New Roman" w:hAnsi="仿宋_GB2312" w:eastAsia="仿宋_GB2312" w:cs="Times New Roman"/>
          <w:color w:val="auto"/>
          <w:sz w:val="32"/>
          <w:szCs w:val="32"/>
        </w:rPr>
        <w:t>根据《湖南省财政厅关于开展</w:t>
      </w:r>
      <w:r>
        <w:rPr>
          <w:rFonts w:ascii="Times New Roman" w:hAnsi="Times New Roman" w:eastAsia="仿宋_GB2312" w:cs="Times New Roman"/>
          <w:color w:val="auto"/>
          <w:sz w:val="32"/>
          <w:szCs w:val="32"/>
        </w:rPr>
        <w:t>2023</w:t>
      </w:r>
      <w:r>
        <w:rPr>
          <w:rFonts w:ascii="Times New Roman" w:hAnsi="仿宋_GB2312" w:eastAsia="仿宋_GB2312" w:cs="Times New Roman"/>
          <w:color w:val="auto"/>
          <w:sz w:val="32"/>
          <w:szCs w:val="32"/>
        </w:rPr>
        <w:t>年度部门整体支出绩效自评工作的通知》相关规定，在基础数据分析及处理的基础上，湖南省棉花科学研究所</w:t>
      </w:r>
      <w:r>
        <w:rPr>
          <w:rFonts w:ascii="Times New Roman" w:hAnsi="Times New Roman" w:eastAsia="仿宋_GB2312" w:cs="Times New Roman"/>
          <w:color w:val="auto"/>
          <w:sz w:val="32"/>
          <w:szCs w:val="32"/>
        </w:rPr>
        <w:t>2023</w:t>
      </w:r>
      <w:r>
        <w:rPr>
          <w:rFonts w:ascii="Times New Roman" w:hAnsi="仿宋_GB2312" w:eastAsia="仿宋_GB2312" w:cs="Times New Roman"/>
          <w:color w:val="auto"/>
          <w:sz w:val="32"/>
          <w:szCs w:val="32"/>
        </w:rPr>
        <w:t>年度部门整体支出绩效评价综合得分为</w:t>
      </w:r>
      <w:r>
        <w:rPr>
          <w:rFonts w:ascii="Times New Roman" w:hAnsi="Times New Roman" w:eastAsia="仿宋_GB2312" w:cs="Times New Roman"/>
          <w:color w:val="auto"/>
          <w:sz w:val="32"/>
          <w:szCs w:val="32"/>
        </w:rPr>
        <w:t>97.38</w:t>
      </w:r>
      <w:r>
        <w:rPr>
          <w:rFonts w:ascii="Times New Roman" w:hAnsi="仿宋_GB2312" w:eastAsia="仿宋_GB2312" w:cs="Times New Roman"/>
          <w:color w:val="auto"/>
          <w:sz w:val="32"/>
          <w:szCs w:val="32"/>
        </w:rPr>
        <w:t>分，其中预算执行率得分</w:t>
      </w:r>
      <w:r>
        <w:rPr>
          <w:rFonts w:ascii="Times New Roman" w:hAnsi="Times New Roman" w:eastAsia="仿宋_GB2312" w:cs="Times New Roman"/>
          <w:color w:val="auto"/>
          <w:sz w:val="32"/>
          <w:szCs w:val="32"/>
        </w:rPr>
        <w:t>7.38</w:t>
      </w:r>
      <w:r>
        <w:rPr>
          <w:rFonts w:ascii="Times New Roman" w:hAnsi="仿宋_GB2312" w:eastAsia="仿宋_GB2312" w:cs="Times New Roman"/>
          <w:color w:val="auto"/>
          <w:sz w:val="32"/>
          <w:szCs w:val="32"/>
        </w:rPr>
        <w:t>分、产出指标类得分</w:t>
      </w:r>
      <w:r>
        <w:rPr>
          <w:rFonts w:ascii="Times New Roman" w:hAnsi="Times New Roman" w:eastAsia="仿宋_GB2312" w:cs="Times New Roman"/>
          <w:color w:val="auto"/>
          <w:sz w:val="32"/>
          <w:szCs w:val="32"/>
        </w:rPr>
        <w:t>50</w:t>
      </w:r>
      <w:r>
        <w:rPr>
          <w:rFonts w:ascii="Times New Roman" w:hAnsi="仿宋_GB2312" w:eastAsia="仿宋_GB2312" w:cs="Times New Roman"/>
          <w:color w:val="auto"/>
          <w:sz w:val="32"/>
          <w:szCs w:val="32"/>
        </w:rPr>
        <w:t>分、效益指标类得分</w:t>
      </w:r>
      <w:r>
        <w:rPr>
          <w:rFonts w:ascii="Times New Roman" w:hAnsi="Times New Roman" w:eastAsia="仿宋_GB2312" w:cs="Times New Roman"/>
          <w:color w:val="auto"/>
          <w:sz w:val="32"/>
          <w:szCs w:val="32"/>
        </w:rPr>
        <w:t>30</w:t>
      </w:r>
      <w:r>
        <w:rPr>
          <w:rFonts w:ascii="Times New Roman" w:hAnsi="仿宋_GB2312" w:eastAsia="仿宋_GB2312" w:cs="Times New Roman"/>
          <w:color w:val="auto"/>
          <w:sz w:val="32"/>
          <w:szCs w:val="32"/>
        </w:rPr>
        <w:t>分、满意度指标得分</w:t>
      </w:r>
      <w:r>
        <w:rPr>
          <w:rFonts w:ascii="Times New Roman" w:hAnsi="Times New Roman" w:eastAsia="仿宋_GB2312" w:cs="Times New Roman"/>
          <w:color w:val="auto"/>
          <w:sz w:val="32"/>
          <w:szCs w:val="32"/>
        </w:rPr>
        <w:t>10</w:t>
      </w:r>
      <w:r>
        <w:rPr>
          <w:rFonts w:ascii="Times New Roman" w:hAnsi="仿宋_GB2312" w:eastAsia="仿宋_GB2312" w:cs="Times New Roman"/>
          <w:color w:val="auto"/>
          <w:sz w:val="32"/>
          <w:szCs w:val="32"/>
        </w:rPr>
        <w:t>分。主要绩效情况如下：</w:t>
      </w:r>
    </w:p>
    <w:p>
      <w:pPr>
        <w:spacing w:line="360" w:lineRule="auto"/>
        <w:ind w:firstLine="640" w:firstLineChars="200"/>
        <w:rPr>
          <w:rFonts w:ascii="Times New Roman" w:hAnsi="Times New Roman" w:eastAsia="仿宋_GB2312" w:cs="Times New Roman"/>
          <w:b/>
          <w:bCs/>
          <w:color w:val="auto"/>
          <w:sz w:val="32"/>
          <w:szCs w:val="32"/>
        </w:rPr>
      </w:pPr>
      <w:bookmarkStart w:id="0" w:name="_Toc15543"/>
      <w:r>
        <w:rPr>
          <w:rFonts w:ascii="Times New Roman" w:hAnsi="仿宋_GB2312" w:eastAsia="仿宋_GB2312" w:cs="Times New Roman"/>
          <w:b/>
          <w:bCs/>
          <w:color w:val="auto"/>
          <w:sz w:val="32"/>
          <w:szCs w:val="32"/>
        </w:rPr>
        <w:t>（一）预算执行情况</w:t>
      </w:r>
      <w:bookmarkEnd w:id="0"/>
    </w:p>
    <w:p>
      <w:pPr>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2023</w:t>
      </w:r>
      <w:r>
        <w:rPr>
          <w:rFonts w:ascii="Times New Roman" w:hAnsi="仿宋_GB2312" w:eastAsia="仿宋_GB2312" w:cs="Times New Roman"/>
          <w:color w:val="auto"/>
          <w:sz w:val="32"/>
          <w:szCs w:val="32"/>
        </w:rPr>
        <w:t>年全年预算数</w:t>
      </w:r>
      <w:r>
        <w:rPr>
          <w:rFonts w:ascii="Times New Roman" w:hAnsi="Times New Roman" w:eastAsia="仿宋_GB2312" w:cs="Times New Roman"/>
          <w:color w:val="auto"/>
          <w:sz w:val="32"/>
          <w:szCs w:val="32"/>
        </w:rPr>
        <w:t>5745.55</w:t>
      </w:r>
      <w:r>
        <w:rPr>
          <w:rFonts w:ascii="Times New Roman" w:hAnsi="仿宋_GB2312" w:eastAsia="仿宋_GB2312" w:cs="Times New Roman"/>
          <w:color w:val="auto"/>
          <w:sz w:val="32"/>
          <w:szCs w:val="32"/>
        </w:rPr>
        <w:t>万元，决算数</w:t>
      </w:r>
      <w:r>
        <w:rPr>
          <w:rFonts w:ascii="Times New Roman" w:hAnsi="Times New Roman" w:eastAsia="仿宋_GB2312" w:cs="Times New Roman"/>
          <w:color w:val="auto"/>
          <w:sz w:val="32"/>
          <w:szCs w:val="32"/>
        </w:rPr>
        <w:t>4242.42</w:t>
      </w:r>
      <w:r>
        <w:rPr>
          <w:rFonts w:ascii="Times New Roman" w:hAnsi="仿宋_GB2312" w:eastAsia="仿宋_GB2312" w:cs="Times New Roman"/>
          <w:color w:val="auto"/>
          <w:sz w:val="32"/>
          <w:szCs w:val="32"/>
        </w:rPr>
        <w:t>万元，预算执行率</w:t>
      </w:r>
      <w:r>
        <w:rPr>
          <w:rFonts w:ascii="Times New Roman" w:hAnsi="Times New Roman" w:eastAsia="仿宋_GB2312" w:cs="Times New Roman"/>
          <w:color w:val="auto"/>
          <w:sz w:val="32"/>
          <w:szCs w:val="32"/>
        </w:rPr>
        <w:t>73.84%</w:t>
      </w:r>
      <w:r>
        <w:rPr>
          <w:rFonts w:ascii="Times New Roman" w:hAnsi="仿宋_GB2312" w:eastAsia="仿宋_GB2312" w:cs="Times New Roman"/>
          <w:color w:val="auto"/>
          <w:sz w:val="32"/>
          <w:szCs w:val="32"/>
        </w:rPr>
        <w:t>。故该指标得分为</w:t>
      </w:r>
      <w:r>
        <w:rPr>
          <w:rFonts w:ascii="Times New Roman" w:hAnsi="Times New Roman" w:eastAsia="仿宋_GB2312" w:cs="Times New Roman"/>
          <w:color w:val="auto"/>
          <w:sz w:val="32"/>
          <w:szCs w:val="32"/>
        </w:rPr>
        <w:t>7.38</w:t>
      </w:r>
      <w:r>
        <w:rPr>
          <w:rFonts w:ascii="Times New Roman" w:hAnsi="仿宋_GB2312" w:eastAsia="仿宋_GB2312" w:cs="Times New Roman"/>
          <w:color w:val="auto"/>
          <w:sz w:val="32"/>
          <w:szCs w:val="32"/>
        </w:rPr>
        <w:t>分。</w:t>
      </w:r>
    </w:p>
    <w:p>
      <w:pPr>
        <w:spacing w:line="360" w:lineRule="auto"/>
        <w:ind w:firstLine="640" w:firstLineChars="200"/>
        <w:rPr>
          <w:rFonts w:ascii="Times New Roman" w:hAnsi="Times New Roman" w:eastAsia="仿宋_GB2312" w:cs="Times New Roman"/>
          <w:b/>
          <w:bCs/>
          <w:color w:val="auto"/>
          <w:sz w:val="32"/>
          <w:szCs w:val="32"/>
        </w:rPr>
      </w:pPr>
      <w:bookmarkStart w:id="1" w:name="_Toc30959"/>
      <w:r>
        <w:rPr>
          <w:rFonts w:ascii="Times New Roman" w:hAnsi="仿宋_GB2312" w:eastAsia="仿宋_GB2312" w:cs="Times New Roman"/>
          <w:b/>
          <w:bCs/>
          <w:color w:val="auto"/>
          <w:sz w:val="32"/>
          <w:szCs w:val="32"/>
        </w:rPr>
        <w:t>（二）产出指标绩效情况</w:t>
      </w:r>
      <w:bookmarkEnd w:id="1"/>
    </w:p>
    <w:p>
      <w:pPr>
        <w:spacing w:line="360" w:lineRule="auto"/>
        <w:ind w:firstLine="640" w:firstLineChars="200"/>
        <w:rPr>
          <w:rFonts w:ascii="Times New Roman" w:hAnsi="Times New Roman" w:eastAsia="仿宋_GB2312" w:cs="Times New Roman"/>
          <w:color w:val="auto"/>
          <w:sz w:val="32"/>
          <w:szCs w:val="32"/>
        </w:rPr>
      </w:pPr>
      <w:bookmarkStart w:id="2" w:name="_Toc6959"/>
      <w:r>
        <w:rPr>
          <w:rFonts w:ascii="Times New Roman" w:hAnsi="Times New Roman" w:eastAsia="仿宋_GB2312" w:cs="Times New Roman"/>
          <w:color w:val="auto"/>
          <w:sz w:val="32"/>
          <w:szCs w:val="32"/>
        </w:rPr>
        <w:t>1</w:t>
      </w:r>
      <w:r>
        <w:rPr>
          <w:rFonts w:ascii="Times New Roman" w:hAnsi="仿宋_GB2312" w:eastAsia="仿宋_GB2312" w:cs="Times New Roman"/>
          <w:color w:val="auto"/>
          <w:sz w:val="32"/>
          <w:szCs w:val="32"/>
        </w:rPr>
        <w:t>、数量指标</w:t>
      </w:r>
      <w:bookmarkEnd w:id="2"/>
    </w:p>
    <w:p>
      <w:pPr>
        <w:spacing w:line="360" w:lineRule="auto"/>
        <w:ind w:firstLine="64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1</w:t>
      </w:r>
      <w:r>
        <w:rPr>
          <w:rFonts w:ascii="Times New Roman" w:hAnsi="仿宋_GB2312" w:eastAsia="仿宋_GB2312" w:cs="Times New Roman"/>
          <w:color w:val="auto"/>
          <w:sz w:val="32"/>
          <w:szCs w:val="32"/>
        </w:rPr>
        <w:t>）深入调查研究促发展。主题教育期间组织开展技术培训</w:t>
      </w:r>
      <w:r>
        <w:rPr>
          <w:rFonts w:ascii="Times New Roman" w:hAnsi="Times New Roman" w:eastAsia="仿宋_GB2312" w:cs="Times New Roman"/>
          <w:color w:val="auto"/>
          <w:sz w:val="32"/>
          <w:szCs w:val="32"/>
        </w:rPr>
        <w:t>6</w:t>
      </w:r>
      <w:r>
        <w:rPr>
          <w:rFonts w:ascii="Times New Roman" w:hAnsi="仿宋_GB2312" w:eastAsia="仿宋_GB2312" w:cs="Times New Roman"/>
          <w:color w:val="auto"/>
          <w:sz w:val="32"/>
          <w:szCs w:val="32"/>
        </w:rPr>
        <w:t>次，联基层党支部</w:t>
      </w:r>
      <w:r>
        <w:rPr>
          <w:rFonts w:ascii="Times New Roman" w:hAnsi="Times New Roman" w:eastAsia="仿宋_GB2312" w:cs="Times New Roman"/>
          <w:color w:val="auto"/>
          <w:sz w:val="32"/>
          <w:szCs w:val="32"/>
        </w:rPr>
        <w:t>1</w:t>
      </w:r>
      <w:r>
        <w:rPr>
          <w:rFonts w:ascii="Times New Roman" w:hAnsi="仿宋_GB2312" w:eastAsia="仿宋_GB2312" w:cs="Times New Roman"/>
          <w:color w:val="auto"/>
          <w:sz w:val="32"/>
          <w:szCs w:val="32"/>
        </w:rPr>
        <w:t>个，进企业</w:t>
      </w:r>
      <w:r>
        <w:rPr>
          <w:rFonts w:ascii="Times New Roman" w:hAnsi="Times New Roman" w:eastAsia="仿宋_GB2312" w:cs="Times New Roman"/>
          <w:color w:val="auto"/>
          <w:sz w:val="32"/>
          <w:szCs w:val="32"/>
        </w:rPr>
        <w:t>11</w:t>
      </w:r>
      <w:r>
        <w:rPr>
          <w:rFonts w:ascii="Times New Roman" w:hAnsi="仿宋_GB2312" w:eastAsia="仿宋_GB2312" w:cs="Times New Roman"/>
          <w:color w:val="auto"/>
          <w:sz w:val="32"/>
          <w:szCs w:val="32"/>
        </w:rPr>
        <w:t>家，随机走访基层党员群众</w:t>
      </w:r>
      <w:r>
        <w:rPr>
          <w:rFonts w:ascii="Times New Roman" w:hAnsi="Times New Roman" w:eastAsia="仿宋_GB2312" w:cs="Times New Roman"/>
          <w:color w:val="auto"/>
          <w:sz w:val="32"/>
          <w:szCs w:val="32"/>
        </w:rPr>
        <w:t>500</w:t>
      </w:r>
      <w:r>
        <w:rPr>
          <w:rFonts w:ascii="Times New Roman" w:hAnsi="仿宋_GB2312" w:eastAsia="仿宋_GB2312" w:cs="Times New Roman"/>
          <w:color w:val="auto"/>
          <w:sz w:val="32"/>
          <w:szCs w:val="32"/>
        </w:rPr>
        <w:t>多人次，撰写调查报告</w:t>
      </w:r>
      <w:r>
        <w:rPr>
          <w:rFonts w:ascii="Times New Roman" w:hAnsi="Times New Roman" w:eastAsia="仿宋_GB2312" w:cs="Times New Roman"/>
          <w:color w:val="auto"/>
          <w:sz w:val="32"/>
          <w:szCs w:val="32"/>
        </w:rPr>
        <w:t>2</w:t>
      </w:r>
      <w:r>
        <w:rPr>
          <w:rFonts w:ascii="Times New Roman" w:hAnsi="仿宋_GB2312" w:eastAsia="仿宋_GB2312" w:cs="Times New Roman"/>
          <w:color w:val="auto"/>
          <w:sz w:val="32"/>
          <w:szCs w:val="32"/>
        </w:rPr>
        <w:t>份。</w:t>
      </w:r>
    </w:p>
    <w:p>
      <w:pPr>
        <w:spacing w:line="360" w:lineRule="auto"/>
        <w:ind w:firstLine="64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2</w:t>
      </w:r>
      <w:r>
        <w:rPr>
          <w:rFonts w:ascii="Times New Roman" w:hAnsi="仿宋_GB2312" w:eastAsia="仿宋_GB2312" w:cs="Times New Roman"/>
          <w:color w:val="auto"/>
          <w:sz w:val="32"/>
          <w:szCs w:val="32"/>
        </w:rPr>
        <w:t>）成功构建并不断优化甘薯组培脱毒技术体系，甘薯脱毒组培苗累计扩繁</w:t>
      </w:r>
      <w:r>
        <w:rPr>
          <w:rFonts w:ascii="Times New Roman" w:hAnsi="Times New Roman" w:eastAsia="仿宋_GB2312" w:cs="Times New Roman"/>
          <w:color w:val="auto"/>
          <w:sz w:val="32"/>
          <w:szCs w:val="32"/>
        </w:rPr>
        <w:t>50</w:t>
      </w:r>
      <w:r>
        <w:rPr>
          <w:rFonts w:ascii="Times New Roman" w:hAnsi="仿宋_GB2312" w:eastAsia="仿宋_GB2312" w:cs="Times New Roman"/>
          <w:color w:val="auto"/>
          <w:sz w:val="32"/>
          <w:szCs w:val="32"/>
        </w:rPr>
        <w:t>万株以上</w:t>
      </w:r>
      <w:r>
        <w:rPr>
          <w:rFonts w:hint="eastAsia" w:ascii="Times New Roman" w:hAnsi="仿宋_GB2312" w:eastAsia="仿宋_GB2312" w:cs="Times New Roman"/>
          <w:color w:val="auto"/>
          <w:sz w:val="32"/>
          <w:szCs w:val="32"/>
        </w:rPr>
        <w:t>。</w:t>
      </w:r>
    </w:p>
    <w:p>
      <w:pPr>
        <w:spacing w:line="360" w:lineRule="auto"/>
        <w:ind w:firstLine="640"/>
        <w:rPr>
          <w:rFonts w:ascii="Times New Roman" w:hAnsi="Times New Roman" w:eastAsia="仿宋_GB2312" w:cs="Times New Roman"/>
          <w:color w:val="auto"/>
          <w:sz w:val="32"/>
          <w:szCs w:val="32"/>
        </w:rPr>
      </w:pPr>
      <w:r>
        <w:rPr>
          <w:rFonts w:ascii="Times New Roman" w:hAnsi="仿宋_GB2312" w:eastAsia="仿宋_GB2312" w:cs="Times New Roman"/>
          <w:color w:val="auto"/>
          <w:sz w:val="32"/>
          <w:szCs w:val="32"/>
        </w:rPr>
        <w:t>（</w:t>
      </w:r>
      <w:r>
        <w:rPr>
          <w:rFonts w:ascii="Times New Roman" w:hAnsi="Times New Roman" w:eastAsia="仿宋_GB2312" w:cs="Times New Roman"/>
          <w:color w:val="auto"/>
          <w:sz w:val="32"/>
          <w:szCs w:val="32"/>
        </w:rPr>
        <w:t>3</w:t>
      </w:r>
      <w:r>
        <w:rPr>
          <w:rFonts w:ascii="Times New Roman" w:hAnsi="仿宋_GB2312" w:eastAsia="仿宋_GB2312" w:cs="Times New Roman"/>
          <w:color w:val="auto"/>
          <w:sz w:val="32"/>
          <w:szCs w:val="32"/>
        </w:rPr>
        <w:t>）发表论文</w:t>
      </w:r>
      <w:r>
        <w:rPr>
          <w:rFonts w:ascii="Times New Roman" w:hAnsi="Times New Roman" w:eastAsia="仿宋_GB2312" w:cs="Times New Roman"/>
          <w:color w:val="auto"/>
          <w:sz w:val="32"/>
          <w:szCs w:val="32"/>
        </w:rPr>
        <w:t>29</w:t>
      </w:r>
      <w:r>
        <w:rPr>
          <w:rFonts w:ascii="Times New Roman" w:hAnsi="仿宋_GB2312" w:eastAsia="仿宋_GB2312" w:cs="Times New Roman"/>
          <w:color w:val="auto"/>
          <w:sz w:val="32"/>
          <w:szCs w:val="32"/>
        </w:rPr>
        <w:t>篇，其中</w:t>
      </w:r>
      <w:r>
        <w:rPr>
          <w:rFonts w:ascii="Times New Roman" w:hAnsi="Times New Roman" w:eastAsia="仿宋_GB2312" w:cs="Times New Roman"/>
          <w:color w:val="auto"/>
          <w:sz w:val="32"/>
          <w:szCs w:val="32"/>
        </w:rPr>
        <w:t>SCI</w:t>
      </w:r>
      <w:r>
        <w:rPr>
          <w:rFonts w:ascii="Times New Roman" w:hAnsi="仿宋_GB2312" w:eastAsia="仿宋_GB2312" w:cs="Times New Roman"/>
          <w:color w:val="auto"/>
          <w:sz w:val="32"/>
          <w:szCs w:val="32"/>
        </w:rPr>
        <w:t>论文</w:t>
      </w:r>
      <w:r>
        <w:rPr>
          <w:rFonts w:ascii="Times New Roman" w:hAnsi="Times New Roman" w:eastAsia="仿宋_GB2312" w:cs="Times New Roman"/>
          <w:color w:val="auto"/>
          <w:sz w:val="32"/>
          <w:szCs w:val="32"/>
        </w:rPr>
        <w:t>10</w:t>
      </w:r>
      <w:r>
        <w:rPr>
          <w:rFonts w:ascii="Times New Roman" w:hAnsi="仿宋_GB2312" w:eastAsia="仿宋_GB2312" w:cs="Times New Roman"/>
          <w:color w:val="auto"/>
          <w:sz w:val="32"/>
          <w:szCs w:val="32"/>
        </w:rPr>
        <w:t>篇，</w:t>
      </w:r>
      <w:r>
        <w:rPr>
          <w:rFonts w:ascii="Times New Roman" w:hAnsi="Times New Roman" w:eastAsia="仿宋_GB2312" w:cs="Times New Roman"/>
          <w:color w:val="auto"/>
          <w:sz w:val="32"/>
          <w:szCs w:val="32"/>
        </w:rPr>
        <w:t>CSCD</w:t>
      </w:r>
      <w:r>
        <w:rPr>
          <w:rFonts w:ascii="Times New Roman" w:hAnsi="仿宋_GB2312" w:eastAsia="仿宋_GB2312" w:cs="Times New Roman"/>
          <w:color w:val="auto"/>
          <w:sz w:val="32"/>
          <w:szCs w:val="32"/>
        </w:rPr>
        <w:t>论文</w:t>
      </w:r>
      <w:r>
        <w:rPr>
          <w:rFonts w:ascii="Times New Roman" w:hAnsi="Times New Roman" w:eastAsia="仿宋_GB2312" w:cs="Times New Roman"/>
          <w:color w:val="auto"/>
          <w:sz w:val="32"/>
          <w:szCs w:val="32"/>
        </w:rPr>
        <w:t>5</w:t>
      </w:r>
      <w:r>
        <w:rPr>
          <w:rFonts w:ascii="Times New Roman" w:hAnsi="仿宋_GB2312" w:eastAsia="仿宋_GB2312" w:cs="Times New Roman"/>
          <w:color w:val="auto"/>
          <w:sz w:val="32"/>
          <w:szCs w:val="32"/>
        </w:rPr>
        <w:t>篇。</w:t>
      </w:r>
    </w:p>
    <w:p>
      <w:pPr>
        <w:pStyle w:val="2"/>
        <w:spacing w:line="360" w:lineRule="auto"/>
        <w:ind w:firstLine="160" w:firstLineChars="50"/>
        <w:rPr>
          <w:rFonts w:ascii="Times New Roman" w:hAnsi="Times New Roman" w:eastAsia="仿宋_GB2312" w:cs="Times New Roman"/>
          <w:color w:val="auto"/>
        </w:rPr>
      </w:pPr>
      <w:r>
        <w:rPr>
          <w:rFonts w:ascii="Times New Roman" w:hAnsi="Times New Roman" w:eastAsia="仿宋_GB2312" w:cs="Times New Roman"/>
          <w:color w:val="auto"/>
          <w:kern w:val="2"/>
          <w:sz w:val="32"/>
          <w:szCs w:val="32"/>
        </w:rPr>
        <w:t>（4）申报国际与国家发明专利15项，获授权国际发明专利4项、国家发明专利5项。获软件著作权15项，实用新型专利1项。</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2、质量指标</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（1）高质量承办棉花机械技术培训会等，5月16日承办了全省棉花机械直播现场观摩暨技术培训会，10月16日承办了全省棉花机械采收现场观摩暨技术培训会，11月6日承办了宜机棉品种现场观摩会。</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（2）新棉花品种通过国家或省级审定，2个棉花品种通过国家审定，3个棉花品种通过湖南省审定。</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3、时效指标</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w:t>
      </w:r>
      <w:r>
        <w:rPr>
          <w:rFonts w:ascii="Times New Roman" w:hAnsi="Times New Roman" w:eastAsia="仿宋_GB2312" w:cs="Times New Roman"/>
          <w:color w:val="auto"/>
          <w:kern w:val="0"/>
          <w:sz w:val="32"/>
          <w:szCs w:val="32"/>
        </w:rPr>
        <w:t>选定“棉花产业稳定提质增效调研”“甘薯产业提质增效研究调研”两个调研题目，按时完成调研报告。</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（2）完成中国农学会棉花分会2023年年会，8月18日至19日承办了中国农学会棉花分会2023年年会，极大地提振了推进我国棉花产业恢复性发展的信心。</w:t>
      </w:r>
    </w:p>
    <w:p>
      <w:pPr>
        <w:snapToGrid w:val="0"/>
        <w:spacing w:line="360" w:lineRule="auto"/>
        <w:ind w:firstLine="640" w:firstLineChars="200"/>
        <w:rPr>
          <w:rFonts w:ascii="Times New Roman" w:hAnsi="Times New Roman" w:eastAsia="仿宋_GB2312" w:cs="Times New Roman"/>
          <w:b/>
          <w:bCs/>
          <w:color w:val="auto"/>
          <w:sz w:val="32"/>
          <w:szCs w:val="32"/>
        </w:rPr>
      </w:pPr>
      <w:r>
        <w:rPr>
          <w:rFonts w:ascii="Times New Roman" w:hAnsi="Times New Roman" w:eastAsia="仿宋_GB2312" w:cs="Times New Roman"/>
          <w:b/>
          <w:bCs/>
          <w:color w:val="auto"/>
          <w:sz w:val="32"/>
          <w:szCs w:val="32"/>
        </w:rPr>
        <w:t>（三）效益指标绩效情况</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1、经济效益指标</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科技成果转化成效显著。成功转让国审棉花品种湘FZ031、湘XH50和油菜新品种晟湘油88等生产经营权，促进了产业发展。</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2、社会效益指标</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（1）油料和中药材研究获取新进展，5个油菜新品种正准备申请登记，2个紫苏新品种申请审定，1个联合选育的百合新品种（麓山红）获新品种保护权。</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构建“一个主阵地、三个实验站、多个示范点”布局。明确以棉花全程机械化研究为中心，坚持棉花科研为主、旱作科研为辅，应用性研究为主、基础性研究为辅，统筹推进、相得益彰的科研方向。合理安排试验试点布局，逐步构建以茅湾为主，长沙、海南、新疆为辅，澧县、南县、华容、衡阳等多点开花、连点成带、由线及面的“一个主阵地、三个实验站、多个示范点”的科研基地布局。</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（3）制定地方标准和行业规程33项。获省科技进步二等奖1项，获全国农牧渔业丰收二等奖1项</w:t>
      </w:r>
      <w:r>
        <w:rPr>
          <w:rFonts w:hint="eastAsia" w:ascii="Times New Roman" w:hAnsi="Times New Roman" w:eastAsia="仿宋_GB2312" w:cs="Times New Roman"/>
          <w:color w:val="auto"/>
          <w:sz w:val="32"/>
          <w:szCs w:val="32"/>
        </w:rPr>
        <w:t>。</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3、可持续影响指标</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w:t>
      </w:r>
      <w:r>
        <w:rPr>
          <w:rFonts w:ascii="Times New Roman" w:hAnsi="Times New Roman" w:eastAsia="仿宋_GB2312" w:cs="Times New Roman"/>
          <w:bCs/>
          <w:color w:val="auto"/>
          <w:sz w:val="32"/>
          <w:szCs w:val="32"/>
        </w:rPr>
        <w:t>甘薯研究取得新突破。</w:t>
      </w:r>
      <w:r>
        <w:rPr>
          <w:rFonts w:ascii="Times New Roman" w:hAnsi="Times New Roman" w:eastAsia="仿宋_GB2312" w:cs="Times New Roman"/>
          <w:color w:val="auto"/>
          <w:sz w:val="32"/>
          <w:szCs w:val="32"/>
        </w:rPr>
        <w:t>成功构建并不断优化甘薯组培脱毒技术体系，甘薯脱毒组培苗累计扩繁50万株以上，产品辐射全省9个市16个县市区，成为我省第一家直接面向市场、面向生产、面向农户的甘薯脱毒苗扩繁科研机构。</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加快长沙棉花创新中心建设，搭建新型科研信息化基础平台、高标准实验室与科研科普展示窗口，吸引高端科研人才。3月选拔任用了想干事、能干事、干成事的3名正科级、6名副科级科研骨干，80后、90后占比89%，群众认可度100%。设立青年基金，支持3个年轻科研干部30万元开展项目研究。免收青年科研骨干过渡性公租房租金。选送26名骨干前往中国农科院、湖南中医药大学进修，组织14名科辅人员前往省农科院、湖南农大见学。完善职称申报、等级晋升制度。规范双肩挑人员。</w:t>
      </w:r>
    </w:p>
    <w:p>
      <w:pPr>
        <w:snapToGrid w:val="0"/>
        <w:spacing w:line="360" w:lineRule="auto"/>
        <w:ind w:firstLine="640" w:firstLineChars="200"/>
        <w:rPr>
          <w:rFonts w:ascii="Times New Roman" w:hAnsi="Times New Roman" w:eastAsia="仿宋_GB2312" w:cs="Times New Roman"/>
          <w:b/>
          <w:bCs/>
          <w:color w:val="auto"/>
          <w:sz w:val="32"/>
          <w:szCs w:val="32"/>
        </w:rPr>
      </w:pPr>
      <w:r>
        <w:rPr>
          <w:rFonts w:ascii="Times New Roman" w:hAnsi="Times New Roman" w:eastAsia="仿宋_GB2312" w:cs="Times New Roman"/>
          <w:b/>
          <w:bCs/>
          <w:color w:val="auto"/>
          <w:sz w:val="32"/>
          <w:szCs w:val="32"/>
        </w:rPr>
        <w:t>（四）满意度指标绩效情况</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社会公众或服务对象的满意程度94%</w:t>
      </w:r>
      <w:r>
        <w:rPr>
          <w:rFonts w:hint="eastAsia" w:ascii="Times New Roman" w:hAnsi="Times New Roman" w:eastAsia="仿宋_GB2312" w:cs="Times New Roman"/>
          <w:color w:val="auto"/>
          <w:sz w:val="32"/>
          <w:szCs w:val="32"/>
        </w:rPr>
        <w:t>。</w:t>
      </w:r>
    </w:p>
    <w:p>
      <w:pPr>
        <w:snapToGrid w:val="0"/>
        <w:spacing w:line="360" w:lineRule="auto"/>
        <w:ind w:firstLine="640" w:firstLineChars="200"/>
        <w:rPr>
          <w:rFonts w:ascii="Times New Roman" w:hAnsi="Times New Roman" w:eastAsia="仿宋_GB2312" w:cs="Times New Roman"/>
          <w:bCs/>
          <w:color w:val="auto"/>
          <w:sz w:val="32"/>
          <w:szCs w:val="32"/>
        </w:rPr>
      </w:pPr>
      <w:r>
        <w:rPr>
          <w:rFonts w:ascii="Times New Roman" w:hAnsi="Times New Roman" w:eastAsia="仿宋_GB2312" w:cs="Times New Roman"/>
          <w:bCs/>
          <w:color w:val="auto"/>
          <w:sz w:val="32"/>
          <w:szCs w:val="32"/>
        </w:rPr>
        <w:t>四、存在的问题及原因分析</w:t>
      </w:r>
    </w:p>
    <w:p>
      <w:pPr>
        <w:snapToGrid w:val="0"/>
        <w:spacing w:line="360" w:lineRule="auto"/>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存在的问题：全年预算执行率73.84%，预算执行率偏低的原因主要是2023年棉花项目结转金额为1117.73万元。该项目财政执行周期为2023年6月至2024年6月。其中，棉花科研创新课题研究与试验示范工作已按计划基本支出完毕。湖南省棉花科技创新能力建设项目资金1000万元，涉及茅湾基地提质升级、购置仪器设备、采购分子育种系统软件、开展科研科普展示与宣传推介、建设植棉全程机械化关键技术试验示范点等5个方面，建设植棉全程机械化关键技术试验示范点已经按照方案完成资金支付，其它4个方面的建设内容已经完成建设方案的整体设计与详细预算编制工作，正在准备财政评审工作，预计按照财政执行截止时间2024年6月可以完成。</w:t>
      </w:r>
    </w:p>
    <w:p>
      <w:pPr>
        <w:spacing w:afterLines="50" w:line="360" w:lineRule="auto"/>
        <w:ind w:firstLine="640" w:firstLineChars="200"/>
        <w:jc w:val="lef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改进措施：提高预算编制水平，合理地、精准地、科学的编制预算。为加快项目预算执行，单位要加强项目实施的组织管理，做好项目前期各项准备工作，提高项目前期工作质量，明确计划、项目和财务部门的职责，建立健全责任制度和评价机制，加强沟通和协调，按照精细化管理的要求，落实到项目实施的各环节、全过程。切实协调解决项目实施过程中的难点问题，及时掌握预算执行动态，分析、跟踪预算执行情况。</w:t>
      </w:r>
    </w:p>
    <w:p>
      <w:pPr>
        <w:spacing w:afterLines="50" w:line="600" w:lineRule="exact"/>
        <w:jc w:val="center"/>
        <w:rPr>
          <w:rFonts w:ascii="仿宋" w:hAnsi="仿宋" w:eastAsia="仿宋"/>
          <w:color w:val="auto"/>
          <w:sz w:val="32"/>
          <w:szCs w:val="32"/>
        </w:rPr>
      </w:pPr>
    </w:p>
    <w:p>
      <w:pPr>
        <w:pStyle w:val="2"/>
        <w:ind w:firstLine="480"/>
        <w:rPr>
          <w:color w:val="auto"/>
        </w:rPr>
      </w:pPr>
    </w:p>
    <w:p>
      <w:pPr>
        <w:rPr>
          <w:color w:val="auto"/>
        </w:rPr>
      </w:pPr>
    </w:p>
    <w:p>
      <w:pPr>
        <w:pStyle w:val="2"/>
        <w:ind w:firstLine="480"/>
        <w:rPr>
          <w:color w:val="auto"/>
        </w:rPr>
      </w:pPr>
    </w:p>
    <w:p>
      <w:pPr>
        <w:rPr>
          <w:color w:val="auto"/>
        </w:rPr>
      </w:pPr>
    </w:p>
    <w:p>
      <w:pPr>
        <w:pStyle w:val="2"/>
        <w:ind w:firstLine="480"/>
        <w:rPr>
          <w:color w:val="auto"/>
        </w:rPr>
      </w:pPr>
    </w:p>
    <w:p>
      <w:pPr>
        <w:rPr>
          <w:color w:val="auto"/>
        </w:rPr>
      </w:pPr>
    </w:p>
    <w:p>
      <w:pPr>
        <w:pStyle w:val="2"/>
        <w:ind w:firstLine="480"/>
        <w:rPr>
          <w:color w:val="auto"/>
        </w:rPr>
      </w:pPr>
    </w:p>
    <w:p>
      <w:pPr>
        <w:rPr>
          <w:color w:val="auto"/>
        </w:rPr>
      </w:pPr>
    </w:p>
    <w:p>
      <w:pPr>
        <w:spacing w:afterLines="50" w:line="600" w:lineRule="exact"/>
        <w:jc w:val="center"/>
        <w:rPr>
          <w:rFonts w:ascii="Times New Roman" w:hAnsi="Times New Roman" w:eastAsia="仿宋_GB2312" w:cs="Times New Roman"/>
          <w:color w:val="auto"/>
          <w:sz w:val="24"/>
        </w:rPr>
      </w:pPr>
      <w:r>
        <w:rPr>
          <w:rFonts w:ascii="Times New Roman" w:hAnsi="Times New Roman" w:eastAsia="方正小标宋_GBK" w:cs="Times New Roman"/>
          <w:color w:val="auto"/>
          <w:sz w:val="36"/>
          <w:szCs w:val="36"/>
        </w:rPr>
        <w:t>202</w:t>
      </w:r>
      <w:r>
        <w:rPr>
          <w:rFonts w:hint="eastAsia" w:ascii="Times New Roman" w:hAnsi="Times New Roman" w:eastAsia="方正小标宋_GBK" w:cs="Times New Roman"/>
          <w:color w:val="auto"/>
          <w:sz w:val="36"/>
          <w:szCs w:val="36"/>
        </w:rPr>
        <w:t>3</w:t>
      </w:r>
      <w:r>
        <w:rPr>
          <w:rFonts w:ascii="Times New Roman" w:hAnsi="Times New Roman" w:eastAsia="方正小标宋_GBK" w:cs="Times New Roman"/>
          <w:color w:val="auto"/>
          <w:sz w:val="36"/>
          <w:szCs w:val="36"/>
        </w:rPr>
        <w:t>年</w:t>
      </w:r>
      <w:r>
        <w:rPr>
          <w:rFonts w:hint="eastAsia" w:ascii="Times New Roman" w:hAnsi="Times New Roman" w:eastAsia="方正小标宋_GBK" w:cs="Times New Roman"/>
          <w:color w:val="auto"/>
          <w:sz w:val="36"/>
          <w:szCs w:val="36"/>
        </w:rPr>
        <w:t>度</w:t>
      </w:r>
      <w:r>
        <w:rPr>
          <w:rFonts w:ascii="Times New Roman" w:hAnsi="Times New Roman" w:eastAsia="方正小标宋_GBK" w:cs="Times New Roman"/>
          <w:color w:val="auto"/>
          <w:sz w:val="36"/>
          <w:szCs w:val="36"/>
        </w:rPr>
        <w:t>部门整体支出绩效评价基础数据表</w:t>
      </w:r>
    </w:p>
    <w:tbl>
      <w:tblPr>
        <w:tblStyle w:val="10"/>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
                <w:bCs/>
                <w:color w:val="auto"/>
                <w:sz w:val="20"/>
                <w:szCs w:val="20"/>
              </w:rPr>
            </w:pPr>
            <w:r>
              <w:rPr>
                <w:rFonts w:ascii="Times New Roman" w:hAnsi="Times New Roman" w:eastAsia="仿宋_GB2312" w:cs="Times New Roman"/>
                <w:b/>
                <w:bCs/>
                <w:color w:val="auto"/>
                <w:sz w:val="20"/>
                <w:szCs w:val="20"/>
              </w:rPr>
              <w:t>编制数</w:t>
            </w:r>
          </w:p>
        </w:tc>
        <w:tc>
          <w:tcPr>
            <w:tcW w:w="2240"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
                <w:bCs/>
                <w:color w:val="auto"/>
                <w:sz w:val="20"/>
                <w:szCs w:val="20"/>
              </w:rPr>
            </w:pPr>
            <w:r>
              <w:rPr>
                <w:rFonts w:ascii="Times New Roman" w:hAnsi="Times New Roman" w:eastAsia="仿宋_GB2312" w:cs="Times New Roman"/>
                <w:b/>
                <w:bCs/>
                <w:color w:val="auto"/>
                <w:sz w:val="20"/>
                <w:szCs w:val="20"/>
              </w:rPr>
              <w:t>202</w:t>
            </w:r>
            <w:r>
              <w:rPr>
                <w:rFonts w:hint="eastAsia" w:ascii="Times New Roman" w:hAnsi="Times New Roman" w:eastAsia="仿宋_GB2312" w:cs="Times New Roman"/>
                <w:b/>
                <w:bCs/>
                <w:color w:val="auto"/>
                <w:sz w:val="20"/>
                <w:szCs w:val="20"/>
              </w:rPr>
              <w:t>3</w:t>
            </w:r>
            <w:r>
              <w:rPr>
                <w:rFonts w:ascii="Times New Roman" w:hAnsi="Times New Roman" w:eastAsia="仿宋_GB2312" w:cs="Times New Roman"/>
                <w:b/>
                <w:bCs/>
                <w:color w:val="auto"/>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
                <w:bCs/>
                <w:color w:val="auto"/>
                <w:sz w:val="20"/>
                <w:szCs w:val="20"/>
              </w:rPr>
            </w:pPr>
            <w:r>
              <w:rPr>
                <w:rFonts w:ascii="Times New Roman" w:hAnsi="Times New Roman" w:eastAsia="仿宋_GB2312" w:cs="Times New Roman"/>
                <w:b/>
                <w:bCs/>
                <w:color w:val="auto"/>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p>
        </w:tc>
        <w:tc>
          <w:tcPr>
            <w:tcW w:w="2038"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rPr>
              <w:t>73</w:t>
            </w:r>
          </w:p>
        </w:tc>
        <w:tc>
          <w:tcPr>
            <w:tcW w:w="2240"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rPr>
              <w:t>62</w:t>
            </w:r>
          </w:p>
        </w:tc>
        <w:tc>
          <w:tcPr>
            <w:tcW w:w="2041"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rPr>
              <w:t>84.94%</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b/>
                <w:bCs/>
                <w:color w:val="auto"/>
                <w:sz w:val="20"/>
                <w:szCs w:val="20"/>
              </w:rPr>
            </w:pPr>
            <w:r>
              <w:rPr>
                <w:rFonts w:ascii="Times New Roman" w:hAnsi="Times New Roman" w:eastAsia="仿宋_GB2312" w:cs="Times New Roman"/>
                <w:b/>
                <w:bCs/>
                <w:color w:val="auto"/>
                <w:sz w:val="20"/>
                <w:szCs w:val="20"/>
              </w:rPr>
              <w:t>202</w:t>
            </w:r>
            <w:r>
              <w:rPr>
                <w:rFonts w:hint="eastAsia" w:ascii="Times New Roman" w:hAnsi="Times New Roman" w:eastAsia="仿宋_GB2312" w:cs="Times New Roman"/>
                <w:b/>
                <w:bCs/>
                <w:color w:val="auto"/>
                <w:sz w:val="20"/>
                <w:szCs w:val="20"/>
              </w:rPr>
              <w:t>2</w:t>
            </w:r>
            <w:r>
              <w:rPr>
                <w:rFonts w:ascii="Times New Roman" w:hAnsi="Times New Roman" w:eastAsia="仿宋_GB2312" w:cs="Times New Roman"/>
                <w:b/>
                <w:bCs/>
                <w:color w:val="auto"/>
                <w:sz w:val="20"/>
                <w:szCs w:val="20"/>
              </w:rPr>
              <w:t>年决算数</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b/>
                <w:bCs/>
                <w:color w:val="auto"/>
                <w:sz w:val="20"/>
                <w:szCs w:val="20"/>
              </w:rPr>
            </w:pPr>
            <w:r>
              <w:rPr>
                <w:rFonts w:ascii="Times New Roman" w:hAnsi="Times New Roman" w:eastAsia="仿宋_GB2312" w:cs="Times New Roman"/>
                <w:b/>
                <w:bCs/>
                <w:color w:val="auto"/>
                <w:sz w:val="20"/>
                <w:szCs w:val="20"/>
              </w:rPr>
              <w:t>202</w:t>
            </w:r>
            <w:r>
              <w:rPr>
                <w:rFonts w:hint="eastAsia" w:ascii="Times New Roman" w:hAnsi="Times New Roman" w:eastAsia="仿宋_GB2312" w:cs="Times New Roman"/>
                <w:b/>
                <w:bCs/>
                <w:color w:val="auto"/>
                <w:sz w:val="20"/>
                <w:szCs w:val="20"/>
              </w:rPr>
              <w:t>3</w:t>
            </w:r>
            <w:r>
              <w:rPr>
                <w:rFonts w:ascii="Times New Roman" w:hAnsi="Times New Roman" w:eastAsia="仿宋_GB2312" w:cs="Times New Roman"/>
                <w:b/>
                <w:bCs/>
                <w:color w:val="auto"/>
                <w:sz w:val="20"/>
                <w:szCs w:val="20"/>
              </w:rPr>
              <w:t>年预算数</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b/>
                <w:bCs/>
                <w:color w:val="auto"/>
                <w:sz w:val="20"/>
                <w:szCs w:val="20"/>
              </w:rPr>
            </w:pPr>
            <w:r>
              <w:rPr>
                <w:rFonts w:ascii="Times New Roman" w:hAnsi="Times New Roman" w:eastAsia="仿宋_GB2312" w:cs="Times New Roman"/>
                <w:b/>
                <w:bCs/>
                <w:color w:val="auto"/>
                <w:sz w:val="20"/>
                <w:szCs w:val="20"/>
              </w:rPr>
              <w:t>202</w:t>
            </w:r>
            <w:r>
              <w:rPr>
                <w:rFonts w:hint="eastAsia" w:ascii="Times New Roman" w:hAnsi="Times New Roman" w:eastAsia="仿宋_GB2312" w:cs="Times New Roman"/>
                <w:b/>
                <w:bCs/>
                <w:color w:val="auto"/>
                <w:sz w:val="20"/>
                <w:szCs w:val="20"/>
              </w:rPr>
              <w:t>3</w:t>
            </w:r>
            <w:r>
              <w:rPr>
                <w:rFonts w:ascii="Times New Roman" w:hAnsi="Times New Roman" w:eastAsia="仿宋_GB2312" w:cs="Times New Roman"/>
                <w:b/>
                <w:bCs/>
                <w:color w:val="auto"/>
                <w:sz w:val="20"/>
                <w:szCs w:val="20"/>
              </w:rPr>
              <w:t>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三公经费</w:t>
            </w:r>
            <w:r>
              <w:rPr>
                <w:rFonts w:hint="eastAsia" w:ascii="Times New Roman" w:hAnsi="Times New Roman" w:eastAsia="仿宋_GB2312" w:cs="Times New Roman"/>
                <w:color w:val="auto"/>
                <w:sz w:val="20"/>
                <w:szCs w:val="20"/>
              </w:rPr>
              <w:t>:</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12</w:t>
            </w:r>
            <w:r>
              <w:rPr>
                <w:rFonts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10</w:t>
            </w:r>
            <w:r>
              <w:rPr>
                <w:rFonts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6</w:t>
            </w:r>
            <w:r>
              <w:rPr>
                <w:rFonts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5</w:t>
            </w:r>
            <w:r>
              <w:rPr>
                <w:rFonts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5</w:t>
            </w: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6</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5</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ind w:firstLine="800" w:firstLineChars="400"/>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6</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5</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5</w:t>
            </w:r>
          </w:p>
        </w:tc>
      </w:tr>
      <w:tr>
        <w:tblPrEx>
          <w:tblLayout w:type="fixed"/>
          <w:tblCellMar>
            <w:top w:w="0" w:type="dxa"/>
            <w:left w:w="108" w:type="dxa"/>
            <w:bottom w:w="0" w:type="dxa"/>
            <w:right w:w="108" w:type="dxa"/>
          </w:tblCellMar>
        </w:tblPrEx>
        <w:trPr>
          <w:trHeight w:val="373" w:hRule="atLeast"/>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项目支出：</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1974.44</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 xml:space="preserve"> 3,901.39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 xml:space="preserve"> 2,398.26 </w:t>
            </w: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1704.07</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rPr>
              <w:t>3,346.67</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1,906.65</w:t>
            </w: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3、省级专项资金（</w:t>
            </w:r>
            <w:r>
              <w:rPr>
                <w:rFonts w:hint="eastAsia" w:ascii="Times New Roman" w:hAnsi="Times New Roman" w:eastAsia="仿宋_GB2312" w:cs="Times New Roman"/>
                <w:color w:val="auto"/>
                <w:sz w:val="20"/>
                <w:szCs w:val="20"/>
              </w:rPr>
              <w:t>每</w:t>
            </w:r>
            <w:r>
              <w:rPr>
                <w:rFonts w:ascii="Times New Roman" w:hAnsi="Times New Roman" w:eastAsia="仿宋_GB2312" w:cs="Times New Roman"/>
                <w:color w:val="auto"/>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270.37</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554.72</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491.61</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科普专项（科协）（2022结转）</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16.75</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3.25</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3.25</w:t>
            </w:r>
          </w:p>
        </w:tc>
      </w:tr>
      <w:tr>
        <w:tblPrEx>
          <w:tblLayout w:type="fixed"/>
          <w:tblCellMar>
            <w:top w:w="0" w:type="dxa"/>
            <w:left w:w="108" w:type="dxa"/>
            <w:bottom w:w="0" w:type="dxa"/>
            <w:right w:w="108" w:type="dxa"/>
          </w:tblCellMar>
        </w:tblPrEx>
        <w:trPr>
          <w:trHeight w:val="422" w:hRule="atLeast"/>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创新型省份建设专项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3.10</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80.00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60.16</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重要农产品稳产保供（市县）-现代农业产业技术体系建设与种业核心技术攻关资金</w:t>
            </w:r>
          </w:p>
        </w:tc>
        <w:tc>
          <w:tcPr>
            <w:tcW w:w="2038" w:type="dxa"/>
            <w:gridSpan w:val="2"/>
            <w:tcBorders>
              <w:top w:val="single" w:color="auto" w:sz="4" w:space="0"/>
              <w:left w:val="nil"/>
              <w:bottom w:val="single" w:color="auto" w:sz="4" w:space="0"/>
              <w:right w:val="single" w:color="000000" w:sz="4" w:space="0"/>
            </w:tcBorders>
            <w:noWrap/>
            <w:vAlign w:val="center"/>
          </w:tcPr>
          <w:p>
            <w:pPr>
              <w:jc w:val="center"/>
              <w:rPr>
                <w:rFonts w:ascii="Times New Roman" w:hAnsi="Times New Roman" w:eastAsia="仿宋_GB2312" w:cs="Times New Roman"/>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79.00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66.79</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重要农产品稳产保供（市县）-2023年省级农产品质量安全监管</w:t>
            </w:r>
          </w:p>
        </w:tc>
        <w:tc>
          <w:tcPr>
            <w:tcW w:w="2038" w:type="dxa"/>
            <w:gridSpan w:val="2"/>
            <w:tcBorders>
              <w:top w:val="single" w:color="auto" w:sz="4" w:space="0"/>
              <w:left w:val="nil"/>
              <w:bottom w:val="single" w:color="auto" w:sz="4" w:space="0"/>
              <w:right w:val="single" w:color="000000" w:sz="4" w:space="0"/>
            </w:tcBorders>
            <w:noWrap/>
            <w:vAlign w:val="center"/>
          </w:tcPr>
          <w:p>
            <w:pPr>
              <w:jc w:val="center"/>
              <w:rPr>
                <w:rFonts w:ascii="Times New Roman" w:hAnsi="Times New Roman" w:eastAsia="仿宋_GB2312" w:cs="Times New Roman"/>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20.00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14.76</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农业生态环境监测与保护（2022结转）</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19.68</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0.32</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0.32</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重点工作督导与核查</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28.00</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45.00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30.61</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经济作物科研基地（数字农业）建设</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150.00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150.00</w:t>
            </w: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紫苏梗饲料化开发与利用</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20.00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20.00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农业种质资源保护与种业发展（特色作物）</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30.00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30.00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美丽乡村（农村人居环境）美丽屋场、美丽庭院的模式研究及评估</w:t>
            </w:r>
          </w:p>
        </w:tc>
        <w:tc>
          <w:tcPr>
            <w:tcW w:w="2038" w:type="dxa"/>
            <w:gridSpan w:val="2"/>
            <w:tcBorders>
              <w:top w:val="single" w:color="auto" w:sz="4" w:space="0"/>
              <w:left w:val="nil"/>
              <w:bottom w:val="single" w:color="auto" w:sz="4" w:space="0"/>
              <w:right w:val="single" w:color="000000" w:sz="4" w:space="0"/>
            </w:tcBorders>
            <w:noWrap/>
            <w:vAlign w:val="center"/>
          </w:tcPr>
          <w:p>
            <w:pPr>
              <w:jc w:val="center"/>
              <w:rPr>
                <w:rFonts w:ascii="Times New Roman" w:hAnsi="Times New Roman" w:eastAsia="仿宋_GB2312" w:cs="Times New Roman"/>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50.00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44.03</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甘薯脱毒种苗产业化示范推广</w:t>
            </w:r>
          </w:p>
        </w:tc>
        <w:tc>
          <w:tcPr>
            <w:tcW w:w="2038" w:type="dxa"/>
            <w:gridSpan w:val="2"/>
            <w:tcBorders>
              <w:top w:val="single" w:color="auto" w:sz="4" w:space="0"/>
              <w:left w:val="nil"/>
              <w:bottom w:val="single" w:color="auto" w:sz="4" w:space="0"/>
              <w:right w:val="single" w:color="000000" w:sz="4" w:space="0"/>
            </w:tcBorders>
            <w:noWrap/>
            <w:vAlign w:val="center"/>
          </w:tcPr>
          <w:p>
            <w:pPr>
              <w:jc w:val="center"/>
              <w:rPr>
                <w:rFonts w:ascii="Times New Roman" w:hAnsi="Times New Roman" w:eastAsia="仿宋_GB2312" w:cs="Times New Roman"/>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50.00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50.00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重金属污染耕地严格管控区植棉替代安全利用技术研究与示范（2022结转）</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17.50</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2.50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2.50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重要农产品稳产保供（市县）-农业种质资源保护与利用</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10.00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4.54</w:t>
            </w:r>
          </w:p>
        </w:tc>
      </w:tr>
      <w:tr>
        <w:tblPrEx>
          <w:tblLayout w:type="fixed"/>
          <w:tblCellMar>
            <w:top w:w="0" w:type="dxa"/>
            <w:left w:w="108" w:type="dxa"/>
            <w:bottom w:w="0" w:type="dxa"/>
            <w:right w:w="108" w:type="dxa"/>
          </w:tblCellMar>
        </w:tblPrEx>
        <w:trPr>
          <w:trHeight w:val="708" w:hRule="atLeast"/>
          <w:jc w:val="center"/>
        </w:trPr>
        <w:tc>
          <w:tcPr>
            <w:tcW w:w="335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2022年农业种质资源保护与利用（2022结转）</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14.65</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14.65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科普专项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15.72</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335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现代农业发展（结转）</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10.62</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c>
          <w:tcPr>
            <w:tcW w:w="2041"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335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一化四体系与三产融合</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9.00</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c>
          <w:tcPr>
            <w:tcW w:w="2041"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经济作物科技小院（智慧农业）建设</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100.00</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c>
          <w:tcPr>
            <w:tcW w:w="2041"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紫苏秸秆养牛饲料化的开发与应用</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50.00</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c>
          <w:tcPr>
            <w:tcW w:w="2041"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公用经费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96.24</w:t>
            </w:r>
            <w:r>
              <w:rPr>
                <w:rFonts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98.70</w:t>
            </w:r>
            <w:r>
              <w:rPr>
                <w:rFonts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jc w:val="center"/>
              <w:textAlignment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97.53</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1.4</w:t>
            </w:r>
            <w:r>
              <w:rPr>
                <w:rFonts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2</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2</w:t>
            </w: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9.83</w:t>
            </w:r>
            <w:r>
              <w:rPr>
                <w:rFonts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9</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rPr>
              <w:t>10.12</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2.41</w:t>
            </w:r>
            <w:r>
              <w:rPr>
                <w:rFonts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1.8</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rPr>
              <w:t>1.8</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rPr>
              <w:t>666.17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楼堂馆所控制情况</w:t>
            </w:r>
            <w:r>
              <w:rPr>
                <w:rFonts w:ascii="Times New Roman" w:hAnsi="Times New Roman" w:eastAsia="仿宋_GB2312" w:cs="Times New Roman"/>
                <w:color w:val="auto"/>
                <w:sz w:val="20"/>
                <w:szCs w:val="20"/>
              </w:rPr>
              <w:br w:type="textWrapping"/>
            </w:r>
            <w:r>
              <w:rPr>
                <w:rFonts w:ascii="Times New Roman" w:hAnsi="Times New Roman" w:eastAsia="仿宋_GB2312" w:cs="Times New Roman"/>
                <w:color w:val="auto"/>
                <w:sz w:val="20"/>
                <w:szCs w:val="20"/>
              </w:rPr>
              <w:t>（202</w:t>
            </w:r>
            <w:r>
              <w:rPr>
                <w:rFonts w:hint="eastAsia" w:ascii="Times New Roman" w:hAnsi="Times New Roman" w:eastAsia="仿宋_GB2312" w:cs="Times New Roman"/>
                <w:color w:val="auto"/>
                <w:sz w:val="20"/>
                <w:szCs w:val="20"/>
              </w:rPr>
              <w:t>3</w:t>
            </w:r>
            <w:r>
              <w:rPr>
                <w:rFonts w:ascii="Times New Roman" w:hAnsi="Times New Roman" w:eastAsia="仿宋_GB2312" w:cs="Times New Roman"/>
                <w:color w:val="auto"/>
                <w:sz w:val="20"/>
                <w:szCs w:val="20"/>
              </w:rPr>
              <w:t>年完工项目）</w:t>
            </w:r>
          </w:p>
        </w:tc>
        <w:tc>
          <w:tcPr>
            <w:tcW w:w="1189"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color w:val="auto"/>
                <w:sz w:val="20"/>
                <w:szCs w:val="20"/>
              </w:rPr>
            </w:pPr>
            <w:r>
              <w:rPr>
                <w:rFonts w:ascii="Times New Roman" w:hAnsi="Times New Roman" w:eastAsia="仿宋_GB2312" w:cs="Times New Roman"/>
                <w:bCs/>
                <w:color w:val="auto"/>
                <w:sz w:val="20"/>
                <w:szCs w:val="20"/>
              </w:rPr>
              <w:t>批复规模</w:t>
            </w:r>
            <w:r>
              <w:rPr>
                <w:rFonts w:ascii="Times New Roman" w:hAnsi="Times New Roman" w:eastAsia="仿宋_GB2312" w:cs="Times New Roman"/>
                <w:bCs/>
                <w:color w:val="auto"/>
                <w:sz w:val="20"/>
                <w:szCs w:val="20"/>
              </w:rPr>
              <w:br w:type="textWrapping"/>
            </w:r>
            <w:r>
              <w:rPr>
                <w:rFonts w:ascii="Times New Roman" w:hAnsi="Times New Roman" w:eastAsia="仿宋_GB2312" w:cs="Times New Roman"/>
                <w:bCs/>
                <w:color w:val="auto"/>
                <w:sz w:val="20"/>
                <w:szCs w:val="20"/>
              </w:rPr>
              <w:t>（</w:t>
            </w:r>
            <w:r>
              <w:rPr>
                <w:rFonts w:ascii="Times New Roman" w:hAnsi="Times New Roman" w:eastAsia="宋体" w:cs="Times New Roman"/>
                <w:bCs/>
                <w:color w:val="auto"/>
                <w:sz w:val="20"/>
                <w:szCs w:val="20"/>
              </w:rPr>
              <w:t>㎡</w:t>
            </w:r>
            <w:r>
              <w:rPr>
                <w:rFonts w:ascii="Times New Roman" w:hAnsi="Times New Roman" w:eastAsia="仿宋_GB2312" w:cs="Times New Roman"/>
                <w:bCs/>
                <w:color w:val="auto"/>
                <w:sz w:val="20"/>
                <w:szCs w:val="20"/>
              </w:rPr>
              <w:t>）</w:t>
            </w:r>
          </w:p>
        </w:tc>
        <w:tc>
          <w:tcPr>
            <w:tcW w:w="849"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color w:val="auto"/>
                <w:sz w:val="20"/>
                <w:szCs w:val="20"/>
              </w:rPr>
            </w:pPr>
            <w:r>
              <w:rPr>
                <w:rFonts w:ascii="Times New Roman" w:hAnsi="Times New Roman" w:eastAsia="仿宋_GB2312" w:cs="Times New Roman"/>
                <w:bCs/>
                <w:color w:val="auto"/>
                <w:sz w:val="20"/>
                <w:szCs w:val="20"/>
              </w:rPr>
              <w:t>实际规模（</w:t>
            </w:r>
            <w:r>
              <w:rPr>
                <w:rFonts w:ascii="Times New Roman" w:hAnsi="Times New Roman" w:eastAsia="宋体" w:cs="Times New Roman"/>
                <w:bCs/>
                <w:color w:val="auto"/>
                <w:sz w:val="20"/>
                <w:szCs w:val="20"/>
              </w:rPr>
              <w:t>㎡</w:t>
            </w:r>
            <w:r>
              <w:rPr>
                <w:rFonts w:ascii="Times New Roman" w:hAnsi="Times New Roman" w:eastAsia="仿宋_GB2312" w:cs="Times New Roman"/>
                <w:bCs/>
                <w:color w:val="auto"/>
                <w:sz w:val="20"/>
                <w:szCs w:val="20"/>
              </w:rPr>
              <w:t>）</w:t>
            </w:r>
          </w:p>
        </w:tc>
        <w:tc>
          <w:tcPr>
            <w:tcW w:w="1129"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color w:val="auto"/>
                <w:sz w:val="20"/>
                <w:szCs w:val="20"/>
              </w:rPr>
            </w:pPr>
            <w:r>
              <w:rPr>
                <w:rFonts w:ascii="Times New Roman" w:hAnsi="Times New Roman" w:eastAsia="仿宋_GB2312" w:cs="Times New Roman"/>
                <w:bCs/>
                <w:color w:val="auto"/>
                <w:sz w:val="20"/>
                <w:szCs w:val="20"/>
              </w:rPr>
              <w:t>规模控制率</w:t>
            </w:r>
          </w:p>
        </w:tc>
        <w:tc>
          <w:tcPr>
            <w:tcW w:w="1111"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color w:val="auto"/>
                <w:sz w:val="20"/>
                <w:szCs w:val="20"/>
              </w:rPr>
            </w:pPr>
            <w:r>
              <w:rPr>
                <w:rFonts w:ascii="Times New Roman" w:hAnsi="Times New Roman" w:eastAsia="仿宋_GB2312" w:cs="Times New Roman"/>
                <w:bCs/>
                <w:color w:val="auto"/>
                <w:sz w:val="20"/>
                <w:szCs w:val="20"/>
              </w:rPr>
              <w:t>预算投资（万元）</w:t>
            </w:r>
          </w:p>
        </w:tc>
        <w:tc>
          <w:tcPr>
            <w:tcW w:w="1081"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color w:val="auto"/>
                <w:sz w:val="20"/>
                <w:szCs w:val="20"/>
              </w:rPr>
            </w:pPr>
            <w:r>
              <w:rPr>
                <w:rFonts w:ascii="Times New Roman" w:hAnsi="Times New Roman" w:eastAsia="仿宋_GB2312" w:cs="Times New Roman"/>
                <w:bCs/>
                <w:color w:val="auto"/>
                <w:sz w:val="20"/>
                <w:szCs w:val="20"/>
              </w:rPr>
              <w:t>实际投资（万元）</w:t>
            </w:r>
          </w:p>
        </w:tc>
        <w:tc>
          <w:tcPr>
            <w:tcW w:w="960"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color w:val="auto"/>
                <w:sz w:val="20"/>
                <w:szCs w:val="20"/>
              </w:rPr>
            </w:pPr>
            <w:r>
              <w:rPr>
                <w:rFonts w:ascii="Times New Roman" w:hAnsi="Times New Roman" w:eastAsia="仿宋_GB2312" w:cs="Times New Roman"/>
                <w:bCs/>
                <w:color w:val="auto"/>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p>
        </w:tc>
        <w:tc>
          <w:tcPr>
            <w:tcW w:w="1189"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c>
          <w:tcPr>
            <w:tcW w:w="849" w:type="dxa"/>
            <w:tcBorders>
              <w:top w:val="nil"/>
              <w:left w:val="nil"/>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c>
          <w:tcPr>
            <w:tcW w:w="1129" w:type="dxa"/>
            <w:tcBorders>
              <w:top w:val="nil"/>
              <w:left w:val="nil"/>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c>
          <w:tcPr>
            <w:tcW w:w="1111" w:type="dxa"/>
            <w:tcBorders>
              <w:top w:val="nil"/>
              <w:left w:val="nil"/>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c>
          <w:tcPr>
            <w:tcW w:w="1081" w:type="dxa"/>
            <w:tcBorders>
              <w:top w:val="nil"/>
              <w:left w:val="nil"/>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c>
          <w:tcPr>
            <w:tcW w:w="960" w:type="dxa"/>
            <w:tcBorders>
              <w:top w:val="nil"/>
              <w:left w:val="nil"/>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bl>
    <w:p>
      <w:pPr>
        <w:widowControl/>
        <w:spacing w:line="400" w:lineRule="exact"/>
        <w:jc w:val="left"/>
        <w:rPr>
          <w:rFonts w:ascii="Times New Roman" w:hAnsi="Times New Roman" w:eastAsia="仿宋_GB2312" w:cs="Times New Roman"/>
          <w:color w:val="auto"/>
          <w:sz w:val="22"/>
        </w:rPr>
      </w:pPr>
    </w:p>
    <w:p>
      <w:pPr>
        <w:widowControl/>
        <w:spacing w:line="400" w:lineRule="exact"/>
        <w:ind w:firstLine="550" w:firstLineChars="250"/>
        <w:jc w:val="left"/>
        <w:rPr>
          <w:rFonts w:ascii="Times New Roman" w:hAnsi="Times New Roman" w:eastAsia="仿宋_GB2312" w:cs="Times New Roman"/>
          <w:color w:val="auto"/>
          <w:sz w:val="22"/>
        </w:rPr>
      </w:pPr>
      <w:r>
        <w:rPr>
          <w:rFonts w:ascii="Times New Roman" w:hAnsi="Times New Roman" w:eastAsia="仿宋_GB2312" w:cs="Times New Roman"/>
          <w:color w:val="auto"/>
          <w:sz w:val="22"/>
        </w:rPr>
        <w:t>说明：“项目支出”需要填报基本支出以外的所有项目支出情况，“公用经费”填报基本支出中的一般商品和服务支出。</w:t>
      </w:r>
    </w:p>
    <w:p>
      <w:pPr>
        <w:widowControl/>
        <w:spacing w:line="400" w:lineRule="exact"/>
        <w:jc w:val="left"/>
        <w:rPr>
          <w:rFonts w:ascii="Times New Roman" w:hAnsi="Times New Roman" w:eastAsia="仿宋_GB2312" w:cs="Times New Roman"/>
          <w:color w:val="auto"/>
          <w:sz w:val="22"/>
        </w:rPr>
      </w:pPr>
    </w:p>
    <w:p>
      <w:pPr>
        <w:widowControl/>
        <w:spacing w:line="400" w:lineRule="exact"/>
        <w:ind w:firstLine="1430" w:firstLineChars="650"/>
        <w:jc w:val="left"/>
        <w:rPr>
          <w:rFonts w:ascii="Times New Roman" w:hAnsi="Times New Roman" w:eastAsia="黑体" w:cs="Times New Roman"/>
          <w:color w:val="auto"/>
          <w:sz w:val="32"/>
          <w:szCs w:val="32"/>
        </w:rPr>
      </w:pPr>
      <w:r>
        <w:rPr>
          <w:rFonts w:ascii="Times New Roman" w:hAnsi="Times New Roman" w:eastAsia="仿宋_GB2312" w:cs="Times New Roman"/>
          <w:color w:val="auto"/>
          <w:sz w:val="22"/>
        </w:rPr>
        <w:t>填表人：        填报日期：          联系电话：            单位负责人签字：</w:t>
      </w:r>
      <w:r>
        <w:rPr>
          <w:rFonts w:ascii="Times New Roman" w:hAnsi="Times New Roman" w:eastAsia="仿宋_GB2312" w:cs="Times New Roman"/>
          <w:color w:val="auto"/>
          <w:sz w:val="22"/>
        </w:rPr>
        <w:br w:type="page"/>
      </w:r>
    </w:p>
    <w:p>
      <w:pPr>
        <w:widowControl/>
        <w:spacing w:afterLines="50"/>
        <w:jc w:val="center"/>
        <w:rPr>
          <w:rFonts w:ascii="Times New Roman" w:hAnsi="Times New Roman" w:eastAsia="方正小标宋_GBK" w:cs="Times New Roman"/>
          <w:color w:val="auto"/>
          <w:sz w:val="36"/>
          <w:szCs w:val="36"/>
        </w:rPr>
      </w:pPr>
      <w:r>
        <w:rPr>
          <w:rFonts w:ascii="Times New Roman" w:hAnsi="Times New Roman" w:eastAsia="方正小标宋_GBK" w:cs="Times New Roman"/>
          <w:color w:val="auto"/>
          <w:sz w:val="36"/>
          <w:szCs w:val="36"/>
        </w:rPr>
        <w:t>202</w:t>
      </w:r>
      <w:r>
        <w:rPr>
          <w:rFonts w:hint="eastAsia" w:ascii="Times New Roman" w:hAnsi="Times New Roman" w:eastAsia="方正小标宋_GBK" w:cs="Times New Roman"/>
          <w:color w:val="auto"/>
          <w:sz w:val="36"/>
          <w:szCs w:val="36"/>
        </w:rPr>
        <w:t>3</w:t>
      </w:r>
      <w:r>
        <w:rPr>
          <w:rFonts w:ascii="Times New Roman" w:hAnsi="Times New Roman" w:eastAsia="方正小标宋_GBK" w:cs="Times New Roman"/>
          <w:color w:val="auto"/>
          <w:sz w:val="36"/>
          <w:szCs w:val="36"/>
        </w:rPr>
        <w:t>年</w:t>
      </w:r>
      <w:r>
        <w:rPr>
          <w:rFonts w:hint="eastAsia" w:ascii="Times New Roman" w:hAnsi="Times New Roman" w:eastAsia="方正小标宋_GBK" w:cs="Times New Roman"/>
          <w:color w:val="auto"/>
          <w:sz w:val="36"/>
          <w:szCs w:val="36"/>
        </w:rPr>
        <w:t>度</w:t>
      </w:r>
      <w:r>
        <w:rPr>
          <w:rFonts w:ascii="Times New Roman" w:hAnsi="Times New Roman" w:eastAsia="方正小标宋_GBK" w:cs="Times New Roman"/>
          <w:color w:val="auto"/>
          <w:sz w:val="36"/>
          <w:szCs w:val="36"/>
        </w:rPr>
        <w:t>部门整体支出绩效自评表</w:t>
      </w:r>
    </w:p>
    <w:tbl>
      <w:tblPr>
        <w:tblStyle w:val="10"/>
        <w:tblW w:w="10079" w:type="dxa"/>
        <w:jc w:val="center"/>
        <w:tblInd w:w="-567" w:type="dxa"/>
        <w:tblLayout w:type="fixed"/>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Layout w:type="fixed"/>
          <w:tblCellMar>
            <w:top w:w="0" w:type="dxa"/>
            <w:left w:w="108" w:type="dxa"/>
            <w:bottom w:w="0" w:type="dxa"/>
            <w:right w:w="108" w:type="dxa"/>
          </w:tblCellMar>
        </w:tblPrEx>
        <w:trPr>
          <w:jc w:val="center"/>
        </w:trPr>
        <w:tc>
          <w:tcPr>
            <w:tcW w:w="3194"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省级预算部门、单位名称</w:t>
            </w:r>
          </w:p>
        </w:tc>
        <w:tc>
          <w:tcPr>
            <w:tcW w:w="6885"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湖南省棉花科学研究所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年度预</w:t>
            </w:r>
          </w:p>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算申请</w:t>
            </w:r>
            <w:r>
              <w:rPr>
                <w:rFonts w:ascii="Times New Roman" w:hAnsi="Times New Roman" w:eastAsia="仿宋_GB2312" w:cs="Times New Roman"/>
                <w:color w:val="auto"/>
                <w:sz w:val="20"/>
                <w:szCs w:val="20"/>
              </w:rPr>
              <w:br w:type="textWrapping"/>
            </w:r>
            <w:r>
              <w:rPr>
                <w:rFonts w:ascii="Times New Roman" w:hAnsi="Times New Roman" w:eastAsia="仿宋_GB2312" w:cs="Times New Roman"/>
                <w:color w:val="auto"/>
                <w:sz w:val="20"/>
                <w:szCs w:val="20"/>
              </w:rPr>
              <w:t>（万元）</w:t>
            </w:r>
          </w:p>
        </w:tc>
        <w:tc>
          <w:tcPr>
            <w:tcW w:w="2114" w:type="dxa"/>
            <w:gridSpan w:val="2"/>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年初预算数</w:t>
            </w:r>
          </w:p>
        </w:tc>
        <w:tc>
          <w:tcPr>
            <w:tcW w:w="1311"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全年预算数</w:t>
            </w:r>
          </w:p>
        </w:tc>
        <w:tc>
          <w:tcPr>
            <w:tcW w:w="1269"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全年执行数</w:t>
            </w:r>
          </w:p>
        </w:tc>
        <w:tc>
          <w:tcPr>
            <w:tcW w:w="716"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分值</w:t>
            </w:r>
          </w:p>
        </w:tc>
        <w:tc>
          <w:tcPr>
            <w:tcW w:w="873"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执行率</w:t>
            </w:r>
          </w:p>
        </w:tc>
        <w:tc>
          <w:tcPr>
            <w:tcW w:w="1446"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自评得分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p>
        </w:tc>
        <w:tc>
          <w:tcPr>
            <w:tcW w:w="2114" w:type="dxa"/>
            <w:gridSpan w:val="2"/>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年度资金总额</w:t>
            </w:r>
          </w:p>
        </w:tc>
        <w:tc>
          <w:tcPr>
            <w:tcW w:w="1270"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3,201.6</w:t>
            </w:r>
          </w:p>
        </w:tc>
        <w:tc>
          <w:tcPr>
            <w:tcW w:w="1311"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5,745.55</w:t>
            </w:r>
          </w:p>
        </w:tc>
        <w:tc>
          <w:tcPr>
            <w:tcW w:w="1269"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4,242.42</w:t>
            </w:r>
          </w:p>
        </w:tc>
        <w:tc>
          <w:tcPr>
            <w:tcW w:w="716"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b/>
                <w:bCs/>
                <w:color w:val="auto"/>
                <w:sz w:val="20"/>
                <w:szCs w:val="20"/>
              </w:rPr>
              <w:t>10</w:t>
            </w:r>
          </w:p>
        </w:tc>
        <w:tc>
          <w:tcPr>
            <w:tcW w:w="873"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73.84%</w:t>
            </w:r>
          </w:p>
        </w:tc>
        <w:tc>
          <w:tcPr>
            <w:tcW w:w="1446"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7.38</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按收入性质分：</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xml:space="preserve">  其中：  一般公共预算：4,840.97</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其中：基本支出：1,844.16</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ind w:firstLine="800" w:firstLineChars="4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政府性基金拨款：</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ind w:firstLine="600" w:firstLineChars="3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项目支出：2,398.26</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纳入专户管理的非税收入拨款：</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ind w:firstLine="1400" w:firstLineChars="7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其他资金：904.58</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预期目标</w:t>
            </w:r>
          </w:p>
        </w:tc>
        <w:tc>
          <w:tcPr>
            <w:tcW w:w="4304"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4695" w:type="dxa"/>
            <w:gridSpan w:val="4"/>
            <w:tcBorders>
              <w:top w:val="single" w:color="auto" w:sz="4" w:space="0"/>
              <w:left w:val="nil"/>
              <w:bottom w:val="single" w:color="auto" w:sz="4" w:space="0"/>
              <w:right w:val="single" w:color="000000" w:sz="4" w:space="0"/>
            </w:tcBorders>
            <w:noWrap/>
            <w:vAlign w:val="center"/>
          </w:tcPr>
          <w:p>
            <w:pPr>
              <w:widowControl/>
              <w:spacing w:line="240" w:lineRule="exac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选定调研题目，深入调查研究，逐步构建“一个主阵地、三个实验站、多个示范点”的科研基地布局。加强棉花全程机械化攻关的同时，推动甘薯研究、油料和中药材研究进行新突破和新发展，注重人才培养，注重学术成果的研究和转化。</w:t>
            </w:r>
          </w:p>
        </w:tc>
        <w:tc>
          <w:tcPr>
            <w:tcW w:w="4304"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完成棉花、甘薯的两个调研报告；逐步构建“一个主阵地、三个实验站、多个示范点”的科研基地布局；承办全省棉花机械直播现场观摩暨技术培训会等；甘薯脱毒组培苗累计扩繁50万株以上；学术成果丰硕，发表论文29篇、定地方标准和行业规程33项。</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绩</w:t>
            </w:r>
          </w:p>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效</w:t>
            </w:r>
          </w:p>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指</w:t>
            </w:r>
          </w:p>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标</w:t>
            </w:r>
          </w:p>
          <w:p>
            <w:pPr>
              <w:widowControl/>
              <w:spacing w:line="240" w:lineRule="exact"/>
              <w:jc w:val="center"/>
              <w:rPr>
                <w:rFonts w:ascii="Times New Roman" w:hAnsi="Times New Roman" w:eastAsia="仿宋_GB2312" w:cs="Times New Roman"/>
                <w:color w:val="auto"/>
                <w:sz w:val="20"/>
                <w:szCs w:val="20"/>
              </w:rPr>
            </w:pPr>
          </w:p>
        </w:tc>
        <w:tc>
          <w:tcPr>
            <w:tcW w:w="108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一级指标</w:t>
            </w:r>
          </w:p>
        </w:tc>
        <w:tc>
          <w:tcPr>
            <w:tcW w:w="1034"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二级指标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三级指标</w:t>
            </w:r>
          </w:p>
        </w:tc>
        <w:tc>
          <w:tcPr>
            <w:tcW w:w="1311" w:type="dxa"/>
            <w:tcBorders>
              <w:top w:val="nil"/>
              <w:left w:val="nil"/>
              <w:bottom w:val="single" w:color="auto" w:sz="4" w:space="0"/>
              <w:right w:val="single" w:color="auto" w:sz="4" w:space="0"/>
            </w:tcBorders>
            <w:noWrap/>
            <w:vAlign w:val="center"/>
          </w:tcPr>
          <w:p>
            <w:pPr>
              <w:widowControl/>
              <w:spacing w:line="240" w:lineRule="exac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年度指标值</w:t>
            </w:r>
          </w:p>
        </w:tc>
        <w:tc>
          <w:tcPr>
            <w:tcW w:w="1269" w:type="dxa"/>
            <w:tcBorders>
              <w:top w:val="nil"/>
              <w:left w:val="nil"/>
              <w:bottom w:val="single" w:color="auto" w:sz="4" w:space="0"/>
              <w:right w:val="single" w:color="auto" w:sz="4" w:space="0"/>
            </w:tcBorders>
            <w:noWrap/>
            <w:vAlign w:val="center"/>
          </w:tcPr>
          <w:p>
            <w:pPr>
              <w:widowControl/>
              <w:spacing w:line="240" w:lineRule="exac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实际完成值</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16"/>
                <w:szCs w:val="16"/>
              </w:rPr>
              <w:t>自评得分</w:t>
            </w:r>
          </w:p>
        </w:tc>
        <w:tc>
          <w:tcPr>
            <w:tcW w:w="1446" w:type="dxa"/>
            <w:tcBorders>
              <w:top w:val="nil"/>
              <w:left w:val="nil"/>
              <w:bottom w:val="single" w:color="auto" w:sz="4" w:space="0"/>
              <w:right w:val="single" w:color="auto" w:sz="4" w:space="0"/>
            </w:tcBorders>
            <w:noWrap/>
            <w:vAlign w:val="center"/>
          </w:tcPr>
          <w:p>
            <w:pPr>
              <w:widowControl/>
              <w:spacing w:line="240" w:lineRule="exac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restart"/>
            <w:tcBorders>
              <w:top w:val="nil"/>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产出指标</w:t>
            </w:r>
          </w:p>
          <w:p>
            <w:pPr>
              <w:widowControl/>
              <w:spacing w:line="240" w:lineRule="exact"/>
              <w:jc w:val="center"/>
              <w:rPr>
                <w:rFonts w:ascii="Times New Roman" w:hAnsi="Times New Roman" w:eastAsia="仿宋_GB2312" w:cs="Times New Roman"/>
                <w:color w:val="auto"/>
                <w:sz w:val="20"/>
                <w:szCs w:val="20"/>
              </w:rPr>
            </w:pPr>
          </w:p>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(50分)</w:t>
            </w:r>
          </w:p>
        </w:tc>
        <w:tc>
          <w:tcPr>
            <w:tcW w:w="1034" w:type="dxa"/>
            <w:vMerge w:val="restart"/>
            <w:tcBorders>
              <w:top w:val="nil"/>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数量指标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组织开展技术培训</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≥5次</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6次</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34" w:type="dxa"/>
            <w:vMerge w:val="continue"/>
            <w:tcBorders>
              <w:left w:val="nil"/>
              <w:right w:val="single" w:color="auto" w:sz="4" w:space="0"/>
            </w:tcBorders>
            <w:noWrap/>
            <w:vAlign w:val="center"/>
          </w:tcPr>
          <w:p>
            <w:pPr>
              <w:spacing w:line="240" w:lineRule="exact"/>
              <w:jc w:val="center"/>
              <w:rPr>
                <w:rFonts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甘薯脱毒组培苗</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≥50万株</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已累计扩繁50万株以上</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发表论文</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≥20篇</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29篇</w:t>
            </w:r>
          </w:p>
        </w:tc>
        <w:tc>
          <w:tcPr>
            <w:tcW w:w="716" w:type="dxa"/>
            <w:tcBorders>
              <w:top w:val="nil"/>
              <w:left w:val="nil"/>
              <w:bottom w:val="single" w:color="auto" w:sz="4" w:space="0"/>
              <w:right w:val="single" w:color="auto" w:sz="4" w:space="0"/>
            </w:tcBorders>
            <w:noWrap/>
            <w:vAlign w:val="center"/>
          </w:tcPr>
          <w:p>
            <w:pPr>
              <w:widowControl/>
              <w:spacing w:line="240" w:lineRule="exact"/>
              <w:ind w:firstLine="200" w:firstLineChars="1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8</w:t>
            </w:r>
          </w:p>
        </w:tc>
        <w:tc>
          <w:tcPr>
            <w:tcW w:w="873" w:type="dxa"/>
            <w:tcBorders>
              <w:top w:val="nil"/>
              <w:left w:val="nil"/>
              <w:bottom w:val="single" w:color="auto" w:sz="4" w:space="0"/>
              <w:right w:val="single" w:color="auto" w:sz="4" w:space="0"/>
            </w:tcBorders>
            <w:noWrap/>
            <w:vAlign w:val="center"/>
          </w:tcPr>
          <w:p>
            <w:pPr>
              <w:widowControl/>
              <w:spacing w:line="240" w:lineRule="exact"/>
              <w:ind w:firstLine="200" w:firstLineChars="1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8</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获授权国际与国家发明专利</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≥5项</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获授权国际发明专利4项、国家发明专利5项</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34" w:type="dxa"/>
            <w:vMerge w:val="restart"/>
            <w:tcBorders>
              <w:top w:val="nil"/>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质量指标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高质量承办棉花机械技术培训会等</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已完成</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新棉花品种通过国家或省级审定</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5个棉花品种通过国家或省级审定</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8</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8</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860" w:hRule="atLeast"/>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34" w:type="dxa"/>
            <w:vMerge w:val="restart"/>
            <w:tcBorders>
              <w:top w:val="nil"/>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时效指标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完成撰写棉花、甘薯的调查报告</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按时完成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已完成</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8</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8</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continue"/>
            <w:tcBorders>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完成中国农学会棉花分会2023年年会</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按时完成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已完成</w:t>
            </w:r>
          </w:p>
        </w:tc>
        <w:tc>
          <w:tcPr>
            <w:tcW w:w="716" w:type="dxa"/>
            <w:tcBorders>
              <w:top w:val="nil"/>
              <w:left w:val="nil"/>
              <w:bottom w:val="single" w:color="auto" w:sz="4" w:space="0"/>
              <w:right w:val="single" w:color="auto" w:sz="4" w:space="0"/>
            </w:tcBorders>
            <w:noWrap/>
            <w:vAlign w:val="center"/>
          </w:tcPr>
          <w:p>
            <w:pPr>
              <w:widowControl/>
              <w:spacing w:line="240" w:lineRule="exact"/>
              <w:ind w:firstLine="200" w:firstLineChars="1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6</w:t>
            </w:r>
          </w:p>
        </w:tc>
        <w:tc>
          <w:tcPr>
            <w:tcW w:w="873" w:type="dxa"/>
            <w:tcBorders>
              <w:top w:val="nil"/>
              <w:left w:val="nil"/>
              <w:bottom w:val="single" w:color="auto" w:sz="4" w:space="0"/>
              <w:right w:val="single" w:color="auto" w:sz="4" w:space="0"/>
            </w:tcBorders>
            <w:noWrap/>
            <w:vAlign w:val="center"/>
          </w:tcPr>
          <w:p>
            <w:pPr>
              <w:widowControl/>
              <w:spacing w:line="240" w:lineRule="exact"/>
              <w:ind w:firstLine="200" w:firstLineChars="1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6</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restart"/>
            <w:tcBorders>
              <w:top w:val="nil"/>
              <w:left w:val="nil"/>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效益指标</w:t>
            </w:r>
          </w:p>
          <w:p>
            <w:pPr>
              <w:widowControl/>
              <w:spacing w:line="240" w:lineRule="exact"/>
              <w:jc w:val="left"/>
              <w:rPr>
                <w:rFonts w:ascii="Times New Roman" w:hAnsi="Times New Roman" w:eastAsia="仿宋_GB2312" w:cs="Times New Roman"/>
                <w:color w:val="auto"/>
                <w:sz w:val="20"/>
                <w:szCs w:val="20"/>
              </w:rPr>
            </w:pPr>
          </w:p>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（30分）</w:t>
            </w:r>
          </w:p>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经济效</w:t>
            </w:r>
          </w:p>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益指标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转化科技成果，促进产业发展</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cs="Times New Roman"/>
                <w:color w:val="auto"/>
              </w:rPr>
            </w:pPr>
            <w:r>
              <w:rPr>
                <w:rFonts w:ascii="Times New Roman" w:hAnsi="Times New Roman" w:eastAsia="仿宋_GB2312" w:cs="Times New Roman"/>
                <w:color w:val="auto"/>
                <w:sz w:val="20"/>
                <w:szCs w:val="20"/>
              </w:rPr>
              <w:t>科技成果转化</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成功转让棉花、油菜等生产经营权</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8</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8</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34"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社会效</w:t>
            </w:r>
          </w:p>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益指标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油料和中药材研究获取新进展</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新品种申请审定，1个百合新品种获新品种保护权</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4</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4</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34"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构建“一个主阵地、三个实验站、多个示范点”布局</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p>
            <w:pPr>
              <w:widowControl/>
              <w:spacing w:line="240" w:lineRule="exact"/>
              <w:jc w:val="left"/>
              <w:rPr>
                <w:rFonts w:ascii="Times New Roman" w:hAnsi="Times New Roman" w:eastAsia="仿宋_GB2312" w:cs="Times New Roman"/>
                <w:color w:val="auto"/>
                <w:sz w:val="20"/>
                <w:szCs w:val="20"/>
              </w:rPr>
            </w:pPr>
          </w:p>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逐步构建</w:t>
            </w:r>
          </w:p>
        </w:tc>
        <w:tc>
          <w:tcPr>
            <w:tcW w:w="1269" w:type="dxa"/>
            <w:tcBorders>
              <w:top w:val="nil"/>
              <w:left w:val="nil"/>
              <w:bottom w:val="single" w:color="auto" w:sz="4" w:space="0"/>
              <w:right w:val="single" w:color="auto" w:sz="4" w:space="0"/>
            </w:tcBorders>
            <w:noWrap/>
            <w:vAlign w:val="center"/>
          </w:tcPr>
          <w:p>
            <w:pPr>
              <w:widowControl/>
              <w:tabs>
                <w:tab w:val="left" w:pos="557"/>
              </w:tabs>
              <w:spacing w:line="240" w:lineRule="exact"/>
              <w:jc w:val="left"/>
              <w:rPr>
                <w:rFonts w:ascii="Times New Roman" w:hAnsi="Times New Roman" w:eastAsia="仿宋_GB2312" w:cs="Times New Roman"/>
                <w:color w:val="auto"/>
                <w:sz w:val="20"/>
                <w:szCs w:val="20"/>
              </w:rPr>
            </w:pPr>
          </w:p>
          <w:p>
            <w:pPr>
              <w:widowControl/>
              <w:tabs>
                <w:tab w:val="left" w:pos="557"/>
              </w:tabs>
              <w:spacing w:line="240" w:lineRule="exact"/>
              <w:jc w:val="left"/>
              <w:rPr>
                <w:rFonts w:ascii="Times New Roman" w:hAnsi="Times New Roman" w:eastAsia="仿宋_GB2312" w:cs="Times New Roman"/>
                <w:color w:val="auto"/>
                <w:sz w:val="20"/>
                <w:szCs w:val="20"/>
              </w:rPr>
            </w:pPr>
          </w:p>
          <w:p>
            <w:pPr>
              <w:widowControl/>
              <w:tabs>
                <w:tab w:val="left" w:pos="557"/>
              </w:tabs>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逐步构建中</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1034" w:type="dxa"/>
            <w:vMerge w:val="continue"/>
            <w:tcBorders>
              <w:left w:val="single" w:color="auto" w:sz="4" w:space="0"/>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制定地方标准和行业规程</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制定33项</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1034"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构建优化甘薯组培脱毒技术体系</w:t>
            </w:r>
          </w:p>
        </w:tc>
        <w:tc>
          <w:tcPr>
            <w:tcW w:w="1311"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构建优化</w:t>
            </w:r>
          </w:p>
        </w:tc>
        <w:tc>
          <w:tcPr>
            <w:tcW w:w="126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辐射全省9个市16个县市区</w:t>
            </w:r>
          </w:p>
        </w:tc>
        <w:tc>
          <w:tcPr>
            <w:tcW w:w="71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200" w:firstLineChars="1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4</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200" w:firstLineChars="1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4</w:t>
            </w:r>
          </w:p>
        </w:tc>
        <w:tc>
          <w:tcPr>
            <w:tcW w:w="144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vMerge w:val="continue"/>
            <w:tcBorders>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1034" w:type="dxa"/>
            <w:vMerge w:val="continue"/>
            <w:tcBorders>
              <w:left w:val="single" w:color="auto" w:sz="4" w:space="0"/>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加大人才培养力度，吸引高端科研人才</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培育人才</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选任年轻干部，设立青年基金</w:t>
            </w:r>
          </w:p>
        </w:tc>
        <w:tc>
          <w:tcPr>
            <w:tcW w:w="716" w:type="dxa"/>
            <w:tcBorders>
              <w:top w:val="nil"/>
              <w:left w:val="nil"/>
              <w:bottom w:val="single" w:color="auto" w:sz="4" w:space="0"/>
              <w:right w:val="single" w:color="auto" w:sz="4" w:space="0"/>
            </w:tcBorders>
            <w:noWrap/>
            <w:vAlign w:val="center"/>
          </w:tcPr>
          <w:p>
            <w:pPr>
              <w:widowControl/>
              <w:spacing w:line="240" w:lineRule="exact"/>
              <w:ind w:firstLine="200" w:firstLineChars="1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4</w:t>
            </w:r>
          </w:p>
        </w:tc>
        <w:tc>
          <w:tcPr>
            <w:tcW w:w="873" w:type="dxa"/>
            <w:tcBorders>
              <w:top w:val="nil"/>
              <w:left w:val="nil"/>
              <w:bottom w:val="single" w:color="auto" w:sz="4" w:space="0"/>
              <w:right w:val="single" w:color="auto" w:sz="4" w:space="0"/>
            </w:tcBorders>
            <w:noWrap/>
            <w:vAlign w:val="center"/>
          </w:tcPr>
          <w:p>
            <w:pPr>
              <w:widowControl/>
              <w:spacing w:line="240" w:lineRule="exact"/>
              <w:ind w:firstLine="200" w:firstLineChars="1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4</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757" w:hRule="atLeast"/>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auto"/>
                <w:sz w:val="20"/>
                <w:szCs w:val="20"/>
              </w:rPr>
            </w:pPr>
          </w:p>
        </w:tc>
        <w:tc>
          <w:tcPr>
            <w:tcW w:w="1080" w:type="dxa"/>
            <w:tcBorders>
              <w:top w:val="nil"/>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满意度</w:t>
            </w:r>
          </w:p>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指标</w:t>
            </w:r>
          </w:p>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（10分）</w:t>
            </w:r>
          </w:p>
        </w:tc>
        <w:tc>
          <w:tcPr>
            <w:tcW w:w="1034" w:type="dxa"/>
            <w:tcBorders>
              <w:top w:val="nil"/>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服务对象满意度指标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社会公众或服务对象的满意程度</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90%以上</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94%</w:t>
            </w:r>
          </w:p>
        </w:tc>
        <w:tc>
          <w:tcPr>
            <w:tcW w:w="716" w:type="dxa"/>
            <w:tcBorders>
              <w:top w:val="nil"/>
              <w:left w:val="nil"/>
              <w:bottom w:val="single" w:color="auto" w:sz="4" w:space="0"/>
              <w:right w:val="single" w:color="auto" w:sz="4" w:space="0"/>
            </w:tcBorders>
            <w:noWrap/>
            <w:vAlign w:val="center"/>
          </w:tcPr>
          <w:p>
            <w:pPr>
              <w:widowControl/>
              <w:spacing w:line="240" w:lineRule="exact"/>
              <w:ind w:firstLine="200" w:firstLineChars="100"/>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10</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总分</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97.38</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　</w:t>
            </w:r>
          </w:p>
        </w:tc>
      </w:tr>
    </w:tbl>
    <w:p>
      <w:pPr>
        <w:widowControl/>
        <w:jc w:val="left"/>
        <w:rPr>
          <w:color w:val="auto"/>
          <w:kern w:val="0"/>
          <w:sz w:val="22"/>
        </w:rPr>
      </w:pPr>
      <w:r>
        <w:rPr>
          <w:color w:val="auto"/>
          <w:kern w:val="0"/>
          <w:sz w:val="22"/>
        </w:rPr>
        <w:t>说明：本表由农业农村厅部门本级和直属单位填写，市、县农业农村局不需填写。</w:t>
      </w:r>
    </w:p>
    <w:p>
      <w:pPr>
        <w:snapToGrid w:val="0"/>
        <w:spacing w:line="520" w:lineRule="exact"/>
        <w:ind w:firstLine="660" w:firstLineChars="300"/>
        <w:rPr>
          <w:rFonts w:ascii="仿宋" w:hAnsi="仿宋" w:eastAsia="仿宋"/>
          <w:color w:val="auto"/>
          <w:sz w:val="32"/>
          <w:szCs w:val="32"/>
        </w:rPr>
      </w:pPr>
      <w:r>
        <w:rPr>
          <w:rFonts w:ascii="Times New Roman" w:hAnsi="Times New Roman" w:eastAsia="仿宋_GB2312" w:cs="Times New Roman"/>
          <w:color w:val="auto"/>
          <w:sz w:val="22"/>
        </w:rPr>
        <w:t>填表人：      填报日期：         联系电话：     单位</w:t>
      </w:r>
    </w:p>
    <w:p>
      <w:pPr>
        <w:pStyle w:val="14"/>
        <w:spacing w:line="600" w:lineRule="exact"/>
        <w:ind w:firstLine="640" w:firstLineChars="200"/>
        <w:rPr>
          <w:rFonts w:ascii="Times New Roman" w:hAnsi="Times New Roman" w:eastAsia="仿宋_GB2312"/>
          <w:color w:val="auto"/>
          <w:sz w:val="32"/>
          <w:szCs w:val="32"/>
        </w:rPr>
      </w:pPr>
    </w:p>
    <w:p>
      <w:pPr>
        <w:pStyle w:val="14"/>
        <w:jc w:val="center"/>
        <w:rPr>
          <w:color w:val="auto"/>
          <w:sz w:val="72"/>
          <w:szCs w:val="72"/>
        </w:rPr>
      </w:pPr>
    </w:p>
    <w:p>
      <w:pPr>
        <w:pStyle w:val="14"/>
        <w:jc w:val="center"/>
        <w:rPr>
          <w:color w:val="auto"/>
          <w:sz w:val="72"/>
          <w:szCs w:val="72"/>
        </w:rPr>
      </w:pPr>
    </w:p>
    <w:p>
      <w:pPr>
        <w:jc w:val="left"/>
        <w:rPr>
          <w:rFonts w:cs="黑体" w:asciiTheme="minorEastAsia" w:hAnsiTheme="minorEastAsia"/>
          <w:color w:val="auto"/>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B23E8"/>
    <w:multiLevelType w:val="singleLevel"/>
    <w:tmpl w:val="16CB23E8"/>
    <w:lvl w:ilvl="0" w:tentative="0">
      <w:start w:val="1"/>
      <w:numFmt w:val="chineseCounting"/>
      <w:suff w:val="nothing"/>
      <w:lvlText w:val="%1、"/>
      <w:lvlJc w:val="left"/>
      <w:rPr>
        <w:rFonts w:hint="eastAsia"/>
      </w:rPr>
    </w:lvl>
  </w:abstractNum>
  <w:abstractNum w:abstractNumId="1">
    <w:nsid w:val="272B6A4B"/>
    <w:multiLevelType w:val="singleLevel"/>
    <w:tmpl w:val="272B6A4B"/>
    <w:lvl w:ilvl="0" w:tentative="0">
      <w:start w:val="1"/>
      <w:numFmt w:val="decimal"/>
      <w:suff w:val="nothing"/>
      <w:lvlText w:val="%1、"/>
      <w:lvlJc w:val="left"/>
    </w:lvl>
  </w:abstractNum>
  <w:abstractNum w:abstractNumId="2">
    <w:nsid w:val="2D5AEB02"/>
    <w:multiLevelType w:val="singleLevel"/>
    <w:tmpl w:val="2D5AEB02"/>
    <w:lvl w:ilvl="0" w:tentative="0">
      <w:start w:val="7"/>
      <w:numFmt w:val="chineseCounting"/>
      <w:suff w:val="nothing"/>
      <w:lvlText w:val="%1、"/>
      <w:lvlJc w:val="left"/>
      <w:rPr>
        <w:rFonts w:hint="eastAsia"/>
      </w:r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0952B9D"/>
    <w:multiLevelType w:val="singleLevel"/>
    <w:tmpl w:val="60952B9D"/>
    <w:lvl w:ilvl="0" w:tentative="0">
      <w:start w:val="1"/>
      <w:numFmt w:val="decimal"/>
      <w:suff w:val="nothing"/>
      <w:lvlText w:val="%1、"/>
      <w:lvlJc w:val="left"/>
      <w:pPr>
        <w:ind w:left="-1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506F9"/>
    <w:rsid w:val="00005063"/>
    <w:rsid w:val="0002229B"/>
    <w:rsid w:val="000273BD"/>
    <w:rsid w:val="00040CBC"/>
    <w:rsid w:val="000415B7"/>
    <w:rsid w:val="00041E3F"/>
    <w:rsid w:val="00055DAA"/>
    <w:rsid w:val="00061F7B"/>
    <w:rsid w:val="000658A3"/>
    <w:rsid w:val="00074155"/>
    <w:rsid w:val="00095A6F"/>
    <w:rsid w:val="000A3F69"/>
    <w:rsid w:val="00103957"/>
    <w:rsid w:val="00152C6D"/>
    <w:rsid w:val="001572B0"/>
    <w:rsid w:val="00162D39"/>
    <w:rsid w:val="001678BD"/>
    <w:rsid w:val="00182373"/>
    <w:rsid w:val="001A67DB"/>
    <w:rsid w:val="001C3C29"/>
    <w:rsid w:val="001D4515"/>
    <w:rsid w:val="001D51E5"/>
    <w:rsid w:val="001E080D"/>
    <w:rsid w:val="001E53D0"/>
    <w:rsid w:val="001F0C3B"/>
    <w:rsid w:val="00202C82"/>
    <w:rsid w:val="00204DF0"/>
    <w:rsid w:val="00214427"/>
    <w:rsid w:val="00226CB7"/>
    <w:rsid w:val="00264552"/>
    <w:rsid w:val="00264EF9"/>
    <w:rsid w:val="00265724"/>
    <w:rsid w:val="0027426B"/>
    <w:rsid w:val="002875C9"/>
    <w:rsid w:val="002E0A30"/>
    <w:rsid w:val="002E1788"/>
    <w:rsid w:val="002F10B9"/>
    <w:rsid w:val="003130C4"/>
    <w:rsid w:val="00316C4B"/>
    <w:rsid w:val="0032192B"/>
    <w:rsid w:val="003479BD"/>
    <w:rsid w:val="0037197D"/>
    <w:rsid w:val="00372340"/>
    <w:rsid w:val="003768D5"/>
    <w:rsid w:val="003926B9"/>
    <w:rsid w:val="0039525E"/>
    <w:rsid w:val="003C47E6"/>
    <w:rsid w:val="003C4FC2"/>
    <w:rsid w:val="004065F7"/>
    <w:rsid w:val="00416E61"/>
    <w:rsid w:val="0042790C"/>
    <w:rsid w:val="00431680"/>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065DC"/>
    <w:rsid w:val="0061699A"/>
    <w:rsid w:val="0062378F"/>
    <w:rsid w:val="00641842"/>
    <w:rsid w:val="00651EEC"/>
    <w:rsid w:val="00661E74"/>
    <w:rsid w:val="00683091"/>
    <w:rsid w:val="00686673"/>
    <w:rsid w:val="00691E8C"/>
    <w:rsid w:val="00693A9A"/>
    <w:rsid w:val="006A22C4"/>
    <w:rsid w:val="006A351B"/>
    <w:rsid w:val="006B0422"/>
    <w:rsid w:val="006C1B53"/>
    <w:rsid w:val="006C3892"/>
    <w:rsid w:val="006D7730"/>
    <w:rsid w:val="006E5284"/>
    <w:rsid w:val="006F3EB5"/>
    <w:rsid w:val="006F408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8E3358"/>
    <w:rsid w:val="009237C4"/>
    <w:rsid w:val="00944C48"/>
    <w:rsid w:val="00950252"/>
    <w:rsid w:val="00953BB6"/>
    <w:rsid w:val="00967F5D"/>
    <w:rsid w:val="009A0F95"/>
    <w:rsid w:val="009B3ADF"/>
    <w:rsid w:val="009B6614"/>
    <w:rsid w:val="009C3B52"/>
    <w:rsid w:val="009E6817"/>
    <w:rsid w:val="009E6E9A"/>
    <w:rsid w:val="00A00069"/>
    <w:rsid w:val="00A01D2B"/>
    <w:rsid w:val="00A42218"/>
    <w:rsid w:val="00A70249"/>
    <w:rsid w:val="00A70B02"/>
    <w:rsid w:val="00A71D9F"/>
    <w:rsid w:val="00A76511"/>
    <w:rsid w:val="00A92E9F"/>
    <w:rsid w:val="00AB18FF"/>
    <w:rsid w:val="00B33BEA"/>
    <w:rsid w:val="00B4463C"/>
    <w:rsid w:val="00B57C9F"/>
    <w:rsid w:val="00B63572"/>
    <w:rsid w:val="00B81EC0"/>
    <w:rsid w:val="00B845B3"/>
    <w:rsid w:val="00B85D8B"/>
    <w:rsid w:val="00BB4A40"/>
    <w:rsid w:val="00BD6C3E"/>
    <w:rsid w:val="00BE3674"/>
    <w:rsid w:val="00C10681"/>
    <w:rsid w:val="00C3049A"/>
    <w:rsid w:val="00C31B1E"/>
    <w:rsid w:val="00C67F05"/>
    <w:rsid w:val="00C77645"/>
    <w:rsid w:val="00CE04C3"/>
    <w:rsid w:val="00CE76A0"/>
    <w:rsid w:val="00D148C6"/>
    <w:rsid w:val="00D17A8A"/>
    <w:rsid w:val="00D415BA"/>
    <w:rsid w:val="00D45B6A"/>
    <w:rsid w:val="00D63780"/>
    <w:rsid w:val="00D644EE"/>
    <w:rsid w:val="00DD06FF"/>
    <w:rsid w:val="00DD5FE9"/>
    <w:rsid w:val="00E00C7A"/>
    <w:rsid w:val="00E10A42"/>
    <w:rsid w:val="00E37D6C"/>
    <w:rsid w:val="00E55B68"/>
    <w:rsid w:val="00E561AE"/>
    <w:rsid w:val="00E67BE6"/>
    <w:rsid w:val="00E8683C"/>
    <w:rsid w:val="00EA2B72"/>
    <w:rsid w:val="00EF7EE1"/>
    <w:rsid w:val="00F74360"/>
    <w:rsid w:val="00FB462F"/>
    <w:rsid w:val="00FE16FA"/>
    <w:rsid w:val="00FE328A"/>
    <w:rsid w:val="00FE6269"/>
    <w:rsid w:val="00FF5CD6"/>
    <w:rsid w:val="03A07F4C"/>
    <w:rsid w:val="045F4602"/>
    <w:rsid w:val="124A1664"/>
    <w:rsid w:val="1286079E"/>
    <w:rsid w:val="137B0D23"/>
    <w:rsid w:val="15BA7A89"/>
    <w:rsid w:val="197D2AF5"/>
    <w:rsid w:val="199D7302"/>
    <w:rsid w:val="1BC3422A"/>
    <w:rsid w:val="1D97DEFF"/>
    <w:rsid w:val="1DFF72E5"/>
    <w:rsid w:val="1EFC6F07"/>
    <w:rsid w:val="23AF2F95"/>
    <w:rsid w:val="25481D94"/>
    <w:rsid w:val="2C7A1A26"/>
    <w:rsid w:val="2FD766C9"/>
    <w:rsid w:val="2FDF85B8"/>
    <w:rsid w:val="2FFFEE04"/>
    <w:rsid w:val="31990EA4"/>
    <w:rsid w:val="34DF85B0"/>
    <w:rsid w:val="3B8F36BC"/>
    <w:rsid w:val="4433011F"/>
    <w:rsid w:val="44A1344C"/>
    <w:rsid w:val="491FF225"/>
    <w:rsid w:val="4FFD214C"/>
    <w:rsid w:val="53F06BFC"/>
    <w:rsid w:val="5777D4F5"/>
    <w:rsid w:val="59DC274C"/>
    <w:rsid w:val="59DD8326"/>
    <w:rsid w:val="5A8111FB"/>
    <w:rsid w:val="5DEF592A"/>
    <w:rsid w:val="5FC6BB1E"/>
    <w:rsid w:val="5FF720F1"/>
    <w:rsid w:val="63817C16"/>
    <w:rsid w:val="66610413"/>
    <w:rsid w:val="67FF5C0B"/>
    <w:rsid w:val="6EFC0924"/>
    <w:rsid w:val="6FB74722"/>
    <w:rsid w:val="6FEF8B7E"/>
    <w:rsid w:val="71A6591B"/>
    <w:rsid w:val="737D59BA"/>
    <w:rsid w:val="74270140"/>
    <w:rsid w:val="757F627C"/>
    <w:rsid w:val="768A515E"/>
    <w:rsid w:val="77C37683"/>
    <w:rsid w:val="79FF515B"/>
    <w:rsid w:val="7A0A7B8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99"/>
    <w:pPr>
      <w:keepNext/>
      <w:keepLines/>
      <w:spacing w:line="700" w:lineRule="exact"/>
      <w:jc w:val="center"/>
      <w:outlineLvl w:val="0"/>
    </w:pPr>
    <w:rPr>
      <w:rFonts w:eastAsia="方正小标宋简体"/>
      <w:bCs/>
      <w:kern w:val="44"/>
      <w:sz w:val="44"/>
      <w:szCs w:val="44"/>
    </w:rPr>
  </w:style>
  <w:style w:type="paragraph" w:styleId="5">
    <w:name w:val="heading 2"/>
    <w:basedOn w:val="1"/>
    <w:next w:val="1"/>
    <w:qFormat/>
    <w:uiPriority w:val="0"/>
    <w:pPr>
      <w:outlineLvl w:val="1"/>
    </w:pPr>
    <w:rPr>
      <w:rFonts w:eastAsia="黑体"/>
      <w:bCs/>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2"/>
    <w:unhideWhenUsed/>
    <w:qFormat/>
    <w:uiPriority w:val="99"/>
    <w:pPr>
      <w:widowControl/>
      <w:spacing w:after="120"/>
      <w:ind w:left="420" w:leftChars="200"/>
      <w:jc w:val="left"/>
    </w:pPr>
    <w:rPr>
      <w:rFonts w:ascii="宋体" w:hAnsi="宋体" w:eastAsia="宋体" w:cs="宋体"/>
      <w:kern w:val="0"/>
      <w:sz w:val="24"/>
    </w:r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2"/>
    <w:semiHidden/>
    <w:qFormat/>
    <w:uiPriority w:val="0"/>
    <w:pPr>
      <w:snapToGrid w:val="0"/>
      <w:jc w:val="left"/>
    </w:pPr>
    <w:rPr>
      <w:sz w:val="18"/>
      <w:szCs w:val="18"/>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3734</Words>
  <Characters>21284</Characters>
  <Lines>177</Lines>
  <Paragraphs>49</Paragraphs>
  <TotalTime>285</TotalTime>
  <ScaleCrop>false</ScaleCrop>
  <LinksUpToDate>false</LinksUpToDate>
  <CharactersWithSpaces>24969</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2024-09-06T07:13:49Z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