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3"/>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湖南省工业贸易学校</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湖南省工业贸易学校</w:t>
      </w:r>
      <w:r>
        <w:rPr>
          <w:rFonts w:hint="eastAsia" w:ascii="黑体" w:hAnsi="黑体" w:eastAsia="黑体" w:cs="黑体"/>
          <w:b w:val="0"/>
          <w:bCs/>
          <w:sz w:val="28"/>
          <w:szCs w:val="28"/>
        </w:rPr>
        <w:t>单位概况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hint="eastAsia" w:ascii="方正小标宋_GBK" w:hAnsi="方正小标宋_GBK" w:eastAsia="方正小标宋_GBK" w:cs="方正小标宋_GBK"/>
          <w:sz w:val="84"/>
          <w:szCs w:val="84"/>
        </w:rPr>
      </w:pPr>
    </w:p>
    <w:p>
      <w:pPr>
        <w:pStyle w:val="13"/>
        <w:jc w:val="center"/>
        <w:rPr>
          <w:sz w:val="84"/>
          <w:szCs w:val="84"/>
        </w:rPr>
      </w:pPr>
      <w:r>
        <w:rPr>
          <w:rFonts w:hint="eastAsia"/>
          <w:sz w:val="84"/>
          <w:szCs w:val="84"/>
        </w:rPr>
        <w:t>湖南省工业贸易学校</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jc w:val="center"/>
        <w:rPr>
          <w:rFonts w:hint="eastAsia" w:ascii="方正小标宋_GBK" w:hAnsi="方正小标宋_GBK" w:eastAsia="方正小标宋_GBK" w:cs="方正小标宋_GBK"/>
          <w:sz w:val="72"/>
          <w:szCs w:val="72"/>
        </w:rPr>
      </w:pPr>
    </w:p>
    <w:p>
      <w:pPr>
        <w:jc w:val="both"/>
        <w:rPr>
          <w:sz w:val="72"/>
          <w:szCs w:val="72"/>
        </w:rPr>
      </w:pPr>
    </w:p>
    <w:p>
      <w:pPr>
        <w:jc w:val="both"/>
        <w:rPr>
          <w:sz w:val="72"/>
          <w:szCs w:val="72"/>
        </w:rPr>
      </w:pPr>
    </w:p>
    <w:p>
      <w:pPr>
        <w:jc w:val="both"/>
        <w:rPr>
          <w:sz w:val="72"/>
          <w:szCs w:val="72"/>
        </w:rPr>
      </w:pPr>
    </w:p>
    <w:p>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pStyle w:val="14"/>
        <w:numPr>
          <w:ilvl w:val="0"/>
          <w:numId w:val="0"/>
        </w:numPr>
        <w:ind w:firstLine="640" w:firstLineChars="200"/>
        <w:jc w:val="left"/>
        <w:rPr>
          <w:rFonts w:hint="eastAsia" w:ascii="仿宋" w:hAnsi="仿宋" w:eastAsia="仿宋" w:cs="仿宋"/>
          <w:b w:val="0"/>
          <w:bCs w:val="0"/>
          <w:sz w:val="32"/>
          <w:szCs w:val="32"/>
          <w:lang w:eastAsia="zh-CN"/>
        </w:rPr>
      </w:pPr>
      <w:r>
        <w:rPr>
          <w:rFonts w:hint="eastAsia" w:ascii="仿宋" w:hAnsi="仿宋" w:eastAsia="仿宋" w:cs="仿宋"/>
          <w:sz w:val="32"/>
          <w:szCs w:val="32"/>
        </w:rPr>
        <w:t>湖南省工业贸易学校系隶属于省农业农村厅管理的二级机构，是一所公办全日制省级示范性中等职业学校。</w:t>
      </w:r>
      <w:r>
        <w:rPr>
          <w:rFonts w:hint="eastAsia" w:ascii="仿宋" w:hAnsi="仿宋" w:eastAsia="仿宋" w:cs="仿宋"/>
          <w:sz w:val="32"/>
          <w:szCs w:val="32"/>
          <w:lang w:eastAsia="zh-CN"/>
        </w:rPr>
        <w:t>主要职责是：</w:t>
      </w:r>
    </w:p>
    <w:p>
      <w:pPr>
        <w:ind w:firstLine="640" w:firstLineChars="20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w:t>
      </w:r>
      <w:r>
        <w:rPr>
          <w:rFonts w:hint="eastAsia" w:ascii="仿宋" w:hAnsi="仿宋" w:eastAsia="仿宋" w:cs="仿宋"/>
          <w:color w:val="auto"/>
          <w:sz w:val="32"/>
          <w:szCs w:val="32"/>
        </w:rPr>
        <w:t>中专学历教育</w:t>
      </w:r>
      <w:r>
        <w:rPr>
          <w:rFonts w:hint="eastAsia" w:ascii="仿宋" w:hAnsi="仿宋" w:eastAsia="仿宋" w:cs="仿宋"/>
          <w:color w:val="auto"/>
          <w:sz w:val="32"/>
          <w:szCs w:val="32"/>
          <w:lang w:eastAsia="zh-CN"/>
        </w:rPr>
        <w:t>。</w:t>
      </w:r>
    </w:p>
    <w:p>
      <w:pPr>
        <w:ind w:firstLine="640" w:firstLineChars="200"/>
        <w:jc w:val="left"/>
        <w:rPr>
          <w:rFonts w:hint="eastAsia" w:ascii="仿宋" w:hAnsi="仿宋" w:eastAsia="仿宋" w:cs="仿宋"/>
          <w:color w:val="auto"/>
          <w:sz w:val="32"/>
          <w:szCs w:val="32"/>
        </w:rPr>
      </w:pPr>
      <w:r>
        <w:rPr>
          <w:rFonts w:hint="eastAsia" w:ascii="Times New Roman" w:hAnsi="Times New Roman" w:eastAsia="仿宋_GB2312" w:cs="仿宋_GB2312"/>
          <w:sz w:val="32"/>
          <w:szCs w:val="32"/>
        </w:rPr>
        <w:t>（二）</w:t>
      </w:r>
      <w:r>
        <w:rPr>
          <w:rFonts w:hint="eastAsia" w:ascii="仿宋" w:hAnsi="仿宋" w:eastAsia="仿宋" w:cs="仿宋"/>
          <w:color w:val="auto"/>
          <w:sz w:val="32"/>
          <w:szCs w:val="32"/>
        </w:rPr>
        <w:t>为成人提供中短期培训服务、成人中短期培训、相关社会服务。</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仿宋" w:hAnsi="仿宋" w:eastAsia="仿宋" w:cs="仿宋"/>
          <w:sz w:val="32"/>
          <w:szCs w:val="32"/>
        </w:rPr>
      </w:pPr>
      <w:r>
        <w:rPr>
          <w:rFonts w:hint="eastAsia" w:ascii="Times New Roman" w:hAnsi="Times New Roman" w:eastAsia="仿宋_GB2312" w:cs="仿宋_GB2312"/>
          <w:bCs/>
          <w:kern w:val="0"/>
          <w:sz w:val="32"/>
          <w:szCs w:val="32"/>
        </w:rPr>
        <w:t>（一）内设机构设置。</w:t>
      </w:r>
      <w:r>
        <w:rPr>
          <w:rFonts w:hint="eastAsia" w:ascii="仿宋" w:hAnsi="仿宋" w:eastAsia="仿宋" w:cs="仿宋"/>
          <w:bCs/>
          <w:kern w:val="0"/>
          <w:sz w:val="32"/>
          <w:szCs w:val="32"/>
        </w:rPr>
        <w:t>湖南省工业贸易学校内设机构包括：</w:t>
      </w:r>
      <w:r>
        <w:rPr>
          <w:rFonts w:hint="eastAsia" w:ascii="仿宋" w:hAnsi="仿宋" w:eastAsia="仿宋" w:cs="仿宋"/>
          <w:sz w:val="32"/>
          <w:szCs w:val="32"/>
        </w:rPr>
        <w:t>办公室、组织人事科、财务科、教务科、总务科、招生就业指导办、党务办（纪检监察室）、学生管理科、综治办、培训中心共10个科室。</w:t>
      </w:r>
    </w:p>
    <w:p>
      <w:pPr>
        <w:widowControl/>
        <w:spacing w:line="600" w:lineRule="exac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湖南省工业贸易学校</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w:t>
      </w:r>
      <w:r>
        <w:rPr>
          <w:rFonts w:hint="eastAsia" w:ascii="Times New Roman" w:hAnsi="Times New Roman" w:eastAsia="仿宋_GB2312" w:cs="仿宋_GB2312"/>
          <w:bCs/>
          <w:kern w:val="0"/>
          <w:sz w:val="32"/>
          <w:szCs w:val="32"/>
          <w:lang w:eastAsia="zh-CN"/>
        </w:rPr>
        <w:t>为湖南省工业贸易学校</w:t>
      </w:r>
      <w:r>
        <w:rPr>
          <w:rFonts w:hint="eastAsia" w:ascii="Times New Roman" w:hAnsi="Times New Roman" w:eastAsia="仿宋_GB2312" w:cs="仿宋_GB2312"/>
          <w:bCs/>
          <w:kern w:val="0"/>
          <w:sz w:val="32"/>
          <w:szCs w:val="32"/>
        </w:rPr>
        <w:t>单位本级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both"/>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9"/>
        <w:tblW w:w="15428" w:type="dxa"/>
        <w:tblInd w:w="0" w:type="dxa"/>
        <w:tblLayout w:type="fixed"/>
        <w:tblCellMar>
          <w:top w:w="0" w:type="dxa"/>
          <w:left w:w="0" w:type="dxa"/>
          <w:bottom w:w="0" w:type="dxa"/>
          <w:right w:w="0" w:type="dxa"/>
        </w:tblCellMar>
      </w:tblPr>
      <w:tblGrid>
        <w:gridCol w:w="283"/>
        <w:gridCol w:w="906"/>
        <w:gridCol w:w="3840"/>
        <w:gridCol w:w="1830"/>
        <w:gridCol w:w="1770"/>
        <w:gridCol w:w="1200"/>
        <w:gridCol w:w="1590"/>
        <w:gridCol w:w="1050"/>
        <w:gridCol w:w="1290"/>
        <w:gridCol w:w="1669"/>
      </w:tblGrid>
      <w:tr>
        <w:tblPrEx>
          <w:tblLayout w:type="fixed"/>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9"/>
              <w:tblW w:w="15398" w:type="dxa"/>
              <w:tblInd w:w="-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05"/>
              <w:gridCol w:w="1196"/>
              <w:gridCol w:w="1920"/>
              <w:gridCol w:w="3915"/>
              <w:gridCol w:w="1395"/>
              <w:gridCol w:w="246"/>
              <w:gridCol w:w="1779"/>
              <w:gridCol w:w="9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4" w:hRule="atLeast"/>
              </w:trPr>
              <w:tc>
                <w:tcPr>
                  <w:tcW w:w="4005" w:type="dxa"/>
                  <w:tcBorders>
                    <w:top w:val="nil"/>
                    <w:left w:val="nil"/>
                    <w:bottom w:val="nil"/>
                    <w:right w:val="nil"/>
                  </w:tcBorders>
                  <w:shd w:val="clear" w:color="auto" w:fill="auto"/>
                  <w:noWrap/>
                  <w:vAlign w:val="center"/>
                </w:tcPr>
                <w:p>
                  <w:pPr>
                    <w:jc w:val="left"/>
                    <w:rPr>
                      <w:rFonts w:hint="eastAsia" w:ascii="黑体" w:hAnsi="宋体" w:eastAsia="黑体" w:cs="黑体"/>
                      <w:i w:val="0"/>
                      <w:color w:val="000000"/>
                      <w:sz w:val="24"/>
                      <w:szCs w:val="24"/>
                      <w:u w:val="none"/>
                    </w:rPr>
                  </w:pPr>
                </w:p>
              </w:tc>
              <w:tc>
                <w:tcPr>
                  <w:tcW w:w="1196"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920"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3915" w:type="dxa"/>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1641" w:type="dxa"/>
                  <w:gridSpan w:val="2"/>
                  <w:tcBorders>
                    <w:top w:val="nil"/>
                    <w:left w:val="nil"/>
                    <w:bottom w:val="nil"/>
                    <w:right w:val="nil"/>
                  </w:tcBorders>
                  <w:shd w:val="clear" w:color="auto" w:fill="auto"/>
                  <w:noWrap/>
                  <w:vAlign w:val="center"/>
                </w:tcPr>
                <w:p>
                  <w:pPr>
                    <w:jc w:val="right"/>
                    <w:rPr>
                      <w:rFonts w:hint="eastAsia" w:ascii="宋体" w:hAnsi="宋体" w:eastAsia="宋体" w:cs="宋体"/>
                      <w:i w:val="0"/>
                      <w:color w:val="000000"/>
                      <w:sz w:val="24"/>
                      <w:szCs w:val="24"/>
                      <w:u w:val="none"/>
                    </w:rPr>
                  </w:pPr>
                </w:p>
              </w:tc>
              <w:tc>
                <w:tcPr>
                  <w:tcW w:w="2721" w:type="dxa"/>
                  <w:gridSpan w:val="2"/>
                  <w:tcBorders>
                    <w:top w:val="nil"/>
                    <w:left w:val="nil"/>
                    <w:bottom w:val="nil"/>
                    <w:right w:val="nil"/>
                  </w:tcBorders>
                  <w:shd w:val="clear" w:color="auto" w:fill="auto"/>
                  <w:noWrap/>
                  <w:vAlign w:val="center"/>
                </w:tcPr>
                <w:p>
                  <w:pPr>
                    <w:jc w:val="right"/>
                    <w:rPr>
                      <w:rFonts w:hint="eastAsia" w:ascii="黑体" w:hAnsi="宋体" w:eastAsia="黑体" w:cs="黑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9" w:hRule="atLeast"/>
              </w:trPr>
              <w:tc>
                <w:tcPr>
                  <w:tcW w:w="15398"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trPr>
              <w:tc>
                <w:tcPr>
                  <w:tcW w:w="400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196"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92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391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641"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721"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4" w:hRule="atLeast"/>
              </w:trPr>
              <w:tc>
                <w:tcPr>
                  <w:tcW w:w="4005" w:type="dxa"/>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0"/>
                      <w:szCs w:val="20"/>
                      <w:u w:val="none"/>
                      <w:lang w:val="en-US" w:eastAsia="zh-CN"/>
                    </w:rPr>
                    <w:t>湖南省工业贸易学校</w:t>
                  </w:r>
                </w:p>
              </w:tc>
              <w:tc>
                <w:tcPr>
                  <w:tcW w:w="1196"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920"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3915" w:type="dxa"/>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1641" w:type="dxa"/>
                  <w:gridSpan w:val="2"/>
                  <w:tcBorders>
                    <w:top w:val="nil"/>
                    <w:left w:val="nil"/>
                    <w:bottom w:val="nil"/>
                    <w:right w:val="nil"/>
                  </w:tcBorders>
                  <w:shd w:val="clear" w:color="auto" w:fill="FFFFFF"/>
                  <w:noWrap/>
                  <w:vAlign w:val="center"/>
                </w:tcPr>
                <w:p>
                  <w:pPr>
                    <w:jc w:val="right"/>
                    <w:rPr>
                      <w:rFonts w:hint="eastAsia" w:ascii="宋体" w:hAnsi="宋体" w:eastAsia="宋体" w:cs="宋体"/>
                      <w:i w:val="0"/>
                      <w:color w:val="000000"/>
                      <w:sz w:val="24"/>
                      <w:szCs w:val="24"/>
                      <w:u w:val="none"/>
                    </w:rPr>
                  </w:pPr>
                </w:p>
              </w:tc>
              <w:tc>
                <w:tcPr>
                  <w:tcW w:w="2721"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712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收入</w:t>
                  </w:r>
                </w:p>
              </w:tc>
              <w:tc>
                <w:tcPr>
                  <w:tcW w:w="7335"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42" w:type="dxa"/>
                <w:trHeight w:val="62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9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    目</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    次</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    次</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color w:val="000000"/>
                      <w:sz w:val="24"/>
                      <w:szCs w:val="24"/>
                      <w:u w:val="none"/>
                    </w:rPr>
                  </w:pP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4,264.50</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185.00</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auto"/>
                      <w:kern w:val="2"/>
                      <w:sz w:val="22"/>
                      <w:szCs w:val="22"/>
                      <w:u w:val="none"/>
                      <w:lang w:val="en-US" w:eastAsia="zh-CN" w:bidi="ar-SA"/>
                    </w:rPr>
                  </w:pPr>
                  <w:r>
                    <w:rPr>
                      <w:rFonts w:hint="eastAsia" w:ascii="宋体" w:hAnsi="宋体" w:eastAsia="宋体" w:cs="宋体"/>
                      <w:i w:val="0"/>
                      <w:iCs w:val="0"/>
                      <w:color w:val="auto"/>
                      <w:kern w:val="0"/>
                      <w:sz w:val="22"/>
                      <w:szCs w:val="22"/>
                      <w:u w:val="none"/>
                      <w:lang w:val="en-US" w:eastAsia="zh-CN" w:bidi="ar"/>
                    </w:rPr>
                    <w:t>0.00</w:t>
                  </w: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113.72</w:t>
                  </w: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40</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41</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42</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43</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45</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47</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17</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48</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18</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49</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52</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53</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54</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24</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55</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25</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2"/>
                      <w:szCs w:val="22"/>
                      <w:u w:val="none"/>
                    </w:rPr>
                  </w:pP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57</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4,563.22</w:t>
                  </w: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3,895.72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使用非财政拨款结余（含专用结余）</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结余分配</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942" w:type="dxa"/>
                <w:trHeight w:val="62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年初结转和结余</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428.66</w:t>
                  </w:r>
                </w:p>
              </w:tc>
              <w:tc>
                <w:tcPr>
                  <w:tcW w:w="3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年末结转和结余</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1,053.61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942" w:type="dxa"/>
                <w:trHeight w:val="448" w:hRule="atLeast"/>
              </w:trPr>
              <w:tc>
                <w:tcPr>
                  <w:tcW w:w="4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11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4,991.88</w:t>
                  </w:r>
                </w:p>
              </w:tc>
              <w:tc>
                <w:tcPr>
                  <w:tcW w:w="39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4,991.88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5" w:hRule="atLeast"/>
              </w:trPr>
              <w:tc>
                <w:tcPr>
                  <w:tcW w:w="15398" w:type="dxa"/>
                  <w:gridSpan w:val="8"/>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注：1.本表反映部门本年度的总收支和年末结转结余情况。</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 xml:space="preserve">    2.本套报表金额单位转换时可能存在尾数误差。</w:t>
                  </w:r>
                </w:p>
              </w:tc>
            </w:tr>
          </w:tbl>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28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0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384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8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7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0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9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5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9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6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564" w:hRule="atLeast"/>
        </w:trPr>
        <w:tc>
          <w:tcPr>
            <w:tcW w:w="5029"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r>
              <w:rPr>
                <w:rFonts w:hint="eastAsia" w:ascii="宋体" w:hAnsi="宋体" w:eastAsia="宋体" w:cs="宋体"/>
                <w:i w:val="0"/>
                <w:color w:val="000000"/>
                <w:kern w:val="0"/>
                <w:sz w:val="20"/>
                <w:szCs w:val="20"/>
                <w:u w:val="none"/>
                <w:lang w:val="en-US" w:eastAsia="zh-CN"/>
              </w:rPr>
              <w:t>湖南省工业贸易学校</w:t>
            </w:r>
          </w:p>
          <w:p>
            <w:pPr>
              <w:jc w:val="right"/>
              <w:rPr>
                <w:rFonts w:ascii="宋体" w:hAnsi="宋体" w:eastAsia="宋体" w:cs="宋体"/>
                <w:sz w:val="24"/>
                <w:szCs w:val="24"/>
              </w:rPr>
            </w:pPr>
            <w:r>
              <w:rPr>
                <w:rFonts w:hint="eastAsia"/>
              </w:rPr>
              <w:t>　</w:t>
            </w:r>
          </w:p>
        </w:tc>
        <w:tc>
          <w:tcPr>
            <w:tcW w:w="18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7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00"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59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5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9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6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5029"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83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770"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20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59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05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29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66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450" w:hRule="atLeast"/>
        </w:trPr>
        <w:tc>
          <w:tcPr>
            <w:tcW w:w="1189"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384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83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7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9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9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6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1189"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384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83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77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9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9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69"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5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83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77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20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5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05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29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66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450" w:hRule="atLeast"/>
        </w:trPr>
        <w:tc>
          <w:tcPr>
            <w:tcW w:w="5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4,563.22</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4,264.50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185.00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b/>
                <w:bCs/>
                <w:i w:val="0"/>
                <w:iCs w:val="0"/>
                <w:color w:val="000000"/>
                <w:kern w:val="0"/>
                <w:sz w:val="22"/>
                <w:szCs w:val="22"/>
                <w:u w:val="none"/>
                <w:lang w:val="en-US" w:eastAsia="zh-CN" w:bidi="ar"/>
              </w:rPr>
              <w:t>113.72</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205</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教育支出</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4,028.62</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3,729.90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185.00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113.72</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20503</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职业教育</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华文中宋" w:hAnsi="华文中宋" w:eastAsia="华文中宋" w:cs="宋体"/>
                <w:sz w:val="24"/>
                <w:szCs w:val="24"/>
              </w:rPr>
            </w:pPr>
            <w:r>
              <w:rPr>
                <w:rFonts w:hint="eastAsia" w:ascii="宋体" w:hAnsi="宋体" w:eastAsia="宋体" w:cs="宋体"/>
                <w:i w:val="0"/>
                <w:iCs w:val="0"/>
                <w:color w:val="000000"/>
                <w:kern w:val="0"/>
                <w:sz w:val="22"/>
                <w:szCs w:val="22"/>
                <w:u w:val="none"/>
                <w:lang w:val="en-US" w:eastAsia="zh-CN" w:bidi="ar"/>
              </w:rPr>
              <w:t>4,028.62</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3,729.90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185.00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113.72</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2050302</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中等职业教育</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4,028.62</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3,729.90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185.00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113.72</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208</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2.20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2.20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20801</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人力资源和社会保障管理事务</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519"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2080199</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其他人力资源和社会保障管理事务支出</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节能环保支出</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21110</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能源节约利用</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2111001</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能源节约利用</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农林水支出</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农业农村</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450" w:hRule="atLeast"/>
        </w:trPr>
        <w:tc>
          <w:tcPr>
            <w:tcW w:w="1189"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2130101</w:t>
            </w:r>
          </w:p>
        </w:tc>
        <w:tc>
          <w:tcPr>
            <w:tcW w:w="384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行政运行</w:t>
            </w:r>
          </w:p>
        </w:tc>
        <w:tc>
          <w:tcPr>
            <w:tcW w:w="18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177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120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5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05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29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66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方正小标宋_GBK" w:cs="Times New Roman"/>
          <w:color w:val="000000"/>
          <w:kern w:val="0"/>
          <w:sz w:val="36"/>
          <w:szCs w:val="36"/>
        </w:rPr>
      </w:pPr>
      <w:r>
        <w:rPr>
          <w:rFonts w:ascii="Times New Roman" w:hAnsi="Times New Roman" w:eastAsia="黑体" w:cs="Times New Roman"/>
          <w:bCs/>
          <w:kern w:val="0"/>
          <w:sz w:val="32"/>
          <w:szCs w:val="32"/>
        </w:rPr>
        <w:br w:type="page"/>
      </w:r>
    </w:p>
    <w:tbl>
      <w:tblPr>
        <w:tblStyle w:val="9"/>
        <w:tblW w:w="15640" w:type="dxa"/>
        <w:tblInd w:w="93" w:type="dxa"/>
        <w:tblLayout w:type="fixed"/>
        <w:tblCellMar>
          <w:top w:w="0" w:type="dxa"/>
          <w:left w:w="108" w:type="dxa"/>
          <w:bottom w:w="0" w:type="dxa"/>
          <w:right w:w="108" w:type="dxa"/>
        </w:tblCellMar>
      </w:tblPr>
      <w:tblGrid>
        <w:gridCol w:w="1236"/>
        <w:gridCol w:w="263"/>
        <w:gridCol w:w="2330"/>
        <w:gridCol w:w="2250"/>
        <w:gridCol w:w="2025"/>
        <w:gridCol w:w="1980"/>
        <w:gridCol w:w="1740"/>
        <w:gridCol w:w="1755"/>
        <w:gridCol w:w="2061"/>
      </w:tblGrid>
      <w:tr>
        <w:tblPrEx>
          <w:tblLayout w:type="fixed"/>
          <w:tblCellMar>
            <w:top w:w="0" w:type="dxa"/>
            <w:left w:w="108" w:type="dxa"/>
            <w:bottom w:w="0" w:type="dxa"/>
            <w:right w:w="108" w:type="dxa"/>
          </w:tblCellMar>
        </w:tblPrEx>
        <w:trPr>
          <w:trHeight w:val="807" w:hRule="atLeast"/>
        </w:trPr>
        <w:tc>
          <w:tcPr>
            <w:tcW w:w="156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3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61"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741" w:hRule="atLeast"/>
        </w:trPr>
        <w:tc>
          <w:tcPr>
            <w:tcW w:w="3829"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i w:val="0"/>
                <w:color w:val="000000"/>
                <w:kern w:val="0"/>
                <w:sz w:val="20"/>
                <w:szCs w:val="20"/>
                <w:u w:val="none"/>
                <w:lang w:val="en-US" w:eastAsia="zh-CN"/>
              </w:rPr>
              <w:t>湖南省工业贸易学校</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2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0"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74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5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61"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3829"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225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202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98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74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75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206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33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2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3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2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2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06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382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2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02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98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74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755"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06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595" w:hRule="atLeast"/>
        </w:trPr>
        <w:tc>
          <w:tcPr>
            <w:tcW w:w="382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3,895.72</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2,095.37</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1,800.35</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b/>
                <w:bCs/>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教育支出</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3,361.12</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1,582.97</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1,778.15</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20503</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职业教育</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3,361.12</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1,582.97</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1,778.15</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2050302</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中等职业教育</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3,361.12</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1,582.97</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1,778.15</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20801</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人力资源和社会保障管理事务</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2080199</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其他人力资源和社会保障管理事务支出</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节能环保支出</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21110</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能源节约利用</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2111001</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能源节约利用</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农林水支出</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农业农村</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2130101</w:t>
            </w:r>
          </w:p>
        </w:tc>
        <w:tc>
          <w:tcPr>
            <w:tcW w:w="233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行政运行</w:t>
            </w:r>
          </w:p>
        </w:tc>
        <w:tc>
          <w:tcPr>
            <w:tcW w:w="225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512.40</w:t>
            </w:r>
          </w:p>
        </w:tc>
        <w:tc>
          <w:tcPr>
            <w:tcW w:w="2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512.40</w:t>
            </w:r>
          </w:p>
        </w:tc>
        <w:tc>
          <w:tcPr>
            <w:tcW w:w="19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4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17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c>
          <w:tcPr>
            <w:tcW w:w="20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828" w:hRule="atLeast"/>
        </w:trPr>
        <w:tc>
          <w:tcPr>
            <w:tcW w:w="15640"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jc w:val="both"/>
        <w:rPr>
          <w:rFonts w:ascii="Times New Roman" w:hAnsi="Times New Roman" w:eastAsia="方正小标宋_GBK" w:cs="Times New Roman"/>
          <w:color w:val="000000"/>
          <w:kern w:val="0"/>
          <w:sz w:val="36"/>
          <w:szCs w:val="21"/>
        </w:rPr>
      </w:pPr>
    </w:p>
    <w:p>
      <w:pPr>
        <w:pStyle w:val="8"/>
        <w:rPr>
          <w:rFonts w:ascii="Times New Roman" w:hAnsi="Times New Roman" w:eastAsia="方正小标宋_GBK" w:cs="Times New Roman"/>
          <w:color w:val="000000"/>
          <w:kern w:val="0"/>
          <w:sz w:val="36"/>
          <w:szCs w:val="21"/>
        </w:rPr>
      </w:pPr>
    </w:p>
    <w:p>
      <w:pPr>
        <w:pStyle w:val="3"/>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pPr>
        <w:rPr>
          <w:rFonts w:ascii="Times New Roman" w:hAnsi="Times New Roman" w:eastAsia="方正小标宋_GBK" w:cs="Times New Roman"/>
          <w:color w:val="000000"/>
          <w:kern w:val="0"/>
          <w:sz w:val="36"/>
          <w:szCs w:val="21"/>
        </w:rPr>
      </w:pPr>
    </w:p>
    <w:p/>
    <w:tbl>
      <w:tblPr>
        <w:tblStyle w:val="9"/>
        <w:tblW w:w="15521" w:type="dxa"/>
        <w:tblInd w:w="93" w:type="dxa"/>
        <w:tblLayout w:type="fixed"/>
        <w:tblCellMar>
          <w:top w:w="0" w:type="dxa"/>
          <w:left w:w="108" w:type="dxa"/>
          <w:bottom w:w="0" w:type="dxa"/>
          <w:right w:w="108" w:type="dxa"/>
        </w:tblCellMar>
      </w:tblPr>
      <w:tblGrid>
        <w:gridCol w:w="3319"/>
        <w:gridCol w:w="585"/>
        <w:gridCol w:w="1218"/>
        <w:gridCol w:w="495"/>
        <w:gridCol w:w="2911"/>
        <w:gridCol w:w="631"/>
        <w:gridCol w:w="435"/>
        <w:gridCol w:w="1571"/>
        <w:gridCol w:w="1392"/>
        <w:gridCol w:w="1392"/>
        <w:gridCol w:w="1572"/>
      </w:tblGrid>
      <w:tr>
        <w:tblPrEx>
          <w:tblLayout w:type="fixed"/>
          <w:tblCellMar>
            <w:top w:w="0" w:type="dxa"/>
            <w:left w:w="108" w:type="dxa"/>
            <w:bottom w:w="0" w:type="dxa"/>
            <w:right w:w="108" w:type="dxa"/>
          </w:tblCellMar>
        </w:tblPrEx>
        <w:trPr>
          <w:trHeight w:val="285" w:hRule="atLeast"/>
        </w:trPr>
        <w:tc>
          <w:tcPr>
            <w:tcW w:w="3319"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58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713"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2"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1"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2"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2"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2"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319"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8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21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37"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trHeight w:val="300" w:hRule="atLeast"/>
        </w:trPr>
        <w:tc>
          <w:tcPr>
            <w:tcW w:w="3319"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i w:val="0"/>
                <w:color w:val="000000"/>
                <w:kern w:val="0"/>
                <w:sz w:val="20"/>
                <w:szCs w:val="20"/>
                <w:u w:val="none"/>
                <w:lang w:val="en-US" w:eastAsia="zh-CN"/>
              </w:rPr>
              <w:t>湖南省工业贸易学校</w:t>
            </w:r>
          </w:p>
        </w:tc>
        <w:tc>
          <w:tcPr>
            <w:tcW w:w="58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21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37"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2"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02" w:hRule="atLeast"/>
        </w:trPr>
        <w:tc>
          <w:tcPr>
            <w:tcW w:w="5122"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399"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trHeight w:val="630"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4,264.50</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33</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34</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35</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2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36</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2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37</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3,104.95</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3,104.95</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2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38</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7</w:t>
            </w:r>
          </w:p>
        </w:tc>
        <w:tc>
          <w:tcPr>
            <w:tcW w:w="121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39</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8</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40</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2.20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2.20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9</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九、卫生健康支出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41</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10</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十、节能环保支出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42</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11</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十一、城乡社区支出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43</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12</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十二、农林水支出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44</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512.40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512.40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13</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十三、交通运输支出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45</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14</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46</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15</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47</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16</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十六、金融支出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48</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17</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49</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18</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50</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19</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十九、住房保障支出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51</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20</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52</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21</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53</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22</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54</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23</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二十三、其他支出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55</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24</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56</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25</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57</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26</w:t>
            </w:r>
          </w:p>
        </w:tc>
        <w:tc>
          <w:tcPr>
            <w:tcW w:w="12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340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58</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27</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4,264.50</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59</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3,639.55</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3,639.55</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428.66</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60</w:t>
            </w:r>
          </w:p>
        </w:tc>
        <w:tc>
          <w:tcPr>
            <w:tcW w:w="157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1,053.61</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1,053.61</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一般公共预算财政拨款</w:t>
            </w: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29</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428.66</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61</w:t>
            </w:r>
          </w:p>
        </w:tc>
        <w:tc>
          <w:tcPr>
            <w:tcW w:w="157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39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39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57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政府性基金预算财政拨款</w:t>
            </w: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30</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62</w:t>
            </w:r>
          </w:p>
        </w:tc>
        <w:tc>
          <w:tcPr>
            <w:tcW w:w="157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39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39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57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58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31</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0.00</w:t>
            </w:r>
          </w:p>
        </w:tc>
        <w:tc>
          <w:tcPr>
            <w:tcW w:w="340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63</w:t>
            </w:r>
          </w:p>
        </w:tc>
        <w:tc>
          <w:tcPr>
            <w:tcW w:w="1571"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39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39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c>
          <w:tcPr>
            <w:tcW w:w="1572"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319"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58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32</w:t>
            </w:r>
          </w:p>
        </w:tc>
        <w:tc>
          <w:tcPr>
            <w:tcW w:w="121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4,693.16</w:t>
            </w:r>
          </w:p>
        </w:tc>
        <w:tc>
          <w:tcPr>
            <w:tcW w:w="3406"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6"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64</w:t>
            </w:r>
          </w:p>
        </w:tc>
        <w:tc>
          <w:tcPr>
            <w:tcW w:w="157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4,693.16</w:t>
            </w:r>
          </w:p>
        </w:tc>
        <w:tc>
          <w:tcPr>
            <w:tcW w:w="1392"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4,693.16</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2"/>
                <w:szCs w:val="22"/>
                <w:u w:val="none"/>
                <w:lang w:val="en-US" w:eastAsia="zh-CN" w:bidi="ar"/>
              </w:rPr>
              <w:t>0.00</w:t>
            </w:r>
          </w:p>
        </w:tc>
        <w:tc>
          <w:tcPr>
            <w:tcW w:w="15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both"/>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宋体" w:hAnsi="宋体" w:eastAsia="宋体" w:cs="宋体"/>
          <w:i w:val="0"/>
          <w:color w:val="000000"/>
          <w:kern w:val="0"/>
          <w:sz w:val="20"/>
          <w:szCs w:val="20"/>
          <w:u w:val="none"/>
          <w:lang w:val="en-US" w:eastAsia="zh-CN"/>
        </w:rPr>
        <w:t>湖南省工业贸易学校</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9"/>
        <w:tblW w:w="14219" w:type="dxa"/>
        <w:jc w:val="center"/>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3,639.55</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1,839.20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b/>
                <w:bCs/>
                <w:i w:val="0"/>
                <w:iCs w:val="0"/>
                <w:color w:val="000000"/>
                <w:kern w:val="0"/>
                <w:sz w:val="22"/>
                <w:szCs w:val="22"/>
                <w:u w:val="none"/>
                <w:lang w:val="en-US" w:eastAsia="zh-CN" w:bidi="ar"/>
              </w:rPr>
              <w:t>1,800.35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教育支出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3,104.95</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1,326.80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1,778.15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20503</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职业教育</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3,104.95</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1,326.80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1,778.15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2050302</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中等职业教育</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3,104.95</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1,326.80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1,778.15</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人力资源和社会保障管理事务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2080199</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其他人力资源和社会保障管理事务支出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节能环保支出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21110</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能源节约利用</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2111001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能源节约利用</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农林水支出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农业农村</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512.40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2130101</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行政运行</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512.40</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512.40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9"/>
        <w:tblW w:w="15614" w:type="dxa"/>
        <w:tblInd w:w="0" w:type="dxa"/>
        <w:tblLayout w:type="fixed"/>
        <w:tblCellMar>
          <w:top w:w="0" w:type="dxa"/>
          <w:left w:w="108" w:type="dxa"/>
          <w:bottom w:w="0" w:type="dxa"/>
          <w:right w:w="108" w:type="dxa"/>
        </w:tblCellMar>
      </w:tblPr>
      <w:tblGrid>
        <w:gridCol w:w="965"/>
        <w:gridCol w:w="239"/>
        <w:gridCol w:w="91"/>
        <w:gridCol w:w="1254"/>
        <w:gridCol w:w="1969"/>
        <w:gridCol w:w="101"/>
        <w:gridCol w:w="982"/>
        <w:gridCol w:w="1174"/>
        <w:gridCol w:w="296"/>
        <w:gridCol w:w="1918"/>
        <w:gridCol w:w="113"/>
        <w:gridCol w:w="537"/>
        <w:gridCol w:w="1175"/>
        <w:gridCol w:w="356"/>
        <w:gridCol w:w="2094"/>
        <w:gridCol w:w="1700"/>
        <w:gridCol w:w="395"/>
        <w:gridCol w:w="255"/>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both"/>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宋体" w:hAnsi="宋体" w:eastAsia="宋体" w:cs="宋体"/>
                <w:i w:val="0"/>
                <w:color w:val="000000"/>
                <w:kern w:val="0"/>
                <w:sz w:val="20"/>
                <w:szCs w:val="20"/>
                <w:u w:val="none"/>
                <w:lang w:val="en-US" w:eastAsia="zh-CN"/>
              </w:rPr>
              <w:t>湖南省工业贸易学校</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29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2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7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15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1,619.20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376.31</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85.37</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182.80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7.07</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680.30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106.66</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72.68</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10.52</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97.50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220.00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220.00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9"/>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9"/>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5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295"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223"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83"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c>
          <w:tcPr>
            <w:tcW w:w="1174"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1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650"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0.00</w:t>
            </w:r>
          </w:p>
        </w:tc>
        <w:tc>
          <w:tcPr>
            <w:tcW w:w="117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5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5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4518"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083"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2"/>
                <w:szCs w:val="22"/>
                <w:u w:val="none"/>
                <w:lang w:val="en-US" w:eastAsia="zh-CN" w:bidi="ar"/>
              </w:rPr>
              <w:t>1,839.20</w:t>
            </w:r>
          </w:p>
        </w:tc>
        <w:tc>
          <w:tcPr>
            <w:tcW w:w="9363"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650"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lang w:val="en-US" w:eastAsia="zh-CN"/>
              </w:rPr>
              <w:t>0.00</w:t>
            </w:r>
            <w:r>
              <w:rPr>
                <w:rFonts w:hint="eastAsia" w:ascii="宋体" w:hAnsi="宋体" w:eastAsia="宋体" w:cs="宋体"/>
                <w:color w:val="000000"/>
                <w:kern w:val="0"/>
                <w:szCs w:val="18"/>
              </w:rPr>
              <w:t>　</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690" w:hRule="atLeast"/>
        </w:trPr>
        <w:tc>
          <w:tcPr>
            <w:tcW w:w="15359"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345" w:hRule="atLeast"/>
        </w:trPr>
        <w:tc>
          <w:tcPr>
            <w:tcW w:w="965"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39"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345"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070"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452"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3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68"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4"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5"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690" w:hRule="atLeast"/>
        </w:trPr>
        <w:tc>
          <w:tcPr>
            <w:tcW w:w="4619" w:type="dxa"/>
            <w:gridSpan w:val="6"/>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0"/>
                <w:szCs w:val="20"/>
                <w:u w:val="none"/>
                <w:lang w:val="en-US" w:eastAsia="zh-CN"/>
              </w:rPr>
              <w:t>湖南省工业贸易学校</w:t>
            </w:r>
          </w:p>
        </w:tc>
        <w:tc>
          <w:tcPr>
            <w:tcW w:w="2452"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31"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68"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4"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095"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459" w:hRule="atLeast"/>
        </w:trPr>
        <w:tc>
          <w:tcPr>
            <w:tcW w:w="254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6"/>
                <w:lang w:val="en-US" w:eastAsia="zh-CN" w:bidi="ar"/>
              </w:rPr>
              <w:t xml:space="preserve">   </w:t>
            </w:r>
            <w:r>
              <w:rPr>
                <w:rStyle w:val="17"/>
                <w:lang w:val="en-US" w:eastAsia="zh-CN" w:bidi="ar"/>
              </w:rPr>
              <w:t>目</w:t>
            </w:r>
          </w:p>
        </w:tc>
        <w:tc>
          <w:tcPr>
            <w:tcW w:w="20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45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19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09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609" w:hRule="atLeast"/>
        </w:trPr>
        <w:tc>
          <w:tcPr>
            <w:tcW w:w="12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3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4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06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409" w:hRule="atLeast"/>
        </w:trPr>
        <w:tc>
          <w:tcPr>
            <w:tcW w:w="12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4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6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509" w:hRule="atLeast"/>
        </w:trPr>
        <w:tc>
          <w:tcPr>
            <w:tcW w:w="12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3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45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6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509" w:hRule="atLeast"/>
        </w:trPr>
        <w:tc>
          <w:tcPr>
            <w:tcW w:w="254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0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0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509" w:hRule="atLeast"/>
        </w:trPr>
        <w:tc>
          <w:tcPr>
            <w:tcW w:w="254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0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4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5" w:type="dxa"/>
          <w:trHeight w:val="725" w:hRule="atLeast"/>
        </w:trPr>
        <w:tc>
          <w:tcPr>
            <w:tcW w:w="15359"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9"/>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0"/>
                <w:szCs w:val="20"/>
                <w:u w:val="none"/>
                <w:lang w:val="en-US" w:eastAsia="zh-CN"/>
              </w:rPr>
              <w:t>湖南省工业贸易学校</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8"/>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9"/>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0"/>
                <w:szCs w:val="20"/>
                <w:u w:val="none"/>
                <w:lang w:val="en-US" w:eastAsia="zh-CN"/>
              </w:rPr>
              <w:t>湖南省工业贸易学校</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说明：我单位没有财政拨款三公经费支出，故本表无数据。</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4991.88</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1190.06</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31.3</w:t>
      </w:r>
      <w:r>
        <w:rPr>
          <w:rFonts w:hint="eastAsia" w:ascii="Times New Roman" w:hAnsi="Times New Roman" w:eastAsia="仿宋_GB2312"/>
          <w:sz w:val="32"/>
          <w:szCs w:val="32"/>
        </w:rPr>
        <w:t>%，主要是</w:t>
      </w:r>
      <w:r>
        <w:rPr>
          <w:rFonts w:hint="eastAsia" w:ascii="Times New Roman" w:hAnsi="Times New Roman" w:eastAsia="仿宋_GB2312"/>
          <w:sz w:val="32"/>
          <w:szCs w:val="32"/>
          <w:lang w:eastAsia="zh-CN"/>
        </w:rPr>
        <w:t>学校招生规模扩大，学生人数大幅增加。</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4563.22</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4264.5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93.5</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万元；事业收入</w:t>
      </w:r>
      <w:r>
        <w:rPr>
          <w:rFonts w:hint="eastAsia" w:ascii="Times New Roman" w:hAnsi="Times New Roman" w:eastAsia="仿宋_GB2312"/>
          <w:sz w:val="32"/>
          <w:szCs w:val="32"/>
          <w:lang w:val="en-US" w:eastAsia="zh-CN"/>
        </w:rPr>
        <w:t>185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万元；其他收入</w:t>
      </w:r>
      <w:r>
        <w:rPr>
          <w:rFonts w:hint="eastAsia" w:ascii="Times New Roman" w:hAnsi="Times New Roman" w:eastAsia="仿宋_GB2312"/>
          <w:sz w:val="32"/>
          <w:szCs w:val="32"/>
          <w:lang w:val="en-US" w:eastAsia="zh-CN"/>
        </w:rPr>
        <w:t>113.72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2.5</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3895.72</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2095.37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53.8</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1800.35</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46.2</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textAlignment w:val="auto"/>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rPr>
        <w:t xml:space="preserve">    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4693.16</w:t>
      </w:r>
      <w:r>
        <w:rPr>
          <w:rFonts w:hint="eastAsia" w:ascii="Times New Roman" w:hAnsi="Times New Roman" w:eastAsia="仿宋_GB2312"/>
          <w:sz w:val="32"/>
          <w:szCs w:val="32"/>
        </w:rPr>
        <w:t>万元，与上年相比，增加</w:t>
      </w:r>
      <w:r>
        <w:rPr>
          <w:rFonts w:hint="eastAsia" w:ascii="Times New Roman" w:hAnsi="Times New Roman" w:eastAsia="仿宋_GB2312"/>
          <w:sz w:val="32"/>
          <w:szCs w:val="32"/>
          <w:lang w:val="en-US" w:eastAsia="zh-CN"/>
        </w:rPr>
        <w:t>1292.14</w:t>
      </w:r>
      <w:r>
        <w:rPr>
          <w:rFonts w:hint="eastAsia" w:ascii="Times New Roman" w:hAnsi="Times New Roman" w:eastAsia="仿宋_GB2312"/>
          <w:sz w:val="32"/>
          <w:szCs w:val="32"/>
          <w:u w:val="none"/>
        </w:rPr>
        <w:t>万元,增长</w:t>
      </w:r>
      <w:r>
        <w:rPr>
          <w:rFonts w:hint="eastAsia" w:ascii="Times New Roman" w:hAnsi="Times New Roman" w:eastAsia="仿宋_GB2312"/>
          <w:sz w:val="32"/>
          <w:szCs w:val="32"/>
          <w:u w:val="none"/>
          <w:lang w:val="en-US" w:eastAsia="zh-CN"/>
        </w:rPr>
        <w:t>38</w:t>
      </w:r>
      <w:r>
        <w:rPr>
          <w:rFonts w:hint="eastAsia" w:ascii="Times New Roman" w:hAnsi="Times New Roman" w:eastAsia="仿宋_GB2312"/>
          <w:sz w:val="32"/>
          <w:szCs w:val="32"/>
          <w:u w:val="none"/>
        </w:rPr>
        <w:t>%，主要因为</w:t>
      </w:r>
      <w:r>
        <w:rPr>
          <w:rFonts w:hint="eastAsia" w:ascii="Times New Roman" w:hAnsi="Times New Roman" w:eastAsia="仿宋_GB2312"/>
          <w:sz w:val="32"/>
          <w:szCs w:val="32"/>
          <w:u w:val="none"/>
          <w:lang w:eastAsia="zh-CN"/>
        </w:rPr>
        <w:t>一是绩效工资改革，人员经费较上年有所增长；二是学生人数增加，生均清算资金增加。</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eastAsia="zh-CN"/>
        </w:rPr>
        <w:t>202</w:t>
      </w:r>
      <w:r>
        <w:rPr>
          <w:rFonts w:hint="eastAsia" w:ascii="Times New Roman" w:hAnsi="Times New Roman" w:eastAsia="仿宋_GB2312"/>
          <w:sz w:val="32"/>
          <w:szCs w:val="32"/>
          <w:u w:val="none"/>
          <w:lang w:val="en-US" w:eastAsia="zh-CN"/>
        </w:rPr>
        <w:t>3</w:t>
      </w:r>
      <w:r>
        <w:rPr>
          <w:rFonts w:hint="eastAsia" w:ascii="Times New Roman" w:hAnsi="Times New Roman" w:eastAsia="仿宋_GB2312"/>
          <w:sz w:val="32"/>
          <w:szCs w:val="32"/>
          <w:u w:val="none"/>
          <w:lang w:eastAsia="zh-CN"/>
        </w:rPr>
        <w:t>年度财政拨款支出</w:t>
      </w:r>
      <w:r>
        <w:rPr>
          <w:rFonts w:hint="eastAsia" w:ascii="Times New Roman" w:hAnsi="Times New Roman" w:eastAsia="仿宋_GB2312"/>
          <w:sz w:val="32"/>
          <w:szCs w:val="32"/>
          <w:u w:val="none"/>
          <w:lang w:val="en-US" w:eastAsia="zh-CN"/>
        </w:rPr>
        <w:t>3639.55</w:t>
      </w:r>
      <w:r>
        <w:rPr>
          <w:rFonts w:hint="eastAsia" w:ascii="Times New Roman" w:hAnsi="Times New Roman" w:eastAsia="仿宋_GB2312"/>
          <w:sz w:val="32"/>
          <w:szCs w:val="32"/>
          <w:u w:val="none"/>
          <w:lang w:eastAsia="zh-CN"/>
        </w:rPr>
        <w:t>万元，占本年支出合计的</w:t>
      </w:r>
      <w:r>
        <w:rPr>
          <w:rFonts w:hint="eastAsia" w:ascii="Times New Roman" w:hAnsi="Times New Roman" w:eastAsia="仿宋_GB2312"/>
          <w:sz w:val="32"/>
          <w:szCs w:val="32"/>
          <w:u w:val="none"/>
          <w:lang w:val="en-US" w:eastAsia="zh-CN"/>
        </w:rPr>
        <w:t>93.4</w:t>
      </w:r>
      <w:r>
        <w:rPr>
          <w:rFonts w:hint="eastAsia" w:ascii="Times New Roman" w:hAnsi="Times New Roman" w:eastAsia="仿宋_GB2312"/>
          <w:sz w:val="32"/>
          <w:szCs w:val="32"/>
          <w:u w:val="none"/>
          <w:lang w:eastAsia="zh-CN"/>
        </w:rPr>
        <w:t>%，与上年相比，财政拨款支出增加</w:t>
      </w:r>
      <w:r>
        <w:rPr>
          <w:rFonts w:hint="eastAsia" w:ascii="Times New Roman" w:hAnsi="Times New Roman" w:eastAsia="仿宋_GB2312"/>
          <w:sz w:val="32"/>
          <w:szCs w:val="32"/>
          <w:u w:val="none"/>
          <w:lang w:val="en-US" w:eastAsia="zh-CN"/>
        </w:rPr>
        <w:t>667.19</w:t>
      </w:r>
      <w:r>
        <w:rPr>
          <w:rFonts w:hint="eastAsia" w:ascii="Times New Roman" w:hAnsi="Times New Roman" w:eastAsia="仿宋_GB2312"/>
          <w:sz w:val="32"/>
          <w:szCs w:val="32"/>
          <w:u w:val="none"/>
          <w:lang w:eastAsia="zh-CN"/>
        </w:rPr>
        <w:t>万元，增长</w:t>
      </w:r>
      <w:r>
        <w:rPr>
          <w:rFonts w:hint="eastAsia" w:ascii="Times New Roman" w:hAnsi="Times New Roman" w:eastAsia="仿宋_GB2312"/>
          <w:sz w:val="32"/>
          <w:szCs w:val="32"/>
          <w:u w:val="none"/>
          <w:lang w:val="en-US" w:eastAsia="zh-CN"/>
        </w:rPr>
        <w:t>22.5</w:t>
      </w:r>
      <w:r>
        <w:rPr>
          <w:rFonts w:hint="eastAsia" w:ascii="Times New Roman" w:hAnsi="Times New Roman" w:eastAsia="仿宋_GB2312"/>
          <w:sz w:val="32"/>
          <w:szCs w:val="32"/>
          <w:u w:val="none"/>
          <w:lang w:eastAsia="zh-CN"/>
        </w:rPr>
        <w:t>%，主要因为一是绩效工资改革，人员经费较上年有所增长；二是学生人数增加，费用增长。</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sz w:val="32"/>
          <w:szCs w:val="32"/>
          <w:u w:val="none"/>
          <w:lang w:val="en-US" w:eastAsia="zh-CN"/>
        </w:rPr>
      </w:pPr>
      <w:r>
        <w:rPr>
          <w:rFonts w:hint="eastAsia" w:ascii="Times New Roman" w:hAnsi="Times New Roman" w:eastAsia="仿宋_GB2312"/>
          <w:sz w:val="32"/>
          <w:szCs w:val="32"/>
          <w:u w:val="none"/>
          <w:lang w:eastAsia="zh-CN"/>
        </w:rPr>
        <w:t>202</w:t>
      </w:r>
      <w:r>
        <w:rPr>
          <w:rFonts w:hint="eastAsia" w:ascii="Times New Roman" w:hAnsi="Times New Roman" w:eastAsia="仿宋_GB2312"/>
          <w:sz w:val="32"/>
          <w:szCs w:val="32"/>
          <w:u w:val="none"/>
          <w:lang w:val="en-US" w:eastAsia="zh-CN"/>
        </w:rPr>
        <w:t>3</w:t>
      </w:r>
      <w:r>
        <w:rPr>
          <w:rFonts w:hint="eastAsia" w:ascii="Times New Roman" w:hAnsi="Times New Roman" w:eastAsia="仿宋_GB2312"/>
          <w:sz w:val="32"/>
          <w:szCs w:val="32"/>
          <w:u w:val="none"/>
          <w:lang w:eastAsia="zh-CN"/>
        </w:rPr>
        <w:t>年度财政拨款支出</w:t>
      </w:r>
      <w:r>
        <w:rPr>
          <w:rFonts w:hint="eastAsia" w:ascii="Times New Roman" w:hAnsi="Times New Roman" w:eastAsia="仿宋_GB2312"/>
          <w:sz w:val="32"/>
          <w:szCs w:val="32"/>
          <w:u w:val="none"/>
          <w:lang w:val="en-US" w:eastAsia="zh-CN"/>
        </w:rPr>
        <w:t>3639.55</w:t>
      </w:r>
      <w:r>
        <w:rPr>
          <w:rFonts w:hint="eastAsia" w:ascii="Times New Roman" w:hAnsi="Times New Roman" w:eastAsia="仿宋_GB2312"/>
          <w:sz w:val="32"/>
          <w:szCs w:val="32"/>
          <w:u w:val="none"/>
          <w:lang w:eastAsia="zh-CN"/>
        </w:rPr>
        <w:t>万元，主要用于以下方面：教育（类）支出</w:t>
      </w:r>
      <w:r>
        <w:rPr>
          <w:rFonts w:hint="eastAsia" w:ascii="Times New Roman" w:hAnsi="Times New Roman" w:eastAsia="仿宋_GB2312"/>
          <w:sz w:val="32"/>
          <w:szCs w:val="32"/>
          <w:u w:val="none"/>
          <w:lang w:val="en-US" w:eastAsia="zh-CN"/>
        </w:rPr>
        <w:t>3104.95</w:t>
      </w:r>
      <w:r>
        <w:rPr>
          <w:rFonts w:hint="eastAsia" w:ascii="Times New Roman" w:hAnsi="Times New Roman" w:eastAsia="仿宋_GB2312"/>
          <w:sz w:val="32"/>
          <w:szCs w:val="32"/>
          <w:u w:val="none"/>
          <w:lang w:eastAsia="zh-CN"/>
        </w:rPr>
        <w:t>万元，占</w:t>
      </w:r>
      <w:r>
        <w:rPr>
          <w:rFonts w:hint="eastAsia" w:ascii="Times New Roman" w:hAnsi="Times New Roman" w:eastAsia="仿宋_GB2312"/>
          <w:sz w:val="32"/>
          <w:szCs w:val="32"/>
          <w:u w:val="none"/>
          <w:lang w:val="en-US" w:eastAsia="zh-CN"/>
        </w:rPr>
        <w:t>85.31</w:t>
      </w:r>
      <w:r>
        <w:rPr>
          <w:rFonts w:hint="eastAsia" w:ascii="Times New Roman" w:hAnsi="Times New Roman" w:eastAsia="仿宋_GB2312"/>
          <w:sz w:val="32"/>
          <w:szCs w:val="32"/>
          <w:u w:val="none"/>
          <w:lang w:eastAsia="zh-CN"/>
        </w:rPr>
        <w:t>%；社会保障和就业（类）支出</w:t>
      </w:r>
      <w:r>
        <w:rPr>
          <w:rFonts w:hint="eastAsia" w:ascii="Times New Roman" w:hAnsi="Times New Roman" w:eastAsia="仿宋_GB2312"/>
          <w:sz w:val="32"/>
          <w:szCs w:val="32"/>
          <w:u w:val="none"/>
          <w:lang w:val="en-US" w:eastAsia="zh-CN"/>
        </w:rPr>
        <w:t>2.2</w:t>
      </w:r>
      <w:r>
        <w:rPr>
          <w:rFonts w:hint="eastAsia" w:ascii="Times New Roman" w:hAnsi="Times New Roman" w:eastAsia="仿宋_GB2312"/>
          <w:sz w:val="32"/>
          <w:szCs w:val="32"/>
          <w:u w:val="none"/>
          <w:lang w:eastAsia="zh-CN"/>
        </w:rPr>
        <w:t>万元，占</w:t>
      </w:r>
      <w:r>
        <w:rPr>
          <w:rFonts w:hint="eastAsia" w:ascii="Times New Roman" w:hAnsi="Times New Roman" w:eastAsia="仿宋_GB2312"/>
          <w:sz w:val="32"/>
          <w:szCs w:val="32"/>
          <w:u w:val="none"/>
          <w:lang w:val="en-US" w:eastAsia="zh-CN"/>
        </w:rPr>
        <w:t>0.06%</w:t>
      </w:r>
      <w:r>
        <w:rPr>
          <w:rFonts w:hint="eastAsia" w:ascii="Times New Roman" w:hAnsi="Times New Roman" w:eastAsia="仿宋_GB2312"/>
          <w:sz w:val="32"/>
          <w:szCs w:val="32"/>
          <w:u w:val="none"/>
          <w:lang w:eastAsia="zh-CN"/>
        </w:rPr>
        <w:t>;农林水（类）支出</w:t>
      </w:r>
      <w:r>
        <w:rPr>
          <w:rFonts w:hint="eastAsia" w:ascii="Times New Roman" w:hAnsi="Times New Roman" w:eastAsia="仿宋_GB2312"/>
          <w:sz w:val="32"/>
          <w:szCs w:val="32"/>
          <w:u w:val="none"/>
          <w:lang w:val="en-US" w:eastAsia="zh-CN"/>
        </w:rPr>
        <w:t>512.4</w:t>
      </w:r>
      <w:r>
        <w:rPr>
          <w:rFonts w:hint="eastAsia" w:ascii="Times New Roman" w:hAnsi="Times New Roman" w:eastAsia="仿宋_GB2312"/>
          <w:sz w:val="32"/>
          <w:szCs w:val="32"/>
          <w:u w:val="none"/>
          <w:lang w:eastAsia="zh-CN"/>
        </w:rPr>
        <w:t>万元，占</w:t>
      </w:r>
      <w:r>
        <w:rPr>
          <w:rFonts w:hint="eastAsia" w:ascii="Times New Roman" w:hAnsi="Times New Roman" w:eastAsia="仿宋_GB2312"/>
          <w:sz w:val="32"/>
          <w:szCs w:val="32"/>
          <w:u w:val="none"/>
          <w:lang w:val="en-US" w:eastAsia="zh-CN"/>
        </w:rPr>
        <w:t>14.08%</w:t>
      </w:r>
      <w:r>
        <w:rPr>
          <w:rFonts w:hint="eastAsia" w:ascii="Times New Roman" w:hAnsi="Times New Roman" w:eastAsia="仿宋_GB2312"/>
          <w:sz w:val="32"/>
          <w:szCs w:val="32"/>
          <w:u w:val="none"/>
          <w:lang w:eastAsia="zh-CN"/>
        </w:rPr>
        <w:t>；节能环保（类）支出</w:t>
      </w:r>
      <w:r>
        <w:rPr>
          <w:rFonts w:hint="eastAsia" w:ascii="Times New Roman" w:hAnsi="Times New Roman" w:eastAsia="仿宋_GB2312"/>
          <w:sz w:val="32"/>
          <w:szCs w:val="32"/>
          <w:u w:val="none"/>
          <w:lang w:val="en-US" w:eastAsia="zh-CN"/>
        </w:rPr>
        <w:t>20万，占0.55%。</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u w:val="none"/>
          <w:lang w:eastAsia="zh-CN"/>
        </w:rPr>
      </w:pPr>
      <w:r>
        <w:rPr>
          <w:rFonts w:hint="eastAsia" w:ascii="Times New Roman" w:hAnsi="Times New Roman" w:eastAsia="仿宋_GB2312"/>
          <w:sz w:val="32"/>
          <w:szCs w:val="32"/>
          <w:u w:val="none"/>
          <w:lang w:eastAsia="zh-CN"/>
        </w:rPr>
        <w:t>202</w:t>
      </w:r>
      <w:r>
        <w:rPr>
          <w:rFonts w:hint="eastAsia" w:ascii="Times New Roman" w:hAnsi="Times New Roman" w:eastAsia="仿宋_GB2312"/>
          <w:sz w:val="32"/>
          <w:szCs w:val="32"/>
          <w:u w:val="none"/>
          <w:lang w:val="en-US" w:eastAsia="zh-CN"/>
        </w:rPr>
        <w:t>3</w:t>
      </w:r>
      <w:r>
        <w:rPr>
          <w:rFonts w:hint="eastAsia" w:ascii="Times New Roman" w:hAnsi="Times New Roman" w:eastAsia="仿宋_GB2312"/>
          <w:sz w:val="32"/>
          <w:szCs w:val="32"/>
          <w:u w:val="none"/>
          <w:lang w:eastAsia="zh-CN"/>
        </w:rPr>
        <w:t>年度财政拨款支出年初预算数为</w:t>
      </w:r>
      <w:r>
        <w:rPr>
          <w:rFonts w:hint="eastAsia" w:ascii="Times New Roman" w:hAnsi="Times New Roman" w:eastAsia="仿宋_GB2312"/>
          <w:sz w:val="32"/>
          <w:szCs w:val="32"/>
          <w:u w:val="none"/>
          <w:lang w:val="en-US" w:eastAsia="zh-CN"/>
        </w:rPr>
        <w:t>1755.46</w:t>
      </w:r>
      <w:r>
        <w:rPr>
          <w:rFonts w:hint="eastAsia" w:ascii="Times New Roman" w:hAnsi="Times New Roman" w:eastAsia="仿宋_GB2312"/>
          <w:sz w:val="32"/>
          <w:szCs w:val="32"/>
          <w:u w:val="none"/>
          <w:lang w:eastAsia="zh-CN"/>
        </w:rPr>
        <w:t>万元，支出决算数为</w:t>
      </w:r>
      <w:r>
        <w:rPr>
          <w:rFonts w:hint="eastAsia" w:ascii="Times New Roman" w:hAnsi="Times New Roman" w:eastAsia="仿宋_GB2312"/>
          <w:sz w:val="32"/>
          <w:szCs w:val="32"/>
          <w:u w:val="none"/>
          <w:lang w:val="en-US" w:eastAsia="zh-CN"/>
        </w:rPr>
        <w:t>3639.55</w:t>
      </w:r>
      <w:r>
        <w:rPr>
          <w:rFonts w:hint="eastAsia" w:ascii="Times New Roman" w:hAnsi="Times New Roman" w:eastAsia="仿宋_GB2312"/>
          <w:sz w:val="32"/>
          <w:szCs w:val="32"/>
          <w:u w:val="none"/>
          <w:lang w:eastAsia="zh-CN"/>
        </w:rPr>
        <w:t>万元，完成年初预算的</w:t>
      </w:r>
      <w:r>
        <w:rPr>
          <w:rFonts w:hint="eastAsia" w:ascii="Times New Roman" w:hAnsi="Times New Roman" w:eastAsia="仿宋_GB2312"/>
          <w:sz w:val="32"/>
          <w:szCs w:val="32"/>
          <w:u w:val="none"/>
          <w:lang w:val="en-US" w:eastAsia="zh-CN"/>
        </w:rPr>
        <w:t>100</w:t>
      </w:r>
      <w:r>
        <w:rPr>
          <w:rFonts w:hint="eastAsia" w:ascii="Times New Roman" w:hAnsi="Times New Roman" w:eastAsia="仿宋_GB2312"/>
          <w:sz w:val="32"/>
          <w:szCs w:val="32"/>
          <w:u w:val="none"/>
          <w:lang w:eastAsia="zh-CN"/>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w:t>
      </w:r>
      <w:r>
        <w:rPr>
          <w:rFonts w:hint="eastAsia" w:ascii="仿宋" w:hAnsi="仿宋" w:eastAsia="仿宋" w:cs="仿宋"/>
          <w:sz w:val="32"/>
          <w:szCs w:val="32"/>
        </w:rPr>
        <w:t>教育（类）中专教育（款）中等职业教育（项）</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 w:hAnsi="仿宋" w:eastAsia="仿宋" w:cs="仿宋"/>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1755.46</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3104.95</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%，决算数大于年初预算数的主要原因是：</w:t>
      </w:r>
      <w:r>
        <w:rPr>
          <w:rFonts w:hint="eastAsia" w:ascii="仿宋" w:hAnsi="仿宋" w:eastAsia="仿宋" w:cs="仿宋"/>
          <w:sz w:val="32"/>
          <w:szCs w:val="32"/>
        </w:rPr>
        <w:t>我校改善中职办学条件、中职生均拨款</w:t>
      </w:r>
      <w:r>
        <w:rPr>
          <w:rFonts w:hint="eastAsia" w:ascii="仿宋" w:hAnsi="仿宋" w:eastAsia="仿宋" w:cs="仿宋"/>
          <w:sz w:val="32"/>
          <w:szCs w:val="32"/>
          <w:lang w:eastAsia="zh-CN"/>
        </w:rPr>
        <w:t>清算</w:t>
      </w:r>
      <w:r>
        <w:rPr>
          <w:rFonts w:hint="eastAsia" w:ascii="仿宋" w:hAnsi="仿宋" w:eastAsia="仿宋" w:cs="仿宋"/>
          <w:sz w:val="32"/>
          <w:szCs w:val="32"/>
        </w:rPr>
        <w:t>资金</w:t>
      </w:r>
      <w:r>
        <w:rPr>
          <w:rFonts w:hint="eastAsia" w:ascii="仿宋" w:hAnsi="仿宋" w:eastAsia="仿宋" w:cs="仿宋"/>
          <w:sz w:val="32"/>
          <w:szCs w:val="32"/>
          <w:lang w:eastAsia="zh-CN"/>
        </w:rPr>
        <w:t>、省属职业院校职业教育改革试点引导资金</w:t>
      </w:r>
      <w:r>
        <w:rPr>
          <w:rFonts w:hint="eastAsia" w:ascii="仿宋" w:hAnsi="仿宋" w:eastAsia="仿宋" w:cs="仿宋"/>
          <w:sz w:val="32"/>
          <w:szCs w:val="32"/>
        </w:rPr>
        <w:t>等</w:t>
      </w:r>
      <w:r>
        <w:rPr>
          <w:rFonts w:hint="eastAsia" w:ascii="仿宋" w:hAnsi="仿宋" w:eastAsia="仿宋" w:cs="仿宋"/>
          <w:sz w:val="32"/>
          <w:szCs w:val="32"/>
          <w:lang w:eastAsia="zh-CN"/>
        </w:rPr>
        <w:t>教育经费</w:t>
      </w:r>
      <w:r>
        <w:rPr>
          <w:rFonts w:hint="eastAsia" w:ascii="仿宋" w:hAnsi="仿宋" w:eastAsia="仿宋" w:cs="仿宋"/>
          <w:sz w:val="32"/>
          <w:szCs w:val="32"/>
        </w:rPr>
        <w:t>在年中追加拨付</w:t>
      </w:r>
      <w:r>
        <w:rPr>
          <w:rFonts w:hint="eastAsia" w:ascii="仿宋" w:hAnsi="仿宋" w:eastAsia="仿宋" w:cs="仿宋"/>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w:t>
      </w:r>
      <w:r>
        <w:rPr>
          <w:rFonts w:hint="eastAsia" w:ascii="仿宋" w:hAnsi="仿宋" w:eastAsia="仿宋" w:cs="仿宋"/>
          <w:sz w:val="32"/>
          <w:szCs w:val="32"/>
        </w:rPr>
        <w:t>社会保障和就业（类）</w:t>
      </w:r>
      <w:r>
        <w:rPr>
          <w:rFonts w:hint="eastAsia" w:ascii="仿宋" w:hAnsi="仿宋" w:eastAsia="仿宋" w:cs="仿宋"/>
          <w:sz w:val="32"/>
          <w:szCs w:val="32"/>
          <w:lang w:eastAsia="zh-CN"/>
        </w:rPr>
        <w:t>人力资源和社会保障管理事务</w:t>
      </w:r>
      <w:r>
        <w:rPr>
          <w:rFonts w:hint="eastAsia" w:ascii="仿宋" w:hAnsi="仿宋" w:eastAsia="仿宋" w:cs="仿宋"/>
          <w:sz w:val="32"/>
          <w:szCs w:val="32"/>
        </w:rPr>
        <w:t>（款）</w:t>
      </w:r>
      <w:r>
        <w:rPr>
          <w:rFonts w:hint="eastAsia" w:ascii="仿宋" w:hAnsi="仿宋" w:eastAsia="仿宋" w:cs="仿宋"/>
          <w:sz w:val="32"/>
          <w:szCs w:val="32"/>
          <w:lang w:eastAsia="zh-CN"/>
        </w:rPr>
        <w:t>其他人力资源和社会保障管理事务</w:t>
      </w:r>
      <w:r>
        <w:rPr>
          <w:rFonts w:hint="eastAsia" w:ascii="仿宋" w:hAnsi="仿宋" w:eastAsia="仿宋" w:cs="仿宋"/>
          <w:sz w:val="32"/>
          <w:szCs w:val="32"/>
        </w:rPr>
        <w:t>支出（项）</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 w:hAnsi="仿宋" w:eastAsia="仿宋" w:cs="仿宋"/>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2.2</w:t>
      </w:r>
      <w:r>
        <w:rPr>
          <w:rFonts w:hint="eastAsia" w:ascii="Times New Roman" w:hAnsi="Times New Roman" w:eastAsia="仿宋_GB2312"/>
          <w:sz w:val="32"/>
          <w:szCs w:val="32"/>
        </w:rPr>
        <w:t>万元，决算数大于年初预算数的主要原因是：</w:t>
      </w:r>
      <w:r>
        <w:rPr>
          <w:rFonts w:hint="eastAsia" w:ascii="仿宋" w:hAnsi="仿宋" w:eastAsia="仿宋" w:cs="仿宋"/>
          <w:sz w:val="32"/>
          <w:szCs w:val="32"/>
          <w:lang w:eastAsia="zh-CN"/>
        </w:rPr>
        <w:t>此款属于年中追加考点建设事业经费。</w:t>
      </w:r>
    </w:p>
    <w:p>
      <w:pPr>
        <w:pStyle w:val="13"/>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农林水（类）农业（款）</w:t>
      </w:r>
      <w:r>
        <w:rPr>
          <w:rFonts w:hint="eastAsia" w:ascii="仿宋" w:hAnsi="仿宋" w:eastAsia="仿宋" w:cs="仿宋"/>
          <w:sz w:val="32"/>
          <w:szCs w:val="32"/>
          <w:lang w:eastAsia="zh-CN"/>
        </w:rPr>
        <w:t>行政运行</w:t>
      </w:r>
      <w:r>
        <w:rPr>
          <w:rFonts w:hint="eastAsia" w:ascii="仿宋" w:hAnsi="仿宋" w:eastAsia="仿宋" w:cs="仿宋"/>
          <w:sz w:val="32"/>
          <w:szCs w:val="32"/>
        </w:rPr>
        <w:t>（项）。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 w:hAnsi="仿宋" w:eastAsia="仿宋" w:cs="仿宋"/>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512.4</w:t>
      </w:r>
      <w:r>
        <w:rPr>
          <w:rFonts w:hint="eastAsia" w:ascii="Times New Roman" w:hAnsi="Times New Roman" w:eastAsia="仿宋_GB2312"/>
          <w:sz w:val="32"/>
          <w:szCs w:val="32"/>
        </w:rPr>
        <w:t>万元，决算数大于年初预算数的主要原因是：</w:t>
      </w:r>
      <w:r>
        <w:rPr>
          <w:rFonts w:hint="eastAsia" w:ascii="Times New Roman" w:hAnsi="Times New Roman" w:eastAsia="仿宋_GB2312"/>
          <w:sz w:val="32"/>
          <w:szCs w:val="32"/>
          <w:lang w:eastAsia="zh-CN"/>
        </w:rPr>
        <w:t>省直事业单位经费补助资金和</w:t>
      </w:r>
      <w:r>
        <w:rPr>
          <w:rFonts w:hint="eastAsia" w:ascii="Times New Roman" w:hAnsi="Times New Roman" w:eastAsia="仿宋_GB2312"/>
          <w:sz w:val="32"/>
          <w:szCs w:val="32"/>
          <w:lang w:val="en-US" w:eastAsia="zh-CN"/>
        </w:rPr>
        <w:t>2023年度省直农口事业单位绩效工资补助资金</w:t>
      </w:r>
      <w:r>
        <w:rPr>
          <w:rFonts w:hint="eastAsia" w:ascii="Times New Roman" w:hAnsi="Times New Roman" w:eastAsia="仿宋_GB2312"/>
          <w:sz w:val="32"/>
          <w:szCs w:val="32"/>
        </w:rPr>
        <w:t>在年中追加拨付</w:t>
      </w:r>
      <w:r>
        <w:rPr>
          <w:rFonts w:hint="eastAsia" w:ascii="Times New Roman" w:hAnsi="Times New Roman" w:eastAsia="仿宋_GB2312"/>
          <w:sz w:val="32"/>
          <w:szCs w:val="32"/>
          <w:lang w:eastAsia="zh-CN"/>
        </w:rPr>
        <w:t>。</w:t>
      </w:r>
    </w:p>
    <w:p>
      <w:pPr>
        <w:pStyle w:val="13"/>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节能环保</w:t>
      </w:r>
      <w:r>
        <w:rPr>
          <w:rFonts w:hint="eastAsia" w:ascii="仿宋" w:hAnsi="仿宋" w:eastAsia="仿宋" w:cs="仿宋"/>
          <w:sz w:val="32"/>
          <w:szCs w:val="32"/>
        </w:rPr>
        <w:t>（类）</w:t>
      </w:r>
      <w:r>
        <w:rPr>
          <w:rFonts w:hint="eastAsia" w:ascii="仿宋" w:hAnsi="仿宋" w:eastAsia="仿宋" w:cs="仿宋"/>
          <w:sz w:val="32"/>
          <w:szCs w:val="32"/>
          <w:lang w:eastAsia="zh-CN"/>
        </w:rPr>
        <w:t>能源节约利用</w:t>
      </w:r>
      <w:r>
        <w:rPr>
          <w:rFonts w:hint="eastAsia" w:ascii="仿宋" w:hAnsi="仿宋" w:eastAsia="仿宋" w:cs="仿宋"/>
          <w:sz w:val="32"/>
          <w:szCs w:val="32"/>
        </w:rPr>
        <w:t>（款）</w:t>
      </w:r>
      <w:r>
        <w:rPr>
          <w:rFonts w:hint="eastAsia" w:ascii="仿宋" w:hAnsi="仿宋" w:eastAsia="仿宋" w:cs="仿宋"/>
          <w:sz w:val="32"/>
          <w:szCs w:val="32"/>
          <w:lang w:eastAsia="zh-CN"/>
        </w:rPr>
        <w:t>能源节约利用</w:t>
      </w:r>
      <w:r>
        <w:rPr>
          <w:rFonts w:hint="eastAsia" w:ascii="仿宋" w:hAnsi="仿宋" w:eastAsia="仿宋" w:cs="仿宋"/>
          <w:sz w:val="32"/>
          <w:szCs w:val="32"/>
        </w:rPr>
        <w:t>（项）。</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Times New Roman" w:hAnsi="Times New Roman" w:eastAsia="仿宋_GB2312"/>
          <w:sz w:val="32"/>
          <w:szCs w:val="32"/>
          <w:lang w:val="en-US" w:eastAsia="zh-CN"/>
        </w:rPr>
        <w:t>0</w:t>
      </w:r>
      <w:r>
        <w:rPr>
          <w:rFonts w:hint="eastAsia" w:ascii="仿宋" w:hAnsi="仿宋" w:eastAsia="仿宋" w:cs="仿宋"/>
          <w:sz w:val="32"/>
          <w:szCs w:val="32"/>
        </w:rPr>
        <w:t>万元，支出决算为</w:t>
      </w:r>
      <w:r>
        <w:rPr>
          <w:rFonts w:hint="eastAsia" w:ascii="Times New Roman" w:hAnsi="Times New Roman" w:eastAsia="仿宋_GB2312"/>
          <w:sz w:val="32"/>
          <w:szCs w:val="32"/>
          <w:lang w:val="en-US" w:eastAsia="zh-CN"/>
        </w:rPr>
        <w:t>20</w:t>
      </w:r>
      <w:r>
        <w:rPr>
          <w:rFonts w:hint="eastAsia" w:ascii="仿宋" w:hAnsi="仿宋" w:eastAsia="仿宋" w:cs="仿宋"/>
          <w:sz w:val="32"/>
          <w:szCs w:val="32"/>
        </w:rPr>
        <w:t>万元，决算数大于年初预算数的主要原因是：</w:t>
      </w:r>
      <w:r>
        <w:rPr>
          <w:rFonts w:hint="eastAsia" w:ascii="仿宋" w:hAnsi="仿宋" w:eastAsia="仿宋" w:cs="仿宋"/>
          <w:sz w:val="32"/>
          <w:szCs w:val="32"/>
          <w:lang w:eastAsia="zh-CN"/>
        </w:rPr>
        <w:t>此款属于年中追加电气节能改造业务工作经费。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w:t>
      </w:r>
      <w:r>
        <w:rPr>
          <w:rFonts w:hint="eastAsia" w:ascii="Times New Roman" w:hAnsi="Times New Roman" w:eastAsia="仿宋_GB2312"/>
          <w:sz w:val="32"/>
          <w:szCs w:val="32"/>
          <w:lang w:val="en-US" w:eastAsia="zh-CN"/>
        </w:rPr>
        <w:t>1839.2</w:t>
      </w:r>
      <w:r>
        <w:rPr>
          <w:rFonts w:hint="eastAsia" w:ascii="Times New Roman" w:hAnsi="Times New Roman" w:eastAsia="仿宋_GB2312"/>
          <w:sz w:val="32"/>
          <w:szCs w:val="32"/>
        </w:rPr>
        <w:t>万元，其中：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1839.2</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仿宋" w:hAnsi="仿宋" w:eastAsia="仿宋" w:cs="仿宋"/>
          <w:sz w:val="32"/>
          <w:szCs w:val="32"/>
        </w:rPr>
        <w:t>主要包括基本工资、津贴补贴、伙食补助费、绩效工资、机关事业单位养老保险缴费、职工基本医疗保险缴费、其他社会保障缴费、住房公积金、退休费等</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占基本支出的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0.9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减少的主要原因是学校贯彻落实过“紧日子”要求，厉行节约。其中：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，与上年持平。</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0.11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减少的主要原因是学校贯彻落实过“紧日子”要求，厉行节约。</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，与上年持平。</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0.79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减少的主要原因是</w:t>
      </w:r>
      <w:r>
        <w:rPr>
          <w:rFonts w:hint="eastAsia" w:ascii="Times New Roman" w:hAnsi="Times New Roman" w:eastAsia="仿宋_GB2312"/>
          <w:sz w:val="32"/>
          <w:szCs w:val="32"/>
          <w:lang w:eastAsia="zh-CN"/>
        </w:rPr>
        <w:t>学校财政拨款资金不足，公务用车运行维护费用在事业收入中支出</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，单位本级</w:t>
      </w:r>
      <w:r>
        <w:rPr>
          <w:rFonts w:hint="eastAsia" w:ascii="Times New Roman" w:hAnsi="Times New Roman" w:eastAsia="仿宋_GB2312"/>
          <w:sz w:val="32"/>
          <w:szCs w:val="32"/>
        </w:rPr>
        <w:t>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3"/>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eastAsia="zh-CN"/>
        </w:rPr>
        <w:t>本单位</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eastAsia="zh-CN"/>
        </w:rPr>
        <w:t>无</w:t>
      </w:r>
      <w:r>
        <w:rPr>
          <w:rFonts w:hint="eastAsia" w:ascii="Times New Roman" w:hAnsi="Times New Roman" w:eastAsia="仿宋_GB2312"/>
          <w:sz w:val="32"/>
          <w:szCs w:val="32"/>
        </w:rPr>
        <w:t>政府性基金预算</w:t>
      </w:r>
      <w:r>
        <w:rPr>
          <w:rFonts w:hint="eastAsia" w:ascii="Times New Roman" w:hAnsi="Times New Roman" w:eastAsia="仿宋_GB2312"/>
          <w:sz w:val="32"/>
          <w:szCs w:val="32"/>
          <w:lang w:eastAsia="zh-CN"/>
        </w:rPr>
        <w:t>收支</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w:t>
      </w:r>
      <w:r>
        <w:rPr>
          <w:rFonts w:hint="eastAsia" w:ascii="Times New Roman" w:hAnsi="Times New Roman" w:eastAsia="仿宋_GB2312"/>
          <w:sz w:val="32"/>
          <w:szCs w:val="32"/>
          <w:lang w:eastAsia="zh-CN"/>
        </w:rPr>
        <w:t>单位</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w:t>
      </w:r>
      <w:r>
        <w:rPr>
          <w:rFonts w:hint="eastAsia" w:ascii="Times New Roman" w:hAnsi="Times New Roman" w:eastAsia="仿宋_GB2312"/>
          <w:sz w:val="32"/>
          <w:szCs w:val="32"/>
          <w:lang w:eastAsia="zh-CN"/>
        </w:rPr>
        <w:t>无</w:t>
      </w:r>
      <w:r>
        <w:rPr>
          <w:rFonts w:hint="eastAsia" w:ascii="Times New Roman" w:hAnsi="Times New Roman" w:eastAsia="仿宋_GB2312"/>
          <w:sz w:val="32"/>
          <w:szCs w:val="32"/>
        </w:rPr>
        <w:t>机关运行经费</w:t>
      </w:r>
      <w:r>
        <w:rPr>
          <w:rFonts w:hint="eastAsia" w:ascii="Times New Roman" w:hAnsi="Times New Roman" w:eastAsia="仿宋_GB2312"/>
          <w:sz w:val="32"/>
          <w:szCs w:val="32"/>
          <w:lang w:eastAsia="zh-CN"/>
        </w:rPr>
        <w:t>预算收支</w:t>
      </w:r>
      <w:r>
        <w:rPr>
          <w:rFonts w:hint="eastAsia" w:ascii="Times New Roman" w:hAnsi="Times New Roman" w:eastAsia="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w:t>
      </w:r>
      <w:r>
        <w:rPr>
          <w:rFonts w:hint="eastAsia" w:ascii="Times New Roman" w:hAnsi="Times New Roman" w:eastAsia="仿宋_GB2312"/>
          <w:sz w:val="32"/>
          <w:szCs w:val="32"/>
          <w:lang w:eastAsia="zh-CN"/>
        </w:rPr>
        <w:t>单位</w:t>
      </w:r>
      <w:r>
        <w:rPr>
          <w:rFonts w:hint="eastAsia" w:ascii="Times New Roman" w:hAnsi="Times New Roman" w:eastAsia="仿宋_GB2312"/>
          <w:sz w:val="32"/>
          <w:szCs w:val="32"/>
        </w:rPr>
        <w:t>开支会议费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万元；开支培训费</w:t>
      </w:r>
      <w:r>
        <w:rPr>
          <w:rFonts w:hint="eastAsia" w:ascii="Times New Roman" w:hAnsi="Times New Roman" w:eastAsia="仿宋_GB2312"/>
          <w:sz w:val="32"/>
          <w:szCs w:val="32"/>
          <w:lang w:val="en-US" w:eastAsia="zh-CN"/>
        </w:rPr>
        <w:t>2.3</w:t>
      </w:r>
      <w:r>
        <w:rPr>
          <w:rFonts w:hint="eastAsia" w:ascii="Times New Roman" w:hAnsi="Times New Roman" w:eastAsia="仿宋_GB2312"/>
          <w:sz w:val="32"/>
          <w:szCs w:val="32"/>
        </w:rPr>
        <w:t>万元，用于开展</w:t>
      </w:r>
      <w:r>
        <w:rPr>
          <w:rFonts w:hint="eastAsia" w:ascii="Times New Roman" w:hAnsi="Times New Roman" w:eastAsia="仿宋_GB2312"/>
          <w:sz w:val="32"/>
          <w:szCs w:val="32"/>
          <w:lang w:eastAsia="zh-CN"/>
        </w:rPr>
        <w:t>：</w:t>
      </w:r>
    </w:p>
    <w:p>
      <w:pPr>
        <w:pStyle w:val="13"/>
        <w:ind w:firstLine="640" w:firstLineChars="200"/>
        <w:rPr>
          <w:rFonts w:hint="eastAsia" w:ascii="仿宋" w:hAnsi="仿宋" w:eastAsia="仿宋" w:cs="仿宋"/>
          <w:sz w:val="32"/>
          <w:szCs w:val="32"/>
        </w:rPr>
      </w:pPr>
      <w:r>
        <w:rPr>
          <w:rFonts w:hint="eastAsia" w:ascii="仿宋" w:hAnsi="仿宋" w:eastAsia="仿宋" w:cs="仿宋"/>
          <w:sz w:val="32"/>
          <w:szCs w:val="32"/>
        </w:rPr>
        <w:t>1、财务人员继续教育线上培训，人数</w:t>
      </w:r>
      <w:r>
        <w:rPr>
          <w:rFonts w:hint="eastAsia" w:ascii="仿宋" w:hAnsi="仿宋" w:eastAsia="仿宋" w:cs="仿宋"/>
          <w:sz w:val="32"/>
          <w:szCs w:val="32"/>
          <w:lang w:val="en-US" w:eastAsia="zh-CN"/>
        </w:rPr>
        <w:t>2</w:t>
      </w:r>
      <w:r>
        <w:rPr>
          <w:rFonts w:hint="eastAsia" w:ascii="仿宋" w:hAnsi="仿宋" w:eastAsia="仿宋" w:cs="仿宋"/>
          <w:sz w:val="32"/>
          <w:szCs w:val="32"/>
        </w:rPr>
        <w:t>人，培训费用</w:t>
      </w:r>
      <w:r>
        <w:rPr>
          <w:rFonts w:hint="eastAsia" w:ascii="仿宋" w:hAnsi="仿宋" w:eastAsia="仿宋" w:cs="仿宋"/>
          <w:sz w:val="32"/>
          <w:szCs w:val="32"/>
          <w:lang w:val="en-US" w:eastAsia="zh-CN"/>
        </w:rPr>
        <w:t>90</w:t>
      </w:r>
      <w:r>
        <w:rPr>
          <w:rFonts w:hint="eastAsia" w:ascii="仿宋" w:hAnsi="仿宋" w:eastAsia="仿宋" w:cs="仿宋"/>
          <w:sz w:val="32"/>
          <w:szCs w:val="32"/>
        </w:rPr>
        <w:t>元；</w:t>
      </w:r>
    </w:p>
    <w:p>
      <w:pPr>
        <w:pStyle w:val="13"/>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2023年度事业单位人员培训费</w:t>
      </w:r>
      <w:r>
        <w:rPr>
          <w:rFonts w:hint="eastAsia" w:ascii="仿宋" w:hAnsi="仿宋" w:eastAsia="仿宋" w:cs="仿宋"/>
          <w:sz w:val="32"/>
          <w:szCs w:val="32"/>
        </w:rPr>
        <w:t>，人数</w:t>
      </w:r>
      <w:r>
        <w:rPr>
          <w:rFonts w:hint="eastAsia" w:ascii="仿宋" w:hAnsi="仿宋" w:eastAsia="仿宋" w:cs="仿宋"/>
          <w:sz w:val="32"/>
          <w:szCs w:val="32"/>
          <w:lang w:val="en-US" w:eastAsia="zh-CN"/>
        </w:rPr>
        <w:t>103</w:t>
      </w:r>
      <w:r>
        <w:rPr>
          <w:rFonts w:hint="eastAsia" w:ascii="仿宋" w:hAnsi="仿宋" w:eastAsia="仿宋" w:cs="仿宋"/>
          <w:sz w:val="32"/>
          <w:szCs w:val="32"/>
        </w:rPr>
        <w:t>人，培训费用</w:t>
      </w:r>
      <w:r>
        <w:rPr>
          <w:rFonts w:hint="eastAsia" w:ascii="仿宋" w:hAnsi="仿宋" w:eastAsia="仿宋" w:cs="仿宋"/>
          <w:sz w:val="32"/>
          <w:szCs w:val="32"/>
          <w:lang w:val="en-US" w:eastAsia="zh-CN"/>
        </w:rPr>
        <w:t>17578</w:t>
      </w:r>
      <w:r>
        <w:rPr>
          <w:rFonts w:hint="eastAsia" w:ascii="仿宋" w:hAnsi="仿宋" w:eastAsia="仿宋" w:cs="仿宋"/>
          <w:sz w:val="32"/>
          <w:szCs w:val="32"/>
        </w:rPr>
        <w:t>元</w:t>
      </w:r>
      <w:r>
        <w:rPr>
          <w:rFonts w:hint="eastAsia" w:ascii="仿宋" w:hAnsi="仿宋" w:eastAsia="仿宋" w:cs="仿宋"/>
          <w:sz w:val="32"/>
          <w:szCs w:val="32"/>
          <w:lang w:eastAsia="zh-CN"/>
        </w:rPr>
        <w:t>；</w:t>
      </w:r>
    </w:p>
    <w:p>
      <w:pPr>
        <w:pStyle w:val="13"/>
        <w:ind w:firstLine="640" w:firstLineChars="200"/>
        <w:rPr>
          <w:rFonts w:hint="eastAsia" w:ascii="楷体" w:hAnsi="楷体" w:eastAsia="楷体" w:cs="楷体"/>
          <w:b/>
          <w:bCs/>
          <w:i/>
          <w:color w:val="auto"/>
          <w:kern w:val="0"/>
          <w:sz w:val="32"/>
          <w:szCs w:val="32"/>
          <w:lang w:val="en-US" w:eastAsia="zh-CN" w:bidi="ar-SA"/>
        </w:rPr>
      </w:pPr>
      <w:r>
        <w:rPr>
          <w:rFonts w:hint="eastAsia" w:ascii="仿宋" w:hAnsi="仿宋" w:eastAsia="仿宋" w:cs="仿宋"/>
          <w:sz w:val="32"/>
          <w:szCs w:val="32"/>
        </w:rPr>
        <w:t>3、</w:t>
      </w:r>
      <w:r>
        <w:rPr>
          <w:rFonts w:hint="eastAsia" w:ascii="仿宋" w:hAnsi="仿宋" w:eastAsia="仿宋" w:cs="仿宋"/>
          <w:sz w:val="32"/>
          <w:szCs w:val="32"/>
          <w:lang w:val="en-US" w:eastAsia="zh-CN"/>
        </w:rPr>
        <w:t>物联网工程实施与运维师资培训</w:t>
      </w:r>
      <w:r>
        <w:rPr>
          <w:rFonts w:hint="eastAsia" w:ascii="仿宋" w:hAnsi="仿宋" w:eastAsia="仿宋" w:cs="仿宋"/>
          <w:sz w:val="32"/>
          <w:szCs w:val="32"/>
        </w:rPr>
        <w:t>，人数</w:t>
      </w:r>
      <w:r>
        <w:rPr>
          <w:rFonts w:hint="eastAsia" w:ascii="仿宋" w:hAnsi="仿宋" w:eastAsia="仿宋" w:cs="仿宋"/>
          <w:sz w:val="32"/>
          <w:szCs w:val="32"/>
          <w:lang w:val="en-US" w:eastAsia="zh-CN"/>
        </w:rPr>
        <w:t>1</w:t>
      </w:r>
      <w:r>
        <w:rPr>
          <w:rFonts w:hint="eastAsia" w:ascii="仿宋" w:hAnsi="仿宋" w:eastAsia="仿宋" w:cs="仿宋"/>
          <w:sz w:val="32"/>
          <w:szCs w:val="32"/>
        </w:rPr>
        <w:t>人，培训费用</w:t>
      </w:r>
      <w:r>
        <w:rPr>
          <w:rFonts w:hint="eastAsia" w:ascii="仿宋" w:hAnsi="仿宋" w:eastAsia="仿宋" w:cs="仿宋"/>
          <w:sz w:val="32"/>
          <w:szCs w:val="32"/>
          <w:lang w:val="en-US" w:eastAsia="zh-CN"/>
        </w:rPr>
        <w:t>5300</w:t>
      </w:r>
      <w:r>
        <w:rPr>
          <w:rFonts w:hint="eastAsia" w:ascii="仿宋" w:hAnsi="仿宋" w:eastAsia="仿宋" w:cs="仿宋"/>
          <w:sz w:val="32"/>
          <w:szCs w:val="32"/>
        </w:rPr>
        <w:t>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343.56</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113.98</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148.3</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81.28</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343.56</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150.59</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43.8</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%，工程采购授予中小企业合同金额占工程支出金额的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Times New Roman" w:hAnsi="Times New Roman" w:eastAsia="仿宋_GB2312"/>
          <w:color w:val="auto"/>
          <w:sz w:val="32"/>
          <w:szCs w:val="32"/>
        </w:rPr>
        <w:t>共有车辆</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辆，其中</w:t>
      </w:r>
      <w:r>
        <w:rPr>
          <w:rFonts w:hint="eastAsia" w:ascii="Times New Roman" w:hAnsi="Times New Roman" w:eastAsia="仿宋_GB2312"/>
          <w:color w:val="auto"/>
          <w:sz w:val="32"/>
          <w:szCs w:val="32"/>
          <w:lang w:eastAsia="zh-CN"/>
        </w:rPr>
        <w:t>，副部（省）级及以上领导用车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主要</w:t>
      </w:r>
      <w:r>
        <w:rPr>
          <w:rFonts w:hint="eastAsia" w:ascii="Times New Roman" w:hAnsi="Times New Roman" w:eastAsia="仿宋_GB2312"/>
          <w:color w:val="auto"/>
          <w:sz w:val="32"/>
          <w:szCs w:val="32"/>
          <w:lang w:eastAsia="zh-CN"/>
        </w:rPr>
        <w:t>负责人</w:t>
      </w:r>
      <w:r>
        <w:rPr>
          <w:rFonts w:hint="eastAsia" w:ascii="Times New Roman" w:hAnsi="Times New Roman" w:eastAsia="仿宋_GB2312"/>
          <w:color w:val="auto"/>
          <w:sz w:val="32"/>
          <w:szCs w:val="32"/>
        </w:rPr>
        <w:t>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机要通信用车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辆、应急保障用车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辆、执法执勤用车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辆、特种专业技术用车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w:t>
      </w:r>
      <w:r>
        <w:rPr>
          <w:rFonts w:hint="eastAsia" w:ascii="Times New Roman" w:hAnsi="Times New Roman" w:eastAsia="仿宋_GB2312"/>
          <w:color w:val="auto"/>
          <w:sz w:val="32"/>
          <w:szCs w:val="32"/>
          <w:lang w:eastAsia="zh-CN"/>
        </w:rPr>
        <w:t>离退休干部服务用车</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辆、其他用车</w:t>
      </w:r>
      <w:r>
        <w:rPr>
          <w:rFonts w:hint="eastAsia" w:ascii="Times New Roman" w:hAnsi="Times New Roman" w:eastAsia="仿宋_GB2312"/>
          <w:color w:val="auto"/>
          <w:sz w:val="32"/>
          <w:szCs w:val="32"/>
          <w:lang w:val="en-US" w:eastAsia="zh-CN"/>
        </w:rPr>
        <w:t>1</w:t>
      </w:r>
      <w:r>
        <w:rPr>
          <w:rFonts w:hint="eastAsia" w:ascii="Times New Roman" w:hAnsi="Times New Roman" w:eastAsia="仿宋_GB2312"/>
          <w:color w:val="auto"/>
          <w:sz w:val="32"/>
          <w:szCs w:val="32"/>
        </w:rPr>
        <w:t>辆，其他用车主要是</w:t>
      </w:r>
      <w:r>
        <w:rPr>
          <w:rFonts w:hint="eastAsia" w:ascii="Times New Roman" w:hAnsi="Times New Roman" w:eastAsia="仿宋_GB2312"/>
          <w:color w:val="auto"/>
          <w:sz w:val="32"/>
          <w:szCs w:val="32"/>
          <w:lang w:eastAsia="zh-CN"/>
        </w:rPr>
        <w:t>单位公务出行使用</w:t>
      </w:r>
      <w:r>
        <w:rPr>
          <w:rFonts w:hint="eastAsia" w:ascii="Times New Roman" w:hAnsi="Times New Roman" w:eastAsia="仿宋_GB2312"/>
          <w:color w:val="auto"/>
          <w:sz w:val="32"/>
          <w:szCs w:val="32"/>
        </w:rPr>
        <w:t>；单位价值100万元以上设备</w:t>
      </w:r>
      <w:r>
        <w:rPr>
          <w:rFonts w:hint="eastAsia" w:ascii="Times New Roman" w:hAnsi="Times New Roman" w:eastAsia="仿宋_GB2312"/>
          <w:color w:val="auto"/>
          <w:sz w:val="32"/>
          <w:szCs w:val="32"/>
          <w:lang w:eastAsia="zh-CN"/>
        </w:rPr>
        <w:t>（不含车辆）</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台（套）。</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我校为进一步加强财政预算绩效管理，切实提高财政资金使用效率，不断强化目标管理，加大监管力度，提升绩效管理水平。</w:t>
      </w:r>
      <w:r>
        <w:rPr>
          <w:rFonts w:hint="eastAsia" w:ascii="Times New Roman" w:hAnsi="Times New Roman" w:eastAsia="仿宋_GB2312"/>
          <w:color w:val="auto"/>
          <w:sz w:val="32"/>
          <w:szCs w:val="32"/>
        </w:rPr>
        <w:t>一是在日常管理中引入绩效理念，</w:t>
      </w:r>
      <w:r>
        <w:rPr>
          <w:rFonts w:hint="eastAsia" w:ascii="Times New Roman" w:hAnsi="Times New Roman" w:eastAsia="仿宋_GB2312"/>
          <w:color w:val="auto"/>
          <w:sz w:val="32"/>
          <w:szCs w:val="32"/>
          <w:lang w:eastAsia="zh-CN"/>
        </w:rPr>
        <w:t>加大日常考核力度，</w:t>
      </w:r>
      <w:r>
        <w:rPr>
          <w:rFonts w:hint="eastAsia" w:ascii="Times New Roman" w:hAnsi="Times New Roman" w:eastAsia="仿宋_GB2312"/>
          <w:color w:val="auto"/>
          <w:sz w:val="32"/>
          <w:szCs w:val="32"/>
        </w:rPr>
        <w:t>为预算绩效管理创造良好的舆论环境</w:t>
      </w:r>
      <w:r>
        <w:rPr>
          <w:rFonts w:hint="eastAsia" w:ascii="Times New Roman" w:hAnsi="Times New Roman" w:eastAsia="仿宋_GB2312"/>
          <w:color w:val="auto"/>
          <w:sz w:val="32"/>
          <w:szCs w:val="32"/>
          <w:lang w:eastAsia="zh-CN"/>
        </w:rPr>
        <w:t>；二是</w:t>
      </w:r>
      <w:r>
        <w:rPr>
          <w:rFonts w:hint="default" w:ascii="Times New Roman" w:hAnsi="Times New Roman" w:eastAsia="仿宋_GB2312"/>
          <w:color w:val="auto"/>
          <w:sz w:val="32"/>
          <w:szCs w:val="32"/>
          <w:lang w:val="en-US" w:eastAsia="zh-CN"/>
        </w:rPr>
        <w:t>继续完善绩效管理制度</w:t>
      </w:r>
      <w:r>
        <w:rPr>
          <w:rFonts w:hint="eastAsia" w:ascii="Times New Roman" w:hAnsi="Times New Roman" w:eastAsia="仿宋_GB2312"/>
          <w:color w:val="auto"/>
          <w:sz w:val="32"/>
          <w:szCs w:val="32"/>
          <w:lang w:val="en-US" w:eastAsia="zh-CN"/>
        </w:rPr>
        <w:t>，为预算绩效管理提供充分的依据</w:t>
      </w:r>
      <w:r>
        <w:rPr>
          <w:rFonts w:hint="default" w:ascii="Times New Roman" w:hAnsi="Times New Roman" w:eastAsia="仿宋_GB2312"/>
          <w:color w:val="auto"/>
          <w:sz w:val="32"/>
          <w:szCs w:val="32"/>
          <w:lang w:val="en-US" w:eastAsia="zh-CN"/>
        </w:rPr>
        <w:t> </w:t>
      </w:r>
      <w:r>
        <w:rPr>
          <w:rFonts w:hint="eastAsia" w:ascii="Times New Roman" w:hAnsi="Times New Roman" w:eastAsia="仿宋_GB2312"/>
          <w:color w:val="auto"/>
          <w:sz w:val="32"/>
          <w:szCs w:val="32"/>
          <w:lang w:val="en-US" w:eastAsia="zh-CN"/>
        </w:rPr>
        <w:t>；三是</w:t>
      </w:r>
      <w:r>
        <w:rPr>
          <w:rFonts w:hint="default" w:ascii="Times New Roman" w:hAnsi="Times New Roman" w:eastAsia="仿宋_GB2312"/>
          <w:color w:val="auto"/>
          <w:sz w:val="32"/>
          <w:szCs w:val="32"/>
          <w:lang w:val="en-US" w:eastAsia="zh-CN"/>
        </w:rPr>
        <w:t>全面开展预算绩效目标管理</w:t>
      </w:r>
      <w:r>
        <w:rPr>
          <w:rFonts w:hint="eastAsia" w:ascii="Times New Roman" w:hAnsi="Times New Roman" w:eastAsia="仿宋_GB2312"/>
          <w:color w:val="auto"/>
          <w:sz w:val="32"/>
          <w:szCs w:val="32"/>
          <w:lang w:val="en-US" w:eastAsia="zh-CN"/>
        </w:rPr>
        <w:t>，做到绩效管理全覆盖</w:t>
      </w:r>
      <w:r>
        <w:rPr>
          <w:rFonts w:hint="default" w:ascii="Times New Roman" w:hAnsi="Times New Roman" w:eastAsia="仿宋_GB2312"/>
          <w:color w:val="auto"/>
          <w:sz w:val="32"/>
          <w:szCs w:val="32"/>
          <w:lang w:val="en-US" w:eastAsia="zh-CN"/>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 w:val="32"/>
          <w:szCs w:val="32"/>
          <w:lang w:eastAsia="zh-CN"/>
        </w:rPr>
      </w:pPr>
      <w:r>
        <w:rPr>
          <w:rFonts w:hint="eastAsia" w:ascii="仿宋" w:hAnsi="仿宋" w:eastAsia="仿宋" w:cs="仿宋"/>
          <w:sz w:val="32"/>
          <w:szCs w:val="32"/>
        </w:rPr>
        <w:t>2023年学校在省农业农村厅党组的坚强领导下，在上级教育主管部门的关心支持下，学校党委、行政坚持以习近平新时代中国特色社会主义思想为指导，开拓创新，凝聚力量，攻坚克难，扎实推进</w:t>
      </w:r>
      <w:r>
        <w:rPr>
          <w:rFonts w:hint="eastAsia" w:ascii="仿宋" w:hAnsi="仿宋" w:eastAsia="仿宋" w:cs="仿宋"/>
          <w:sz w:val="32"/>
          <w:szCs w:val="32"/>
          <w:lang w:val="en-US" w:eastAsia="zh-CN"/>
        </w:rPr>
        <w:t>各项</w:t>
      </w:r>
      <w:r>
        <w:rPr>
          <w:rFonts w:hint="eastAsia" w:ascii="仿宋" w:hAnsi="仿宋" w:eastAsia="仿宋" w:cs="仿宋"/>
          <w:sz w:val="32"/>
          <w:szCs w:val="32"/>
        </w:rPr>
        <w:t>工作，取得了一定成绩</w:t>
      </w:r>
      <w:r>
        <w:rPr>
          <w:rFonts w:hint="eastAsia" w:ascii="仿宋" w:hAnsi="仿宋" w:eastAsia="仿宋" w:cs="仿宋"/>
          <w:spacing w:val="6"/>
          <w:sz w:val="32"/>
          <w:szCs w:val="32"/>
        </w:rPr>
        <w:t>。</w:t>
      </w:r>
      <w:r>
        <w:rPr>
          <w:rFonts w:hint="eastAsia" w:ascii="仿宋" w:hAnsi="仿宋" w:eastAsia="仿宋" w:cs="仿宋"/>
          <w:sz w:val="32"/>
          <w:szCs w:val="32"/>
        </w:rPr>
        <w:t>部门整体支出绩效评价为“优”。</w:t>
      </w:r>
      <w:r>
        <w:rPr>
          <w:rFonts w:hint="eastAsia" w:ascii="仿宋" w:hAnsi="仿宋" w:eastAsia="仿宋" w:cs="仿宋"/>
          <w:sz w:val="32"/>
          <w:szCs w:val="32"/>
          <w:lang w:eastAsia="zh-CN"/>
        </w:rPr>
        <w:t>主要从以</w:t>
      </w:r>
      <w:r>
        <w:rPr>
          <w:rFonts w:hint="default" w:ascii="Times New Roman" w:hAnsi="Times New Roman" w:eastAsia="仿宋_GB2312" w:cs="Times New Roman"/>
          <w:sz w:val="32"/>
          <w:szCs w:val="32"/>
          <w:lang w:eastAsia="zh-CN"/>
        </w:rPr>
        <w:t>下</w:t>
      </w:r>
      <w:r>
        <w:rPr>
          <w:rFonts w:hint="eastAsia" w:ascii="Times New Roman" w:hAnsi="Times New Roman" w:eastAsia="仿宋_GB2312" w:cs="Times New Roman"/>
          <w:sz w:val="32"/>
          <w:szCs w:val="32"/>
          <w:lang w:eastAsia="zh-CN"/>
        </w:rPr>
        <w:t>六</w:t>
      </w:r>
      <w:r>
        <w:rPr>
          <w:rFonts w:hint="default" w:ascii="Times New Roman" w:hAnsi="Times New Roman" w:eastAsia="仿宋_GB2312" w:cs="Times New Roman"/>
          <w:sz w:val="32"/>
          <w:szCs w:val="32"/>
          <w:lang w:eastAsia="zh-CN"/>
        </w:rPr>
        <w:t>方面</w:t>
      </w:r>
      <w:r>
        <w:rPr>
          <w:rFonts w:hint="eastAsia" w:ascii="Times New Roman" w:hAnsi="Times New Roman" w:eastAsia="仿宋_GB2312" w:cs="Times New Roman"/>
          <w:sz w:val="32"/>
          <w:szCs w:val="32"/>
          <w:lang w:eastAsia="zh-CN"/>
        </w:rPr>
        <w:t>进行自评：</w:t>
      </w:r>
    </w:p>
    <w:p>
      <w:pPr>
        <w:pStyle w:val="13"/>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严控运行成本。</w:t>
      </w:r>
    </w:p>
    <w:p>
      <w:pPr>
        <w:pStyle w:val="13"/>
        <w:numPr>
          <w:ilvl w:val="0"/>
          <w:numId w:val="0"/>
        </w:numPr>
        <w:ind w:firstLine="664" w:firstLineChars="200"/>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color w:val="auto"/>
          <w:spacing w:val="6"/>
          <w:sz w:val="32"/>
          <w:szCs w:val="32"/>
          <w:lang w:val="en-US" w:eastAsia="zh-CN"/>
        </w:rPr>
        <w:t>2023年学校“三公”经费支出0万元，较上年减少0.9万元，节约比为100%。2023年基本支出中水费、电费和差旅费支出5.47万元，较上年18.25万元节约12.78万元，节约比为70%。</w:t>
      </w:r>
    </w:p>
    <w:p>
      <w:pPr>
        <w:pStyle w:val="13"/>
        <w:numPr>
          <w:ilvl w:val="0"/>
          <w:numId w:val="0"/>
        </w:numPr>
        <w:ind w:firstLine="664" w:firstLineChars="200"/>
        <w:rPr>
          <w:rFonts w:hint="eastAsia" w:ascii="仿宋" w:hAnsi="仿宋" w:eastAsia="仿宋" w:cs="仿宋"/>
          <w:b w:val="0"/>
          <w:bCs w:val="0"/>
          <w:spacing w:val="6"/>
          <w:sz w:val="32"/>
          <w:szCs w:val="32"/>
          <w:lang w:val="en-US" w:eastAsia="zh-CN"/>
        </w:rPr>
      </w:pPr>
      <w:r>
        <w:rPr>
          <w:rFonts w:hint="eastAsia" w:ascii="仿宋" w:hAnsi="仿宋" w:eastAsia="仿宋" w:cs="仿宋"/>
          <w:b w:val="0"/>
          <w:bCs w:val="0"/>
          <w:spacing w:val="6"/>
          <w:sz w:val="32"/>
          <w:szCs w:val="32"/>
          <w:lang w:val="en-US" w:eastAsia="zh-CN"/>
        </w:rPr>
        <w:t>2、提高管理效率。</w:t>
      </w:r>
    </w:p>
    <w:p>
      <w:pPr>
        <w:pStyle w:val="13"/>
        <w:numPr>
          <w:ilvl w:val="0"/>
          <w:numId w:val="0"/>
        </w:numPr>
        <w:ind w:firstLine="664" w:firstLineChars="200"/>
        <w:rPr>
          <w:rFonts w:hint="eastAsia" w:ascii="仿宋" w:hAnsi="仿宋" w:eastAsia="仿宋" w:cs="仿宋"/>
          <w:spacing w:val="6"/>
          <w:sz w:val="32"/>
          <w:szCs w:val="32"/>
        </w:rPr>
      </w:pPr>
      <w:r>
        <w:rPr>
          <w:rFonts w:hint="eastAsia" w:ascii="仿宋" w:hAnsi="仿宋" w:eastAsia="仿宋" w:cs="仿宋"/>
          <w:b w:val="0"/>
          <w:bCs w:val="0"/>
          <w:spacing w:val="6"/>
          <w:sz w:val="32"/>
          <w:szCs w:val="32"/>
          <w:lang w:eastAsia="zh-CN"/>
        </w:rPr>
        <w:t>一是</w:t>
      </w:r>
      <w:r>
        <w:rPr>
          <w:rFonts w:hint="eastAsia" w:ascii="仿宋" w:hAnsi="仿宋" w:eastAsia="仿宋" w:cs="仿宋"/>
          <w:b w:val="0"/>
          <w:bCs w:val="0"/>
          <w:spacing w:val="6"/>
          <w:sz w:val="32"/>
          <w:szCs w:val="32"/>
          <w:lang w:val="en-US" w:eastAsia="zh-CN"/>
        </w:rPr>
        <w:t>学生管理水平有“新提高”。学生综合素质不断提高，2023年共获评省、市先进班集体2个，省、市级三好学生12名，省、市优秀学生干部2名，市级优秀实习生1名，校级好学生75名，校级优秀学生干部47名；德育管理效果不断提高，全面建立推行学生德育银行管理，将全校学生的日常表现进行细化量化评价，规范学生在校言行；班主任队伍能力不断提高，定期组织对班主任开展培训，定期召开班主任例会，加强对班主任考核管理，严格兑现考核奖罚措施，全面提升班主任能力水平。</w:t>
      </w:r>
      <w:r>
        <w:rPr>
          <w:rFonts w:hint="eastAsia" w:ascii="仿宋" w:hAnsi="仿宋" w:eastAsia="仿宋" w:cs="仿宋"/>
          <w:b w:val="0"/>
          <w:bCs w:val="0"/>
          <w:spacing w:val="6"/>
          <w:sz w:val="32"/>
          <w:szCs w:val="32"/>
          <w:lang w:eastAsia="zh-CN"/>
        </w:rPr>
        <w:t>二是</w:t>
      </w:r>
      <w:r>
        <w:rPr>
          <w:rFonts w:hint="eastAsia" w:ascii="仿宋" w:hAnsi="仿宋" w:eastAsia="仿宋" w:cs="仿宋"/>
          <w:b w:val="0"/>
          <w:bCs w:val="0"/>
          <w:spacing w:val="6"/>
          <w:sz w:val="32"/>
          <w:szCs w:val="32"/>
        </w:rPr>
        <w:t>学校教学能力不断提升。</w:t>
      </w:r>
      <w:r>
        <w:rPr>
          <w:rFonts w:hint="eastAsia" w:ascii="仿宋" w:hAnsi="仿宋" w:eastAsia="仿宋" w:cs="仿宋"/>
          <w:spacing w:val="6"/>
          <w:sz w:val="32"/>
          <w:szCs w:val="32"/>
        </w:rPr>
        <w:t>在全省楚怡中职学校的“双优计划”的评定工作中，我校成功荣获“湖南省楚怡优质中职学校建设单位”，新能源汽车运用与维修、工业机器人技术应用两个专业群获评“湖南省楚怡优质中职专业群”。</w:t>
      </w:r>
    </w:p>
    <w:p>
      <w:pPr>
        <w:pStyle w:val="13"/>
        <w:numPr>
          <w:ilvl w:val="0"/>
          <w:numId w:val="2"/>
        </w:numPr>
        <w:ind w:leftChars="200" w:firstLine="320" w:firstLineChars="100"/>
        <w:rPr>
          <w:rFonts w:hint="eastAsia" w:ascii="仿宋" w:hAnsi="仿宋" w:eastAsia="仿宋" w:cs="仿宋"/>
          <w:sz w:val="32"/>
          <w:szCs w:val="32"/>
          <w:lang w:eastAsia="zh-CN"/>
        </w:rPr>
      </w:pPr>
      <w:r>
        <w:rPr>
          <w:rFonts w:hint="eastAsia" w:ascii="仿宋" w:hAnsi="仿宋" w:eastAsia="仿宋" w:cs="仿宋"/>
          <w:sz w:val="32"/>
          <w:szCs w:val="32"/>
          <w:lang w:eastAsia="zh-CN"/>
        </w:rPr>
        <w:t>加强履职效能。</w:t>
      </w:r>
    </w:p>
    <w:p>
      <w:pPr>
        <w:pStyle w:val="13"/>
        <w:numPr>
          <w:numId w:val="0"/>
        </w:numPr>
        <w:ind w:firstLine="664" w:firstLineChars="200"/>
        <w:rPr>
          <w:rFonts w:hint="eastAsia" w:ascii="仿宋" w:hAnsi="仿宋" w:eastAsia="仿宋" w:cs="仿宋"/>
          <w:spacing w:val="6"/>
          <w:sz w:val="32"/>
          <w:szCs w:val="32"/>
          <w:lang w:val="en-US" w:eastAsia="zh-CN"/>
        </w:rPr>
      </w:pPr>
      <w:r>
        <w:rPr>
          <w:rFonts w:hint="eastAsia" w:ascii="仿宋" w:hAnsi="仿宋" w:eastAsia="仿宋" w:cs="仿宋"/>
          <w:b w:val="0"/>
          <w:bCs w:val="0"/>
          <w:spacing w:val="6"/>
          <w:sz w:val="32"/>
          <w:szCs w:val="32"/>
          <w:lang w:eastAsia="zh-CN"/>
        </w:rPr>
        <w:t>一是</w:t>
      </w:r>
      <w:r>
        <w:rPr>
          <w:rFonts w:hint="eastAsia" w:ascii="仿宋" w:hAnsi="仿宋" w:eastAsia="仿宋" w:cs="仿宋"/>
          <w:spacing w:val="6"/>
          <w:sz w:val="32"/>
          <w:szCs w:val="32"/>
        </w:rPr>
        <w:t>招生人数和质量</w:t>
      </w:r>
      <w:r>
        <w:rPr>
          <w:rFonts w:hint="eastAsia" w:ascii="仿宋" w:hAnsi="仿宋" w:eastAsia="仿宋" w:cs="仿宋"/>
          <w:spacing w:val="6"/>
          <w:sz w:val="32"/>
          <w:szCs w:val="32"/>
          <w:lang w:val="en-US" w:eastAsia="zh-CN"/>
        </w:rPr>
        <w:t>有突破</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学校</w:t>
      </w:r>
      <w:r>
        <w:rPr>
          <w:rFonts w:hint="eastAsia" w:ascii="仿宋" w:hAnsi="仿宋" w:eastAsia="仿宋" w:cs="仿宋"/>
          <w:spacing w:val="6"/>
          <w:sz w:val="32"/>
          <w:szCs w:val="32"/>
          <w:lang w:val="en-US" w:eastAsia="zh-CN"/>
        </w:rPr>
        <w:t>实际招生人数为</w:t>
      </w:r>
      <w:r>
        <w:rPr>
          <w:rFonts w:hint="eastAsia" w:ascii="仿宋" w:hAnsi="仿宋" w:eastAsia="仿宋" w:cs="仿宋"/>
          <w:spacing w:val="6"/>
          <w:sz w:val="32"/>
          <w:szCs w:val="32"/>
        </w:rPr>
        <w:t>1305人</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学校学生规模总数达到3800多人</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rPr>
        <w:t>创学校历史新高。</w:t>
      </w:r>
      <w:r>
        <w:rPr>
          <w:rFonts w:hint="eastAsia" w:ascii="仿宋" w:hAnsi="仿宋" w:eastAsia="仿宋" w:cs="仿宋"/>
          <w:spacing w:val="6"/>
          <w:sz w:val="32"/>
          <w:szCs w:val="32"/>
          <w:lang w:val="en-US" w:eastAsia="zh-CN"/>
        </w:rPr>
        <w:t>二是改善校园环境上有新成效，今年学校累计投入200多万元，启动改造及维修项目30余个，全面改善学校办学条件，建设校园专用停车场；新建现代化计算机房一个；在三公寓和四宿舍增设室外钢结构楼梯，新增学生羽毛球场2个、乒乓球台4个，改善了学生运动设施条件。</w:t>
      </w:r>
    </w:p>
    <w:p>
      <w:pPr>
        <w:pStyle w:val="13"/>
        <w:ind w:firstLine="664" w:firstLineChars="200"/>
        <w:rPr>
          <w:rFonts w:hint="eastAsia" w:ascii="仿宋" w:hAnsi="仿宋" w:eastAsia="仿宋" w:cs="仿宋"/>
          <w:sz w:val="32"/>
          <w:szCs w:val="32"/>
          <w:lang w:eastAsia="zh-CN"/>
        </w:rPr>
      </w:pPr>
      <w:r>
        <w:rPr>
          <w:rFonts w:hint="eastAsia" w:ascii="仿宋" w:hAnsi="仿宋" w:eastAsia="仿宋" w:cs="仿宋"/>
          <w:spacing w:val="6"/>
          <w:sz w:val="32"/>
          <w:szCs w:val="32"/>
          <w:lang w:val="en-US" w:eastAsia="zh-CN"/>
        </w:rPr>
        <w:t>4、</w:t>
      </w:r>
      <w:r>
        <w:rPr>
          <w:rFonts w:hint="eastAsia" w:ascii="仿宋" w:hAnsi="仿宋" w:eastAsia="仿宋" w:cs="仿宋"/>
          <w:sz w:val="32"/>
          <w:szCs w:val="32"/>
          <w:lang w:eastAsia="zh-CN"/>
        </w:rPr>
        <w:t>保障社会效应。</w:t>
      </w:r>
    </w:p>
    <w:p>
      <w:pPr>
        <w:pStyle w:val="13"/>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一是不断加强文明创建和党建引领。</w:t>
      </w:r>
      <w:r>
        <w:rPr>
          <w:rFonts w:hint="eastAsia" w:ascii="仿宋" w:hAnsi="仿宋" w:eastAsia="仿宋" w:cs="仿宋"/>
          <w:sz w:val="32"/>
          <w:szCs w:val="32"/>
          <w:lang w:val="en-US" w:eastAsia="zh-CN"/>
        </w:rPr>
        <w:t>扎实开展主题教育活动，共开展党委中心组集中学习10次。认真开好了2023年度民主（组织）生活会、主题教育民主生活会和以案促改专题民主生活会</w:t>
      </w:r>
      <w:r>
        <w:rPr>
          <w:rFonts w:hint="eastAsia" w:ascii="仿宋" w:hAnsi="仿宋" w:eastAsia="仿宋" w:cs="仿宋"/>
          <w:sz w:val="32"/>
          <w:szCs w:val="32"/>
          <w:lang w:eastAsia="zh-CN"/>
        </w:rPr>
        <w:t>；成功举办了学生运动会，教职工乒乓球赛，学校顺利通过了省里复评审查，继续荣膺湖南省直文明标兵校园。二是学校各项比赛荣誉</w:t>
      </w:r>
      <w:r>
        <w:rPr>
          <w:rFonts w:hint="eastAsia" w:ascii="仿宋" w:hAnsi="仿宋" w:eastAsia="仿宋" w:cs="仿宋"/>
          <w:sz w:val="32"/>
          <w:szCs w:val="32"/>
          <w:lang w:val="en-US" w:eastAsia="zh-CN"/>
        </w:rPr>
        <w:t>有新提高</w:t>
      </w:r>
      <w:r>
        <w:rPr>
          <w:rFonts w:hint="eastAsia" w:ascii="仿宋" w:hAnsi="仿宋" w:eastAsia="仿宋" w:cs="仿宋"/>
          <w:sz w:val="32"/>
          <w:szCs w:val="32"/>
          <w:lang w:eastAsia="zh-CN"/>
        </w:rPr>
        <w:t>。2023年度，教师参加市、省级教师教学能力比赛、技能大赛共37人次，学生参加</w:t>
      </w:r>
      <w:r>
        <w:rPr>
          <w:rFonts w:hint="eastAsia" w:ascii="仿宋" w:hAnsi="仿宋" w:eastAsia="仿宋" w:cs="仿宋"/>
          <w:sz w:val="32"/>
          <w:szCs w:val="32"/>
          <w:lang w:val="en-US" w:eastAsia="zh-CN"/>
        </w:rPr>
        <w:t>省市</w:t>
      </w:r>
      <w:r>
        <w:rPr>
          <w:rFonts w:hint="eastAsia" w:ascii="仿宋" w:hAnsi="仿宋" w:eastAsia="仿宋" w:cs="仿宋"/>
          <w:sz w:val="32"/>
          <w:szCs w:val="32"/>
          <w:lang w:eastAsia="zh-CN"/>
        </w:rPr>
        <w:t>大赛项目21项，</w:t>
      </w:r>
      <w:r>
        <w:rPr>
          <w:rFonts w:hint="eastAsia" w:ascii="仿宋" w:hAnsi="仿宋" w:eastAsia="仿宋" w:cs="仿宋"/>
          <w:sz w:val="32"/>
          <w:szCs w:val="32"/>
          <w:lang w:val="en-US" w:eastAsia="zh-CN"/>
        </w:rPr>
        <w:t>参赛</w:t>
      </w:r>
      <w:r>
        <w:rPr>
          <w:rFonts w:hint="eastAsia" w:ascii="仿宋" w:hAnsi="仿宋" w:eastAsia="仿宋" w:cs="仿宋"/>
          <w:sz w:val="32"/>
          <w:szCs w:val="32"/>
          <w:lang w:eastAsia="zh-CN"/>
        </w:rPr>
        <w:t>85人次，获奖58人次，其中</w:t>
      </w:r>
      <w:r>
        <w:rPr>
          <w:rFonts w:hint="eastAsia" w:ascii="仿宋" w:hAnsi="仿宋" w:eastAsia="仿宋" w:cs="仿宋"/>
          <w:sz w:val="32"/>
          <w:szCs w:val="32"/>
          <w:lang w:val="en-US" w:eastAsia="zh-CN"/>
        </w:rPr>
        <w:t>获得长沙市</w:t>
      </w:r>
      <w:r>
        <w:rPr>
          <w:rFonts w:hint="eastAsia" w:ascii="仿宋" w:hAnsi="仿宋" w:eastAsia="仿宋" w:cs="仿宋"/>
          <w:sz w:val="32"/>
          <w:szCs w:val="32"/>
          <w:lang w:eastAsia="zh-CN"/>
        </w:rPr>
        <w:t>学生竞赛一等奖7个、二等奖16个、三等奖16个，“新能源汽车维修”“工业机器人技术应用”“零部件测绘与CAD成图技术”“产品数字化设计与开发”“企业经营沙盘模拟”等5个赛项获省赛一等奖，《新能源汽车维修》《产品数字化设计与开发》两个赛项进入国赛。</w:t>
      </w:r>
    </w:p>
    <w:p>
      <w:pPr>
        <w:pStyle w:val="13"/>
        <w:ind w:firstLine="640" w:firstLineChars="200"/>
        <w:rPr>
          <w:rFonts w:hint="eastAsia" w:ascii="仿宋" w:hAnsi="仿宋" w:eastAsia="仿宋" w:cs="仿宋"/>
          <w:spacing w:val="6"/>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提升可持续发展能力。</w:t>
      </w:r>
    </w:p>
    <w:p>
      <w:pPr>
        <w:pStyle w:val="13"/>
        <w:keepNext w:val="0"/>
        <w:keepLines w:val="0"/>
        <w:pageBreakBefore w:val="0"/>
        <w:widowControl w:val="0"/>
        <w:kinsoku/>
        <w:wordWrap/>
        <w:overflowPunct/>
        <w:topLinePunct w:val="0"/>
        <w:bidi w:val="0"/>
        <w:ind w:firstLine="664" w:firstLineChars="200"/>
        <w:textAlignment w:val="auto"/>
        <w:rPr>
          <w:rFonts w:hint="eastAsia" w:ascii="仿宋" w:hAnsi="仿宋" w:eastAsia="仿宋" w:cs="仿宋"/>
          <w:spacing w:val="6"/>
          <w:sz w:val="32"/>
          <w:szCs w:val="32"/>
          <w:lang w:eastAsia="zh-CN"/>
        </w:rPr>
      </w:pPr>
      <w:r>
        <w:rPr>
          <w:rFonts w:hint="eastAsia" w:ascii="仿宋" w:hAnsi="仿宋" w:eastAsia="仿宋" w:cs="仿宋"/>
          <w:b w:val="0"/>
          <w:bCs w:val="0"/>
          <w:spacing w:val="6"/>
          <w:sz w:val="32"/>
          <w:szCs w:val="32"/>
          <w:lang w:eastAsia="zh-CN"/>
        </w:rPr>
        <w:t>一是</w:t>
      </w:r>
      <w:r>
        <w:rPr>
          <w:rFonts w:hint="eastAsia" w:ascii="仿宋" w:hAnsi="仿宋" w:eastAsia="仿宋" w:cs="仿宋"/>
          <w:spacing w:val="6"/>
          <w:sz w:val="32"/>
          <w:szCs w:val="32"/>
          <w:lang w:eastAsia="zh-CN"/>
        </w:rPr>
        <w:t>社会服务</w:t>
      </w:r>
      <w:r>
        <w:rPr>
          <w:rFonts w:hint="eastAsia" w:ascii="仿宋" w:hAnsi="仿宋" w:eastAsia="仿宋" w:cs="仿宋"/>
          <w:spacing w:val="6"/>
          <w:sz w:val="32"/>
          <w:szCs w:val="32"/>
          <w:lang w:val="en-US" w:eastAsia="zh-CN"/>
        </w:rPr>
        <w:t>有新突破，学校在办好职业教育的同时，充分利用区位、资源和资产优势，承接各种考试培训业务，做好社会服务</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2023年</w:t>
      </w:r>
      <w:r>
        <w:rPr>
          <w:rFonts w:hint="eastAsia" w:ascii="仿宋" w:hAnsi="仿宋" w:eastAsia="仿宋" w:cs="仿宋"/>
          <w:spacing w:val="6"/>
          <w:sz w:val="32"/>
          <w:szCs w:val="32"/>
          <w:lang w:eastAsia="zh-CN"/>
        </w:rPr>
        <w:t>共承接</w:t>
      </w:r>
      <w:r>
        <w:rPr>
          <w:rFonts w:hint="eastAsia" w:ascii="仿宋" w:hAnsi="仿宋" w:eastAsia="仿宋" w:cs="仿宋"/>
          <w:spacing w:val="6"/>
          <w:sz w:val="32"/>
          <w:szCs w:val="32"/>
          <w:lang w:val="en-US" w:eastAsia="zh-CN"/>
        </w:rPr>
        <w:t>1150</w:t>
      </w:r>
      <w:r>
        <w:rPr>
          <w:rFonts w:hint="eastAsia" w:ascii="仿宋" w:hAnsi="仿宋" w:eastAsia="仿宋" w:cs="仿宋"/>
          <w:spacing w:val="6"/>
          <w:sz w:val="32"/>
          <w:szCs w:val="32"/>
          <w:lang w:eastAsia="zh-CN"/>
        </w:rPr>
        <w:t>人的社会培训业务；</w:t>
      </w:r>
      <w:r>
        <w:rPr>
          <w:rFonts w:hint="eastAsia" w:ascii="仿宋" w:hAnsi="仿宋" w:eastAsia="仿宋" w:cs="仿宋"/>
          <w:spacing w:val="6"/>
          <w:sz w:val="32"/>
          <w:szCs w:val="32"/>
          <w:lang w:val="en-US" w:eastAsia="zh-CN"/>
        </w:rPr>
        <w:t>作为全省人事人才考试标准化考点建设的唯一中职学校，服务考生2万人次，荣获省直优秀考点学校荣誉称号</w:t>
      </w:r>
      <w:r>
        <w:rPr>
          <w:rFonts w:hint="eastAsia" w:ascii="仿宋" w:hAnsi="仿宋" w:eastAsia="仿宋" w:cs="仿宋"/>
          <w:spacing w:val="6"/>
          <w:sz w:val="32"/>
          <w:szCs w:val="32"/>
          <w:lang w:eastAsia="zh-CN"/>
        </w:rPr>
        <w:t>。二是对口升学</w:t>
      </w:r>
      <w:r>
        <w:rPr>
          <w:rFonts w:hint="eastAsia" w:ascii="仿宋" w:hAnsi="仿宋" w:eastAsia="仿宋" w:cs="仿宋"/>
          <w:spacing w:val="6"/>
          <w:sz w:val="32"/>
          <w:szCs w:val="32"/>
          <w:lang w:val="en-US" w:eastAsia="zh-CN"/>
        </w:rPr>
        <w:t>有新突破，</w:t>
      </w:r>
      <w:r>
        <w:rPr>
          <w:rFonts w:hint="eastAsia" w:ascii="仿宋" w:hAnsi="仿宋" w:eastAsia="仿宋" w:cs="仿宋"/>
          <w:spacing w:val="6"/>
          <w:sz w:val="32"/>
          <w:szCs w:val="32"/>
          <w:lang w:eastAsia="zh-CN"/>
        </w:rPr>
        <w:t>我校适应政策变化，积极探索对口升学工作，2023年度，我校有495位考生顺利完成高校自主招生考试和对口高考考试，参考率百分之百，</w:t>
      </w:r>
      <w:r>
        <w:rPr>
          <w:rFonts w:hint="eastAsia" w:ascii="仿宋" w:hAnsi="仿宋" w:eastAsia="仿宋" w:cs="仿宋"/>
          <w:spacing w:val="6"/>
          <w:sz w:val="32"/>
          <w:szCs w:val="32"/>
          <w:lang w:val="en-US" w:eastAsia="zh-CN"/>
        </w:rPr>
        <w:t>共有</w:t>
      </w:r>
      <w:r>
        <w:rPr>
          <w:rFonts w:hint="eastAsia" w:ascii="仿宋" w:hAnsi="仿宋" w:eastAsia="仿宋" w:cs="仿宋"/>
          <w:spacing w:val="6"/>
          <w:sz w:val="32"/>
          <w:szCs w:val="32"/>
          <w:lang w:eastAsia="zh-CN"/>
        </w:rPr>
        <w:t>240</w:t>
      </w:r>
      <w:r>
        <w:rPr>
          <w:rFonts w:hint="eastAsia" w:ascii="仿宋" w:hAnsi="仿宋" w:eastAsia="仿宋" w:cs="仿宋"/>
          <w:spacing w:val="6"/>
          <w:sz w:val="32"/>
          <w:szCs w:val="32"/>
          <w:lang w:val="en-US" w:eastAsia="zh-CN"/>
        </w:rPr>
        <w:t>名</w:t>
      </w:r>
      <w:r>
        <w:rPr>
          <w:rFonts w:hint="eastAsia" w:ascii="仿宋" w:hAnsi="仿宋" w:eastAsia="仿宋" w:cs="仿宋"/>
          <w:spacing w:val="6"/>
          <w:sz w:val="32"/>
          <w:szCs w:val="32"/>
          <w:lang w:eastAsia="zh-CN"/>
        </w:rPr>
        <w:t>学生</w:t>
      </w:r>
      <w:r>
        <w:rPr>
          <w:rFonts w:hint="eastAsia" w:ascii="仿宋" w:hAnsi="仿宋" w:eastAsia="仿宋" w:cs="仿宋"/>
          <w:spacing w:val="6"/>
          <w:sz w:val="32"/>
          <w:szCs w:val="32"/>
          <w:lang w:val="en-US" w:eastAsia="zh-CN"/>
        </w:rPr>
        <w:t>通过单招和高考方式考</w:t>
      </w:r>
      <w:r>
        <w:rPr>
          <w:rFonts w:hint="eastAsia" w:ascii="仿宋" w:hAnsi="仿宋" w:eastAsia="仿宋" w:cs="仿宋"/>
          <w:spacing w:val="6"/>
          <w:sz w:val="32"/>
          <w:szCs w:val="32"/>
          <w:lang w:eastAsia="zh-CN"/>
        </w:rPr>
        <w:t>入了理想大学。</w:t>
      </w:r>
    </w:p>
    <w:p>
      <w:pPr>
        <w:pStyle w:val="13"/>
        <w:keepNext w:val="0"/>
        <w:keepLines w:val="0"/>
        <w:pageBreakBefore w:val="0"/>
        <w:widowControl w:val="0"/>
        <w:numPr>
          <w:ilvl w:val="0"/>
          <w:numId w:val="0"/>
        </w:numPr>
        <w:kinsoku/>
        <w:wordWrap/>
        <w:overflowPunct/>
        <w:topLinePunct w:val="0"/>
        <w:bidi w:val="0"/>
        <w:ind w:firstLine="664" w:firstLineChars="200"/>
        <w:textAlignment w:val="auto"/>
        <w:rPr>
          <w:rFonts w:hint="eastAsia" w:ascii="仿宋" w:hAnsi="仿宋" w:eastAsia="仿宋" w:cs="仿宋"/>
          <w:spacing w:val="6"/>
          <w:sz w:val="32"/>
          <w:szCs w:val="32"/>
          <w:lang w:eastAsia="zh-CN"/>
        </w:rPr>
      </w:pPr>
      <w:r>
        <w:rPr>
          <w:rFonts w:hint="eastAsia" w:ascii="仿宋" w:hAnsi="仿宋" w:eastAsia="仿宋" w:cs="仿宋"/>
          <w:spacing w:val="6"/>
          <w:sz w:val="32"/>
          <w:szCs w:val="32"/>
          <w:lang w:val="en-US" w:eastAsia="zh-CN"/>
        </w:rPr>
        <w:t>6、</w:t>
      </w:r>
      <w:r>
        <w:rPr>
          <w:rFonts w:hint="eastAsia" w:ascii="仿宋" w:hAnsi="仿宋" w:eastAsia="仿宋" w:cs="仿宋"/>
          <w:spacing w:val="6"/>
          <w:sz w:val="32"/>
          <w:szCs w:val="32"/>
          <w:lang w:eastAsia="zh-CN"/>
        </w:rPr>
        <w:t>提高服务对象满意度。</w:t>
      </w:r>
    </w:p>
    <w:p>
      <w:pPr>
        <w:pStyle w:val="13"/>
        <w:keepNext w:val="0"/>
        <w:keepLines w:val="0"/>
        <w:pageBreakBefore w:val="0"/>
        <w:widowControl w:val="0"/>
        <w:numPr>
          <w:ilvl w:val="0"/>
          <w:numId w:val="0"/>
        </w:numPr>
        <w:kinsoku/>
        <w:wordWrap/>
        <w:overflowPunct/>
        <w:topLinePunct w:val="0"/>
        <w:bidi w:val="0"/>
        <w:textAlignment w:val="auto"/>
        <w:rPr>
          <w:rFonts w:hint="default" w:ascii="仿宋" w:hAnsi="仿宋" w:eastAsia="仿宋" w:cs="仿宋"/>
          <w:spacing w:val="6"/>
          <w:sz w:val="32"/>
          <w:szCs w:val="32"/>
          <w:lang w:val="en-US" w:eastAsia="zh-CN"/>
        </w:rPr>
      </w:pPr>
      <w:r>
        <w:rPr>
          <w:rFonts w:hint="eastAsia" w:ascii="仿宋" w:hAnsi="仿宋" w:eastAsia="仿宋" w:cs="仿宋"/>
          <w:spacing w:val="6"/>
          <w:sz w:val="32"/>
          <w:szCs w:val="32"/>
          <w:lang w:val="en-US" w:eastAsia="zh-CN"/>
        </w:rPr>
        <w:t xml:space="preserve">    通过对学生、家长及社会服务对象的满意度调查，2023年学生及家长对学校学生管理，教学质量满意度均达到95%，对外培训等服务对象满意度达到99%。</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3"/>
        <w:ind w:firstLine="640" w:firstLineChars="200"/>
        <w:rPr>
          <w:rFonts w:hint="eastAsia" w:ascii="仿宋" w:hAnsi="仿宋" w:eastAsia="仿宋" w:cs="仿宋"/>
          <w:sz w:val="32"/>
          <w:szCs w:val="32"/>
          <w:highlight w:val="none"/>
        </w:rPr>
      </w:pPr>
      <w:r>
        <w:rPr>
          <w:rFonts w:hint="eastAsia" w:ascii="仿宋" w:hAnsi="仿宋" w:eastAsia="仿宋" w:cs="仿宋"/>
          <w:sz w:val="32"/>
          <w:szCs w:val="32"/>
        </w:rPr>
        <w:t>一是学校执行生均拨款制度，预算年初下达指标与实际需求存在较大差距，年中追加资金比例较大，导致年初</w:t>
      </w:r>
      <w:r>
        <w:rPr>
          <w:rFonts w:hint="eastAsia" w:ascii="仿宋" w:hAnsi="仿宋" w:eastAsia="仿宋" w:cs="仿宋"/>
          <w:sz w:val="32"/>
          <w:szCs w:val="32"/>
          <w:lang w:eastAsia="zh-CN"/>
        </w:rPr>
        <w:t>预算</w:t>
      </w:r>
      <w:r>
        <w:rPr>
          <w:rFonts w:hint="eastAsia" w:ascii="仿宋" w:hAnsi="仿宋" w:eastAsia="仿宋" w:cs="仿宋"/>
          <w:sz w:val="32"/>
          <w:szCs w:val="32"/>
        </w:rPr>
        <w:t>安排不能全面反映学校</w:t>
      </w:r>
      <w:r>
        <w:rPr>
          <w:rFonts w:hint="eastAsia" w:ascii="仿宋" w:hAnsi="仿宋" w:eastAsia="仿宋" w:cs="仿宋"/>
          <w:sz w:val="32"/>
          <w:szCs w:val="32"/>
          <w:lang w:eastAsia="zh-CN"/>
        </w:rPr>
        <w:t>收</w:t>
      </w:r>
      <w:r>
        <w:rPr>
          <w:rFonts w:hint="eastAsia" w:ascii="仿宋" w:hAnsi="仿宋" w:eastAsia="仿宋" w:cs="仿宋"/>
          <w:sz w:val="32"/>
          <w:szCs w:val="32"/>
        </w:rPr>
        <w:t>支情况；</w:t>
      </w:r>
      <w:r>
        <w:rPr>
          <w:rFonts w:hint="eastAsia" w:ascii="仿宋" w:hAnsi="仿宋" w:eastAsia="仿宋" w:cs="仿宋"/>
          <w:sz w:val="32"/>
          <w:szCs w:val="32"/>
          <w:highlight w:val="none"/>
        </w:rPr>
        <w:t>二是</w:t>
      </w:r>
      <w:r>
        <w:rPr>
          <w:rFonts w:hint="eastAsia" w:ascii="仿宋" w:hAnsi="仿宋" w:eastAsia="仿宋" w:cs="仿宋"/>
          <w:sz w:val="32"/>
          <w:szCs w:val="32"/>
          <w:highlight w:val="none"/>
          <w:lang w:eastAsia="zh-CN"/>
        </w:rPr>
        <w:t>由于部分教育经费在年底清算拨付，无法当年完成支付，形成结转，影响整体</w:t>
      </w:r>
      <w:r>
        <w:rPr>
          <w:rFonts w:hint="eastAsia" w:ascii="仿宋" w:hAnsi="仿宋" w:eastAsia="仿宋" w:cs="仿宋"/>
          <w:sz w:val="32"/>
          <w:szCs w:val="32"/>
          <w:highlight w:val="none"/>
        </w:rPr>
        <w:t>预算执行</w:t>
      </w:r>
      <w:r>
        <w:rPr>
          <w:rFonts w:hint="eastAsia" w:ascii="仿宋" w:hAnsi="仿宋" w:eastAsia="仿宋" w:cs="仿宋"/>
          <w:sz w:val="32"/>
          <w:szCs w:val="32"/>
          <w:highlight w:val="none"/>
          <w:lang w:eastAsia="zh-CN"/>
        </w:rPr>
        <w:t>进</w:t>
      </w:r>
      <w:r>
        <w:rPr>
          <w:rFonts w:hint="eastAsia" w:ascii="仿宋" w:hAnsi="仿宋" w:eastAsia="仿宋" w:cs="仿宋"/>
          <w:sz w:val="32"/>
          <w:szCs w:val="32"/>
          <w:highlight w:val="none"/>
        </w:rPr>
        <w:t>度</w:t>
      </w:r>
      <w:r>
        <w:rPr>
          <w:rFonts w:hint="eastAsia" w:ascii="仿宋" w:hAnsi="仿宋" w:eastAsia="仿宋" w:cs="仿宋"/>
          <w:sz w:val="32"/>
          <w:szCs w:val="32"/>
          <w:highlight w:val="none"/>
          <w:lang w:eastAsia="zh-CN"/>
        </w:rPr>
        <w:t>；三是</w:t>
      </w:r>
      <w:r>
        <w:rPr>
          <w:rFonts w:hint="eastAsia" w:ascii="仿宋" w:hAnsi="仿宋" w:eastAsia="仿宋" w:cs="仿宋"/>
          <w:sz w:val="32"/>
          <w:szCs w:val="32"/>
        </w:rPr>
        <w:t>是</w:t>
      </w:r>
      <w:r>
        <w:rPr>
          <w:rFonts w:hint="eastAsia" w:ascii="仿宋" w:hAnsi="仿宋" w:eastAsia="仿宋" w:cs="仿宋"/>
          <w:sz w:val="32"/>
          <w:szCs w:val="32"/>
          <w:lang w:eastAsia="zh-CN"/>
        </w:rPr>
        <w:t>学校年初预算资金不足，人员经费需从教育项目经费中调剂支付，指标调剂程序繁多，严重影响了资金支付</w:t>
      </w:r>
      <w:r>
        <w:rPr>
          <w:rFonts w:hint="eastAsia" w:ascii="仿宋" w:hAnsi="仿宋" w:eastAsia="仿宋" w:cs="仿宋"/>
          <w:sz w:val="32"/>
          <w:szCs w:val="32"/>
          <w:highlight w:val="none"/>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p>
    <w:p>
      <w:pPr>
        <w:pStyle w:val="13"/>
        <w:jc w:val="both"/>
        <w:rPr>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ind w:firstLine="640" w:firstLineChars="200"/>
        <w:jc w:val="left"/>
        <w:rPr>
          <w:rFonts w:hint="eastAsia" w:ascii="仿宋" w:hAnsi="仿宋" w:eastAsia="仿宋" w:cs="仿宋"/>
          <w:color w:val="000000"/>
          <w:kern w:val="0"/>
          <w:sz w:val="32"/>
          <w:szCs w:val="32"/>
        </w:rPr>
      </w:pPr>
    </w:p>
    <w:p>
      <w:pPr>
        <w:widowControl/>
        <w:ind w:firstLine="640" w:firstLineChars="200"/>
        <w:jc w:val="left"/>
        <w:rPr>
          <w:rFonts w:hint="eastAsia" w:ascii="仿宋" w:hAnsi="仿宋" w:eastAsia="仿宋" w:cs="仿宋"/>
          <w:color w:val="000000"/>
          <w:kern w:val="0"/>
          <w:sz w:val="32"/>
          <w:szCs w:val="32"/>
        </w:rPr>
      </w:pPr>
    </w:p>
    <w:p>
      <w:pPr>
        <w:widowControl/>
        <w:ind w:firstLine="640" w:firstLineChars="200"/>
        <w:jc w:val="left"/>
        <w:rPr>
          <w:rFonts w:hint="eastAsia" w:ascii="仿宋" w:hAnsi="仿宋" w:eastAsia="仿宋" w:cs="仿宋"/>
          <w:color w:val="000000"/>
          <w:kern w:val="0"/>
          <w:sz w:val="70"/>
          <w:szCs w:val="70"/>
        </w:rPr>
      </w:pPr>
      <w:r>
        <w:rPr>
          <w:rFonts w:hint="eastAsia" w:ascii="仿宋" w:hAnsi="仿宋" w:eastAsia="仿宋" w:cs="仿宋"/>
          <w:color w:val="000000"/>
          <w:kern w:val="0"/>
          <w:sz w:val="32"/>
          <w:szCs w:val="32"/>
        </w:rPr>
        <w:t>一、</w:t>
      </w:r>
      <w:r>
        <w:rPr>
          <w:rFonts w:hint="eastAsia" w:ascii="仿宋" w:hAnsi="仿宋" w:eastAsia="仿宋" w:cs="仿宋"/>
          <w:sz w:val="32"/>
          <w:szCs w:val="32"/>
        </w:rPr>
        <w:t>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hint="eastAsia" w:ascii="方正小标宋_GBK" w:hAnsi="方正小标宋_GBK" w:eastAsia="方正小标宋_GBK" w:cs="方正小标宋_GBK"/>
          <w:color w:val="000000"/>
          <w:kern w:val="0"/>
          <w:sz w:val="70"/>
          <w:szCs w:val="70"/>
        </w:rPr>
      </w:pPr>
      <w:r>
        <w:rPr>
          <w:rFonts w:hint="eastAsia" w:ascii="仿宋" w:hAnsi="仿宋" w:eastAsia="仿宋" w:cs="仿宋"/>
          <w:color w:val="000000"/>
          <w:kern w:val="0"/>
          <w:sz w:val="32"/>
          <w:szCs w:val="32"/>
        </w:rPr>
        <w:t>二、</w:t>
      </w:r>
      <w:r>
        <w:rPr>
          <w:rFonts w:hint="eastAsia" w:ascii="仿宋" w:hAnsi="仿宋" w:eastAsia="仿宋" w:cs="仿宋"/>
          <w:sz w:val="32"/>
          <w:szCs w:val="32"/>
        </w:rPr>
        <w:t>“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ind w:firstLine="640" w:firstLineChars="200"/>
        <w:jc w:val="left"/>
        <w:rPr>
          <w:rFonts w:hint="eastAsia" w:cs="黑体" w:asciiTheme="minorEastAsia" w:hAnsiTheme="minorEastAsia"/>
          <w:color w:val="000000"/>
          <w:kern w:val="0"/>
          <w:sz w:val="32"/>
          <w:szCs w:val="3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ind w:firstLine="3600" w:firstLineChars="500"/>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center"/>
        <w:rPr>
          <w:rFonts w:hint="eastAsia" w:ascii="方正小标宋_GBK" w:hAnsi="方正小标宋_GBK" w:eastAsia="方正小标宋_GBK" w:cs="方正小标宋_GBK"/>
          <w:sz w:val="70"/>
          <w:szCs w:val="70"/>
        </w:rPr>
      </w:pPr>
    </w:p>
    <w:p>
      <w:pPr>
        <w:pStyle w:val="13"/>
        <w:ind w:firstLine="4200" w:firstLineChars="600"/>
        <w:jc w:val="both"/>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bookmarkStart w:id="5" w:name="_GoBack"/>
      <w:bookmarkEnd w:id="5"/>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keepNext/>
        <w:keepLines/>
        <w:adjustRightInd/>
        <w:snapToGrid/>
        <w:spacing w:line="700" w:lineRule="exact"/>
        <w:ind w:firstLine="0" w:firstLineChars="0"/>
        <w:jc w:val="center"/>
        <w:outlineLvl w:val="0"/>
        <w:rPr>
          <w:rFonts w:hint="eastAsia" w:eastAsia="方正小标宋简体"/>
          <w:bCs/>
          <w:spacing w:val="-8"/>
          <w:kern w:val="44"/>
          <w:sz w:val="44"/>
          <w:szCs w:val="44"/>
          <w:lang w:val="en-US" w:eastAsia="zh-CN"/>
        </w:rPr>
      </w:pPr>
    </w:p>
    <w:p>
      <w:pPr>
        <w:keepNext/>
        <w:keepLines/>
        <w:adjustRightInd/>
        <w:snapToGrid/>
        <w:spacing w:line="700" w:lineRule="exact"/>
        <w:ind w:firstLine="0" w:firstLineChars="0"/>
        <w:jc w:val="center"/>
        <w:outlineLvl w:val="0"/>
        <w:rPr>
          <w:rFonts w:hint="eastAsia" w:eastAsia="方正小标宋简体"/>
          <w:bCs/>
          <w:spacing w:val="-8"/>
          <w:kern w:val="44"/>
          <w:sz w:val="44"/>
          <w:szCs w:val="44"/>
          <w:lang w:eastAsia="zh-CN"/>
        </w:rPr>
      </w:pPr>
      <w:r>
        <w:rPr>
          <w:rFonts w:hint="eastAsia" w:eastAsia="方正小标宋简体"/>
          <w:bCs/>
          <w:spacing w:val="-8"/>
          <w:kern w:val="44"/>
          <w:sz w:val="44"/>
          <w:szCs w:val="44"/>
          <w:lang w:val="en-US" w:eastAsia="zh-CN"/>
        </w:rPr>
        <w:t>2023</w:t>
      </w:r>
      <w:r>
        <w:rPr>
          <w:rFonts w:eastAsia="方正小标宋简体"/>
          <w:bCs/>
          <w:spacing w:val="-8"/>
          <w:kern w:val="44"/>
          <w:sz w:val="44"/>
          <w:szCs w:val="44"/>
        </w:rPr>
        <w:t>年度</w:t>
      </w:r>
      <w:r>
        <w:rPr>
          <w:rFonts w:hint="eastAsia" w:eastAsia="方正小标宋简体"/>
          <w:bCs/>
          <w:spacing w:val="-8"/>
          <w:kern w:val="44"/>
          <w:sz w:val="44"/>
          <w:szCs w:val="44"/>
          <w:lang w:eastAsia="zh-CN"/>
        </w:rPr>
        <w:t>湖南省工业贸易学校</w:t>
      </w:r>
    </w:p>
    <w:p>
      <w:pPr>
        <w:keepNext/>
        <w:keepLines/>
        <w:adjustRightInd/>
        <w:snapToGrid/>
        <w:spacing w:line="700" w:lineRule="exact"/>
        <w:ind w:firstLine="0" w:firstLineChars="0"/>
        <w:jc w:val="center"/>
        <w:outlineLvl w:val="0"/>
        <w:rPr>
          <w:rFonts w:eastAsia="方正小标宋简体"/>
          <w:bCs/>
          <w:spacing w:val="-8"/>
          <w:kern w:val="44"/>
          <w:sz w:val="44"/>
          <w:szCs w:val="44"/>
        </w:rPr>
      </w:pPr>
      <w:r>
        <w:rPr>
          <w:rFonts w:eastAsia="方正小标宋简体"/>
          <w:bCs/>
          <w:spacing w:val="-8"/>
          <w:kern w:val="44"/>
          <w:sz w:val="44"/>
          <w:szCs w:val="44"/>
        </w:rPr>
        <w:t>整体支出绩效自评报告</w:t>
      </w:r>
    </w:p>
    <w:p>
      <w:pPr>
        <w:adjustRightInd/>
        <w:snapToGrid/>
        <w:ind w:firstLine="0" w:firstLineChars="0"/>
        <w:outlineLvl w:val="1"/>
        <w:rPr>
          <w:rFonts w:eastAsia="黑体"/>
          <w:bCs/>
          <w:sz w:val="21"/>
          <w:szCs w:val="32"/>
        </w:rPr>
      </w:pPr>
    </w:p>
    <w:p>
      <w:pPr>
        <w:numPr>
          <w:ilvl w:val="0"/>
          <w:numId w:val="3"/>
        </w:numPr>
        <w:adjustRightInd/>
        <w:snapToGrid/>
        <w:ind w:firstLine="640" w:firstLineChars="0"/>
        <w:outlineLvl w:val="1"/>
        <w:rPr>
          <w:rFonts w:eastAsia="华文细黑"/>
          <w:bCs/>
          <w:sz w:val="32"/>
          <w:szCs w:val="32"/>
        </w:rPr>
      </w:pPr>
      <w:r>
        <w:rPr>
          <w:rFonts w:eastAsia="华文细黑"/>
          <w:bCs/>
          <w:sz w:val="32"/>
          <w:szCs w:val="32"/>
        </w:rPr>
        <w:t>部门（单位）基本情况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（一）职能职责。</w:t>
      </w:r>
    </w:p>
    <w:p>
      <w:pPr>
        <w:widowControl/>
        <w:spacing w:line="600" w:lineRule="exact"/>
        <w:ind w:firstLine="627" w:firstLineChars="196"/>
        <w:jc w:val="left"/>
        <w:rPr>
          <w:rFonts w:hint="default" w:ascii="Times New Roman" w:hAnsi="Times New Roman" w:eastAsia="楷体_GB2312" w:cs="Times New Roman"/>
          <w:b/>
          <w:sz w:val="32"/>
          <w:szCs w:val="32"/>
          <w:lang w:val="en-US" w:eastAsia="zh-CN"/>
        </w:rPr>
      </w:pPr>
      <w:r>
        <w:rPr>
          <w:rFonts w:hint="eastAsia" w:ascii="Times New Roman" w:hAnsi="Times New Roman" w:eastAsia="楷体_GB2312" w:cs="Times New Roman"/>
          <w:b/>
          <w:sz w:val="32"/>
          <w:szCs w:val="32"/>
          <w:lang w:val="en-US" w:eastAsia="zh-CN"/>
        </w:rPr>
        <w:t xml:space="preserve"> </w:t>
      </w:r>
      <w:r>
        <w:rPr>
          <w:rFonts w:hint="eastAsia" w:ascii="仿宋" w:hAnsi="仿宋" w:eastAsia="仿宋"/>
          <w:sz w:val="32"/>
          <w:szCs w:val="32"/>
        </w:rPr>
        <w:t>湖南省工业贸易学校系隶属于省农业农村厅管理的二级机构，是一所公办全日制省级示范性中等职业学校。学校职能职责：为成人提供中短期培训服务、中专学历教育、成人中短期培训、相关社会服务。学校秉承“惟真惟实，创业创新”校训，致力于打造一所有梦想、有责任、有温度、有影响的好学校。全面倡导“四不四讲四心”的好老师标准和“四不四爱四懂</w:t>
      </w:r>
      <w:r>
        <w:rPr>
          <w:rFonts w:ascii="仿宋" w:hAnsi="仿宋" w:eastAsia="仿宋"/>
          <w:sz w:val="32"/>
          <w:szCs w:val="32"/>
        </w:rPr>
        <w:t>”</w:t>
      </w:r>
      <w:r>
        <w:rPr>
          <w:rFonts w:hint="eastAsia" w:ascii="仿宋" w:hAnsi="仿宋" w:eastAsia="仿宋"/>
          <w:sz w:val="32"/>
          <w:szCs w:val="32"/>
        </w:rPr>
        <w:t>的好学生标准,构建了风清气正、积极向上的良好学风、教风、校风，让每个学生都得到全面发展，成为国家需要的高素质技能型人才。</w:t>
      </w:r>
    </w:p>
    <w:p>
      <w:pPr>
        <w:widowControl/>
        <w:numPr>
          <w:ilvl w:val="0"/>
          <w:numId w:val="4"/>
        </w:numPr>
        <w:spacing w:line="600" w:lineRule="exact"/>
        <w:ind w:firstLine="627" w:firstLineChars="196"/>
        <w:jc w:val="left"/>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机构设置。</w:t>
      </w:r>
    </w:p>
    <w:p>
      <w:pPr>
        <w:widowControl/>
        <w:numPr>
          <w:ilvl w:val="0"/>
          <w:numId w:val="0"/>
        </w:numPr>
        <w:spacing w:line="600" w:lineRule="exact"/>
        <w:ind w:firstLine="640" w:firstLineChars="200"/>
        <w:jc w:val="left"/>
        <w:rPr>
          <w:rFonts w:ascii="仿宋" w:hAnsi="仿宋" w:eastAsia="仿宋"/>
          <w:sz w:val="32"/>
          <w:szCs w:val="32"/>
        </w:rPr>
      </w:pPr>
      <w:r>
        <w:rPr>
          <w:rFonts w:hint="eastAsia" w:ascii="仿宋" w:hAnsi="仿宋" w:eastAsia="仿宋"/>
          <w:sz w:val="32"/>
          <w:szCs w:val="32"/>
        </w:rPr>
        <w:t>学校现有办公室、组织人事科、计划财务科、教务科、总务科、招生就业指导办、纪检监察室、学生管理科、综治办（保卫部）、培训中心共</w:t>
      </w:r>
      <w:r>
        <w:rPr>
          <w:rFonts w:ascii="仿宋" w:hAnsi="仿宋" w:eastAsia="仿宋"/>
          <w:sz w:val="32"/>
          <w:szCs w:val="32"/>
        </w:rPr>
        <w:t>10</w:t>
      </w:r>
      <w:r>
        <w:rPr>
          <w:rFonts w:hint="eastAsia" w:ascii="仿宋" w:hAnsi="仿宋" w:eastAsia="仿宋"/>
          <w:sz w:val="32"/>
          <w:szCs w:val="32"/>
        </w:rPr>
        <w:t>个科室。</w:t>
      </w:r>
    </w:p>
    <w:p>
      <w:pPr>
        <w:widowControl/>
        <w:spacing w:line="600" w:lineRule="exact"/>
        <w:ind w:firstLine="627" w:firstLineChars="196"/>
        <w:jc w:val="left"/>
        <w:rPr>
          <w:rFonts w:eastAsia="楷体_GB2312"/>
          <w:b/>
          <w:sz w:val="32"/>
          <w:szCs w:val="32"/>
        </w:rPr>
      </w:pPr>
      <w:r>
        <w:rPr>
          <w:rFonts w:eastAsia="楷体_GB2312"/>
          <w:b/>
          <w:sz w:val="32"/>
          <w:szCs w:val="32"/>
        </w:rPr>
        <w:t>（三）人员编制情况</w:t>
      </w:r>
    </w:p>
    <w:p>
      <w:pPr>
        <w:pStyle w:val="13"/>
        <w:ind w:firstLine="640" w:firstLineChars="200"/>
        <w:rPr>
          <w:rFonts w:hint="eastAsia" w:ascii="仿宋" w:hAnsi="仿宋" w:eastAsia="仿宋" w:cs="仿宋"/>
          <w:bCs/>
          <w:sz w:val="32"/>
          <w:szCs w:val="32"/>
        </w:rPr>
      </w:pPr>
      <w:r>
        <w:rPr>
          <w:rFonts w:hint="eastAsia" w:ascii="仿宋" w:hAnsi="仿宋" w:eastAsia="仿宋" w:cs="仿宋"/>
          <w:sz w:val="32"/>
          <w:szCs w:val="32"/>
          <w:lang w:val="en-US" w:eastAsia="zh-CN"/>
        </w:rPr>
        <w:t>2023年末，我</w:t>
      </w:r>
      <w:r>
        <w:rPr>
          <w:rFonts w:hint="eastAsia" w:ascii="仿宋" w:hAnsi="仿宋" w:eastAsia="仿宋" w:cs="仿宋"/>
          <w:sz w:val="32"/>
          <w:szCs w:val="32"/>
        </w:rPr>
        <w:t>单位</w:t>
      </w:r>
      <w:r>
        <w:rPr>
          <w:rFonts w:hint="eastAsia" w:ascii="仿宋" w:hAnsi="仿宋" w:eastAsia="仿宋" w:cs="仿宋"/>
          <w:sz w:val="32"/>
          <w:szCs w:val="32"/>
          <w:lang w:eastAsia="zh-CN"/>
        </w:rPr>
        <w:t>共有</w:t>
      </w:r>
      <w:r>
        <w:rPr>
          <w:rFonts w:hint="eastAsia" w:ascii="仿宋" w:hAnsi="仿宋" w:eastAsia="仿宋" w:cs="仿宋"/>
          <w:sz w:val="32"/>
          <w:szCs w:val="32"/>
        </w:rPr>
        <w:t>编制160人，</w:t>
      </w:r>
      <w:r>
        <w:rPr>
          <w:rFonts w:hint="eastAsia" w:ascii="仿宋" w:hAnsi="仿宋" w:eastAsia="仿宋" w:cs="仿宋"/>
          <w:sz w:val="32"/>
          <w:szCs w:val="32"/>
          <w:lang w:eastAsia="zh-CN"/>
        </w:rPr>
        <w:t>年末实有</w:t>
      </w:r>
      <w:r>
        <w:rPr>
          <w:rFonts w:hint="eastAsia" w:ascii="仿宋" w:hAnsi="仿宋" w:eastAsia="仿宋" w:cs="仿宋"/>
          <w:sz w:val="32"/>
          <w:szCs w:val="32"/>
        </w:rPr>
        <w:t>在职人员136人，其中：劳务派遣人员</w:t>
      </w:r>
      <w:r>
        <w:rPr>
          <w:rFonts w:hint="eastAsia" w:ascii="仿宋" w:hAnsi="仿宋" w:eastAsia="仿宋" w:cs="仿宋"/>
          <w:sz w:val="32"/>
          <w:szCs w:val="32"/>
          <w:lang w:val="en-US" w:eastAsia="zh-CN"/>
        </w:rPr>
        <w:t>36</w:t>
      </w:r>
      <w:r>
        <w:rPr>
          <w:rFonts w:hint="eastAsia" w:ascii="仿宋" w:hAnsi="仿宋" w:eastAsia="仿宋" w:cs="仿宋"/>
          <w:sz w:val="32"/>
          <w:szCs w:val="32"/>
        </w:rPr>
        <w:t>人，退休人员</w:t>
      </w:r>
      <w:r>
        <w:rPr>
          <w:rFonts w:hint="eastAsia" w:ascii="仿宋" w:hAnsi="仿宋" w:eastAsia="仿宋" w:cs="仿宋"/>
          <w:sz w:val="32"/>
          <w:szCs w:val="32"/>
          <w:lang w:val="en-US" w:eastAsia="zh-CN"/>
        </w:rPr>
        <w:t>67</w:t>
      </w:r>
      <w:r>
        <w:rPr>
          <w:rFonts w:hint="eastAsia" w:ascii="仿宋" w:hAnsi="仿宋" w:eastAsia="仿宋" w:cs="仿宋"/>
          <w:sz w:val="32"/>
          <w:szCs w:val="32"/>
        </w:rPr>
        <w:t>人。</w:t>
      </w:r>
    </w:p>
    <w:p>
      <w:pPr>
        <w:adjustRightInd/>
        <w:snapToGrid/>
        <w:ind w:firstLine="640" w:firstLineChars="0"/>
        <w:outlineLvl w:val="1"/>
        <w:rPr>
          <w:rFonts w:eastAsia="华文细黑"/>
          <w:bCs/>
          <w:sz w:val="32"/>
          <w:szCs w:val="32"/>
        </w:rPr>
      </w:pPr>
      <w:r>
        <w:rPr>
          <w:rFonts w:eastAsia="华文细黑"/>
          <w:bCs/>
          <w:sz w:val="32"/>
          <w:szCs w:val="32"/>
        </w:rPr>
        <w:t>二、一般公共预算支出情况</w:t>
      </w:r>
    </w:p>
    <w:p>
      <w:pPr>
        <w:adjustRightInd/>
        <w:snapToGrid/>
        <w:ind w:firstLine="640" w:firstLineChars="0"/>
        <w:rPr>
          <w:sz w:val="32"/>
          <w:szCs w:val="32"/>
        </w:rPr>
      </w:pPr>
      <w:r>
        <w:rPr>
          <w:sz w:val="32"/>
          <w:szCs w:val="32"/>
        </w:rPr>
        <w:t>（一）基本支出情况</w:t>
      </w:r>
    </w:p>
    <w:p>
      <w:pPr>
        <w:pStyle w:val="13"/>
        <w:ind w:firstLine="640" w:firstLineChars="200"/>
        <w:rPr>
          <w:szCs w:val="32"/>
        </w:rPr>
      </w:pPr>
      <w:r>
        <w:rPr>
          <w:rFonts w:hint="eastAsia" w:ascii="Times New Roman" w:hAnsi="Times New Roman" w:eastAsia="仿宋_GB2312" w:cs="Times New Roman"/>
          <w:sz w:val="32"/>
          <w:szCs w:val="32"/>
          <w:lang w:eastAsia="zh-CN"/>
        </w:rPr>
        <w:t>基本支出</w:t>
      </w:r>
      <w:r>
        <w:rPr>
          <w:rFonts w:hint="default" w:ascii="Times New Roman" w:hAnsi="Times New Roman" w:eastAsia="仿宋_GB2312" w:cs="Times New Roman"/>
          <w:sz w:val="32"/>
          <w:szCs w:val="32"/>
        </w:rPr>
        <w:t>主要是为保障单位机构正常运转、完成日常工作任务而发生的各项支出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包括用于基本工资、津贴补贴、</w:t>
      </w:r>
      <w:r>
        <w:rPr>
          <w:rFonts w:hint="eastAsia" w:ascii="仿宋" w:hAnsi="仿宋" w:eastAsia="仿宋"/>
          <w:sz w:val="32"/>
          <w:szCs w:val="32"/>
        </w:rPr>
        <w:t>社会保险费、住房公积金等</w:t>
      </w:r>
      <w:r>
        <w:rPr>
          <w:rFonts w:hint="eastAsia" w:ascii="Times New Roman" w:hAnsi="Times New Roman" w:eastAsia="仿宋_GB2312" w:cs="Times New Roman"/>
          <w:sz w:val="32"/>
          <w:szCs w:val="32"/>
          <w:lang w:eastAsia="zh-CN"/>
        </w:rPr>
        <w:t>人员经费</w:t>
      </w:r>
      <w:r>
        <w:rPr>
          <w:rFonts w:hint="default" w:ascii="Times New Roman" w:hAnsi="Times New Roman" w:eastAsia="仿宋_GB2312" w:cs="Times New Roman"/>
          <w:sz w:val="32"/>
          <w:szCs w:val="32"/>
        </w:rPr>
        <w:t>以及办公费、印刷费、水电费、办公设备购置等日常公用经费。20</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年基本支出</w:t>
      </w:r>
      <w:r>
        <w:rPr>
          <w:rFonts w:hint="eastAsia" w:ascii="Times New Roman" w:hAnsi="Times New Roman" w:eastAsia="仿宋_GB2312" w:cs="Times New Roman"/>
          <w:sz w:val="32"/>
          <w:szCs w:val="32"/>
          <w:lang w:val="en-US" w:eastAsia="zh-CN"/>
        </w:rPr>
        <w:t>1839.2</w:t>
      </w:r>
      <w:r>
        <w:rPr>
          <w:rFonts w:hint="default" w:ascii="Times New Roman" w:hAnsi="Times New Roman" w:eastAsia="仿宋_GB2312" w:cs="Times New Roman"/>
          <w:sz w:val="32"/>
          <w:szCs w:val="32"/>
        </w:rPr>
        <w:t>万元，较上年</w:t>
      </w:r>
      <w:r>
        <w:rPr>
          <w:rFonts w:hint="default" w:ascii="Times New Roman" w:hAnsi="Times New Roman" w:eastAsia="仿宋_GB2312" w:cs="Times New Roman"/>
          <w:sz w:val="32"/>
          <w:szCs w:val="32"/>
          <w:lang w:eastAsia="zh-CN"/>
        </w:rPr>
        <w:t>增加</w:t>
      </w:r>
      <w:r>
        <w:rPr>
          <w:rFonts w:hint="eastAsia" w:ascii="Times New Roman" w:hAnsi="Times New Roman" w:eastAsia="仿宋_GB2312" w:cs="Times New Roman"/>
          <w:sz w:val="32"/>
          <w:szCs w:val="32"/>
          <w:lang w:val="en-US" w:eastAsia="zh-CN"/>
        </w:rPr>
        <w:t>171.84</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color w:val="000000"/>
          <w:sz w:val="32"/>
          <w:szCs w:val="32"/>
        </w:rPr>
        <w:t>基本支出中人员经费</w:t>
      </w:r>
      <w:r>
        <w:rPr>
          <w:rFonts w:hint="eastAsia" w:ascii="Times New Roman" w:hAnsi="Times New Roman" w:eastAsia="仿宋_GB2312" w:cs="Times New Roman"/>
          <w:color w:val="000000"/>
          <w:sz w:val="32"/>
          <w:szCs w:val="32"/>
          <w:lang w:val="en-US" w:eastAsia="zh-CN"/>
        </w:rPr>
        <w:t>1839.2</w:t>
      </w:r>
      <w:r>
        <w:rPr>
          <w:rFonts w:hint="default" w:ascii="Times New Roman" w:hAnsi="Times New Roman" w:eastAsia="仿宋_GB2312" w:cs="Times New Roman"/>
          <w:color w:val="000000"/>
          <w:sz w:val="32"/>
          <w:szCs w:val="32"/>
        </w:rPr>
        <w:t>万元，占基本支出的</w:t>
      </w:r>
      <w:r>
        <w:rPr>
          <w:rFonts w:hint="eastAsia" w:ascii="Times New Roman" w:hAnsi="Times New Roman" w:eastAsia="仿宋_GB2312" w:cs="Times New Roman"/>
          <w:color w:val="000000"/>
          <w:sz w:val="32"/>
          <w:szCs w:val="32"/>
          <w:lang w:val="en-US" w:eastAsia="zh-CN"/>
        </w:rPr>
        <w:t>100</w:t>
      </w:r>
      <w:r>
        <w:rPr>
          <w:rFonts w:hint="default"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较上年增加</w:t>
      </w:r>
      <w:r>
        <w:rPr>
          <w:rFonts w:hint="eastAsia" w:ascii="Times New Roman" w:hAnsi="Times New Roman" w:eastAsia="仿宋_GB2312" w:cs="Times New Roman"/>
          <w:color w:val="000000"/>
          <w:sz w:val="32"/>
          <w:szCs w:val="32"/>
          <w:lang w:val="en-US" w:eastAsia="zh-CN"/>
        </w:rPr>
        <w:t>186.84</w:t>
      </w:r>
      <w:r>
        <w:rPr>
          <w:rFonts w:hint="default" w:ascii="Times New Roman" w:hAnsi="Times New Roman" w:eastAsia="仿宋_GB2312" w:cs="Times New Roman"/>
          <w:color w:val="000000"/>
          <w:sz w:val="32"/>
          <w:szCs w:val="32"/>
          <w:lang w:val="en-US" w:eastAsia="zh-CN"/>
        </w:rPr>
        <w:t>万元</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eastAsia="zh-CN"/>
        </w:rPr>
        <w:t>主要是由于政策原因，</w:t>
      </w:r>
      <w:r>
        <w:rPr>
          <w:rFonts w:hint="default" w:ascii="Times New Roman" w:hAnsi="Times New Roman" w:eastAsia="仿宋_GB2312" w:cs="Times New Roman"/>
          <w:color w:val="000000"/>
          <w:sz w:val="32"/>
          <w:szCs w:val="32"/>
          <w:lang w:val="en-US" w:eastAsia="zh-CN"/>
        </w:rPr>
        <w:t>202</w:t>
      </w:r>
      <w:r>
        <w:rPr>
          <w:rFonts w:hint="eastAsia"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lang w:val="en-US" w:eastAsia="zh-CN"/>
        </w:rPr>
        <w:t>年度</w:t>
      </w:r>
      <w:r>
        <w:rPr>
          <w:rFonts w:hint="eastAsia" w:ascii="Times New Roman" w:hAnsi="Times New Roman" w:eastAsia="仿宋_GB2312" w:cs="Times New Roman"/>
          <w:color w:val="000000"/>
          <w:sz w:val="32"/>
          <w:szCs w:val="32"/>
          <w:lang w:val="en-US" w:eastAsia="zh-CN"/>
        </w:rPr>
        <w:t>绩效</w:t>
      </w:r>
      <w:r>
        <w:rPr>
          <w:rFonts w:hint="default" w:ascii="Times New Roman" w:hAnsi="Times New Roman" w:eastAsia="仿宋_GB2312" w:cs="Times New Roman"/>
          <w:color w:val="000000"/>
          <w:sz w:val="32"/>
          <w:szCs w:val="32"/>
          <w:lang w:val="en-US" w:eastAsia="zh-CN"/>
        </w:rPr>
        <w:t>奖推迟至202</w:t>
      </w:r>
      <w:r>
        <w:rPr>
          <w:rFonts w:hint="eastAsia"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eastAsia="zh-CN"/>
        </w:rPr>
        <w:t>年发放</w:t>
      </w:r>
      <w:r>
        <w:rPr>
          <w:rFonts w:hint="eastAsia" w:ascii="Times New Roman" w:hAnsi="Times New Roman" w:eastAsia="仿宋_GB2312" w:cs="Times New Roman"/>
          <w:color w:val="000000"/>
          <w:sz w:val="32"/>
          <w:szCs w:val="32"/>
          <w:lang w:val="en-US" w:eastAsia="zh-CN"/>
        </w:rPr>
        <w:t>。</w:t>
      </w:r>
    </w:p>
    <w:p>
      <w:pPr>
        <w:numPr>
          <w:ilvl w:val="0"/>
          <w:numId w:val="5"/>
        </w:numPr>
        <w:adjustRightInd/>
        <w:snapToGrid/>
        <w:ind w:firstLine="640" w:firstLineChars="0"/>
        <w:rPr>
          <w:sz w:val="32"/>
          <w:szCs w:val="32"/>
        </w:rPr>
      </w:pPr>
      <w:r>
        <w:rPr>
          <w:sz w:val="32"/>
          <w:szCs w:val="32"/>
        </w:rPr>
        <w:t>项目支出情况</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仿宋" w:hAnsi="仿宋" w:eastAsia="仿宋" w:cs="仿宋"/>
          <w:snapToGrid w:val="0"/>
          <w:kern w:val="0"/>
          <w:sz w:val="32"/>
          <w:szCs w:val="32"/>
          <w:lang w:val="en-US" w:eastAsia="zh-CN"/>
        </w:rPr>
      </w:pPr>
      <w:r>
        <w:rPr>
          <w:rFonts w:hint="eastAsia" w:ascii="仿宋" w:hAnsi="仿宋" w:eastAsia="仿宋" w:cs="仿宋"/>
          <w:snapToGrid w:val="0"/>
          <w:kern w:val="0"/>
          <w:sz w:val="32"/>
          <w:szCs w:val="32"/>
          <w:lang w:val="en-US" w:eastAsia="zh-CN"/>
        </w:rPr>
        <w:t>项目支出</w:t>
      </w:r>
      <w:r>
        <w:rPr>
          <w:rFonts w:hint="default" w:ascii="仿宋" w:hAnsi="仿宋" w:eastAsia="仿宋" w:cs="仿宋"/>
          <w:snapToGrid w:val="0"/>
          <w:kern w:val="0"/>
          <w:sz w:val="32"/>
          <w:szCs w:val="32"/>
          <w:lang w:val="en-US" w:eastAsia="zh-CN"/>
        </w:rPr>
        <w:t>主要是</w:t>
      </w:r>
      <w:r>
        <w:rPr>
          <w:rFonts w:hint="eastAsia" w:ascii="仿宋" w:hAnsi="仿宋" w:eastAsia="仿宋" w:cs="仿宋"/>
          <w:snapToGrid w:val="0"/>
          <w:kern w:val="0"/>
          <w:sz w:val="32"/>
          <w:szCs w:val="32"/>
          <w:lang w:val="en-US" w:eastAsia="zh-CN"/>
        </w:rPr>
        <w:t>单位</w:t>
      </w:r>
      <w:r>
        <w:rPr>
          <w:rFonts w:hint="default" w:ascii="仿宋" w:hAnsi="仿宋" w:eastAsia="仿宋" w:cs="仿宋"/>
          <w:snapToGrid w:val="0"/>
          <w:kern w:val="0"/>
          <w:sz w:val="32"/>
          <w:szCs w:val="32"/>
          <w:lang w:val="en-US" w:eastAsia="zh-CN"/>
        </w:rPr>
        <w:t>为完成特定行政工作任务或事业发展目标而发生的支出，包括有关事业发展专项、专项业务费、基本建设支出等</w:t>
      </w:r>
      <w:r>
        <w:rPr>
          <w:rFonts w:hint="eastAsia" w:ascii="仿宋" w:hAnsi="仿宋" w:eastAsia="仿宋" w:cs="仿宋"/>
          <w:snapToGrid w:val="0"/>
          <w:kern w:val="0"/>
          <w:sz w:val="32"/>
          <w:szCs w:val="32"/>
          <w:lang w:val="en-US" w:eastAsia="zh-CN"/>
        </w:rPr>
        <w:t>。2023年</w:t>
      </w:r>
      <w:r>
        <w:rPr>
          <w:rFonts w:hint="default" w:ascii="仿宋" w:hAnsi="仿宋" w:eastAsia="仿宋" w:cs="仿宋"/>
          <w:snapToGrid w:val="0"/>
          <w:kern w:val="0"/>
          <w:sz w:val="32"/>
          <w:szCs w:val="32"/>
          <w:lang w:val="en-US" w:eastAsia="zh-CN"/>
        </w:rPr>
        <w:t>项目支出</w:t>
      </w:r>
      <w:r>
        <w:rPr>
          <w:rFonts w:hint="eastAsia" w:ascii="仿宋" w:hAnsi="仿宋" w:eastAsia="仿宋" w:cs="仿宋"/>
          <w:snapToGrid w:val="0"/>
          <w:kern w:val="0"/>
          <w:sz w:val="32"/>
          <w:szCs w:val="32"/>
          <w:lang w:val="en-US" w:eastAsia="zh-CN"/>
        </w:rPr>
        <w:t>1800.35</w:t>
      </w:r>
      <w:r>
        <w:rPr>
          <w:rFonts w:hint="default" w:ascii="仿宋" w:hAnsi="仿宋" w:eastAsia="仿宋" w:cs="仿宋"/>
          <w:snapToGrid w:val="0"/>
          <w:kern w:val="0"/>
          <w:sz w:val="32"/>
          <w:szCs w:val="32"/>
          <w:lang w:val="en-US" w:eastAsia="zh-CN"/>
        </w:rPr>
        <w:t>万元，比上年</w:t>
      </w:r>
      <w:r>
        <w:rPr>
          <w:rFonts w:hint="eastAsia" w:ascii="仿宋" w:hAnsi="仿宋" w:eastAsia="仿宋" w:cs="仿宋"/>
          <w:snapToGrid w:val="0"/>
          <w:kern w:val="0"/>
          <w:sz w:val="32"/>
          <w:szCs w:val="32"/>
          <w:lang w:val="en-US" w:eastAsia="zh-CN"/>
        </w:rPr>
        <w:t>增加495.35</w:t>
      </w:r>
      <w:r>
        <w:rPr>
          <w:rFonts w:hint="default" w:ascii="仿宋" w:hAnsi="仿宋" w:eastAsia="仿宋" w:cs="仿宋"/>
          <w:snapToGrid w:val="0"/>
          <w:kern w:val="0"/>
          <w:sz w:val="32"/>
          <w:szCs w:val="32"/>
          <w:lang w:val="en-US" w:eastAsia="zh-CN"/>
        </w:rPr>
        <w:t>万元，</w:t>
      </w:r>
      <w:r>
        <w:rPr>
          <w:rFonts w:hint="eastAsia" w:ascii="仿宋" w:hAnsi="仿宋" w:eastAsia="仿宋" w:cs="仿宋"/>
          <w:snapToGrid w:val="0"/>
          <w:kern w:val="0"/>
          <w:sz w:val="32"/>
          <w:szCs w:val="32"/>
          <w:lang w:val="en-US" w:eastAsia="zh-CN"/>
        </w:rPr>
        <w:t>增长37.95</w:t>
      </w:r>
      <w:r>
        <w:rPr>
          <w:rFonts w:hint="default" w:ascii="仿宋" w:hAnsi="仿宋" w:eastAsia="仿宋" w:cs="仿宋"/>
          <w:snapToGrid w:val="0"/>
          <w:kern w:val="0"/>
          <w:sz w:val="32"/>
          <w:szCs w:val="32"/>
          <w:lang w:val="en-US" w:eastAsia="zh-CN"/>
        </w:rPr>
        <w:t>%，其中业务工作经费支出</w:t>
      </w:r>
      <w:r>
        <w:rPr>
          <w:rFonts w:hint="eastAsia" w:ascii="仿宋" w:hAnsi="仿宋" w:eastAsia="仿宋" w:cs="仿宋"/>
          <w:snapToGrid w:val="0"/>
          <w:kern w:val="0"/>
          <w:sz w:val="32"/>
          <w:szCs w:val="32"/>
          <w:lang w:val="en-US" w:eastAsia="zh-CN"/>
        </w:rPr>
        <w:t>1460.27</w:t>
      </w:r>
      <w:r>
        <w:rPr>
          <w:rFonts w:hint="default" w:ascii="仿宋" w:hAnsi="仿宋" w:eastAsia="仿宋" w:cs="仿宋"/>
          <w:snapToGrid w:val="0"/>
          <w:kern w:val="0"/>
          <w:sz w:val="32"/>
          <w:szCs w:val="32"/>
          <w:lang w:val="en-US" w:eastAsia="zh-CN"/>
        </w:rPr>
        <w:t>万元，比上年</w:t>
      </w:r>
      <w:r>
        <w:rPr>
          <w:rFonts w:hint="eastAsia" w:ascii="仿宋" w:hAnsi="仿宋" w:eastAsia="仿宋" w:cs="仿宋"/>
          <w:snapToGrid w:val="0"/>
          <w:kern w:val="0"/>
          <w:sz w:val="32"/>
          <w:szCs w:val="32"/>
          <w:lang w:val="en-US" w:eastAsia="zh-CN"/>
        </w:rPr>
        <w:t>增加610.29</w:t>
      </w:r>
      <w:r>
        <w:rPr>
          <w:rFonts w:hint="default" w:ascii="仿宋" w:hAnsi="仿宋" w:eastAsia="仿宋" w:cs="仿宋"/>
          <w:snapToGrid w:val="0"/>
          <w:kern w:val="0"/>
          <w:sz w:val="32"/>
          <w:szCs w:val="32"/>
          <w:lang w:val="en-US" w:eastAsia="zh-CN"/>
        </w:rPr>
        <w:t>万元，</w:t>
      </w:r>
      <w:r>
        <w:rPr>
          <w:rFonts w:hint="eastAsia" w:ascii="仿宋" w:hAnsi="仿宋" w:eastAsia="仿宋" w:cs="仿宋"/>
          <w:snapToGrid w:val="0"/>
          <w:kern w:val="0"/>
          <w:sz w:val="32"/>
          <w:szCs w:val="32"/>
          <w:lang w:val="en-US" w:eastAsia="zh-CN"/>
        </w:rPr>
        <w:t>增长71.8</w:t>
      </w:r>
      <w:r>
        <w:rPr>
          <w:rFonts w:hint="default" w:ascii="仿宋" w:hAnsi="仿宋" w:eastAsia="仿宋" w:cs="仿宋"/>
          <w:snapToGrid w:val="0"/>
          <w:kern w:val="0"/>
          <w:sz w:val="32"/>
          <w:szCs w:val="32"/>
          <w:lang w:val="en-US" w:eastAsia="zh-CN"/>
        </w:rPr>
        <w:t xml:space="preserve"> %，主要是</w:t>
      </w:r>
      <w:r>
        <w:rPr>
          <w:rFonts w:hint="eastAsia" w:ascii="仿宋" w:hAnsi="仿宋" w:eastAsia="仿宋" w:cs="仿宋"/>
          <w:snapToGrid w:val="0"/>
          <w:kern w:val="0"/>
          <w:sz w:val="32"/>
          <w:szCs w:val="32"/>
          <w:lang w:val="en-US" w:eastAsia="zh-CN"/>
        </w:rPr>
        <w:t>一方面学校招生规模扩大，学生人数增加，费用相应增加；另一方面由于学校实行生均拨款制度，资金来源以年中直达的教育经费为主，所以学校业务工作经费均从直达项目资金中支付。</w:t>
      </w:r>
      <w:r>
        <w:rPr>
          <w:rFonts w:hint="default" w:ascii="仿宋" w:hAnsi="仿宋" w:eastAsia="仿宋" w:cs="仿宋"/>
          <w:snapToGrid w:val="0"/>
          <w:kern w:val="0"/>
          <w:sz w:val="32"/>
          <w:szCs w:val="32"/>
          <w:lang w:val="en-US" w:eastAsia="zh-CN"/>
        </w:rPr>
        <w:t>运行维护经费支出</w:t>
      </w:r>
      <w:r>
        <w:rPr>
          <w:rFonts w:hint="eastAsia" w:ascii="仿宋" w:hAnsi="仿宋" w:eastAsia="仿宋" w:cs="仿宋"/>
          <w:snapToGrid w:val="0"/>
          <w:kern w:val="0"/>
          <w:sz w:val="32"/>
          <w:szCs w:val="32"/>
          <w:lang w:val="en-US" w:eastAsia="zh-CN"/>
        </w:rPr>
        <w:t>340.08</w:t>
      </w:r>
      <w:r>
        <w:rPr>
          <w:rFonts w:hint="default" w:ascii="仿宋" w:hAnsi="仿宋" w:eastAsia="仿宋" w:cs="仿宋"/>
          <w:snapToGrid w:val="0"/>
          <w:kern w:val="0"/>
          <w:sz w:val="32"/>
          <w:szCs w:val="32"/>
          <w:lang w:val="en-US" w:eastAsia="zh-CN"/>
        </w:rPr>
        <w:t>万元，比上年减少</w:t>
      </w:r>
      <w:r>
        <w:rPr>
          <w:rFonts w:hint="eastAsia" w:ascii="仿宋" w:hAnsi="仿宋" w:eastAsia="仿宋" w:cs="仿宋"/>
          <w:snapToGrid w:val="0"/>
          <w:kern w:val="0"/>
          <w:sz w:val="32"/>
          <w:szCs w:val="32"/>
          <w:lang w:val="en-US" w:eastAsia="zh-CN"/>
        </w:rPr>
        <w:t>114.94</w:t>
      </w:r>
      <w:r>
        <w:rPr>
          <w:rFonts w:hint="default" w:ascii="仿宋" w:hAnsi="仿宋" w:eastAsia="仿宋" w:cs="仿宋"/>
          <w:snapToGrid w:val="0"/>
          <w:kern w:val="0"/>
          <w:sz w:val="32"/>
          <w:szCs w:val="32"/>
          <w:lang w:val="en-US" w:eastAsia="zh-CN"/>
        </w:rPr>
        <w:t>万元，下降</w:t>
      </w:r>
      <w:r>
        <w:rPr>
          <w:rFonts w:hint="eastAsia" w:ascii="仿宋" w:hAnsi="仿宋" w:eastAsia="仿宋" w:cs="仿宋"/>
          <w:snapToGrid w:val="0"/>
          <w:kern w:val="0"/>
          <w:sz w:val="32"/>
          <w:szCs w:val="32"/>
          <w:lang w:val="en-US" w:eastAsia="zh-CN"/>
        </w:rPr>
        <w:t>25.26</w:t>
      </w:r>
      <w:r>
        <w:rPr>
          <w:rFonts w:hint="default" w:ascii="仿宋" w:hAnsi="仿宋" w:eastAsia="仿宋" w:cs="仿宋"/>
          <w:snapToGrid w:val="0"/>
          <w:kern w:val="0"/>
          <w:sz w:val="32"/>
          <w:szCs w:val="32"/>
          <w:lang w:val="en-US" w:eastAsia="zh-CN"/>
        </w:rPr>
        <w:t>%，主要是202</w:t>
      </w:r>
      <w:r>
        <w:rPr>
          <w:rFonts w:hint="eastAsia" w:ascii="仿宋" w:hAnsi="仿宋" w:eastAsia="仿宋" w:cs="仿宋"/>
          <w:snapToGrid w:val="0"/>
          <w:kern w:val="0"/>
          <w:sz w:val="32"/>
          <w:szCs w:val="32"/>
          <w:lang w:val="en-US" w:eastAsia="zh-CN"/>
        </w:rPr>
        <w:t>3</w:t>
      </w:r>
      <w:r>
        <w:rPr>
          <w:rFonts w:hint="default" w:ascii="仿宋" w:hAnsi="仿宋" w:eastAsia="仿宋" w:cs="仿宋"/>
          <w:snapToGrid w:val="0"/>
          <w:kern w:val="0"/>
          <w:sz w:val="32"/>
          <w:szCs w:val="32"/>
          <w:lang w:val="en-US" w:eastAsia="zh-CN"/>
        </w:rPr>
        <w:t>年</w:t>
      </w:r>
      <w:r>
        <w:rPr>
          <w:rFonts w:hint="eastAsia" w:ascii="仿宋" w:hAnsi="仿宋" w:eastAsia="仿宋" w:cs="仿宋"/>
          <w:snapToGrid w:val="0"/>
          <w:kern w:val="0"/>
          <w:sz w:val="32"/>
          <w:szCs w:val="32"/>
          <w:lang w:val="en-US" w:eastAsia="zh-CN"/>
        </w:rPr>
        <w:t>维修改造</w:t>
      </w:r>
      <w:r>
        <w:rPr>
          <w:rFonts w:hint="default" w:ascii="仿宋" w:hAnsi="仿宋" w:eastAsia="仿宋" w:cs="仿宋"/>
          <w:snapToGrid w:val="0"/>
          <w:kern w:val="0"/>
          <w:sz w:val="32"/>
          <w:szCs w:val="32"/>
          <w:lang w:val="en-US" w:eastAsia="zh-CN"/>
        </w:rPr>
        <w:t>项目</w:t>
      </w:r>
      <w:r>
        <w:rPr>
          <w:rFonts w:hint="eastAsia" w:ascii="仿宋" w:hAnsi="仿宋" w:eastAsia="仿宋" w:cs="仿宋"/>
          <w:snapToGrid w:val="0"/>
          <w:kern w:val="0"/>
          <w:sz w:val="32"/>
          <w:szCs w:val="32"/>
          <w:lang w:val="en-US" w:eastAsia="zh-CN"/>
        </w:rPr>
        <w:t>减少</w:t>
      </w:r>
      <w:r>
        <w:rPr>
          <w:rFonts w:hint="default" w:ascii="仿宋" w:hAnsi="仿宋" w:eastAsia="仿宋" w:cs="仿宋"/>
          <w:snapToGrid w:val="0"/>
          <w:kern w:val="0"/>
          <w:sz w:val="32"/>
          <w:szCs w:val="32"/>
          <w:lang w:val="en-US" w:eastAsia="zh-CN"/>
        </w:rPr>
        <w:t>，</w:t>
      </w:r>
      <w:r>
        <w:rPr>
          <w:rFonts w:hint="eastAsia" w:ascii="仿宋" w:hAnsi="仿宋" w:eastAsia="仿宋" w:cs="仿宋"/>
          <w:snapToGrid w:val="0"/>
          <w:kern w:val="0"/>
          <w:sz w:val="32"/>
          <w:szCs w:val="32"/>
          <w:lang w:val="en-US" w:eastAsia="zh-CN"/>
        </w:rPr>
        <w:t>且部分项目未完成结算审计，项目款未支付完成</w:t>
      </w:r>
      <w:r>
        <w:rPr>
          <w:rFonts w:hint="default" w:ascii="仿宋" w:hAnsi="仿宋" w:eastAsia="仿宋" w:cs="仿宋"/>
          <w:snapToGrid w:val="0"/>
          <w:kern w:val="0"/>
          <w:sz w:val="32"/>
          <w:szCs w:val="32"/>
          <w:lang w:val="en-US" w:eastAsia="zh-CN"/>
        </w:rPr>
        <w:t>。</w:t>
      </w:r>
    </w:p>
    <w:p>
      <w:pPr>
        <w:adjustRightInd/>
        <w:snapToGrid/>
        <w:outlineLvl w:val="1"/>
        <w:rPr>
          <w:rFonts w:eastAsia="华文细黑"/>
          <w:bCs/>
          <w:sz w:val="32"/>
          <w:szCs w:val="32"/>
        </w:rPr>
      </w:pPr>
      <w:r>
        <w:rPr>
          <w:rFonts w:eastAsia="华文细黑"/>
          <w:bCs/>
          <w:sz w:val="32"/>
          <w:szCs w:val="32"/>
        </w:rPr>
        <w:t>三、部门整体支出绩效情况</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黑体" w:hAnsi="黑体" w:eastAsia="黑体"/>
          <w:color w:val="000000"/>
          <w:kern w:val="2"/>
          <w:sz w:val="32"/>
          <w:szCs w:val="32"/>
        </w:rPr>
      </w:pPr>
      <w:r>
        <w:rPr>
          <w:rFonts w:hint="default" w:ascii="Times New Roman" w:hAnsi="Times New Roman" w:eastAsia="仿宋_GB2312" w:cs="Times New Roman"/>
          <w:snapToGrid w:val="0"/>
          <w:kern w:val="0"/>
          <w:sz w:val="32"/>
          <w:szCs w:val="32"/>
          <w:lang w:val="en-US" w:eastAsia="zh-CN"/>
        </w:rPr>
        <w:t>20</w:t>
      </w:r>
      <w:r>
        <w:rPr>
          <w:rFonts w:hint="eastAsia" w:ascii="仿宋" w:hAnsi="仿宋" w:eastAsia="仿宋" w:cs="仿宋"/>
          <w:snapToGrid w:val="0"/>
          <w:kern w:val="0"/>
          <w:sz w:val="32"/>
          <w:szCs w:val="32"/>
          <w:lang w:val="en-US" w:eastAsia="zh-CN"/>
        </w:rPr>
        <w:t>23年，湖南省工业贸易学校预算整体支出进度78.3%，</w:t>
      </w:r>
      <w:r>
        <w:rPr>
          <w:rFonts w:hint="eastAsia" w:ascii="仿宋" w:hAnsi="仿宋" w:eastAsia="仿宋" w:cs="仿宋"/>
          <w:color w:val="000000"/>
          <w:sz w:val="32"/>
          <w:szCs w:val="32"/>
        </w:rPr>
        <w:t>学校在省农业农村厅党组的坚强领导下，在上级教育主管部门的关心支持下，学校党委、行政坚持以习近平新时代中国特色社会主义思想为指导，开拓创新，凝聚力量，攻坚克难，扎实推进</w:t>
      </w:r>
      <w:r>
        <w:rPr>
          <w:rFonts w:hint="eastAsia" w:ascii="仿宋" w:hAnsi="仿宋" w:eastAsia="仿宋" w:cs="仿宋"/>
          <w:color w:val="000000"/>
          <w:sz w:val="32"/>
          <w:szCs w:val="32"/>
          <w:lang w:val="en-US" w:eastAsia="zh-CN"/>
        </w:rPr>
        <w:t>各项</w:t>
      </w:r>
      <w:r>
        <w:rPr>
          <w:rFonts w:hint="eastAsia" w:ascii="仿宋" w:hAnsi="仿宋" w:eastAsia="仿宋" w:cs="仿宋"/>
          <w:color w:val="000000"/>
          <w:sz w:val="32"/>
          <w:szCs w:val="32"/>
        </w:rPr>
        <w:t>工作，取得了一定成绩</w:t>
      </w:r>
      <w:r>
        <w:rPr>
          <w:rFonts w:hint="eastAsia" w:ascii="仿宋" w:hAnsi="仿宋" w:eastAsia="仿宋" w:cs="仿宋"/>
          <w:snapToGrid w:val="0"/>
          <w:kern w:val="0"/>
          <w:sz w:val="32"/>
          <w:szCs w:val="32"/>
          <w:lang w:val="en-US" w:eastAsia="zh-CN"/>
        </w:rPr>
        <w:t>，</w:t>
      </w:r>
      <w:r>
        <w:rPr>
          <w:rFonts w:hint="default" w:ascii="Times New Roman" w:hAnsi="Times New Roman" w:eastAsia="仿宋_GB2312" w:cs="Times New Roman"/>
          <w:snapToGrid w:val="0"/>
          <w:kern w:val="0"/>
          <w:sz w:val="32"/>
          <w:szCs w:val="32"/>
          <w:lang w:val="en-US" w:eastAsia="zh-CN"/>
        </w:rPr>
        <w:t>总体支出绩效良好。</w:t>
      </w:r>
      <w:r>
        <w:rPr>
          <w:rFonts w:hint="default" w:ascii="Times New Roman" w:hAnsi="Times New Roman" w:eastAsia="仿宋_GB2312" w:cs="Times New Roman"/>
          <w:sz w:val="32"/>
          <w:szCs w:val="32"/>
          <w:lang w:eastAsia="zh-CN"/>
        </w:rPr>
        <w:t>在以下方面取得较好成效</w:t>
      </w:r>
      <w:r>
        <w:rPr>
          <w:rFonts w:hint="eastAsia" w:cs="Times New Roman"/>
          <w:snapToGrid w:val="0"/>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ascii="黑体" w:hAnsi="黑体" w:eastAsia="黑体"/>
          <w:bCs/>
          <w:color w:val="000000"/>
          <w:kern w:val="2"/>
          <w:sz w:val="32"/>
          <w:szCs w:val="32"/>
        </w:rPr>
      </w:pPr>
      <w:r>
        <w:rPr>
          <w:rFonts w:hint="eastAsia" w:ascii="黑体" w:hAnsi="黑体" w:eastAsia="黑体"/>
          <w:color w:val="000000"/>
          <w:kern w:val="2"/>
          <w:sz w:val="32"/>
          <w:szCs w:val="32"/>
        </w:rPr>
        <w:t>首先</w:t>
      </w:r>
      <w:r>
        <w:rPr>
          <w:rFonts w:hint="eastAsia" w:ascii="黑体" w:hAnsi="黑体" w:eastAsia="黑体"/>
          <w:color w:val="000000"/>
          <w:kern w:val="2"/>
          <w:sz w:val="32"/>
          <w:szCs w:val="32"/>
          <w:lang w:eastAsia="zh-CN"/>
        </w:rPr>
        <w:t>，</w:t>
      </w:r>
      <w:r>
        <w:rPr>
          <w:rFonts w:hint="eastAsia" w:ascii="黑体" w:hAnsi="黑体" w:eastAsia="黑体"/>
          <w:color w:val="000000"/>
          <w:kern w:val="2"/>
          <w:sz w:val="32"/>
          <w:szCs w:val="32"/>
          <w:lang w:val="en-US" w:eastAsia="zh-CN"/>
        </w:rPr>
        <w:t>在三个方面取得</w:t>
      </w:r>
      <w:r>
        <w:rPr>
          <w:rFonts w:hint="eastAsia" w:ascii="黑体" w:hAnsi="黑体" w:eastAsia="黑体"/>
          <w:color w:val="000000"/>
          <w:kern w:val="2"/>
          <w:sz w:val="32"/>
          <w:szCs w:val="32"/>
        </w:rPr>
        <w:t>“</w:t>
      </w:r>
      <w:r>
        <w:rPr>
          <w:rFonts w:hint="eastAsia" w:ascii="黑体" w:hAnsi="黑体" w:eastAsia="黑体"/>
          <w:color w:val="000000"/>
          <w:kern w:val="2"/>
          <w:sz w:val="32"/>
          <w:szCs w:val="32"/>
          <w:lang w:val="en-US" w:eastAsia="zh-CN"/>
        </w:rPr>
        <w:t>新提高</w:t>
      </w:r>
      <w:r>
        <w:rPr>
          <w:rFonts w:hint="eastAsia" w:ascii="黑体" w:hAnsi="黑体" w:eastAsia="黑体"/>
          <w:color w:val="000000"/>
          <w:kern w:val="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楷体" w:hAnsi="楷体" w:eastAsia="楷体" w:cs="楷体"/>
          <w:b/>
          <w:bCs/>
          <w:color w:val="000000"/>
          <w:kern w:val="2"/>
          <w:sz w:val="32"/>
          <w:szCs w:val="32"/>
        </w:rPr>
      </w:pPr>
      <w:r>
        <w:rPr>
          <w:rFonts w:hint="eastAsia" w:ascii="楷体" w:hAnsi="楷体" w:eastAsia="楷体" w:cs="楷体"/>
          <w:b/>
          <w:bCs/>
          <w:color w:val="000000"/>
          <w:kern w:val="2"/>
          <w:sz w:val="32"/>
          <w:szCs w:val="32"/>
          <w:lang w:val="en-US" w:eastAsia="zh-CN"/>
        </w:rPr>
        <w:t>1、</w:t>
      </w:r>
      <w:r>
        <w:rPr>
          <w:rFonts w:hint="eastAsia" w:ascii="楷体" w:hAnsi="楷体" w:eastAsia="楷体" w:cs="楷体"/>
          <w:b/>
          <w:bCs/>
          <w:color w:val="000000"/>
          <w:kern w:val="2"/>
          <w:sz w:val="32"/>
          <w:szCs w:val="32"/>
        </w:rPr>
        <w:t>教研教学</w:t>
      </w:r>
      <w:r>
        <w:rPr>
          <w:rFonts w:hint="eastAsia" w:ascii="楷体" w:hAnsi="楷体" w:eastAsia="楷体" w:cs="楷体"/>
          <w:b/>
          <w:bCs/>
          <w:color w:val="000000"/>
          <w:kern w:val="2"/>
          <w:sz w:val="32"/>
          <w:szCs w:val="32"/>
          <w:lang w:val="en-US" w:eastAsia="zh-CN"/>
        </w:rPr>
        <w:t>质量</w:t>
      </w:r>
      <w:r>
        <w:rPr>
          <w:rFonts w:hint="eastAsia" w:ascii="楷体" w:hAnsi="楷体" w:eastAsia="楷体" w:cs="楷体"/>
          <w:b/>
          <w:bCs/>
          <w:color w:val="000000"/>
          <w:kern w:val="2"/>
          <w:sz w:val="32"/>
          <w:szCs w:val="32"/>
        </w:rPr>
        <w:t>有“</w:t>
      </w:r>
      <w:r>
        <w:rPr>
          <w:rFonts w:hint="eastAsia" w:ascii="楷体" w:hAnsi="楷体" w:eastAsia="楷体" w:cs="楷体"/>
          <w:b/>
          <w:bCs/>
          <w:color w:val="000000"/>
          <w:kern w:val="2"/>
          <w:sz w:val="32"/>
          <w:szCs w:val="32"/>
          <w:lang w:val="en-US" w:eastAsia="zh-CN"/>
        </w:rPr>
        <w:t>新提高</w:t>
      </w:r>
      <w:r>
        <w:rPr>
          <w:rFonts w:hint="eastAsia" w:ascii="楷体" w:hAnsi="楷体" w:eastAsia="楷体" w:cs="楷体"/>
          <w:b/>
          <w:bCs/>
          <w:color w:val="000000"/>
          <w:kern w:val="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仿宋" w:hAnsi="仿宋" w:eastAsia="仿宋" w:cs="仿宋_GB2312"/>
          <w:bCs/>
          <w:color w:val="000000"/>
          <w:kern w:val="2"/>
          <w:sz w:val="32"/>
          <w:szCs w:val="32"/>
          <w:lang w:val="en-US" w:eastAsia="zh-CN"/>
        </w:rPr>
      </w:pPr>
      <w:r>
        <w:rPr>
          <w:rFonts w:hint="eastAsia" w:ascii="仿宋" w:hAnsi="仿宋" w:eastAsia="仿宋" w:cs="仿宋_GB2312"/>
          <w:b/>
          <w:bCs/>
          <w:color w:val="000000"/>
          <w:kern w:val="2"/>
          <w:sz w:val="32"/>
          <w:szCs w:val="32"/>
        </w:rPr>
        <w:t>一是在专业建设方面。</w:t>
      </w:r>
      <w:r>
        <w:rPr>
          <w:rFonts w:hint="eastAsia" w:ascii="仿宋" w:hAnsi="仿宋" w:eastAsia="仿宋" w:cs="仿宋_GB2312"/>
          <w:bCs/>
          <w:color w:val="000000"/>
          <w:kern w:val="2"/>
          <w:sz w:val="32"/>
          <w:szCs w:val="32"/>
        </w:rPr>
        <w:t>按照省教育厅要求，完成了楚怡“双优”及重点项目中期验收工作。</w:t>
      </w:r>
      <w:r>
        <w:rPr>
          <w:rFonts w:hint="eastAsia" w:ascii="仿宋" w:hAnsi="仿宋" w:eastAsia="仿宋"/>
          <w:color w:val="000000"/>
          <w:sz w:val="32"/>
          <w:szCs w:val="32"/>
        </w:rPr>
        <w:t>顺利通过了数控专业省级教学团队验收工作。完成了2门省级在线精品课程验收工作。立项1个省级重点课题，完成了省级教学改革课题结题工作。</w:t>
      </w:r>
      <w:r>
        <w:rPr>
          <w:rFonts w:hint="eastAsia" w:ascii="仿宋" w:hAnsi="仿宋" w:eastAsia="仿宋"/>
          <w:color w:val="000000"/>
          <w:sz w:val="32"/>
          <w:szCs w:val="32"/>
          <w:lang w:val="en-US" w:eastAsia="zh-CN"/>
        </w:rPr>
        <w:t>顺利通过上级部门督导评估，结果为优秀。</w:t>
      </w:r>
      <w:r>
        <w:rPr>
          <w:rFonts w:hint="eastAsia" w:ascii="仿宋" w:hAnsi="仿宋" w:eastAsia="仿宋" w:cs="仿宋_GB2312"/>
          <w:bCs/>
          <w:color w:val="000000"/>
          <w:kern w:val="2"/>
          <w:sz w:val="32"/>
          <w:szCs w:val="32"/>
        </w:rPr>
        <w:t>完成了教育部第一批数字校园试点阶段验收工作，学校被教育部评为全国信息化标杆学校。与京东合作成立“京东校园实训中心”，开拓校企合作“校中厂”新模式。</w:t>
      </w:r>
      <w:r>
        <w:rPr>
          <w:rFonts w:hint="eastAsia" w:ascii="仿宋" w:hAnsi="仿宋" w:eastAsia="仿宋" w:cs="仿宋_GB2312"/>
          <w:bCs/>
          <w:color w:val="000000"/>
          <w:kern w:val="2"/>
          <w:sz w:val="32"/>
          <w:szCs w:val="32"/>
          <w:lang w:val="en-US" w:eastAsia="zh-CN"/>
        </w:rPr>
        <w:t>学校加大高考班的改革力度，专门出台高考升学方案。</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ascii="仿宋" w:hAnsi="仿宋" w:eastAsia="仿宋"/>
          <w:color w:val="000000"/>
          <w:sz w:val="32"/>
          <w:szCs w:val="32"/>
        </w:rPr>
      </w:pPr>
      <w:bookmarkStart w:id="3" w:name="_Hlk124282098"/>
      <w:r>
        <w:rPr>
          <w:rFonts w:hint="eastAsia" w:ascii="仿宋" w:hAnsi="仿宋" w:eastAsia="仿宋"/>
          <w:b/>
          <w:bCs/>
          <w:color w:val="000000"/>
          <w:sz w:val="32"/>
          <w:szCs w:val="32"/>
        </w:rPr>
        <w:t>二是在</w:t>
      </w:r>
      <w:r>
        <w:rPr>
          <w:rFonts w:ascii="仿宋" w:hAnsi="仿宋" w:eastAsia="仿宋"/>
          <w:b/>
          <w:bCs/>
          <w:color w:val="000000"/>
          <w:sz w:val="32"/>
          <w:szCs w:val="32"/>
        </w:rPr>
        <w:t>教师队伍</w:t>
      </w:r>
      <w:r>
        <w:rPr>
          <w:rFonts w:hint="eastAsia" w:ascii="仿宋" w:hAnsi="仿宋" w:eastAsia="仿宋"/>
          <w:b/>
          <w:bCs/>
          <w:color w:val="000000"/>
          <w:sz w:val="32"/>
          <w:szCs w:val="32"/>
        </w:rPr>
        <w:t>素质方面</w:t>
      </w:r>
      <w:r>
        <w:rPr>
          <w:rFonts w:ascii="仿宋" w:hAnsi="仿宋" w:eastAsia="仿宋"/>
          <w:b/>
          <w:bCs/>
          <w:color w:val="000000"/>
          <w:sz w:val="32"/>
          <w:szCs w:val="32"/>
        </w:rPr>
        <w:t>。</w:t>
      </w:r>
      <w:r>
        <w:rPr>
          <w:rFonts w:hint="eastAsia" w:ascii="仿宋" w:hAnsi="仿宋" w:eastAsia="仿宋"/>
          <w:b w:val="0"/>
          <w:bCs w:val="0"/>
          <w:color w:val="000000"/>
          <w:sz w:val="32"/>
          <w:szCs w:val="32"/>
          <w:lang w:val="en-US" w:eastAsia="zh-CN"/>
        </w:rPr>
        <w:t>加大教学课堂督查和教学常规检查力度，通报了90多人次课堂管理问题和48人次教学质量不达标问题，严肃处理了7起教学事故。</w:t>
      </w:r>
      <w:r>
        <w:rPr>
          <w:rFonts w:hint="eastAsia" w:ascii="仿宋" w:hAnsi="仿宋" w:eastAsia="仿宋"/>
          <w:color w:val="000000"/>
          <w:sz w:val="32"/>
          <w:szCs w:val="32"/>
        </w:rPr>
        <w:t>定期</w:t>
      </w:r>
      <w:r>
        <w:rPr>
          <w:rFonts w:ascii="仿宋" w:hAnsi="仿宋" w:eastAsia="仿宋"/>
          <w:color w:val="000000"/>
          <w:sz w:val="32"/>
          <w:szCs w:val="32"/>
        </w:rPr>
        <w:t>开展老教师的公开课和观摩课活动</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对30名教师进行了推门听课，并进行集体评课，对个别问题突出的教师进行停课整改</w:t>
      </w:r>
      <w:r>
        <w:rPr>
          <w:rFonts w:ascii="仿宋" w:hAnsi="仿宋" w:eastAsia="仿宋"/>
          <w:color w:val="000000"/>
          <w:sz w:val="32"/>
          <w:szCs w:val="32"/>
        </w:rPr>
        <w:t>。</w:t>
      </w:r>
      <w:r>
        <w:rPr>
          <w:rFonts w:hint="eastAsia" w:ascii="仿宋" w:hAnsi="仿宋" w:eastAsia="仿宋"/>
          <w:color w:val="000000"/>
          <w:sz w:val="32"/>
          <w:szCs w:val="32"/>
        </w:rPr>
        <w:t>选派了</w:t>
      </w:r>
      <w:r>
        <w:rPr>
          <w:rFonts w:hint="eastAsia" w:ascii="仿宋" w:hAnsi="仿宋" w:eastAsia="仿宋"/>
          <w:color w:val="000000"/>
          <w:sz w:val="32"/>
          <w:szCs w:val="32"/>
          <w:lang w:val="en-US" w:eastAsia="zh-CN"/>
        </w:rPr>
        <w:t>48名</w:t>
      </w:r>
      <w:r>
        <w:rPr>
          <w:rFonts w:hint="eastAsia" w:ascii="仿宋" w:hAnsi="仿宋" w:eastAsia="仿宋"/>
          <w:color w:val="000000"/>
          <w:sz w:val="32"/>
          <w:szCs w:val="32"/>
        </w:rPr>
        <w:t>优秀</w:t>
      </w:r>
      <w:r>
        <w:rPr>
          <w:rFonts w:ascii="仿宋" w:hAnsi="仿宋" w:eastAsia="仿宋"/>
          <w:color w:val="000000"/>
          <w:sz w:val="32"/>
          <w:szCs w:val="32"/>
        </w:rPr>
        <w:t>教师参加了省、市、国家级教育部门的各类培训。采取师徒结对的方式对</w:t>
      </w:r>
      <w:r>
        <w:rPr>
          <w:rFonts w:hint="eastAsia" w:ascii="仿宋" w:hAnsi="仿宋" w:eastAsia="仿宋"/>
          <w:color w:val="000000"/>
          <w:sz w:val="32"/>
          <w:szCs w:val="32"/>
        </w:rPr>
        <w:t>新进</w:t>
      </w:r>
      <w:r>
        <w:rPr>
          <w:rFonts w:ascii="仿宋" w:hAnsi="仿宋" w:eastAsia="仿宋"/>
          <w:color w:val="000000"/>
          <w:sz w:val="32"/>
          <w:szCs w:val="32"/>
        </w:rPr>
        <w:t>教师进行</w:t>
      </w:r>
      <w:r>
        <w:rPr>
          <w:rFonts w:hint="eastAsia" w:ascii="仿宋" w:hAnsi="仿宋" w:eastAsia="仿宋"/>
          <w:color w:val="000000"/>
          <w:sz w:val="32"/>
          <w:szCs w:val="32"/>
        </w:rPr>
        <w:t>了</w:t>
      </w:r>
      <w:r>
        <w:rPr>
          <w:rFonts w:ascii="仿宋" w:hAnsi="仿宋" w:eastAsia="仿宋"/>
          <w:color w:val="000000"/>
          <w:sz w:val="32"/>
          <w:szCs w:val="32"/>
        </w:rPr>
        <w:t>“传帮带”。</w:t>
      </w:r>
      <w:r>
        <w:rPr>
          <w:rFonts w:hint="eastAsia" w:ascii="仿宋" w:hAnsi="仿宋" w:eastAsia="仿宋"/>
          <w:color w:val="000000"/>
          <w:sz w:val="32"/>
          <w:szCs w:val="32"/>
        </w:rPr>
        <w:t>新招聘了</w:t>
      </w:r>
      <w:r>
        <w:rPr>
          <w:rFonts w:hint="eastAsia" w:ascii="仿宋" w:hAnsi="仿宋" w:eastAsia="仿宋"/>
          <w:color w:val="000000"/>
          <w:sz w:val="32"/>
          <w:szCs w:val="32"/>
          <w:lang w:val="en-US" w:eastAsia="zh-CN"/>
        </w:rPr>
        <w:t>10名</w:t>
      </w:r>
      <w:r>
        <w:rPr>
          <w:rFonts w:hint="eastAsia" w:ascii="仿宋" w:hAnsi="仿宋" w:eastAsia="仿宋"/>
          <w:color w:val="000000"/>
          <w:sz w:val="32"/>
          <w:szCs w:val="32"/>
        </w:rPr>
        <w:t>硕士研究生专任教师，教师队伍的“含硕量”</w:t>
      </w:r>
      <w:r>
        <w:rPr>
          <w:rFonts w:hint="eastAsia" w:ascii="仿宋" w:hAnsi="仿宋" w:eastAsia="仿宋"/>
          <w:color w:val="000000"/>
          <w:sz w:val="32"/>
          <w:szCs w:val="32"/>
          <w:lang w:val="en-US" w:eastAsia="zh-CN"/>
        </w:rPr>
        <w:t>不断提升</w:t>
      </w:r>
      <w:r>
        <w:rPr>
          <w:rFonts w:hint="eastAsia" w:ascii="仿宋" w:hAnsi="仿宋" w:eastAsia="仿宋"/>
          <w:color w:val="000000"/>
          <w:sz w:val="32"/>
          <w:szCs w:val="32"/>
        </w:rPr>
        <w:t>。</w:t>
      </w:r>
      <w:r>
        <w:rPr>
          <w:rFonts w:hint="eastAsia" w:ascii="仿宋" w:hAnsi="仿宋" w:eastAsia="仿宋"/>
          <w:color w:val="000000"/>
          <w:sz w:val="32"/>
          <w:szCs w:val="32"/>
          <w:lang w:eastAsia="zh-CN"/>
        </w:rPr>
        <w:t>刘毅斌老师顺利通过正高级职称评审，实现我校正高职称零的突破。</w:t>
      </w:r>
      <w:r>
        <w:rPr>
          <w:rFonts w:hint="eastAsia" w:ascii="仿宋" w:hAnsi="仿宋" w:eastAsia="仿宋"/>
          <w:color w:val="000000"/>
          <w:sz w:val="32"/>
          <w:szCs w:val="32"/>
          <w:lang w:val="en-US" w:eastAsia="zh-CN"/>
        </w:rPr>
        <w:t>刘斌老师荣获长沙市第二届黄炎培职业教育“杰出教师奖”。</w:t>
      </w:r>
      <w:bookmarkEnd w:id="3"/>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楷体" w:hAnsi="楷体" w:eastAsia="楷体" w:cs="楷体"/>
          <w:b/>
          <w:bCs/>
          <w:color w:val="000000"/>
          <w:kern w:val="2"/>
          <w:sz w:val="32"/>
          <w:szCs w:val="32"/>
        </w:rPr>
      </w:pPr>
      <w:r>
        <w:rPr>
          <w:rFonts w:hint="eastAsia" w:ascii="楷体" w:hAnsi="楷体" w:eastAsia="楷体" w:cs="楷体"/>
          <w:b/>
          <w:bCs/>
          <w:color w:val="000000"/>
          <w:kern w:val="2"/>
          <w:sz w:val="32"/>
          <w:szCs w:val="32"/>
          <w:lang w:val="en-US" w:eastAsia="zh-CN"/>
        </w:rPr>
        <w:t>2、</w:t>
      </w:r>
      <w:r>
        <w:rPr>
          <w:rFonts w:hint="eastAsia" w:ascii="楷体" w:hAnsi="楷体" w:eastAsia="楷体" w:cs="楷体"/>
          <w:b/>
          <w:bCs/>
          <w:color w:val="000000"/>
          <w:kern w:val="2"/>
          <w:sz w:val="32"/>
          <w:szCs w:val="32"/>
        </w:rPr>
        <w:t>各项比赛荣誉</w:t>
      </w:r>
      <w:r>
        <w:rPr>
          <w:rFonts w:hint="eastAsia" w:ascii="楷体" w:hAnsi="楷体" w:eastAsia="楷体" w:cs="楷体"/>
          <w:b/>
          <w:bCs/>
          <w:color w:val="000000"/>
          <w:kern w:val="2"/>
          <w:sz w:val="32"/>
          <w:szCs w:val="32"/>
          <w:lang w:val="en-US" w:eastAsia="zh-CN"/>
        </w:rPr>
        <w:t>有</w:t>
      </w:r>
      <w:r>
        <w:rPr>
          <w:rFonts w:hint="eastAsia" w:ascii="楷体" w:hAnsi="楷体" w:eastAsia="楷体" w:cs="楷体"/>
          <w:b/>
          <w:bCs/>
          <w:color w:val="000000"/>
          <w:kern w:val="2"/>
          <w:sz w:val="32"/>
          <w:szCs w:val="32"/>
        </w:rPr>
        <w:t>“</w:t>
      </w:r>
      <w:r>
        <w:rPr>
          <w:rFonts w:hint="eastAsia" w:ascii="楷体" w:hAnsi="楷体" w:eastAsia="楷体" w:cs="楷体"/>
          <w:b/>
          <w:bCs/>
          <w:color w:val="000000"/>
          <w:kern w:val="2"/>
          <w:sz w:val="32"/>
          <w:szCs w:val="32"/>
          <w:lang w:val="en-US" w:eastAsia="zh-CN"/>
        </w:rPr>
        <w:t>新提高</w:t>
      </w:r>
      <w:r>
        <w:rPr>
          <w:rFonts w:hint="eastAsia" w:ascii="楷体" w:hAnsi="楷体" w:eastAsia="楷体" w:cs="楷体"/>
          <w:b/>
          <w:bCs/>
          <w:color w:val="000000"/>
          <w:kern w:val="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仿宋" w:hAnsi="仿宋" w:eastAsia="仿宋" w:cs="仿宋_GB2312"/>
          <w:color w:val="000000"/>
          <w:kern w:val="2"/>
          <w:sz w:val="32"/>
          <w:szCs w:val="32"/>
          <w:lang w:eastAsia="zh-CN"/>
        </w:rPr>
      </w:pPr>
      <w:r>
        <w:rPr>
          <w:rFonts w:hint="eastAsia" w:ascii="仿宋" w:hAnsi="仿宋" w:eastAsia="仿宋" w:cs="仿宋_GB2312"/>
          <w:b/>
          <w:bCs/>
          <w:color w:val="000000"/>
          <w:kern w:val="2"/>
          <w:sz w:val="32"/>
          <w:szCs w:val="32"/>
        </w:rPr>
        <w:t>一是在教师教学能力大赛方面。</w:t>
      </w:r>
      <w:r>
        <w:rPr>
          <w:rFonts w:hint="eastAsia" w:ascii="仿宋" w:hAnsi="仿宋" w:eastAsia="仿宋" w:cs="仿宋_GB2312"/>
          <w:color w:val="000000"/>
          <w:kern w:val="2"/>
          <w:sz w:val="32"/>
          <w:szCs w:val="32"/>
        </w:rPr>
        <w:t>学校鼓励优秀教师积极参加省、市教师教学能力大赛并取得骄人成绩。2023年度，教师参加市、省级教师教学能力比赛、技能大赛共37人次，邢进、陈莉英、王玉胜、邱雨婷团队获得省级教师教学能力比赛一等奖，孙成国、王玉洁、钟玉桂、刘佳旺团队获省级二等奖。此外，李文城</w:t>
      </w:r>
      <w:r>
        <w:rPr>
          <w:rFonts w:hint="eastAsia" w:ascii="仿宋" w:hAnsi="仿宋" w:eastAsia="仿宋" w:cs="仿宋_GB2312"/>
          <w:color w:val="000000"/>
          <w:kern w:val="2"/>
          <w:sz w:val="32"/>
          <w:szCs w:val="32"/>
          <w:lang w:eastAsia="zh-CN"/>
        </w:rPr>
        <w:t>、雷明泽</w:t>
      </w:r>
      <w:r>
        <w:rPr>
          <w:rFonts w:hint="eastAsia" w:ascii="仿宋" w:hAnsi="仿宋" w:eastAsia="仿宋" w:cs="仿宋_GB2312"/>
          <w:color w:val="000000"/>
          <w:kern w:val="2"/>
          <w:sz w:val="32"/>
          <w:szCs w:val="32"/>
        </w:rPr>
        <w:t>等老师参加教师能教学能力比赛、技能大赛获市赛一等奖2项，二等奖4项，三等奖3项。周慧霖、胡志科、刘佳旺等三位老师代表雨花区参加长沙市第二届职工技能竞赛，荣获“优胜奖”。</w:t>
      </w:r>
      <w:r>
        <w:rPr>
          <w:rFonts w:hint="eastAsia" w:ascii="仿宋" w:hAnsi="仿宋" w:eastAsia="仿宋" w:cs="仿宋_GB2312"/>
          <w:color w:val="000000"/>
          <w:kern w:val="2"/>
          <w:sz w:val="32"/>
          <w:szCs w:val="32"/>
          <w:lang w:eastAsia="zh-CN"/>
        </w:rPr>
        <w:t>杨畅老师</w:t>
      </w:r>
      <w:r>
        <w:rPr>
          <w:rFonts w:hint="eastAsia" w:ascii="仿宋" w:hAnsi="仿宋" w:eastAsia="仿宋" w:cs="仿宋_GB2312"/>
          <w:color w:val="000000"/>
          <w:kern w:val="2"/>
          <w:sz w:val="32"/>
          <w:szCs w:val="32"/>
          <w:lang w:val="en-US" w:eastAsia="zh-CN"/>
        </w:rPr>
        <w:t>荣获长沙市</w:t>
      </w:r>
      <w:r>
        <w:rPr>
          <w:rFonts w:hint="eastAsia" w:ascii="仿宋" w:hAnsi="仿宋" w:eastAsia="仿宋" w:cs="仿宋_GB2312"/>
          <w:color w:val="000000"/>
          <w:kern w:val="2"/>
          <w:sz w:val="32"/>
          <w:szCs w:val="32"/>
          <w:lang w:eastAsia="zh-CN"/>
        </w:rPr>
        <w:t>班主任能力比赛三等奖，填补了</w:t>
      </w:r>
      <w:r>
        <w:rPr>
          <w:rFonts w:hint="eastAsia" w:ascii="仿宋" w:hAnsi="仿宋" w:eastAsia="仿宋" w:cs="仿宋_GB2312"/>
          <w:color w:val="000000"/>
          <w:kern w:val="2"/>
          <w:sz w:val="32"/>
          <w:szCs w:val="32"/>
          <w:lang w:val="en-US" w:eastAsia="zh-CN"/>
        </w:rPr>
        <w:t>我校</w:t>
      </w:r>
      <w:r>
        <w:rPr>
          <w:rFonts w:hint="eastAsia" w:ascii="仿宋" w:hAnsi="仿宋" w:eastAsia="仿宋" w:cs="仿宋_GB2312"/>
          <w:color w:val="000000"/>
          <w:kern w:val="2"/>
          <w:sz w:val="32"/>
          <w:szCs w:val="32"/>
          <w:lang w:eastAsia="zh-CN"/>
        </w:rPr>
        <w:t>班主任能力比赛获奖空白。</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ascii="黑体" w:hAnsi="黑体" w:eastAsia="黑体"/>
          <w:color w:val="000000"/>
          <w:kern w:val="2"/>
          <w:sz w:val="32"/>
          <w:szCs w:val="32"/>
        </w:rPr>
      </w:pPr>
      <w:r>
        <w:rPr>
          <w:rFonts w:hint="eastAsia" w:ascii="仿宋" w:hAnsi="仿宋" w:eastAsia="仿宋" w:cs="仿宋_GB2312"/>
          <w:b/>
          <w:bCs/>
          <w:color w:val="000000"/>
          <w:kern w:val="2"/>
          <w:sz w:val="32"/>
          <w:szCs w:val="32"/>
        </w:rPr>
        <w:t>二是在学生技能大赛方面。</w:t>
      </w:r>
      <w:r>
        <w:rPr>
          <w:rFonts w:hint="eastAsia" w:ascii="仿宋" w:hAnsi="仿宋" w:eastAsia="仿宋" w:cs="仿宋_GB2312"/>
          <w:color w:val="000000"/>
          <w:kern w:val="2"/>
          <w:sz w:val="32"/>
          <w:szCs w:val="32"/>
        </w:rPr>
        <w:t>2023年度，学校承办了新能源汽车检测与维修、零部件测绘与CAD成图技术、新能源汽车维修三个省赛赛项。承办了数控车赛项和新能源汽车维修市赛赛项，赛点工作都得到了省教育厅和市教育局的充分肯定。学生参加</w:t>
      </w:r>
      <w:r>
        <w:rPr>
          <w:rFonts w:hint="eastAsia" w:ascii="仿宋" w:hAnsi="仿宋" w:eastAsia="仿宋" w:cs="仿宋_GB2312"/>
          <w:color w:val="000000"/>
          <w:kern w:val="2"/>
          <w:sz w:val="32"/>
          <w:szCs w:val="32"/>
          <w:lang w:val="en-US" w:eastAsia="zh-CN"/>
        </w:rPr>
        <w:t>省市</w:t>
      </w:r>
      <w:r>
        <w:rPr>
          <w:rFonts w:hint="eastAsia" w:ascii="仿宋" w:hAnsi="仿宋" w:eastAsia="仿宋" w:cs="仿宋_GB2312"/>
          <w:color w:val="000000"/>
          <w:kern w:val="2"/>
          <w:sz w:val="32"/>
          <w:szCs w:val="32"/>
        </w:rPr>
        <w:t>大赛项目21项</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lang w:val="en-US" w:eastAsia="zh-CN"/>
        </w:rPr>
        <w:t>参赛</w:t>
      </w:r>
      <w:r>
        <w:rPr>
          <w:rFonts w:hint="eastAsia" w:ascii="仿宋" w:hAnsi="仿宋" w:eastAsia="仿宋" w:cs="仿宋_GB2312"/>
          <w:color w:val="000000"/>
          <w:kern w:val="2"/>
          <w:sz w:val="32"/>
          <w:szCs w:val="32"/>
        </w:rPr>
        <w:t>85人次，获奖58人次，其中</w:t>
      </w:r>
      <w:r>
        <w:rPr>
          <w:rFonts w:hint="eastAsia" w:ascii="仿宋" w:hAnsi="仿宋" w:eastAsia="仿宋" w:cs="仿宋_GB2312"/>
          <w:color w:val="000000"/>
          <w:kern w:val="2"/>
          <w:sz w:val="32"/>
          <w:szCs w:val="32"/>
          <w:lang w:val="en-US" w:eastAsia="zh-CN"/>
        </w:rPr>
        <w:t>获得长沙市</w:t>
      </w:r>
      <w:r>
        <w:rPr>
          <w:rFonts w:hint="eastAsia" w:ascii="仿宋" w:hAnsi="仿宋" w:eastAsia="仿宋" w:cs="仿宋_GB2312"/>
          <w:color w:val="000000"/>
          <w:kern w:val="2"/>
          <w:sz w:val="32"/>
          <w:szCs w:val="32"/>
        </w:rPr>
        <w:t>学生竞赛一等奖7个、二等奖16个、三等奖16个</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rPr>
        <w:t>“新能源汽车维修”“工业机器人技术应用”“零部件测绘与CAD成图技术”“产品数字化设计与开发”“企业经营沙盘模拟”等5个赛项获省赛一等奖，</w:t>
      </w:r>
      <w:r>
        <w:rPr>
          <w:rFonts w:hint="eastAsia" w:ascii="仿宋" w:hAnsi="仿宋" w:eastAsia="仿宋" w:cs="仿宋_GB2312"/>
          <w:color w:val="000000"/>
          <w:kern w:val="2"/>
          <w:sz w:val="32"/>
          <w:szCs w:val="32"/>
          <w:lang w:eastAsia="zh-CN"/>
        </w:rPr>
        <w:t>《新能源汽车维修》</w:t>
      </w:r>
      <w:r>
        <w:rPr>
          <w:rFonts w:hint="eastAsia" w:ascii="仿宋" w:hAnsi="仿宋" w:eastAsia="仿宋" w:cs="仿宋_GB2312"/>
          <w:color w:val="000000"/>
          <w:kern w:val="2"/>
          <w:sz w:val="32"/>
          <w:szCs w:val="32"/>
        </w:rPr>
        <w:t>《产品数字化设计与开发》</w:t>
      </w:r>
      <w:r>
        <w:rPr>
          <w:rFonts w:hint="eastAsia" w:ascii="仿宋" w:hAnsi="仿宋" w:eastAsia="仿宋" w:cs="仿宋_GB2312"/>
          <w:color w:val="000000"/>
          <w:kern w:val="2"/>
          <w:sz w:val="32"/>
          <w:szCs w:val="32"/>
          <w:lang w:eastAsia="zh-CN"/>
        </w:rPr>
        <w:t>两个</w:t>
      </w:r>
      <w:r>
        <w:rPr>
          <w:rFonts w:hint="eastAsia" w:ascii="仿宋" w:hAnsi="仿宋" w:eastAsia="仿宋" w:cs="仿宋_GB2312"/>
          <w:color w:val="000000"/>
          <w:kern w:val="2"/>
          <w:sz w:val="32"/>
          <w:szCs w:val="32"/>
        </w:rPr>
        <w:t>赛项进入国赛，正在紧张备赛中。此外，</w:t>
      </w:r>
      <w:r>
        <w:rPr>
          <w:rFonts w:hint="eastAsia" w:ascii="仿宋" w:hAnsi="仿宋" w:eastAsia="仿宋" w:cs="仿宋"/>
          <w:color w:val="000000"/>
          <w:sz w:val="32"/>
          <w:szCs w:val="32"/>
          <w:lang w:val="en-US" w:eastAsia="zh-CN"/>
        </w:rPr>
        <w:t>在全省交通运输行业技能大赛中，我校学生获得三等奖，也是全省唯一获奖的中职学校</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在全国青少年文化艺术创作主义教育竞赛中获得8个一等奖、7个二等奖。</w:t>
      </w:r>
      <w:r>
        <w:rPr>
          <w:rFonts w:hint="eastAsia" w:ascii="仿宋" w:hAnsi="仿宋" w:eastAsia="仿宋" w:cs="仿宋_GB2312"/>
          <w:color w:val="000000"/>
          <w:kern w:val="2"/>
          <w:sz w:val="32"/>
          <w:szCs w:val="32"/>
          <w:lang w:val="en-US" w:eastAsia="zh-CN"/>
        </w:rPr>
        <w:t>全校</w:t>
      </w:r>
      <w:r>
        <w:rPr>
          <w:rFonts w:hint="eastAsia" w:ascii="仿宋" w:hAnsi="仿宋" w:eastAsia="仿宋" w:cs="仿宋_GB2312"/>
          <w:color w:val="000000"/>
          <w:kern w:val="2"/>
          <w:sz w:val="32"/>
          <w:szCs w:val="32"/>
        </w:rPr>
        <w:t>有1</w:t>
      </w:r>
      <w:r>
        <w:rPr>
          <w:rFonts w:hint="eastAsia" w:ascii="仿宋" w:hAnsi="仿宋" w:eastAsia="仿宋" w:cs="仿宋_GB2312"/>
          <w:color w:val="000000"/>
          <w:kern w:val="2"/>
          <w:sz w:val="32"/>
          <w:szCs w:val="32"/>
          <w:lang w:val="en-US" w:eastAsia="zh-CN"/>
        </w:rPr>
        <w:t>2</w:t>
      </w:r>
      <w:r>
        <w:rPr>
          <w:rFonts w:hint="eastAsia" w:ascii="仿宋" w:hAnsi="仿宋" w:eastAsia="仿宋" w:cs="仿宋_GB2312"/>
          <w:color w:val="000000"/>
          <w:kern w:val="2"/>
          <w:sz w:val="32"/>
          <w:szCs w:val="32"/>
        </w:rPr>
        <w:t>名学生因为竞赛成绩免试</w:t>
      </w:r>
      <w:r>
        <w:rPr>
          <w:rFonts w:hint="eastAsia" w:ascii="仿宋" w:hAnsi="仿宋" w:eastAsia="仿宋" w:cs="仿宋_GB2312"/>
          <w:color w:val="000000"/>
          <w:kern w:val="2"/>
          <w:sz w:val="32"/>
          <w:szCs w:val="32"/>
          <w:lang w:val="en-US" w:eastAsia="zh-CN"/>
        </w:rPr>
        <w:t>进</w:t>
      </w:r>
      <w:r>
        <w:rPr>
          <w:rFonts w:hint="eastAsia" w:ascii="仿宋" w:hAnsi="仿宋" w:eastAsia="仿宋" w:cs="仿宋_GB2312"/>
          <w:color w:val="000000"/>
          <w:kern w:val="2"/>
          <w:sz w:val="32"/>
          <w:szCs w:val="32"/>
        </w:rPr>
        <w:t>入高职院校</w:t>
      </w:r>
      <w:r>
        <w:rPr>
          <w:rFonts w:hint="eastAsia" w:ascii="仿宋" w:hAnsi="仿宋" w:eastAsia="仿宋" w:cs="仿宋_GB2312"/>
          <w:color w:val="000000"/>
          <w:kern w:val="2"/>
          <w:sz w:val="32"/>
          <w:szCs w:val="32"/>
          <w:lang w:val="en-US" w:eastAsia="zh-CN"/>
        </w:rPr>
        <w:t>读书</w:t>
      </w:r>
      <w:r>
        <w:rPr>
          <w:rFonts w:hint="eastAsia" w:ascii="仿宋" w:hAnsi="仿宋" w:eastAsia="仿宋" w:cs="仿宋_GB2312"/>
          <w:color w:val="000000"/>
          <w:kern w:val="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楷体" w:hAnsi="楷体" w:eastAsia="楷体" w:cs="楷体"/>
          <w:b/>
          <w:bCs w:val="0"/>
          <w:color w:val="000000"/>
          <w:kern w:val="2"/>
          <w:sz w:val="32"/>
          <w:szCs w:val="32"/>
        </w:rPr>
      </w:pPr>
      <w:r>
        <w:rPr>
          <w:rFonts w:hint="eastAsia" w:ascii="楷体" w:hAnsi="楷体" w:eastAsia="楷体" w:cs="楷体"/>
          <w:b/>
          <w:bCs w:val="0"/>
          <w:color w:val="000000"/>
          <w:kern w:val="2"/>
          <w:sz w:val="32"/>
          <w:szCs w:val="32"/>
          <w:lang w:val="en-US" w:eastAsia="zh-CN"/>
        </w:rPr>
        <w:t>3、</w:t>
      </w:r>
      <w:r>
        <w:rPr>
          <w:rFonts w:hint="eastAsia" w:ascii="楷体" w:hAnsi="楷体" w:eastAsia="楷体" w:cs="楷体"/>
          <w:b/>
          <w:bCs w:val="0"/>
          <w:color w:val="000000"/>
          <w:kern w:val="2"/>
          <w:sz w:val="32"/>
          <w:szCs w:val="32"/>
        </w:rPr>
        <w:t>学生管理水平</w:t>
      </w:r>
      <w:r>
        <w:rPr>
          <w:rFonts w:hint="eastAsia" w:ascii="楷体" w:hAnsi="楷体" w:eastAsia="楷体" w:cs="楷体"/>
          <w:b/>
          <w:bCs w:val="0"/>
          <w:color w:val="000000"/>
          <w:kern w:val="2"/>
          <w:sz w:val="32"/>
          <w:szCs w:val="32"/>
          <w:lang w:val="en-US" w:eastAsia="zh-CN"/>
        </w:rPr>
        <w:t>有</w:t>
      </w:r>
      <w:r>
        <w:rPr>
          <w:rFonts w:hint="eastAsia" w:ascii="楷体" w:hAnsi="楷体" w:eastAsia="楷体" w:cs="楷体"/>
          <w:b/>
          <w:bCs w:val="0"/>
          <w:color w:val="000000"/>
          <w:kern w:val="2"/>
          <w:sz w:val="32"/>
          <w:szCs w:val="32"/>
        </w:rPr>
        <w:t>“</w:t>
      </w:r>
      <w:r>
        <w:rPr>
          <w:rFonts w:hint="eastAsia" w:ascii="楷体" w:hAnsi="楷体" w:eastAsia="楷体" w:cs="楷体"/>
          <w:b/>
          <w:bCs w:val="0"/>
          <w:color w:val="000000"/>
          <w:kern w:val="2"/>
          <w:sz w:val="32"/>
          <w:szCs w:val="32"/>
          <w:lang w:val="en-US" w:eastAsia="zh-CN"/>
        </w:rPr>
        <w:t>新提高</w:t>
      </w:r>
      <w:r>
        <w:rPr>
          <w:rFonts w:hint="eastAsia" w:ascii="楷体" w:hAnsi="楷体" w:eastAsia="楷体" w:cs="楷体"/>
          <w:b/>
          <w:bCs w:val="0"/>
          <w:color w:val="000000"/>
          <w:kern w:val="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ascii="仿宋" w:hAnsi="仿宋" w:eastAsia="仿宋" w:cs="仿宋_GB2312"/>
          <w:color w:val="000000"/>
          <w:kern w:val="2"/>
          <w:sz w:val="32"/>
          <w:szCs w:val="32"/>
        </w:rPr>
      </w:pPr>
      <w:r>
        <w:rPr>
          <w:rFonts w:hint="eastAsia" w:ascii="仿宋" w:hAnsi="仿宋" w:eastAsia="仿宋" w:cs="仿宋_GB2312"/>
          <w:b/>
          <w:bCs/>
          <w:color w:val="000000"/>
          <w:kern w:val="2"/>
          <w:sz w:val="32"/>
          <w:szCs w:val="32"/>
        </w:rPr>
        <w:t>一是学生综合素质不断提高。</w:t>
      </w:r>
      <w:r>
        <w:rPr>
          <w:rFonts w:hint="eastAsia" w:ascii="仿宋" w:hAnsi="仿宋" w:eastAsia="仿宋" w:cs="仿宋_GB2312"/>
          <w:color w:val="000000"/>
          <w:kern w:val="2"/>
          <w:sz w:val="32"/>
          <w:szCs w:val="32"/>
          <w:lang w:val="en-US" w:eastAsia="zh-CN"/>
        </w:rPr>
        <w:t>2023</w:t>
      </w:r>
      <w:r>
        <w:rPr>
          <w:rFonts w:hint="eastAsia" w:ascii="仿宋" w:hAnsi="仿宋" w:eastAsia="仿宋" w:cs="仿宋_GB2312"/>
          <w:color w:val="000000"/>
          <w:kern w:val="2"/>
          <w:sz w:val="32"/>
          <w:szCs w:val="32"/>
        </w:rPr>
        <w:t>年共获评</w:t>
      </w:r>
      <w:r>
        <w:rPr>
          <w:rFonts w:ascii="仿宋" w:hAnsi="仿宋" w:eastAsia="仿宋" w:cs="仿宋_GB2312"/>
          <w:color w:val="000000"/>
          <w:kern w:val="2"/>
          <w:sz w:val="32"/>
          <w:szCs w:val="32"/>
        </w:rPr>
        <w:t>省、市先进班集体</w:t>
      </w:r>
      <w:r>
        <w:rPr>
          <w:rFonts w:hint="eastAsia" w:ascii="仿宋" w:hAnsi="仿宋" w:eastAsia="仿宋" w:cs="仿宋_GB2312"/>
          <w:color w:val="000000"/>
          <w:kern w:val="2"/>
          <w:sz w:val="32"/>
          <w:szCs w:val="32"/>
        </w:rPr>
        <w:t>2个</w:t>
      </w:r>
      <w:r>
        <w:rPr>
          <w:rFonts w:ascii="仿宋" w:hAnsi="仿宋" w:eastAsia="仿宋" w:cs="仿宋_GB2312"/>
          <w:color w:val="000000"/>
          <w:kern w:val="2"/>
          <w:sz w:val="32"/>
          <w:szCs w:val="32"/>
        </w:rPr>
        <w:t>，省、市级三好学生12名，省、市优秀学生干部</w:t>
      </w:r>
      <w:r>
        <w:rPr>
          <w:rFonts w:hint="eastAsia" w:ascii="仿宋" w:hAnsi="仿宋" w:eastAsia="仿宋" w:cs="仿宋_GB2312"/>
          <w:color w:val="000000"/>
          <w:kern w:val="2"/>
          <w:sz w:val="32"/>
          <w:szCs w:val="32"/>
        </w:rPr>
        <w:t>2名</w:t>
      </w:r>
      <w:r>
        <w:rPr>
          <w:rFonts w:ascii="仿宋" w:hAnsi="仿宋" w:eastAsia="仿宋" w:cs="仿宋_GB2312"/>
          <w:color w:val="000000"/>
          <w:kern w:val="2"/>
          <w:sz w:val="32"/>
          <w:szCs w:val="32"/>
        </w:rPr>
        <w:t>，市级优秀实习生</w:t>
      </w:r>
      <w:r>
        <w:rPr>
          <w:rFonts w:hint="eastAsia" w:ascii="仿宋" w:hAnsi="仿宋" w:eastAsia="仿宋" w:cs="仿宋_GB2312"/>
          <w:color w:val="000000"/>
          <w:kern w:val="2"/>
          <w:sz w:val="32"/>
          <w:szCs w:val="32"/>
        </w:rPr>
        <w:t>1名</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lang w:val="en-US" w:eastAsia="zh-CN"/>
        </w:rPr>
        <w:t>校级好学生75名，校级优秀学生干部47名</w:t>
      </w:r>
      <w:r>
        <w:rPr>
          <w:rFonts w:ascii="仿宋" w:hAnsi="仿宋" w:eastAsia="仿宋" w:cs="仿宋_GB2312"/>
          <w:color w:val="000000"/>
          <w:kern w:val="2"/>
          <w:sz w:val="32"/>
          <w:szCs w:val="32"/>
        </w:rPr>
        <w:t>。</w:t>
      </w:r>
      <w:r>
        <w:rPr>
          <w:rFonts w:hint="eastAsia" w:ascii="仿宋" w:hAnsi="仿宋" w:eastAsia="仿宋" w:cs="仿宋_GB2312"/>
          <w:color w:val="000000"/>
          <w:kern w:val="2"/>
          <w:sz w:val="32"/>
          <w:szCs w:val="32"/>
        </w:rPr>
        <w:t>在长沙市 “楚怡书香班级”评选活动，我校获一、二、三等奖各一项</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lang w:val="en-US" w:eastAsia="zh-CN"/>
        </w:rPr>
        <w:t>其中5名学生</w:t>
      </w:r>
      <w:r>
        <w:rPr>
          <w:rFonts w:hint="eastAsia" w:ascii="仿宋" w:hAnsi="仿宋" w:eastAsia="仿宋" w:cs="仿宋_GB2312"/>
          <w:color w:val="000000"/>
          <w:kern w:val="2"/>
          <w:sz w:val="32"/>
          <w:szCs w:val="32"/>
        </w:rPr>
        <w:t>获“楚怡学生读书之星”。</w:t>
      </w:r>
      <w:r>
        <w:rPr>
          <w:rFonts w:hint="eastAsia" w:ascii="仿宋" w:hAnsi="仿宋" w:eastAsia="仿宋" w:cs="仿宋_GB2312"/>
          <w:color w:val="000000"/>
          <w:kern w:val="2"/>
          <w:sz w:val="32"/>
          <w:szCs w:val="32"/>
          <w:lang w:val="en-US" w:eastAsia="zh-CN"/>
        </w:rPr>
        <w:t>2023年，学校共有900多名学生获得国家助学金资助，24名学生获取求职创业补贴。组织学生积极参与各类自愿服务活动30多次，参与学生1000人次。</w:t>
      </w:r>
      <w:r>
        <w:rPr>
          <w:rFonts w:hint="eastAsia" w:ascii="仿宋" w:hAnsi="仿宋" w:eastAsia="仿宋" w:cs="仿宋_GB2312"/>
          <w:color w:val="000000"/>
          <w:kern w:val="2"/>
          <w:sz w:val="32"/>
          <w:szCs w:val="32"/>
        </w:rPr>
        <w:t>21级1219名学生参加全省文化普测考试、技能抽查，通过率分别达到97.62%，100%。</w:t>
      </w:r>
    </w:p>
    <w:p>
      <w:pPr>
        <w:keepNext w:val="0"/>
        <w:keepLines w:val="0"/>
        <w:pageBreakBefore w:val="0"/>
        <w:widowControl w:val="0"/>
        <w:kinsoku/>
        <w:wordWrap/>
        <w:overflowPunct/>
        <w:topLinePunct w:val="0"/>
        <w:autoSpaceDE/>
        <w:autoSpaceDN/>
        <w:bidi w:val="0"/>
        <w:adjustRightInd/>
        <w:snapToGrid/>
        <w:spacing w:line="600" w:lineRule="exact"/>
        <w:ind w:left="0" w:firstLine="640"/>
        <w:jc w:val="left"/>
        <w:textAlignment w:val="auto"/>
        <w:rPr>
          <w:rFonts w:hint="default" w:ascii="仿宋" w:hAnsi="仿宋" w:eastAsia="仿宋" w:cs="仿宋_GB2312"/>
          <w:color w:val="000000"/>
          <w:kern w:val="2"/>
          <w:sz w:val="32"/>
          <w:szCs w:val="32"/>
          <w:lang w:val="en-US" w:eastAsia="zh-CN"/>
        </w:rPr>
      </w:pPr>
      <w:r>
        <w:rPr>
          <w:rFonts w:hint="eastAsia" w:ascii="仿宋" w:hAnsi="仿宋" w:eastAsia="仿宋" w:cs="仿宋_GB2312"/>
          <w:b/>
          <w:bCs/>
          <w:color w:val="000000"/>
          <w:kern w:val="2"/>
          <w:sz w:val="32"/>
          <w:szCs w:val="32"/>
        </w:rPr>
        <w:t>二是德育管理效果</w:t>
      </w:r>
      <w:r>
        <w:rPr>
          <w:rFonts w:hint="eastAsia" w:ascii="仿宋" w:hAnsi="仿宋" w:eastAsia="仿宋" w:cs="仿宋_GB2312"/>
          <w:b/>
          <w:bCs/>
          <w:color w:val="000000"/>
          <w:kern w:val="2"/>
          <w:sz w:val="32"/>
          <w:szCs w:val="32"/>
          <w:lang w:val="en-US" w:eastAsia="zh-CN"/>
        </w:rPr>
        <w:t>不断提高</w:t>
      </w:r>
      <w:r>
        <w:rPr>
          <w:rFonts w:hint="eastAsia" w:ascii="仿宋" w:hAnsi="仿宋" w:eastAsia="仿宋" w:cs="仿宋_GB2312"/>
          <w:b/>
          <w:bCs/>
          <w:color w:val="000000"/>
          <w:kern w:val="2"/>
          <w:sz w:val="32"/>
          <w:szCs w:val="32"/>
        </w:rPr>
        <w:t>。</w:t>
      </w:r>
      <w:r>
        <w:rPr>
          <w:rFonts w:hint="eastAsia" w:ascii="仿宋" w:hAnsi="仿宋" w:eastAsia="仿宋" w:cs="仿宋_GB2312"/>
          <w:color w:val="000000"/>
          <w:kern w:val="2"/>
          <w:sz w:val="32"/>
          <w:szCs w:val="32"/>
        </w:rPr>
        <w:t>全面建立推行学生德育银行管理，将全校学生的日常表现进行细化量化评价，规范学生在校言行。据统计，一年来累计录入学生违纪信息和正面表扬加分记录，共10684条。持续做好师生“一对一”帮扶工作，推动全体教职员工参与学生管理，每月开展一次学生关爱帮扶活动。</w:t>
      </w:r>
      <w:r>
        <w:rPr>
          <w:rFonts w:hint="eastAsia" w:ascii="仿宋" w:hAnsi="仿宋" w:eastAsia="仿宋" w:cs="仿宋_GB2312"/>
          <w:color w:val="000000"/>
          <w:kern w:val="2"/>
          <w:sz w:val="32"/>
          <w:szCs w:val="32"/>
          <w:lang w:val="en-US" w:eastAsia="zh-CN"/>
        </w:rPr>
        <w:t>全年共统一组织开展主题班会35次，校领导和科室主要负责人参与联系班级的班会活动。</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仿宋" w:hAnsi="仿宋" w:eastAsia="仿宋" w:cs="仿宋_GB2312"/>
          <w:color w:val="000000"/>
          <w:kern w:val="2"/>
          <w:sz w:val="32"/>
          <w:szCs w:val="32"/>
        </w:rPr>
      </w:pPr>
      <w:r>
        <w:rPr>
          <w:rFonts w:hint="eastAsia" w:ascii="仿宋" w:hAnsi="仿宋" w:eastAsia="仿宋" w:cs="仿宋_GB2312"/>
          <w:b/>
          <w:color w:val="000000"/>
          <w:kern w:val="2"/>
          <w:sz w:val="32"/>
          <w:szCs w:val="32"/>
        </w:rPr>
        <w:t>三是班主任队伍</w:t>
      </w:r>
      <w:r>
        <w:rPr>
          <w:rFonts w:hint="eastAsia" w:ascii="仿宋" w:hAnsi="仿宋" w:eastAsia="仿宋" w:cs="仿宋_GB2312"/>
          <w:b/>
          <w:color w:val="000000"/>
          <w:kern w:val="2"/>
          <w:sz w:val="32"/>
          <w:szCs w:val="32"/>
          <w:lang w:val="en-US" w:eastAsia="zh-CN"/>
        </w:rPr>
        <w:t>能力</w:t>
      </w:r>
      <w:r>
        <w:rPr>
          <w:rFonts w:hint="eastAsia" w:ascii="仿宋" w:hAnsi="仿宋" w:eastAsia="仿宋" w:cs="仿宋_GB2312"/>
          <w:b/>
          <w:color w:val="000000"/>
          <w:kern w:val="2"/>
          <w:sz w:val="32"/>
          <w:szCs w:val="32"/>
        </w:rPr>
        <w:t>不断</w:t>
      </w:r>
      <w:r>
        <w:rPr>
          <w:rFonts w:hint="eastAsia" w:ascii="仿宋" w:hAnsi="仿宋" w:eastAsia="仿宋" w:cs="仿宋_GB2312"/>
          <w:b/>
          <w:color w:val="000000"/>
          <w:kern w:val="2"/>
          <w:sz w:val="32"/>
          <w:szCs w:val="32"/>
          <w:lang w:val="en-US" w:eastAsia="zh-CN"/>
        </w:rPr>
        <w:t>提高</w:t>
      </w:r>
      <w:r>
        <w:rPr>
          <w:rFonts w:hint="eastAsia" w:ascii="仿宋" w:hAnsi="仿宋" w:eastAsia="仿宋" w:cs="仿宋_GB2312"/>
          <w:b/>
          <w:color w:val="000000"/>
          <w:kern w:val="2"/>
          <w:sz w:val="32"/>
          <w:szCs w:val="32"/>
        </w:rPr>
        <w:t>。</w:t>
      </w:r>
      <w:r>
        <w:rPr>
          <w:rFonts w:hint="eastAsia" w:ascii="仿宋" w:hAnsi="仿宋" w:eastAsia="仿宋" w:cs="仿宋_GB2312"/>
          <w:color w:val="000000"/>
          <w:kern w:val="2"/>
          <w:sz w:val="32"/>
          <w:szCs w:val="32"/>
        </w:rPr>
        <w:t>定期组织对班主任开展培训，提升班主任业务水平。定期召开班主任例会，及时掌握并研究解决班级管理中存在的一些突出问题。加强对班主任考核管理，严格兑现考核奖罚措施。组织班主任参加学校班主任能力比赛，</w:t>
      </w:r>
      <w:r>
        <w:rPr>
          <w:rFonts w:hint="eastAsia" w:ascii="仿宋" w:hAnsi="仿宋" w:eastAsia="仿宋" w:cs="仿宋_GB2312"/>
          <w:color w:val="000000"/>
          <w:kern w:val="2"/>
          <w:sz w:val="32"/>
          <w:szCs w:val="32"/>
          <w:lang w:val="en-US" w:eastAsia="zh-CN"/>
        </w:rPr>
        <w:t>共有6名优秀班主任获奖，</w:t>
      </w:r>
      <w:r>
        <w:rPr>
          <w:rFonts w:hint="eastAsia" w:ascii="仿宋" w:hAnsi="仿宋" w:eastAsia="仿宋" w:cs="仿宋_GB2312"/>
          <w:color w:val="000000"/>
          <w:kern w:val="2"/>
          <w:sz w:val="32"/>
          <w:szCs w:val="32"/>
        </w:rPr>
        <w:t>全面提升班主任能力水平。</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ascii="仿宋" w:hAnsi="仿宋" w:eastAsia="仿宋" w:cs="仿宋_GB2312"/>
          <w:b/>
          <w:color w:val="000000"/>
          <w:kern w:val="2"/>
          <w:sz w:val="32"/>
          <w:szCs w:val="32"/>
        </w:rPr>
      </w:pPr>
      <w:r>
        <w:rPr>
          <w:rFonts w:hint="eastAsia" w:ascii="黑体" w:hAnsi="黑体" w:eastAsia="黑体"/>
          <w:color w:val="000000"/>
          <w:kern w:val="2"/>
          <w:sz w:val="32"/>
          <w:szCs w:val="32"/>
        </w:rPr>
        <w:t>其次</w:t>
      </w:r>
      <w:r>
        <w:rPr>
          <w:rFonts w:hint="eastAsia" w:ascii="黑体" w:hAnsi="黑体" w:eastAsia="黑体"/>
          <w:color w:val="000000"/>
          <w:kern w:val="2"/>
          <w:sz w:val="32"/>
          <w:szCs w:val="32"/>
          <w:lang w:eastAsia="zh-CN"/>
        </w:rPr>
        <w:t>，</w:t>
      </w:r>
      <w:r>
        <w:rPr>
          <w:rFonts w:hint="eastAsia" w:ascii="黑体" w:hAnsi="黑体" w:eastAsia="黑体"/>
          <w:color w:val="000000"/>
          <w:kern w:val="2"/>
          <w:sz w:val="32"/>
          <w:szCs w:val="32"/>
          <w:lang w:val="en-US" w:eastAsia="zh-CN"/>
        </w:rPr>
        <w:t>在</w:t>
      </w:r>
      <w:r>
        <w:rPr>
          <w:rFonts w:hint="eastAsia" w:ascii="黑体" w:hAnsi="黑体" w:eastAsia="黑体"/>
          <w:color w:val="000000"/>
          <w:kern w:val="2"/>
          <w:sz w:val="32"/>
          <w:szCs w:val="32"/>
        </w:rPr>
        <w:t>三个</w:t>
      </w:r>
      <w:r>
        <w:rPr>
          <w:rFonts w:hint="eastAsia" w:ascii="黑体" w:hAnsi="黑体" w:eastAsia="黑体"/>
          <w:color w:val="000000"/>
          <w:kern w:val="2"/>
          <w:sz w:val="32"/>
          <w:szCs w:val="32"/>
          <w:lang w:val="en-US" w:eastAsia="zh-CN"/>
        </w:rPr>
        <w:t>方面取得</w:t>
      </w:r>
      <w:r>
        <w:rPr>
          <w:rFonts w:hint="eastAsia" w:ascii="黑体" w:hAnsi="黑体" w:eastAsia="黑体"/>
          <w:color w:val="000000"/>
          <w:kern w:val="2"/>
          <w:sz w:val="32"/>
          <w:szCs w:val="32"/>
        </w:rPr>
        <w:t>“</w:t>
      </w:r>
      <w:r>
        <w:rPr>
          <w:rFonts w:hint="eastAsia" w:ascii="黑体" w:hAnsi="黑体" w:eastAsia="黑体"/>
          <w:color w:val="000000"/>
          <w:kern w:val="2"/>
          <w:sz w:val="32"/>
          <w:szCs w:val="32"/>
          <w:lang w:val="en-US" w:eastAsia="zh-CN"/>
        </w:rPr>
        <w:t>新</w:t>
      </w:r>
      <w:r>
        <w:rPr>
          <w:rFonts w:hint="eastAsia" w:ascii="黑体" w:hAnsi="黑体" w:eastAsia="黑体"/>
          <w:color w:val="000000"/>
          <w:kern w:val="2"/>
          <w:sz w:val="32"/>
          <w:szCs w:val="32"/>
        </w:rPr>
        <w:t>成效”：</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黑体" w:hAnsi="黑体" w:eastAsia="楷体"/>
          <w:bCs/>
          <w:color w:val="000000"/>
          <w:kern w:val="2"/>
          <w:sz w:val="32"/>
          <w:szCs w:val="32"/>
          <w:lang w:val="en-US" w:eastAsia="zh-CN"/>
        </w:rPr>
      </w:pPr>
      <w:bookmarkStart w:id="4" w:name="_Hlk124281688"/>
      <w:r>
        <w:rPr>
          <w:rFonts w:hint="eastAsia" w:ascii="楷体" w:hAnsi="楷体" w:eastAsia="楷体" w:cs="楷体"/>
          <w:b/>
          <w:bCs/>
          <w:color w:val="000000"/>
          <w:kern w:val="2"/>
          <w:sz w:val="32"/>
          <w:szCs w:val="32"/>
          <w:lang w:val="en-US" w:eastAsia="zh-CN"/>
        </w:rPr>
        <w:t>1、</w:t>
      </w:r>
      <w:r>
        <w:rPr>
          <w:rFonts w:hint="eastAsia" w:ascii="楷体" w:hAnsi="楷体" w:eastAsia="楷体" w:cs="楷体"/>
          <w:b/>
          <w:bCs/>
          <w:color w:val="000000"/>
          <w:kern w:val="2"/>
          <w:sz w:val="32"/>
          <w:szCs w:val="32"/>
        </w:rPr>
        <w:t>党建引领</w:t>
      </w:r>
      <w:bookmarkEnd w:id="4"/>
      <w:r>
        <w:rPr>
          <w:rFonts w:hint="eastAsia" w:ascii="楷体" w:hAnsi="楷体" w:eastAsia="楷体" w:cs="楷体"/>
          <w:b/>
          <w:bCs/>
          <w:color w:val="000000"/>
          <w:kern w:val="2"/>
          <w:sz w:val="32"/>
          <w:szCs w:val="32"/>
          <w:lang w:val="en-US" w:eastAsia="zh-CN"/>
        </w:rPr>
        <w:t>上有“新成效”</w:t>
      </w:r>
    </w:p>
    <w:p>
      <w:pPr>
        <w:pStyle w:val="19"/>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仿宋" w:hAnsi="仿宋" w:eastAsia="仿宋" w:cs="仿宋_GB2312"/>
          <w:color w:val="000000"/>
          <w:kern w:val="2"/>
          <w:sz w:val="32"/>
          <w:szCs w:val="32"/>
          <w:lang w:val="en-US" w:eastAsia="zh-CN" w:bidi="ar-SA"/>
        </w:rPr>
      </w:pPr>
      <w:r>
        <w:rPr>
          <w:rFonts w:hint="eastAsia" w:ascii="仿宋" w:hAnsi="仿宋" w:eastAsia="仿宋"/>
          <w:b/>
          <w:color w:val="000000"/>
          <w:sz w:val="32"/>
          <w:szCs w:val="32"/>
        </w:rPr>
        <w:t>一是党建工作</w:t>
      </w:r>
      <w:r>
        <w:rPr>
          <w:rFonts w:hint="eastAsia" w:ascii="仿宋_GB2312" w:eastAsia="仿宋_GB2312"/>
          <w:b/>
          <w:color w:val="000000"/>
          <w:sz w:val="32"/>
          <w:szCs w:val="32"/>
        </w:rPr>
        <w:t>不断强化。</w:t>
      </w:r>
      <w:r>
        <w:rPr>
          <w:rFonts w:hint="eastAsia" w:ascii="仿宋" w:hAnsi="仿宋" w:eastAsia="仿宋" w:cs="仿宋_GB2312"/>
          <w:color w:val="000000"/>
          <w:kern w:val="2"/>
          <w:sz w:val="32"/>
          <w:szCs w:val="32"/>
          <w:lang w:val="en-US" w:eastAsia="zh-CN" w:bidi="ar-SA"/>
        </w:rPr>
        <w:t>扎实开展主题教育活动，共开展党委中心组集中学习10次。认真开好了2023年度民主（组织）生活会、主题教育民主生活会和以案促改专题民主生活会。学校主要领导带队赴汝城县、炎陵县开展了农村电商高质量发展的主题调研。学校领导深入到教研部开展专项调研，巩固扩大主题教育成果。加强了学校“党员学习园地”建设，并将学习情况同步上传到“复兴壹号”党建云平台。扎实开展“一月一课一片一实践”活动，以党支部为基本单位，开展专题学习40多次，领导干部和支部书记上党课10余次。进一步强化纪检监察职能，纪检监察部门全程参与招投标项目和大宗物品采购监督，并对各科室履职情况进行日常督查。一年来，班子成员开展各类谈话提醒共计61次。学校纪委对一名党员干部涉嫌违纪问题进行了立案调查。</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ascii="仿宋" w:hAnsi="仿宋" w:eastAsia="仿宋"/>
          <w:color w:val="000000"/>
          <w:sz w:val="32"/>
          <w:szCs w:val="32"/>
        </w:rPr>
      </w:pPr>
      <w:r>
        <w:rPr>
          <w:rFonts w:hint="eastAsia" w:ascii="仿宋" w:hAnsi="仿宋" w:eastAsia="仿宋"/>
          <w:b/>
          <w:color w:val="000000"/>
          <w:sz w:val="32"/>
          <w:szCs w:val="32"/>
        </w:rPr>
        <w:t>二是文明创建活动丰富多彩。</w:t>
      </w:r>
      <w:r>
        <w:rPr>
          <w:rFonts w:hint="eastAsia" w:ascii="仿宋" w:hAnsi="仿宋" w:eastAsia="仿宋"/>
          <w:color w:val="000000"/>
          <w:sz w:val="32"/>
          <w:szCs w:val="32"/>
        </w:rPr>
        <w:t>成功举办了学生运动会。成功举办了教职工乒乓球赛，成立了乒乓球俱乐部，教职工参与度高，反响非常好，进一步增强了教职工凝聚力。组织开展了学生男子篮球赛、跳绳比赛、乒乓球比赛和“弘扬传统美德，争当时代新人”演讲比赛等。成立了跳绳、啦啦操、乒乓球、</w:t>
      </w:r>
      <w:r>
        <w:rPr>
          <w:rFonts w:hint="eastAsia" w:ascii="仿宋" w:hAnsi="仿宋" w:eastAsia="仿宋" w:cs="仿宋_GB2312"/>
          <w:color w:val="000000"/>
          <w:kern w:val="2"/>
          <w:sz w:val="32"/>
          <w:szCs w:val="32"/>
        </w:rPr>
        <w:t>书法、绘画、朗诵、新闻、茶艺等各类社团组织20余个</w:t>
      </w:r>
      <w:r>
        <w:rPr>
          <w:rFonts w:hint="eastAsia" w:ascii="仿宋" w:hAnsi="仿宋" w:eastAsia="仿宋" w:cs="仿宋_GB2312"/>
          <w:b/>
          <w:bCs/>
          <w:color w:val="000000"/>
          <w:kern w:val="2"/>
          <w:sz w:val="32"/>
          <w:szCs w:val="32"/>
        </w:rPr>
        <w:t>，</w:t>
      </w:r>
      <w:r>
        <w:rPr>
          <w:rFonts w:hint="eastAsia" w:ascii="仿宋" w:hAnsi="仿宋" w:eastAsia="仿宋" w:cs="仿宋_GB2312"/>
          <w:b w:val="0"/>
          <w:bCs w:val="0"/>
          <w:color w:val="000000"/>
          <w:kern w:val="2"/>
          <w:sz w:val="32"/>
          <w:szCs w:val="32"/>
          <w:lang w:val="en-US" w:eastAsia="zh-CN"/>
        </w:rPr>
        <w:t>定期组织开展社团活动，</w:t>
      </w:r>
      <w:r>
        <w:rPr>
          <w:rFonts w:hint="eastAsia" w:ascii="仿宋" w:hAnsi="仿宋" w:eastAsia="仿宋" w:cs="仿宋_GB2312"/>
          <w:color w:val="000000"/>
          <w:kern w:val="2"/>
          <w:sz w:val="32"/>
          <w:szCs w:val="32"/>
        </w:rPr>
        <w:t>进一步丰富学生校园文化生活。</w:t>
      </w:r>
      <w:r>
        <w:rPr>
          <w:rFonts w:hint="eastAsia" w:ascii="仿宋" w:hAnsi="仿宋" w:eastAsia="仿宋" w:cs="仿宋_GB2312"/>
          <w:color w:val="000000"/>
          <w:kern w:val="2"/>
          <w:sz w:val="32"/>
          <w:szCs w:val="32"/>
          <w:lang w:val="en-US" w:eastAsia="zh-CN"/>
        </w:rPr>
        <w:t>充分发挥工会的服务职能，组织134名教职工开展健康体检，为105名教职工办理了互助金，为120名教职工购买了特种疾病商业险，为52名女职工购买了特种险，看望慰问的24名住院职工和7名困难职工；组织了3.8妇女节活动、全体职工春游和秋游活动以及2次老干部外出活动。成功组织了2023年度教职工乒乓球比赛，72名教职工报名参赛。</w:t>
      </w:r>
      <w:r>
        <w:rPr>
          <w:rFonts w:hint="eastAsia" w:ascii="仿宋" w:hAnsi="仿宋" w:eastAsia="仿宋" w:cs="仿宋_GB2312"/>
          <w:color w:val="000000"/>
          <w:kern w:val="2"/>
          <w:sz w:val="32"/>
          <w:szCs w:val="32"/>
        </w:rPr>
        <w:t>学校顺利通过了省里复评审查，继续荣膺湖南省直文明标兵校园。</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ascii="仿宋" w:hAnsi="仿宋" w:eastAsia="仿宋" w:cs="仿宋_GB2312"/>
          <w:color w:val="000000"/>
          <w:kern w:val="2"/>
          <w:sz w:val="32"/>
          <w:szCs w:val="32"/>
        </w:rPr>
      </w:pPr>
      <w:r>
        <w:rPr>
          <w:rFonts w:hint="eastAsia" w:ascii="仿宋" w:hAnsi="仿宋" w:eastAsia="仿宋" w:cs="仿宋_GB2312"/>
          <w:b/>
          <w:color w:val="000000"/>
          <w:kern w:val="2"/>
          <w:sz w:val="32"/>
          <w:szCs w:val="32"/>
        </w:rPr>
        <w:t>三是正面影响力不断加大。</w:t>
      </w:r>
      <w:r>
        <w:rPr>
          <w:rFonts w:hint="eastAsia" w:ascii="仿宋" w:hAnsi="仿宋" w:eastAsia="仿宋" w:cs="仿宋_GB2312"/>
          <w:b w:val="0"/>
          <w:bCs/>
          <w:color w:val="000000"/>
          <w:kern w:val="2"/>
          <w:sz w:val="32"/>
          <w:szCs w:val="32"/>
          <w:lang w:val="en-US" w:eastAsia="zh-CN"/>
        </w:rPr>
        <w:t>学校</w:t>
      </w:r>
      <w:r>
        <w:rPr>
          <w:rFonts w:hint="eastAsia" w:ascii="仿宋" w:hAnsi="仿宋" w:eastAsia="仿宋" w:cs="仿宋_GB2312"/>
          <w:color w:val="000000"/>
          <w:kern w:val="2"/>
          <w:sz w:val="32"/>
          <w:szCs w:val="32"/>
        </w:rPr>
        <w:t>整合宣传资源，对微信公众号、校园网站、视频号三大宣传主战场做到了</w:t>
      </w:r>
      <w:r>
        <w:rPr>
          <w:rFonts w:hint="eastAsia" w:ascii="仿宋" w:hAnsi="仿宋" w:eastAsia="仿宋" w:cs="仿宋_GB2312"/>
          <w:color w:val="000000"/>
          <w:kern w:val="2"/>
          <w:sz w:val="32"/>
          <w:szCs w:val="32"/>
          <w:lang w:val="en-US" w:eastAsia="zh-CN"/>
        </w:rPr>
        <w:t>信息</w:t>
      </w:r>
      <w:r>
        <w:rPr>
          <w:rFonts w:hint="eastAsia" w:ascii="仿宋" w:hAnsi="仿宋" w:eastAsia="仿宋" w:cs="仿宋_GB2312"/>
          <w:color w:val="000000"/>
          <w:kern w:val="2"/>
          <w:sz w:val="32"/>
          <w:szCs w:val="32"/>
        </w:rPr>
        <w:t>共享、同步更新。2</w:t>
      </w:r>
      <w:r>
        <w:rPr>
          <w:rFonts w:ascii="仿宋" w:hAnsi="仿宋" w:eastAsia="仿宋" w:cs="仿宋_GB2312"/>
          <w:color w:val="000000"/>
          <w:kern w:val="2"/>
          <w:sz w:val="32"/>
          <w:szCs w:val="32"/>
        </w:rPr>
        <w:t>023</w:t>
      </w:r>
      <w:r>
        <w:rPr>
          <w:rFonts w:hint="eastAsia" w:ascii="仿宋" w:hAnsi="仿宋" w:eastAsia="仿宋" w:cs="仿宋_GB2312"/>
          <w:color w:val="000000"/>
          <w:kern w:val="2"/>
          <w:sz w:val="32"/>
          <w:szCs w:val="32"/>
        </w:rPr>
        <w:t>年度学校微信公众号、校园网站、视频号共推送宣传报道共170篇，阅读点击量近10万次，创历年来新高。</w:t>
      </w:r>
      <w:r>
        <w:rPr>
          <w:rFonts w:hint="eastAsia" w:ascii="仿宋" w:hAnsi="仿宋" w:eastAsia="仿宋" w:cs="仿宋_GB2312"/>
          <w:color w:val="000000"/>
          <w:kern w:val="2"/>
          <w:sz w:val="32"/>
          <w:szCs w:val="32"/>
          <w:lang w:val="en-US" w:eastAsia="zh-CN"/>
        </w:rPr>
        <w:t>学校领导撰写</w:t>
      </w:r>
      <w:r>
        <w:rPr>
          <w:rFonts w:hint="eastAsia" w:ascii="仿宋" w:hAnsi="仿宋" w:eastAsia="仿宋" w:cs="仿宋_GB2312"/>
          <w:color w:val="000000"/>
          <w:kern w:val="2"/>
          <w:sz w:val="32"/>
          <w:szCs w:val="32"/>
        </w:rPr>
        <w:t>的</w:t>
      </w:r>
      <w:r>
        <w:rPr>
          <w:rFonts w:hint="eastAsia" w:ascii="仿宋" w:hAnsi="仿宋" w:eastAsia="仿宋" w:cs="仿宋_GB2312"/>
          <w:color w:val="000000"/>
          <w:kern w:val="2"/>
          <w:sz w:val="32"/>
          <w:szCs w:val="32"/>
          <w:lang w:val="en-US" w:eastAsia="zh-CN"/>
        </w:rPr>
        <w:t>理论文章——</w:t>
      </w:r>
      <w:r>
        <w:rPr>
          <w:rFonts w:hint="eastAsia" w:ascii="仿宋" w:hAnsi="仿宋" w:eastAsia="仿宋" w:cs="仿宋_GB2312"/>
          <w:color w:val="000000"/>
          <w:kern w:val="2"/>
          <w:sz w:val="32"/>
          <w:szCs w:val="32"/>
        </w:rPr>
        <w:t>《深入贯彻党的二十大精神 推动中职教育高质量发展》</w:t>
      </w:r>
      <w:r>
        <w:rPr>
          <w:rFonts w:hint="eastAsia" w:ascii="仿宋" w:hAnsi="仿宋" w:eastAsia="仿宋" w:cs="仿宋_GB2312"/>
          <w:color w:val="000000"/>
          <w:kern w:val="2"/>
          <w:sz w:val="32"/>
          <w:szCs w:val="32"/>
          <w:lang w:val="en-US" w:eastAsia="zh-CN"/>
        </w:rPr>
        <w:t>在</w:t>
      </w:r>
      <w:r>
        <w:rPr>
          <w:rFonts w:hint="eastAsia" w:ascii="仿宋" w:hAnsi="仿宋" w:eastAsia="仿宋" w:cs="仿宋_GB2312"/>
          <w:color w:val="000000"/>
          <w:kern w:val="2"/>
          <w:sz w:val="32"/>
          <w:szCs w:val="32"/>
        </w:rPr>
        <w:t>人民网</w:t>
      </w:r>
      <w:r>
        <w:rPr>
          <w:rFonts w:hint="eastAsia" w:ascii="仿宋" w:hAnsi="仿宋" w:eastAsia="仿宋" w:cs="仿宋_GB2312"/>
          <w:color w:val="000000"/>
          <w:kern w:val="2"/>
          <w:sz w:val="32"/>
          <w:szCs w:val="32"/>
          <w:lang w:val="en-US" w:eastAsia="zh-CN"/>
        </w:rPr>
        <w:t>等媒体上</w:t>
      </w:r>
      <w:r>
        <w:rPr>
          <w:rFonts w:hint="eastAsia" w:ascii="仿宋" w:hAnsi="仿宋" w:eastAsia="仿宋" w:cs="仿宋_GB2312"/>
          <w:color w:val="000000"/>
          <w:kern w:val="2"/>
          <w:sz w:val="32"/>
          <w:szCs w:val="32"/>
        </w:rPr>
        <w:t>发表</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rPr>
        <w:t>点击量超5万人次。</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楷体" w:hAnsi="楷体" w:eastAsia="楷体" w:cs="楷体"/>
          <w:b/>
          <w:bCs w:val="0"/>
          <w:color w:val="000000"/>
          <w:kern w:val="2"/>
          <w:sz w:val="32"/>
          <w:szCs w:val="32"/>
        </w:rPr>
      </w:pPr>
      <w:r>
        <w:rPr>
          <w:rFonts w:hint="eastAsia" w:ascii="楷体" w:hAnsi="楷体" w:eastAsia="楷体" w:cs="楷体"/>
          <w:b/>
          <w:bCs w:val="0"/>
          <w:color w:val="000000"/>
          <w:kern w:val="2"/>
          <w:sz w:val="32"/>
          <w:szCs w:val="32"/>
          <w:lang w:val="en-US" w:eastAsia="zh-CN"/>
        </w:rPr>
        <w:t>2、</w:t>
      </w:r>
      <w:r>
        <w:rPr>
          <w:rFonts w:hint="eastAsia" w:ascii="楷体" w:hAnsi="楷体" w:eastAsia="楷体" w:cs="楷体"/>
          <w:b/>
          <w:bCs w:val="0"/>
          <w:color w:val="000000"/>
          <w:kern w:val="2"/>
          <w:sz w:val="32"/>
          <w:szCs w:val="32"/>
        </w:rPr>
        <w:t>规范校园管理上</w:t>
      </w:r>
      <w:r>
        <w:rPr>
          <w:rFonts w:hint="eastAsia" w:ascii="楷体" w:hAnsi="楷体" w:eastAsia="楷体" w:cs="楷体"/>
          <w:b/>
          <w:bCs w:val="0"/>
          <w:color w:val="000000"/>
          <w:kern w:val="2"/>
          <w:sz w:val="32"/>
          <w:szCs w:val="32"/>
          <w:lang w:val="en-US" w:eastAsia="zh-CN"/>
        </w:rPr>
        <w:t>有</w:t>
      </w:r>
      <w:r>
        <w:rPr>
          <w:rFonts w:hint="eastAsia" w:ascii="楷体" w:hAnsi="楷体" w:eastAsia="楷体" w:cs="楷体"/>
          <w:b/>
          <w:bCs w:val="0"/>
          <w:color w:val="000000"/>
          <w:kern w:val="2"/>
          <w:sz w:val="32"/>
          <w:szCs w:val="32"/>
        </w:rPr>
        <w:t>“</w:t>
      </w:r>
      <w:r>
        <w:rPr>
          <w:rFonts w:hint="eastAsia" w:ascii="楷体" w:hAnsi="楷体" w:eastAsia="楷体" w:cs="楷体"/>
          <w:b/>
          <w:bCs w:val="0"/>
          <w:color w:val="000000"/>
          <w:kern w:val="2"/>
          <w:sz w:val="32"/>
          <w:szCs w:val="32"/>
          <w:lang w:val="en-US" w:eastAsia="zh-CN"/>
        </w:rPr>
        <w:t>新</w:t>
      </w:r>
      <w:r>
        <w:rPr>
          <w:rFonts w:hint="eastAsia" w:ascii="楷体" w:hAnsi="楷体" w:eastAsia="楷体" w:cs="楷体"/>
          <w:b/>
          <w:bCs w:val="0"/>
          <w:color w:val="000000"/>
          <w:kern w:val="2"/>
          <w:sz w:val="32"/>
          <w:szCs w:val="32"/>
        </w:rPr>
        <w:t>成效”</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rPr>
        <w:t>一是持续推进制度化建设。</w:t>
      </w:r>
      <w:r>
        <w:rPr>
          <w:rFonts w:hint="eastAsia" w:ascii="仿宋_GB2312" w:eastAsia="仿宋_GB2312"/>
          <w:color w:val="000000"/>
          <w:sz w:val="32"/>
          <w:szCs w:val="32"/>
          <w:lang w:val="en-US" w:eastAsia="zh-CN"/>
        </w:rPr>
        <w:t>学校新制定了</w:t>
      </w:r>
      <w:r>
        <w:rPr>
          <w:rFonts w:hint="eastAsia" w:ascii="仿宋_GB2312" w:eastAsia="仿宋_GB2312"/>
          <w:color w:val="000000"/>
          <w:sz w:val="32"/>
          <w:szCs w:val="32"/>
          <w:lang w:eastAsia="zh-CN"/>
        </w:rPr>
        <w:t>《学生突发事件应急处理办法》《</w:t>
      </w:r>
      <w:r>
        <w:rPr>
          <w:rFonts w:hint="eastAsia" w:ascii="仿宋_GB2312" w:eastAsia="仿宋_GB2312"/>
          <w:color w:val="000000"/>
          <w:sz w:val="32"/>
          <w:szCs w:val="32"/>
          <w:lang w:val="en-US" w:eastAsia="zh-CN"/>
        </w:rPr>
        <w:t>寄宿制学生安全管理办法</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学校视频监控管理办法</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教职工集体宿舍管理办法</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完善了</w:t>
      </w:r>
      <w:r>
        <w:rPr>
          <w:rFonts w:hint="eastAsia" w:ascii="仿宋_GB2312" w:eastAsia="仿宋_GB2312"/>
          <w:color w:val="000000"/>
          <w:sz w:val="32"/>
          <w:szCs w:val="32"/>
        </w:rPr>
        <w:t>《专技人员职称申报和岗位聘用实施办法》《劳务派遣人员考核方案》</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关于规范接待有关事项的补充规定</w:t>
      </w:r>
      <w:r>
        <w:rPr>
          <w:rFonts w:hint="eastAsia" w:ascii="仿宋_GB2312" w:eastAsia="仿宋_GB2312"/>
          <w:color w:val="000000"/>
          <w:sz w:val="32"/>
          <w:szCs w:val="32"/>
          <w:lang w:eastAsia="zh-CN"/>
        </w:rPr>
        <w:t>》</w:t>
      </w:r>
      <w:r>
        <w:rPr>
          <w:rFonts w:hint="eastAsia" w:ascii="仿宋_GB2312" w:eastAsia="仿宋_GB2312"/>
          <w:color w:val="000000"/>
          <w:sz w:val="32"/>
          <w:szCs w:val="32"/>
        </w:rPr>
        <w:t>等制度文件，全面规范</w:t>
      </w:r>
      <w:r>
        <w:rPr>
          <w:rFonts w:hint="eastAsia" w:ascii="仿宋_GB2312" w:eastAsia="仿宋_GB2312"/>
          <w:color w:val="000000"/>
          <w:sz w:val="32"/>
          <w:szCs w:val="32"/>
          <w:lang w:val="en-US" w:eastAsia="zh-CN"/>
        </w:rPr>
        <w:t>和加强学校</w:t>
      </w:r>
      <w:r>
        <w:rPr>
          <w:rFonts w:hint="eastAsia" w:ascii="仿宋_GB2312" w:eastAsia="仿宋_GB2312"/>
          <w:color w:val="000000"/>
          <w:sz w:val="32"/>
          <w:szCs w:val="32"/>
        </w:rPr>
        <w:t>各项管理</w:t>
      </w:r>
      <w:r>
        <w:rPr>
          <w:rFonts w:hint="eastAsia" w:ascii="仿宋_GB2312" w:eastAsia="仿宋_GB2312"/>
          <w:color w:val="000000"/>
          <w:sz w:val="32"/>
          <w:szCs w:val="32"/>
          <w:lang w:val="en-US" w:eastAsia="zh-CN"/>
        </w:rPr>
        <w:t>工作。全面推动学校信息化政务建设，在收文、公车使用等方面全面实现了OA线上办理、审批，提高了办事效率。</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仿宋" w:hAnsi="仿宋" w:eastAsia="仿宋" w:cs="仿宋_GB2312"/>
          <w:color w:val="000000"/>
          <w:kern w:val="2"/>
          <w:sz w:val="32"/>
          <w:szCs w:val="32"/>
        </w:rPr>
      </w:pPr>
      <w:r>
        <w:rPr>
          <w:rFonts w:hint="eastAsia" w:ascii="仿宋_GB2312" w:eastAsia="仿宋_GB2312"/>
          <w:color w:val="000000"/>
          <w:sz w:val="32"/>
          <w:szCs w:val="32"/>
        </w:rPr>
        <w:t>二是</w:t>
      </w:r>
      <w:r>
        <w:rPr>
          <w:rFonts w:hint="eastAsia" w:ascii="仿宋_GB2312" w:eastAsia="仿宋_GB2312"/>
          <w:color w:val="000000"/>
          <w:sz w:val="32"/>
          <w:szCs w:val="32"/>
          <w:lang w:val="en-US" w:eastAsia="zh-CN"/>
        </w:rPr>
        <w:t>扎实抓</w:t>
      </w:r>
      <w:r>
        <w:rPr>
          <w:rFonts w:hint="eastAsia" w:ascii="仿宋_GB2312" w:eastAsia="仿宋_GB2312"/>
          <w:color w:val="000000"/>
          <w:sz w:val="32"/>
          <w:szCs w:val="32"/>
        </w:rPr>
        <w:t>好校园安全管理。认真</w:t>
      </w:r>
      <w:r>
        <w:rPr>
          <w:rFonts w:ascii="仿宋_GB2312" w:eastAsia="仿宋_GB2312"/>
          <w:color w:val="000000"/>
          <w:sz w:val="32"/>
          <w:szCs w:val="32"/>
        </w:rPr>
        <w:t>落实每周主题班会制度，加强学生的</w:t>
      </w:r>
      <w:r>
        <w:rPr>
          <w:rFonts w:hint="eastAsia" w:ascii="仿宋_GB2312" w:eastAsia="仿宋_GB2312"/>
          <w:color w:val="000000"/>
          <w:sz w:val="32"/>
          <w:szCs w:val="32"/>
        </w:rPr>
        <w:t>安全</w:t>
      </w:r>
      <w:r>
        <w:rPr>
          <w:rFonts w:ascii="仿宋_GB2312" w:eastAsia="仿宋_GB2312"/>
          <w:color w:val="000000"/>
          <w:sz w:val="32"/>
          <w:szCs w:val="32"/>
        </w:rPr>
        <w:t>教育引导</w:t>
      </w:r>
      <w:r>
        <w:rPr>
          <w:rFonts w:hint="eastAsia" w:ascii="仿宋_GB2312" w:eastAsia="仿宋_GB2312"/>
          <w:color w:val="000000"/>
          <w:sz w:val="32"/>
          <w:szCs w:val="32"/>
        </w:rPr>
        <w:t>。全年</w:t>
      </w:r>
      <w:r>
        <w:rPr>
          <w:rFonts w:hint="eastAsia" w:ascii="仿宋_GB2312" w:eastAsia="仿宋_GB2312"/>
          <w:color w:val="000000"/>
          <w:sz w:val="32"/>
          <w:szCs w:val="32"/>
          <w:lang w:val="en-US" w:eastAsia="zh-CN"/>
        </w:rPr>
        <w:t>开展各类安全知识专项宣传活动共10次，</w:t>
      </w:r>
      <w:r>
        <w:rPr>
          <w:rFonts w:hint="eastAsia" w:ascii="仿宋_GB2312" w:eastAsia="仿宋_GB2312"/>
          <w:color w:val="000000"/>
          <w:sz w:val="32"/>
          <w:szCs w:val="32"/>
        </w:rPr>
        <w:t>开展消防知识讲座暨消防疏散演练2次，学生法制教育讲座1次。加大安全基础设施投入，</w:t>
      </w:r>
      <w:r>
        <w:rPr>
          <w:rFonts w:hint="eastAsia" w:ascii="仿宋_GB2312" w:eastAsia="仿宋_GB2312"/>
          <w:color w:val="000000"/>
          <w:sz w:val="32"/>
          <w:szCs w:val="32"/>
          <w:lang w:val="en-US" w:eastAsia="zh-CN"/>
        </w:rPr>
        <w:t>完善监控设施，目前全校共有329个高清摄像头，</w:t>
      </w:r>
      <w:r>
        <w:rPr>
          <w:rFonts w:hint="eastAsia" w:ascii="仿宋_GB2312" w:eastAsia="仿宋_GB2312"/>
          <w:color w:val="000000"/>
          <w:sz w:val="32"/>
          <w:szCs w:val="32"/>
        </w:rPr>
        <w:t>做到校园内高清监控无死角。建立了安全隐患排查制和消号制，每月开展一次全校安全大检查，落实楼栋长巡楼制度</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及时排查和消除各类安全</w:t>
      </w:r>
      <w:r>
        <w:rPr>
          <w:rFonts w:hint="eastAsia" w:ascii="仿宋_GB2312" w:eastAsia="仿宋_GB2312"/>
          <w:color w:val="000000"/>
          <w:sz w:val="32"/>
          <w:szCs w:val="32"/>
        </w:rPr>
        <w:t>隐患，全年</w:t>
      </w:r>
      <w:r>
        <w:rPr>
          <w:rFonts w:hint="eastAsia" w:ascii="仿宋_GB2312" w:eastAsia="仿宋_GB2312"/>
          <w:color w:val="000000"/>
          <w:sz w:val="32"/>
          <w:szCs w:val="32"/>
          <w:lang w:val="en-US" w:eastAsia="zh-CN"/>
        </w:rPr>
        <w:t>共发现安全隐患64项，均已整改到位，重点查处了2起学生安全事故，</w:t>
      </w:r>
      <w:r>
        <w:rPr>
          <w:rFonts w:hint="eastAsia" w:ascii="仿宋_GB2312" w:eastAsia="仿宋_GB2312"/>
          <w:color w:val="000000"/>
          <w:sz w:val="32"/>
          <w:szCs w:val="32"/>
        </w:rPr>
        <w:t>没有发生一起重大安全事</w:t>
      </w:r>
      <w:r>
        <w:rPr>
          <w:rFonts w:hint="eastAsia" w:ascii="仿宋" w:hAnsi="仿宋" w:eastAsia="仿宋" w:cs="仿宋_GB2312"/>
          <w:color w:val="000000"/>
          <w:kern w:val="2"/>
          <w:sz w:val="32"/>
          <w:szCs w:val="32"/>
        </w:rPr>
        <w:t>故。</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仿宋" w:hAnsi="仿宋" w:eastAsia="仿宋" w:cs="仿宋_GB2312"/>
          <w:color w:val="000000"/>
          <w:kern w:val="2"/>
          <w:sz w:val="32"/>
          <w:szCs w:val="32"/>
          <w:lang w:val="en-US" w:eastAsia="zh-CN"/>
        </w:rPr>
      </w:pPr>
      <w:r>
        <w:rPr>
          <w:rFonts w:hint="eastAsia" w:ascii="仿宋" w:hAnsi="仿宋" w:eastAsia="仿宋" w:cs="仿宋_GB2312"/>
          <w:color w:val="000000"/>
          <w:kern w:val="2"/>
          <w:sz w:val="32"/>
          <w:szCs w:val="32"/>
          <w:lang w:val="en-US" w:eastAsia="zh-CN"/>
        </w:rPr>
        <w:t>三是认真做好健康管理。做好健康知识普及宣传工作，邀请省市医院专家教授来校讲座，全年共开展10场健康知识专题讲座。全校在校学生均建立了健康档案，医务室全年接待学生就诊2364人次，并免费给教职工提供药品代购。</w:t>
      </w:r>
      <w:r>
        <w:rPr>
          <w:rFonts w:hint="eastAsia" w:ascii="仿宋" w:hAnsi="仿宋" w:eastAsia="仿宋" w:cs="仿宋_GB2312"/>
          <w:color w:val="000000"/>
          <w:kern w:val="2"/>
          <w:sz w:val="32"/>
          <w:szCs w:val="32"/>
        </w:rPr>
        <w:t>坚持严防死守，</w:t>
      </w:r>
      <w:r>
        <w:rPr>
          <w:rFonts w:hint="eastAsia" w:ascii="仿宋" w:hAnsi="仿宋" w:eastAsia="仿宋" w:cs="仿宋_GB2312"/>
          <w:color w:val="000000"/>
          <w:kern w:val="2"/>
          <w:sz w:val="32"/>
          <w:szCs w:val="32"/>
          <w:lang w:val="en-US" w:eastAsia="zh-CN"/>
        </w:rPr>
        <w:t>落实疫情防控措施，</w:t>
      </w:r>
      <w:r>
        <w:rPr>
          <w:rFonts w:hint="eastAsia" w:ascii="仿宋" w:hAnsi="仿宋" w:eastAsia="仿宋" w:cs="仿宋_GB2312"/>
          <w:color w:val="000000"/>
          <w:kern w:val="2"/>
          <w:sz w:val="32"/>
          <w:szCs w:val="32"/>
        </w:rPr>
        <w:t>确保</w:t>
      </w:r>
      <w:r>
        <w:rPr>
          <w:rFonts w:hint="eastAsia" w:ascii="仿宋" w:hAnsi="仿宋" w:eastAsia="仿宋" w:cs="仿宋_GB2312"/>
          <w:color w:val="000000"/>
          <w:kern w:val="2"/>
          <w:sz w:val="32"/>
          <w:szCs w:val="32"/>
          <w:lang w:val="en-US" w:eastAsia="zh-CN"/>
        </w:rPr>
        <w:t>学校无疫情防控事故</w:t>
      </w:r>
      <w:r>
        <w:rPr>
          <w:rFonts w:hint="eastAsia" w:ascii="仿宋" w:hAnsi="仿宋" w:eastAsia="仿宋" w:cs="仿宋_GB2312"/>
          <w:color w:val="000000"/>
          <w:kern w:val="2"/>
          <w:sz w:val="32"/>
          <w:szCs w:val="32"/>
        </w:rPr>
        <w:t>。聘请专业团队，对全校学生开展心理健康普查，建立心理咨询台账，开展学生心理健康讲座2次，教师心理健康讲座1次，开展班主任提升心理危机干预技巧的培训2次，开展线上线下一对一心理辅导合计132人次，提供家庭治疗6次，</w:t>
      </w:r>
      <w:r>
        <w:rPr>
          <w:rFonts w:hint="eastAsia" w:ascii="仿宋" w:hAnsi="仿宋" w:eastAsia="仿宋" w:cs="仿宋_GB2312"/>
          <w:color w:val="000000"/>
          <w:kern w:val="2"/>
          <w:sz w:val="32"/>
          <w:szCs w:val="32"/>
          <w:lang w:val="en-US" w:eastAsia="zh-CN"/>
        </w:rPr>
        <w:t>极大缓解了</w:t>
      </w:r>
      <w:r>
        <w:rPr>
          <w:rFonts w:hint="eastAsia" w:ascii="仿宋" w:hAnsi="仿宋" w:eastAsia="仿宋" w:cs="仿宋_GB2312"/>
          <w:color w:val="000000"/>
          <w:kern w:val="2"/>
          <w:sz w:val="32"/>
          <w:szCs w:val="32"/>
        </w:rPr>
        <w:t>学生的心理问题。</w:t>
      </w:r>
      <w:r>
        <w:rPr>
          <w:rFonts w:hint="eastAsia" w:ascii="仿宋" w:hAnsi="仿宋" w:eastAsia="仿宋" w:cs="仿宋_GB2312"/>
          <w:color w:val="000000"/>
          <w:kern w:val="2"/>
          <w:sz w:val="32"/>
          <w:szCs w:val="32"/>
          <w:lang w:val="en-US" w:eastAsia="zh-CN"/>
        </w:rPr>
        <w:t>学校</w:t>
      </w:r>
      <w:r>
        <w:rPr>
          <w:rFonts w:hint="eastAsia" w:ascii="仿宋" w:hAnsi="仿宋" w:eastAsia="仿宋" w:cs="仿宋_GB2312"/>
          <w:color w:val="000000"/>
          <w:kern w:val="2"/>
          <w:sz w:val="32"/>
          <w:szCs w:val="32"/>
        </w:rPr>
        <w:t>联合省女子戒毒所定期开展禁毒宣传活动。</w:t>
      </w:r>
      <w:r>
        <w:rPr>
          <w:rFonts w:hint="eastAsia" w:ascii="仿宋" w:hAnsi="仿宋" w:eastAsia="仿宋" w:cs="仿宋_GB2312"/>
          <w:color w:val="000000"/>
          <w:kern w:val="2"/>
          <w:sz w:val="32"/>
          <w:szCs w:val="32"/>
          <w:lang w:val="en-US" w:eastAsia="zh-CN"/>
        </w:rPr>
        <w:t>学校被评为2023年度雨花区“健康学校”。</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楷体" w:hAnsi="楷体" w:eastAsia="楷体" w:cs="楷体"/>
          <w:b/>
          <w:bCs/>
          <w:color w:val="000000"/>
          <w:kern w:val="2"/>
          <w:sz w:val="32"/>
          <w:szCs w:val="32"/>
        </w:rPr>
      </w:pPr>
      <w:r>
        <w:rPr>
          <w:rFonts w:hint="eastAsia" w:ascii="楷体" w:hAnsi="楷体" w:eastAsia="楷体" w:cs="楷体"/>
          <w:b/>
          <w:bCs/>
          <w:color w:val="000000"/>
          <w:kern w:val="2"/>
          <w:sz w:val="32"/>
          <w:szCs w:val="32"/>
          <w:lang w:val="en-US" w:eastAsia="zh-CN"/>
        </w:rPr>
        <w:t>3、</w:t>
      </w:r>
      <w:r>
        <w:rPr>
          <w:rFonts w:hint="eastAsia" w:ascii="楷体" w:hAnsi="楷体" w:eastAsia="楷体" w:cs="楷体"/>
          <w:b/>
          <w:bCs/>
          <w:color w:val="000000"/>
          <w:kern w:val="2"/>
          <w:sz w:val="32"/>
          <w:szCs w:val="32"/>
        </w:rPr>
        <w:t>改善校园环境上“</w:t>
      </w:r>
      <w:r>
        <w:rPr>
          <w:rFonts w:hint="eastAsia" w:ascii="楷体" w:hAnsi="楷体" w:eastAsia="楷体" w:cs="楷体"/>
          <w:b/>
          <w:bCs/>
          <w:color w:val="000000"/>
          <w:kern w:val="2"/>
          <w:sz w:val="32"/>
          <w:szCs w:val="32"/>
          <w:lang w:val="en-US" w:eastAsia="zh-CN"/>
        </w:rPr>
        <w:t>新</w:t>
      </w:r>
      <w:r>
        <w:rPr>
          <w:rFonts w:hint="eastAsia" w:ascii="楷体" w:hAnsi="楷体" w:eastAsia="楷体" w:cs="楷体"/>
          <w:b/>
          <w:bCs/>
          <w:color w:val="000000"/>
          <w:kern w:val="2"/>
          <w:sz w:val="32"/>
          <w:szCs w:val="32"/>
        </w:rPr>
        <w:t>成效”</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仿宋_GB2312" w:hAnsi="Times New Roman" w:eastAsia="仿宋" w:cs="Times New Roman"/>
          <w:color w:val="000000"/>
          <w:sz w:val="32"/>
          <w:szCs w:val="32"/>
          <w:lang w:val="en-US" w:eastAsia="zh-CN"/>
        </w:rPr>
      </w:pPr>
      <w:r>
        <w:rPr>
          <w:rFonts w:hint="eastAsia" w:ascii="仿宋_GB2312" w:hAnsi="Times New Roman" w:eastAsia="仿宋_GB2312" w:cs="Times New Roman"/>
          <w:color w:val="000000"/>
          <w:sz w:val="32"/>
          <w:szCs w:val="32"/>
        </w:rPr>
        <w:t>今年学校累计投入</w:t>
      </w:r>
      <w:r>
        <w:rPr>
          <w:rFonts w:hint="eastAsia" w:ascii="仿宋_GB2312" w:hAnsi="Times New Roman"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00</w:t>
      </w:r>
      <w:r>
        <w:rPr>
          <w:rFonts w:hint="eastAsia" w:ascii="仿宋_GB2312" w:hAnsi="Times New Roman" w:eastAsia="仿宋_GB2312" w:cs="Times New Roman"/>
          <w:color w:val="000000"/>
          <w:sz w:val="32"/>
          <w:szCs w:val="32"/>
          <w:lang w:val="en-US" w:eastAsia="zh-CN"/>
        </w:rPr>
        <w:t>多</w:t>
      </w:r>
      <w:r>
        <w:rPr>
          <w:rFonts w:hint="eastAsia" w:ascii="仿宋_GB2312" w:hAnsi="Times New Roman" w:eastAsia="仿宋_GB2312" w:cs="Times New Roman"/>
          <w:color w:val="000000"/>
          <w:sz w:val="32"/>
          <w:szCs w:val="32"/>
        </w:rPr>
        <w:t>万元，</w:t>
      </w:r>
      <w:r>
        <w:rPr>
          <w:rFonts w:hint="eastAsia" w:ascii="仿宋_GB2312" w:hAnsi="Times New Roman" w:eastAsia="仿宋_GB2312" w:cs="Times New Roman"/>
          <w:color w:val="000000"/>
          <w:sz w:val="32"/>
          <w:szCs w:val="32"/>
          <w:lang w:val="en-US" w:eastAsia="zh-CN"/>
        </w:rPr>
        <w:t>启动改造及维修项目30余个，</w:t>
      </w:r>
      <w:r>
        <w:rPr>
          <w:rFonts w:hint="eastAsia" w:ascii="仿宋_GB2312" w:hAnsi="Times New Roman" w:eastAsia="仿宋_GB2312" w:cs="Times New Roman"/>
          <w:color w:val="000000"/>
          <w:sz w:val="32"/>
          <w:szCs w:val="32"/>
        </w:rPr>
        <w:t>全面改善</w:t>
      </w:r>
      <w:r>
        <w:rPr>
          <w:rFonts w:hint="eastAsia" w:ascii="仿宋_GB2312" w:hAnsi="Times New Roman" w:eastAsia="仿宋_GB2312" w:cs="Times New Roman"/>
          <w:color w:val="000000"/>
          <w:sz w:val="32"/>
          <w:szCs w:val="32"/>
          <w:lang w:val="en-US" w:eastAsia="zh-CN"/>
        </w:rPr>
        <w:t>学校办学</w:t>
      </w:r>
      <w:r>
        <w:rPr>
          <w:rFonts w:hint="eastAsia" w:ascii="仿宋_GB2312" w:hAnsi="Times New Roman" w:eastAsia="仿宋_GB2312" w:cs="Times New Roman"/>
          <w:color w:val="000000"/>
          <w:sz w:val="32"/>
          <w:szCs w:val="32"/>
        </w:rPr>
        <w:t>条件。建设校园</w:t>
      </w:r>
      <w:r>
        <w:rPr>
          <w:rFonts w:hint="eastAsia" w:ascii="仿宋_GB2312" w:hAnsi="Times New Roman" w:eastAsia="仿宋_GB2312" w:cs="Times New Roman"/>
          <w:color w:val="000000"/>
          <w:sz w:val="32"/>
          <w:szCs w:val="32"/>
          <w:lang w:val="en-US" w:eastAsia="zh-CN"/>
        </w:rPr>
        <w:t>专用</w:t>
      </w:r>
      <w:r>
        <w:rPr>
          <w:rFonts w:hint="eastAsia" w:ascii="仿宋_GB2312" w:hAnsi="Times New Roman" w:eastAsia="仿宋_GB2312" w:cs="Times New Roman"/>
          <w:color w:val="000000"/>
          <w:sz w:val="32"/>
          <w:szCs w:val="32"/>
        </w:rPr>
        <w:t>停车场，规范校园停车，全面实现校园内人车分流</w:t>
      </w:r>
      <w:r>
        <w:rPr>
          <w:rFonts w:hint="eastAsia" w:ascii="仿宋_GB2312" w:hAnsi="Times New Roman" w:eastAsia="仿宋_GB2312" w:cs="Times New Roman"/>
          <w:color w:val="000000"/>
          <w:sz w:val="32"/>
          <w:szCs w:val="32"/>
          <w:lang w:eastAsia="zh-CN"/>
        </w:rPr>
        <w:t>，</w:t>
      </w:r>
      <w:r>
        <w:rPr>
          <w:rFonts w:hint="eastAsia" w:ascii="仿宋_GB2312" w:hAnsi="Times New Roman" w:eastAsia="仿宋_GB2312" w:cs="Times New Roman"/>
          <w:color w:val="000000"/>
          <w:sz w:val="32"/>
          <w:szCs w:val="32"/>
          <w:lang w:val="en-US" w:eastAsia="zh-CN"/>
        </w:rPr>
        <w:t>从根本上解决校园内安全隐患</w:t>
      </w:r>
      <w:r>
        <w:rPr>
          <w:rFonts w:hint="eastAsia" w:ascii="仿宋_GB2312" w:hAnsi="Times New Roman" w:eastAsia="仿宋_GB2312" w:cs="Times New Roman"/>
          <w:color w:val="000000"/>
          <w:sz w:val="32"/>
          <w:szCs w:val="32"/>
        </w:rPr>
        <w:t>。</w:t>
      </w:r>
      <w:r>
        <w:rPr>
          <w:rFonts w:hint="eastAsia" w:ascii="仿宋_GB2312" w:hAnsi="Times New Roman" w:eastAsia="仿宋_GB2312" w:cs="Times New Roman"/>
          <w:color w:val="000000"/>
          <w:sz w:val="32"/>
          <w:szCs w:val="32"/>
          <w:lang w:val="en-US" w:eastAsia="zh-CN"/>
        </w:rPr>
        <w:t>新建</w:t>
      </w:r>
      <w:r>
        <w:rPr>
          <w:rFonts w:hint="eastAsia" w:ascii="仿宋_GB2312" w:hAnsi="Times New Roman" w:eastAsia="仿宋_GB2312" w:cs="Times New Roman"/>
          <w:color w:val="000000"/>
          <w:sz w:val="32"/>
          <w:szCs w:val="32"/>
        </w:rPr>
        <w:t>现代化计算机房一个</w:t>
      </w:r>
      <w:r>
        <w:rPr>
          <w:rFonts w:hint="eastAsia" w:ascii="仿宋_GB2312" w:hAnsi="Times New Roman" w:eastAsia="仿宋_GB2312" w:cs="Times New Roman"/>
          <w:color w:val="000000"/>
          <w:sz w:val="32"/>
          <w:szCs w:val="32"/>
          <w:lang w:eastAsia="zh-CN"/>
        </w:rPr>
        <w:t>，</w:t>
      </w:r>
      <w:r>
        <w:rPr>
          <w:rFonts w:hint="eastAsia" w:ascii="仿宋_GB2312" w:hAnsi="Times New Roman" w:eastAsia="仿宋_GB2312" w:cs="Times New Roman"/>
          <w:color w:val="000000"/>
          <w:sz w:val="32"/>
          <w:szCs w:val="32"/>
          <w:lang w:val="en-US" w:eastAsia="zh-CN"/>
        </w:rPr>
        <w:t>解决机房不够用的问题</w:t>
      </w:r>
      <w:r>
        <w:rPr>
          <w:rFonts w:hint="eastAsia" w:ascii="仿宋_GB2312" w:hAnsi="Times New Roman" w:eastAsia="仿宋_GB2312" w:cs="Times New Roman"/>
          <w:color w:val="000000"/>
          <w:sz w:val="32"/>
          <w:szCs w:val="32"/>
        </w:rPr>
        <w:t>。在三公寓和四宿舍增设室外钢结构楼梯，解决了这两个宿舍逃生通道不足的问题。</w:t>
      </w:r>
      <w:r>
        <w:rPr>
          <w:rFonts w:hint="eastAsia" w:ascii="仿宋_GB2312" w:hAnsi="Times New Roman" w:eastAsia="仿宋_GB2312" w:cs="Times New Roman"/>
          <w:color w:val="000000"/>
          <w:sz w:val="32"/>
          <w:szCs w:val="32"/>
          <w:lang w:val="en-US" w:eastAsia="zh-CN"/>
        </w:rPr>
        <w:t>充分利用有限空间，</w:t>
      </w:r>
      <w:r>
        <w:rPr>
          <w:rFonts w:hint="eastAsia" w:ascii="仿宋_GB2312" w:hAnsi="Times New Roman" w:eastAsia="仿宋_GB2312" w:cs="Times New Roman"/>
          <w:color w:val="000000"/>
          <w:sz w:val="32"/>
          <w:szCs w:val="32"/>
        </w:rPr>
        <w:t>新增</w:t>
      </w:r>
      <w:r>
        <w:rPr>
          <w:rFonts w:hint="eastAsia" w:ascii="仿宋_GB2312" w:hAnsi="Times New Roman" w:eastAsia="仿宋_GB2312" w:cs="Times New Roman"/>
          <w:color w:val="000000"/>
          <w:sz w:val="32"/>
          <w:szCs w:val="32"/>
          <w:lang w:val="en-US" w:eastAsia="zh-CN"/>
        </w:rPr>
        <w:t>学生</w:t>
      </w:r>
      <w:r>
        <w:rPr>
          <w:rFonts w:hint="eastAsia" w:ascii="仿宋_GB2312" w:hAnsi="Times New Roman" w:eastAsia="仿宋_GB2312" w:cs="Times New Roman"/>
          <w:color w:val="000000"/>
          <w:sz w:val="32"/>
          <w:szCs w:val="32"/>
        </w:rPr>
        <w:t>羽毛球场2个、乒乓球台4个，</w:t>
      </w:r>
      <w:r>
        <w:rPr>
          <w:rFonts w:hint="eastAsia" w:ascii="仿宋_GB2312" w:hAnsi="Times New Roman" w:eastAsia="仿宋_GB2312" w:cs="Times New Roman"/>
          <w:color w:val="000000"/>
          <w:sz w:val="32"/>
          <w:szCs w:val="32"/>
          <w:lang w:val="en-US" w:eastAsia="zh-CN"/>
        </w:rPr>
        <w:t>改善了学生</w:t>
      </w:r>
      <w:r>
        <w:rPr>
          <w:rFonts w:hint="eastAsia" w:ascii="仿宋" w:hAnsi="仿宋" w:eastAsia="仿宋" w:cs="仿宋"/>
          <w:sz w:val="32"/>
          <w:szCs w:val="32"/>
          <w:lang w:val="en-US" w:eastAsia="zh-CN"/>
        </w:rPr>
        <w:t>运动设施条件</w:t>
      </w:r>
      <w:r>
        <w:rPr>
          <w:rFonts w:hint="eastAsia" w:ascii="仿宋_GB2312" w:hAnsi="Times New Roman" w:eastAsia="仿宋_GB2312" w:cs="Times New Roman"/>
          <w:color w:val="000000"/>
          <w:sz w:val="32"/>
          <w:szCs w:val="32"/>
        </w:rPr>
        <w:t>。</w:t>
      </w:r>
      <w:r>
        <w:rPr>
          <w:rFonts w:hint="eastAsia" w:ascii="仿宋_GB2312" w:hAnsi="Times New Roman" w:eastAsia="仿宋_GB2312" w:cs="Times New Roman"/>
          <w:color w:val="000000"/>
          <w:sz w:val="32"/>
          <w:szCs w:val="32"/>
          <w:lang w:val="en-US" w:eastAsia="zh-CN"/>
        </w:rPr>
        <w:t>改造了</w:t>
      </w:r>
      <w:r>
        <w:rPr>
          <w:rFonts w:hint="eastAsia" w:ascii="仿宋" w:hAnsi="仿宋" w:eastAsia="仿宋" w:cs="仿宋"/>
          <w:sz w:val="32"/>
          <w:szCs w:val="32"/>
          <w:lang w:eastAsia="zh-CN"/>
        </w:rPr>
        <w:t>国龙酒店六楼羽毛球馆</w:t>
      </w:r>
      <w:r>
        <w:rPr>
          <w:rFonts w:hint="eastAsia" w:ascii="仿宋" w:hAnsi="仿宋" w:eastAsia="仿宋" w:cs="仿宋"/>
          <w:sz w:val="32"/>
          <w:szCs w:val="32"/>
        </w:rPr>
        <w:t>，</w:t>
      </w:r>
      <w:r>
        <w:rPr>
          <w:rFonts w:hint="eastAsia" w:ascii="仿宋" w:hAnsi="仿宋" w:eastAsia="仿宋" w:cs="仿宋"/>
          <w:sz w:val="32"/>
          <w:szCs w:val="32"/>
          <w:lang w:val="en-US" w:eastAsia="zh-CN"/>
        </w:rPr>
        <w:t>激发了教职工运动热情。</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黑体" w:hAnsi="黑体" w:eastAsia="黑体"/>
          <w:color w:val="000000"/>
          <w:kern w:val="2"/>
          <w:sz w:val="32"/>
          <w:szCs w:val="32"/>
        </w:rPr>
      </w:pPr>
      <w:r>
        <w:rPr>
          <w:rFonts w:hint="eastAsia" w:ascii="黑体" w:hAnsi="黑体" w:eastAsia="黑体"/>
          <w:color w:val="000000"/>
          <w:kern w:val="2"/>
          <w:sz w:val="32"/>
          <w:szCs w:val="32"/>
        </w:rPr>
        <w:t>最后，</w:t>
      </w:r>
      <w:r>
        <w:rPr>
          <w:rFonts w:hint="eastAsia" w:ascii="黑体" w:hAnsi="黑体" w:eastAsia="黑体"/>
          <w:color w:val="000000"/>
          <w:kern w:val="2"/>
          <w:sz w:val="32"/>
          <w:szCs w:val="32"/>
          <w:lang w:val="en-US" w:eastAsia="zh-CN"/>
        </w:rPr>
        <w:t>在</w:t>
      </w:r>
      <w:r>
        <w:rPr>
          <w:rFonts w:hint="eastAsia" w:ascii="黑体" w:hAnsi="黑体" w:eastAsia="黑体"/>
          <w:color w:val="000000"/>
          <w:kern w:val="2"/>
          <w:sz w:val="32"/>
          <w:szCs w:val="32"/>
        </w:rPr>
        <w:t>三个</w:t>
      </w:r>
      <w:r>
        <w:rPr>
          <w:rFonts w:hint="eastAsia" w:ascii="黑体" w:hAnsi="黑体" w:eastAsia="黑体"/>
          <w:color w:val="000000"/>
          <w:kern w:val="2"/>
          <w:sz w:val="32"/>
          <w:szCs w:val="32"/>
          <w:lang w:val="en-US" w:eastAsia="zh-CN"/>
        </w:rPr>
        <w:t>方面取得</w:t>
      </w:r>
      <w:r>
        <w:rPr>
          <w:rFonts w:hint="eastAsia" w:ascii="黑体" w:hAnsi="黑体" w:eastAsia="黑体"/>
          <w:color w:val="000000"/>
          <w:kern w:val="2"/>
          <w:sz w:val="32"/>
          <w:szCs w:val="32"/>
        </w:rPr>
        <w:t>“</w:t>
      </w:r>
      <w:r>
        <w:rPr>
          <w:rFonts w:hint="eastAsia" w:ascii="黑体" w:hAnsi="黑体" w:eastAsia="黑体"/>
          <w:color w:val="000000"/>
          <w:kern w:val="2"/>
          <w:sz w:val="32"/>
          <w:szCs w:val="32"/>
          <w:lang w:val="en-US" w:eastAsia="zh-CN"/>
        </w:rPr>
        <w:t>新突破</w:t>
      </w:r>
      <w:r>
        <w:rPr>
          <w:rFonts w:hint="eastAsia" w:ascii="黑体" w:hAnsi="黑体" w:eastAsia="黑体"/>
          <w:color w:val="000000"/>
          <w:kern w:val="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ascii="黑体" w:hAnsi="黑体" w:eastAsia="黑体"/>
          <w:bCs/>
          <w:color w:val="000000"/>
          <w:kern w:val="2"/>
          <w:sz w:val="32"/>
          <w:szCs w:val="32"/>
        </w:rPr>
      </w:pPr>
      <w:r>
        <w:rPr>
          <w:rFonts w:hint="eastAsia" w:ascii="楷体" w:hAnsi="楷体" w:eastAsia="楷体" w:cs="楷体"/>
          <w:b/>
          <w:bCs/>
          <w:color w:val="000000"/>
          <w:kern w:val="2"/>
          <w:sz w:val="32"/>
          <w:szCs w:val="32"/>
          <w:lang w:val="en-US" w:eastAsia="zh-CN"/>
        </w:rPr>
        <w:t>1、</w:t>
      </w:r>
      <w:r>
        <w:rPr>
          <w:rFonts w:hint="eastAsia" w:ascii="楷体" w:hAnsi="楷体" w:eastAsia="楷体" w:cs="楷体"/>
          <w:b/>
          <w:bCs/>
          <w:color w:val="000000"/>
          <w:kern w:val="2"/>
          <w:sz w:val="32"/>
          <w:szCs w:val="32"/>
        </w:rPr>
        <w:t>招生人数和质量</w:t>
      </w:r>
      <w:r>
        <w:rPr>
          <w:rFonts w:hint="eastAsia" w:ascii="楷体" w:hAnsi="楷体" w:eastAsia="楷体" w:cs="楷体"/>
          <w:b/>
          <w:bCs/>
          <w:color w:val="000000"/>
          <w:kern w:val="2"/>
          <w:sz w:val="32"/>
          <w:szCs w:val="32"/>
          <w:lang w:val="en-US" w:eastAsia="zh-CN"/>
        </w:rPr>
        <w:t>有</w:t>
      </w:r>
      <w:r>
        <w:rPr>
          <w:rFonts w:hint="eastAsia" w:ascii="楷体" w:hAnsi="楷体" w:eastAsia="楷体" w:cs="楷体"/>
          <w:b/>
          <w:bCs/>
          <w:color w:val="000000"/>
          <w:kern w:val="2"/>
          <w:sz w:val="32"/>
          <w:szCs w:val="32"/>
        </w:rPr>
        <w:t>“</w:t>
      </w:r>
      <w:r>
        <w:rPr>
          <w:rFonts w:hint="eastAsia" w:ascii="楷体" w:hAnsi="楷体" w:eastAsia="楷体" w:cs="楷体"/>
          <w:b/>
          <w:bCs/>
          <w:color w:val="000000"/>
          <w:kern w:val="2"/>
          <w:sz w:val="32"/>
          <w:szCs w:val="32"/>
          <w:lang w:val="en-US" w:eastAsia="zh-CN"/>
        </w:rPr>
        <w:t>新突破</w:t>
      </w:r>
      <w:r>
        <w:rPr>
          <w:rFonts w:hint="eastAsia" w:ascii="楷体" w:hAnsi="楷体" w:eastAsia="楷体" w:cs="楷体"/>
          <w:b/>
          <w:bCs/>
          <w:color w:val="000000"/>
          <w:kern w:val="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default" w:ascii="仿宋" w:hAnsi="仿宋" w:eastAsia="仿宋" w:cs="仿宋_GB2312"/>
          <w:color w:val="000000"/>
          <w:kern w:val="2"/>
          <w:sz w:val="32"/>
          <w:szCs w:val="32"/>
          <w:lang w:val="en-US" w:eastAsia="zh-CN"/>
        </w:rPr>
      </w:pPr>
      <w:r>
        <w:rPr>
          <w:rFonts w:hint="eastAsia" w:ascii="仿宋" w:hAnsi="仿宋" w:eastAsia="仿宋" w:cs="仿宋_GB2312"/>
          <w:color w:val="000000"/>
          <w:kern w:val="2"/>
          <w:sz w:val="32"/>
          <w:szCs w:val="32"/>
          <w:lang w:val="en-US" w:eastAsia="zh-CN"/>
        </w:rPr>
        <w:t>2023</w:t>
      </w:r>
      <w:r>
        <w:rPr>
          <w:rFonts w:hint="eastAsia" w:ascii="仿宋" w:hAnsi="仿宋" w:eastAsia="仿宋" w:cs="仿宋_GB2312"/>
          <w:color w:val="000000"/>
          <w:kern w:val="2"/>
          <w:sz w:val="32"/>
          <w:szCs w:val="32"/>
        </w:rPr>
        <w:t>年，学校</w:t>
      </w:r>
      <w:r>
        <w:rPr>
          <w:rFonts w:hint="eastAsia" w:ascii="仿宋" w:hAnsi="仿宋" w:eastAsia="仿宋" w:cs="仿宋_GB2312"/>
          <w:color w:val="000000"/>
          <w:kern w:val="2"/>
          <w:sz w:val="32"/>
          <w:szCs w:val="32"/>
          <w:lang w:val="en-US" w:eastAsia="zh-CN"/>
        </w:rPr>
        <w:t>实际招生人数为</w:t>
      </w:r>
      <w:r>
        <w:rPr>
          <w:rFonts w:hint="eastAsia" w:ascii="仿宋" w:hAnsi="仿宋" w:eastAsia="仿宋" w:cs="仿宋_GB2312"/>
          <w:color w:val="000000"/>
          <w:kern w:val="2"/>
          <w:sz w:val="32"/>
          <w:szCs w:val="32"/>
        </w:rPr>
        <w:t>1305人</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lang w:val="en-US" w:eastAsia="zh-CN"/>
        </w:rPr>
        <w:t>学校学生规模总数达到3800多人</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rPr>
        <w:t>创学校历史新高。</w:t>
      </w:r>
      <w:r>
        <w:rPr>
          <w:rFonts w:hint="eastAsia" w:ascii="仿宋" w:hAnsi="仿宋" w:eastAsia="仿宋" w:cs="仿宋_GB2312"/>
          <w:color w:val="000000"/>
          <w:kern w:val="2"/>
          <w:sz w:val="32"/>
          <w:szCs w:val="32"/>
          <w:lang w:val="en-US" w:eastAsia="zh-CN"/>
        </w:rPr>
        <w:t>2023</w:t>
      </w:r>
      <w:r>
        <w:rPr>
          <w:rFonts w:hint="eastAsia" w:ascii="仿宋" w:hAnsi="仿宋" w:eastAsia="仿宋" w:cs="仿宋_GB2312"/>
          <w:color w:val="000000"/>
          <w:kern w:val="2"/>
          <w:sz w:val="32"/>
          <w:szCs w:val="32"/>
        </w:rPr>
        <w:t>年招生工作全部采用线上报名</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lang w:val="en-US" w:eastAsia="zh-CN"/>
        </w:rPr>
        <w:t>现场审核和</w:t>
      </w:r>
      <w:r>
        <w:rPr>
          <w:rFonts w:hint="eastAsia" w:ascii="仿宋" w:hAnsi="仿宋" w:eastAsia="仿宋" w:cs="仿宋_GB2312"/>
          <w:color w:val="000000"/>
          <w:kern w:val="2"/>
          <w:sz w:val="32"/>
          <w:szCs w:val="32"/>
        </w:rPr>
        <w:t>线上录取</w:t>
      </w:r>
      <w:r>
        <w:rPr>
          <w:rFonts w:hint="eastAsia" w:ascii="仿宋" w:hAnsi="仿宋" w:eastAsia="仿宋" w:cs="仿宋_GB2312"/>
          <w:color w:val="000000"/>
          <w:kern w:val="2"/>
          <w:sz w:val="32"/>
          <w:szCs w:val="32"/>
          <w:lang w:val="en-US" w:eastAsia="zh-CN"/>
        </w:rPr>
        <w:t>的方式</w:t>
      </w:r>
      <w:r>
        <w:rPr>
          <w:rFonts w:hint="eastAsia" w:ascii="仿宋" w:hAnsi="仿宋" w:eastAsia="仿宋" w:cs="仿宋_GB2312"/>
          <w:color w:val="000000"/>
          <w:kern w:val="2"/>
          <w:sz w:val="32"/>
          <w:szCs w:val="32"/>
          <w:lang w:eastAsia="zh-CN"/>
        </w:rPr>
        <w:t>，</w:t>
      </w:r>
      <w:r>
        <w:rPr>
          <w:rFonts w:hint="eastAsia" w:ascii="仿宋" w:hAnsi="仿宋" w:eastAsia="仿宋" w:cs="仿宋_GB2312"/>
          <w:color w:val="000000"/>
          <w:kern w:val="2"/>
          <w:sz w:val="32"/>
          <w:szCs w:val="32"/>
          <w:lang w:val="en-US" w:eastAsia="zh-CN"/>
        </w:rPr>
        <w:t>要求中考</w:t>
      </w:r>
      <w:r>
        <w:rPr>
          <w:rFonts w:hint="eastAsia" w:ascii="仿宋" w:hAnsi="仿宋" w:eastAsia="仿宋" w:cs="仿宋_GB2312"/>
          <w:color w:val="000000"/>
          <w:kern w:val="2"/>
          <w:sz w:val="32"/>
          <w:szCs w:val="32"/>
        </w:rPr>
        <w:t>成绩</w:t>
      </w:r>
      <w:r>
        <w:rPr>
          <w:rFonts w:hint="eastAsia" w:ascii="仿宋" w:hAnsi="仿宋" w:eastAsia="仿宋" w:cs="仿宋_GB2312"/>
          <w:color w:val="000000"/>
          <w:kern w:val="2"/>
          <w:sz w:val="32"/>
          <w:szCs w:val="32"/>
          <w:lang w:val="en-US" w:eastAsia="zh-CN"/>
        </w:rPr>
        <w:t>达到学校的最低录取分数线</w:t>
      </w:r>
      <w:r>
        <w:rPr>
          <w:rFonts w:hint="eastAsia" w:ascii="仿宋" w:hAnsi="仿宋" w:eastAsia="仿宋" w:cs="仿宋_GB2312"/>
          <w:color w:val="000000"/>
          <w:kern w:val="2"/>
          <w:sz w:val="32"/>
          <w:szCs w:val="32"/>
        </w:rPr>
        <w:t>，</w:t>
      </w:r>
      <w:r>
        <w:rPr>
          <w:rFonts w:hint="eastAsia" w:ascii="仿宋" w:hAnsi="仿宋" w:eastAsia="仿宋" w:cs="仿宋_GB2312"/>
          <w:color w:val="000000"/>
          <w:kern w:val="2"/>
          <w:sz w:val="32"/>
          <w:szCs w:val="32"/>
          <w:lang w:val="en-US" w:eastAsia="zh-CN"/>
        </w:rPr>
        <w:t>且经过</w:t>
      </w:r>
      <w:r>
        <w:rPr>
          <w:rFonts w:hint="eastAsia" w:ascii="仿宋" w:hAnsi="仿宋" w:eastAsia="仿宋" w:cs="仿宋_GB2312"/>
          <w:color w:val="000000"/>
          <w:kern w:val="2"/>
          <w:sz w:val="32"/>
          <w:szCs w:val="32"/>
        </w:rPr>
        <w:t>面试合格，才能择优录取。</w:t>
      </w:r>
      <w:r>
        <w:rPr>
          <w:rFonts w:hint="eastAsia" w:ascii="仿宋" w:hAnsi="仿宋" w:eastAsia="仿宋" w:cs="仿宋_GB2312"/>
          <w:color w:val="000000"/>
          <w:kern w:val="2"/>
          <w:sz w:val="32"/>
          <w:szCs w:val="32"/>
          <w:lang w:val="en-US" w:eastAsia="zh-CN"/>
        </w:rPr>
        <w:t>尽管学校提高了招生门槛，但是招生依然比较火爆，不到3天时间就完成了招生计划。</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楷体" w:hAnsi="楷体" w:eastAsia="楷体" w:cs="楷体"/>
          <w:b/>
          <w:bCs/>
          <w:color w:val="000000"/>
          <w:kern w:val="2"/>
          <w:sz w:val="32"/>
          <w:szCs w:val="32"/>
        </w:rPr>
      </w:pPr>
      <w:r>
        <w:rPr>
          <w:rFonts w:hint="eastAsia" w:ascii="楷体" w:hAnsi="楷体" w:eastAsia="楷体" w:cs="楷体"/>
          <w:b/>
          <w:bCs/>
          <w:color w:val="000000"/>
          <w:kern w:val="2"/>
          <w:sz w:val="32"/>
          <w:szCs w:val="32"/>
          <w:lang w:val="en-US" w:eastAsia="zh-CN"/>
        </w:rPr>
        <w:t>2、</w:t>
      </w:r>
      <w:r>
        <w:rPr>
          <w:rFonts w:hint="eastAsia" w:ascii="楷体" w:hAnsi="楷体" w:eastAsia="楷体" w:cs="楷体"/>
          <w:b/>
          <w:bCs/>
          <w:color w:val="000000"/>
          <w:kern w:val="2"/>
          <w:sz w:val="32"/>
          <w:szCs w:val="32"/>
        </w:rPr>
        <w:t>对口升学</w:t>
      </w:r>
      <w:r>
        <w:rPr>
          <w:rFonts w:hint="eastAsia" w:ascii="楷体" w:hAnsi="楷体" w:eastAsia="楷体" w:cs="楷体"/>
          <w:b/>
          <w:bCs/>
          <w:color w:val="000000"/>
          <w:kern w:val="2"/>
          <w:sz w:val="32"/>
          <w:szCs w:val="32"/>
          <w:lang w:val="en-US" w:eastAsia="zh-CN"/>
        </w:rPr>
        <w:t>有</w:t>
      </w:r>
      <w:r>
        <w:rPr>
          <w:rFonts w:hint="eastAsia" w:ascii="楷体" w:hAnsi="楷体" w:eastAsia="楷体" w:cs="楷体"/>
          <w:b/>
          <w:bCs/>
          <w:color w:val="000000"/>
          <w:kern w:val="2"/>
          <w:sz w:val="32"/>
          <w:szCs w:val="32"/>
        </w:rPr>
        <w:t>“</w:t>
      </w:r>
      <w:r>
        <w:rPr>
          <w:rFonts w:hint="eastAsia" w:ascii="楷体" w:hAnsi="楷体" w:eastAsia="楷体" w:cs="楷体"/>
          <w:b/>
          <w:bCs/>
          <w:color w:val="000000"/>
          <w:kern w:val="2"/>
          <w:sz w:val="32"/>
          <w:szCs w:val="32"/>
          <w:lang w:val="en-US" w:eastAsia="zh-CN"/>
        </w:rPr>
        <w:t>新突破</w:t>
      </w:r>
      <w:r>
        <w:rPr>
          <w:rFonts w:hint="eastAsia" w:ascii="楷体" w:hAnsi="楷体" w:eastAsia="楷体" w:cs="楷体"/>
          <w:b/>
          <w:bCs/>
          <w:color w:val="000000"/>
          <w:kern w:val="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仿宋" w:hAnsi="仿宋" w:eastAsia="仿宋" w:cs="仿宋_GB2312"/>
          <w:color w:val="000000"/>
          <w:kern w:val="2"/>
          <w:sz w:val="32"/>
          <w:szCs w:val="32"/>
          <w:lang w:eastAsia="zh-CN"/>
        </w:rPr>
      </w:pPr>
      <w:r>
        <w:rPr>
          <w:rFonts w:hint="eastAsia" w:ascii="仿宋" w:hAnsi="仿宋" w:eastAsia="仿宋" w:cs="仿宋_GB2312"/>
          <w:color w:val="000000"/>
          <w:kern w:val="2"/>
          <w:sz w:val="32"/>
          <w:szCs w:val="32"/>
        </w:rPr>
        <w:t>近年来，我校适应政策变化，</w:t>
      </w:r>
      <w:r>
        <w:rPr>
          <w:rFonts w:hint="eastAsia" w:ascii="仿宋" w:hAnsi="仿宋" w:eastAsia="仿宋" w:cs="仿宋_GB2312"/>
          <w:color w:val="000000"/>
          <w:kern w:val="2"/>
          <w:sz w:val="32"/>
          <w:szCs w:val="32"/>
          <w:lang w:eastAsia="zh-CN"/>
        </w:rPr>
        <w:t>积极</w:t>
      </w:r>
      <w:r>
        <w:rPr>
          <w:rFonts w:hint="eastAsia" w:ascii="仿宋" w:hAnsi="仿宋" w:eastAsia="仿宋" w:cs="仿宋_GB2312"/>
          <w:color w:val="000000"/>
          <w:kern w:val="2"/>
          <w:sz w:val="32"/>
          <w:szCs w:val="32"/>
        </w:rPr>
        <w:t>探索对口升学工作。</w:t>
      </w:r>
      <w:r>
        <w:rPr>
          <w:rFonts w:ascii="仿宋" w:hAnsi="仿宋" w:eastAsia="仿宋" w:cs="仿宋_GB2312"/>
          <w:color w:val="000000"/>
          <w:kern w:val="2"/>
          <w:sz w:val="32"/>
          <w:szCs w:val="32"/>
        </w:rPr>
        <w:t>2023</w:t>
      </w:r>
      <w:r>
        <w:rPr>
          <w:rFonts w:hint="eastAsia" w:ascii="仿宋" w:hAnsi="仿宋" w:eastAsia="仿宋" w:cs="仿宋_GB2312"/>
          <w:color w:val="000000"/>
          <w:kern w:val="2"/>
          <w:sz w:val="32"/>
          <w:szCs w:val="32"/>
        </w:rPr>
        <w:t>年度，我校有495位考生顺利完成高校自主招生考试和对口高考考试，参考率百分</w:t>
      </w:r>
      <w:r>
        <w:rPr>
          <w:rFonts w:hint="eastAsia" w:ascii="仿宋" w:hAnsi="仿宋" w:eastAsia="仿宋" w:cs="仿宋_GB2312"/>
          <w:color w:val="000000"/>
          <w:kern w:val="2"/>
          <w:sz w:val="32"/>
          <w:szCs w:val="32"/>
          <w:lang w:eastAsia="zh-CN"/>
        </w:rPr>
        <w:t>之</w:t>
      </w:r>
      <w:r>
        <w:rPr>
          <w:rFonts w:hint="eastAsia" w:ascii="仿宋" w:hAnsi="仿宋" w:eastAsia="仿宋" w:cs="仿宋_GB2312"/>
          <w:color w:val="000000"/>
          <w:kern w:val="2"/>
          <w:sz w:val="32"/>
          <w:szCs w:val="32"/>
        </w:rPr>
        <w:t>百，</w:t>
      </w:r>
      <w:r>
        <w:rPr>
          <w:rFonts w:hint="eastAsia" w:ascii="仿宋" w:hAnsi="仿宋" w:eastAsia="仿宋" w:cs="仿宋"/>
          <w:sz w:val="32"/>
          <w:szCs w:val="32"/>
          <w:lang w:val="en-US" w:eastAsia="zh-CN"/>
        </w:rPr>
        <w:t>共有</w:t>
      </w:r>
      <w:r>
        <w:rPr>
          <w:rFonts w:hint="eastAsia" w:ascii="仿宋" w:hAnsi="仿宋" w:eastAsia="仿宋" w:cs="仿宋"/>
          <w:sz w:val="32"/>
          <w:szCs w:val="32"/>
        </w:rPr>
        <w:t>240</w:t>
      </w:r>
      <w:r>
        <w:rPr>
          <w:rFonts w:hint="eastAsia" w:ascii="仿宋" w:hAnsi="仿宋" w:eastAsia="仿宋" w:cs="仿宋"/>
          <w:sz w:val="32"/>
          <w:szCs w:val="32"/>
          <w:lang w:val="en-US" w:eastAsia="zh-CN"/>
        </w:rPr>
        <w:t>名</w:t>
      </w:r>
      <w:r>
        <w:rPr>
          <w:rFonts w:hint="eastAsia" w:ascii="仿宋" w:hAnsi="仿宋" w:eastAsia="仿宋" w:cs="仿宋"/>
          <w:sz w:val="32"/>
          <w:szCs w:val="32"/>
          <w:lang w:eastAsia="zh-CN"/>
        </w:rPr>
        <w:t>学</w:t>
      </w:r>
      <w:r>
        <w:rPr>
          <w:rFonts w:hint="eastAsia" w:ascii="仿宋" w:hAnsi="仿宋" w:eastAsia="仿宋" w:cs="仿宋"/>
          <w:sz w:val="32"/>
          <w:szCs w:val="32"/>
        </w:rPr>
        <w:t>生</w:t>
      </w:r>
      <w:r>
        <w:rPr>
          <w:rFonts w:hint="eastAsia" w:ascii="仿宋" w:hAnsi="仿宋" w:eastAsia="仿宋" w:cs="仿宋"/>
          <w:sz w:val="32"/>
          <w:szCs w:val="32"/>
          <w:lang w:val="en-US" w:eastAsia="zh-CN"/>
        </w:rPr>
        <w:t>通过单招和高考方式考</w:t>
      </w:r>
      <w:r>
        <w:rPr>
          <w:rFonts w:hint="eastAsia" w:ascii="仿宋" w:hAnsi="仿宋" w:eastAsia="仿宋" w:cs="仿宋"/>
          <w:sz w:val="32"/>
          <w:szCs w:val="32"/>
          <w:lang w:eastAsia="zh-CN"/>
        </w:rPr>
        <w:t>入了理想大学</w:t>
      </w:r>
      <w:r>
        <w:rPr>
          <w:rFonts w:hint="eastAsia" w:ascii="仿宋" w:hAnsi="仿宋" w:eastAsia="仿宋" w:cs="仿宋_GB2312"/>
          <w:color w:val="000000"/>
          <w:kern w:val="2"/>
          <w:sz w:val="32"/>
          <w:szCs w:val="32"/>
        </w:rPr>
        <w:t>，开启了属于他们人生新篇章。同时，顺利完成了</w:t>
      </w:r>
      <w:r>
        <w:rPr>
          <w:rFonts w:hint="eastAsia" w:ascii="仿宋" w:hAnsi="仿宋" w:eastAsia="仿宋" w:cs="仿宋_GB2312"/>
          <w:color w:val="000000"/>
          <w:kern w:val="2"/>
          <w:sz w:val="32"/>
          <w:szCs w:val="32"/>
          <w:lang w:val="en-US" w:eastAsia="zh-CN"/>
        </w:rPr>
        <w:t>20</w:t>
      </w:r>
      <w:r>
        <w:rPr>
          <w:rFonts w:hint="eastAsia" w:ascii="仿宋" w:hAnsi="仿宋" w:eastAsia="仿宋" w:cs="仿宋_GB2312"/>
          <w:color w:val="000000"/>
          <w:kern w:val="2"/>
          <w:sz w:val="32"/>
          <w:szCs w:val="32"/>
        </w:rPr>
        <w:t>24年高考报名工作，我校共715位考生参加了本次高考注册报名，报考人数再创新高。学校被考试中心评为“国家教育考试组织工作先进单位”</w:t>
      </w:r>
      <w:r>
        <w:rPr>
          <w:rFonts w:hint="eastAsia" w:ascii="仿宋" w:hAnsi="仿宋" w:eastAsia="仿宋" w:cs="仿宋_GB2312"/>
          <w:color w:val="000000"/>
          <w:kern w:val="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楷体" w:hAnsi="楷体" w:eastAsia="楷体" w:cs="楷体"/>
          <w:b/>
          <w:bCs w:val="0"/>
          <w:color w:val="000000"/>
          <w:kern w:val="2"/>
          <w:sz w:val="32"/>
          <w:szCs w:val="32"/>
        </w:rPr>
      </w:pPr>
      <w:r>
        <w:rPr>
          <w:rFonts w:hint="eastAsia" w:ascii="楷体" w:hAnsi="楷体" w:eastAsia="楷体" w:cs="楷体"/>
          <w:b/>
          <w:bCs w:val="0"/>
          <w:color w:val="000000"/>
          <w:kern w:val="2"/>
          <w:sz w:val="32"/>
          <w:szCs w:val="32"/>
          <w:lang w:val="en-US" w:eastAsia="zh-CN"/>
        </w:rPr>
        <w:t>3、</w:t>
      </w:r>
      <w:r>
        <w:rPr>
          <w:rFonts w:hint="eastAsia" w:ascii="楷体" w:hAnsi="楷体" w:eastAsia="楷体" w:cs="楷体"/>
          <w:b/>
          <w:bCs w:val="0"/>
          <w:color w:val="000000"/>
          <w:kern w:val="2"/>
          <w:sz w:val="32"/>
          <w:szCs w:val="32"/>
        </w:rPr>
        <w:t>社会服务</w:t>
      </w:r>
      <w:r>
        <w:rPr>
          <w:rFonts w:hint="eastAsia" w:ascii="楷体" w:hAnsi="楷体" w:eastAsia="楷体" w:cs="楷体"/>
          <w:b/>
          <w:bCs w:val="0"/>
          <w:color w:val="000000"/>
          <w:kern w:val="2"/>
          <w:sz w:val="32"/>
          <w:szCs w:val="32"/>
          <w:lang w:val="en-US" w:eastAsia="zh-CN"/>
        </w:rPr>
        <w:t>有</w:t>
      </w:r>
      <w:r>
        <w:rPr>
          <w:rFonts w:hint="eastAsia" w:ascii="楷体" w:hAnsi="楷体" w:eastAsia="楷体" w:cs="楷体"/>
          <w:b/>
          <w:bCs w:val="0"/>
          <w:color w:val="000000"/>
          <w:kern w:val="2"/>
          <w:sz w:val="32"/>
          <w:szCs w:val="32"/>
        </w:rPr>
        <w:t>“</w:t>
      </w:r>
      <w:r>
        <w:rPr>
          <w:rFonts w:hint="eastAsia" w:ascii="楷体" w:hAnsi="楷体" w:eastAsia="楷体" w:cs="楷体"/>
          <w:b/>
          <w:bCs w:val="0"/>
          <w:color w:val="000000"/>
          <w:kern w:val="2"/>
          <w:sz w:val="32"/>
          <w:szCs w:val="32"/>
          <w:lang w:val="en-US" w:eastAsia="zh-CN"/>
        </w:rPr>
        <w:t>新突破</w:t>
      </w:r>
      <w:r>
        <w:rPr>
          <w:rFonts w:hint="eastAsia" w:ascii="楷体" w:hAnsi="楷体" w:eastAsia="楷体" w:cs="楷体"/>
          <w:b/>
          <w:bCs w:val="0"/>
          <w:color w:val="000000"/>
          <w:kern w:val="2"/>
          <w:sz w:val="32"/>
          <w:szCs w:val="32"/>
        </w:rPr>
        <w:t>”</w:t>
      </w:r>
    </w:p>
    <w:p>
      <w:pPr>
        <w:pStyle w:val="4"/>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 w:hAnsi="仿宋" w:eastAsia="仿宋" w:cs="仿宋_GB2312"/>
          <w:color w:val="000000"/>
          <w:kern w:val="2"/>
          <w:sz w:val="32"/>
          <w:szCs w:val="32"/>
          <w:lang w:val="en-US" w:eastAsia="zh-CN" w:bidi="ar-SA"/>
        </w:rPr>
      </w:pPr>
      <w:r>
        <w:rPr>
          <w:rFonts w:hint="eastAsia" w:ascii="仿宋" w:hAnsi="仿宋" w:eastAsia="仿宋" w:cs="仿宋_GB2312"/>
          <w:color w:val="000000"/>
          <w:kern w:val="2"/>
          <w:sz w:val="32"/>
          <w:szCs w:val="32"/>
          <w:lang w:val="en-US" w:eastAsia="zh-CN" w:bidi="ar-SA"/>
        </w:rPr>
        <w:t>学校在办好职业教育的同时，充分利用区位、资源和资产优势，承接各种考试培训业务，做好社会服务，激活学校创收路径。与厚大法考等社会培训机构合作，积极承接300多人的社会培训业务。与湖南省农业农村厅系统所属单位、处室积极对接，成功承办“湖南省信息数据监督员培训”“湖南省村级财务人员能力提升培训”“全省农药监管人员培训”“全省第三次土壤检测培训”等多个业务培训班，共接待学员850人次。同时，成功承办了“2023年长沙市中职交通运输类专业教师新能源汽车技术培训”“2023年长沙市中等职业学校财经商贸大类专业教师综合素质提升培训”，受市教育局领导一致好评。作为全省人事人才考试标准化考点建设的唯一中职学校，服务考生2万人次，荣获省直优秀考点学校荣誉称号。</w:t>
      </w:r>
    </w:p>
    <w:p>
      <w:pPr>
        <w:pStyle w:val="4"/>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_GB2312" w:eastAsia="仿宋_GB2312"/>
          <w:color w:val="000000"/>
          <w:sz w:val="34"/>
          <w:szCs w:val="34"/>
          <w:lang w:val="en-US" w:eastAsia="zh-CN"/>
        </w:rPr>
      </w:pPr>
      <w:r>
        <w:rPr>
          <w:rFonts w:hint="eastAsia" w:ascii="仿宋_GB2312" w:eastAsia="仿宋_GB2312"/>
          <w:color w:val="000000"/>
          <w:sz w:val="32"/>
          <w:szCs w:val="32"/>
        </w:rPr>
        <w:t>过去的一年，面对职业教育发展的新形势新任务新要求，面对保学校正常运转的重重压力，全体教职员工凝心聚力、迎难而上，主动担当、积极作为，取得了沉甸甸的丰硕成果，大家明显感受到，全校上下凝聚力增强了，自信心提高了，幸福感提升了。</w:t>
      </w:r>
      <w:r>
        <w:rPr>
          <w:rFonts w:hint="eastAsia" w:ascii="仿宋_GB2312" w:eastAsia="仿宋_GB2312"/>
          <w:b/>
          <w:color w:val="000000"/>
          <w:sz w:val="32"/>
          <w:szCs w:val="32"/>
        </w:rPr>
        <w:t>但同时，我们也要清醒认识到，</w:t>
      </w:r>
      <w:r>
        <w:rPr>
          <w:rFonts w:hint="eastAsia" w:ascii="仿宋_GB2312" w:eastAsia="仿宋_GB2312"/>
          <w:color w:val="000000"/>
          <w:sz w:val="32"/>
          <w:szCs w:val="32"/>
        </w:rPr>
        <w:t>学校的发展仍然存在一些困难和矛盾，</w:t>
      </w:r>
      <w:r>
        <w:rPr>
          <w:rFonts w:hint="eastAsia" w:ascii="仿宋_GB2312" w:eastAsia="仿宋_GB2312"/>
          <w:b/>
          <w:color w:val="000000"/>
          <w:sz w:val="32"/>
          <w:szCs w:val="32"/>
        </w:rPr>
        <w:t>一是资金上仍然存在困难，</w:t>
      </w:r>
      <w:r>
        <w:rPr>
          <w:rFonts w:hint="eastAsia" w:ascii="仿宋_GB2312" w:eastAsia="仿宋_GB2312"/>
          <w:color w:val="000000"/>
          <w:sz w:val="32"/>
          <w:szCs w:val="32"/>
        </w:rPr>
        <w:t>资金不足一直是学校发展中一个短板，过紧日子将是今后的常态。</w:t>
      </w:r>
      <w:r>
        <w:rPr>
          <w:rFonts w:hint="eastAsia" w:ascii="仿宋_GB2312" w:eastAsia="仿宋_GB2312"/>
          <w:color w:val="000000"/>
          <w:sz w:val="32"/>
          <w:szCs w:val="32"/>
          <w:lang w:val="en-US" w:eastAsia="zh-CN"/>
        </w:rPr>
        <w:t>这些年来，人员费用支出等大幅增加，但生均经费拨款标准一直维持1万元的水平。</w:t>
      </w:r>
      <w:r>
        <w:rPr>
          <w:rFonts w:hint="eastAsia" w:ascii="仿宋_GB2312" w:eastAsia="仿宋_GB2312"/>
          <w:b/>
          <w:color w:val="000000"/>
          <w:sz w:val="32"/>
          <w:szCs w:val="32"/>
        </w:rPr>
        <w:t>二是历史纠纷矛盾仍然存在，</w:t>
      </w:r>
      <w:r>
        <w:rPr>
          <w:rFonts w:hint="eastAsia" w:ascii="仿宋_GB2312" w:eastAsia="仿宋_GB2312"/>
          <w:color w:val="000000"/>
          <w:sz w:val="32"/>
          <w:szCs w:val="32"/>
        </w:rPr>
        <w:t>国龙大酒店的纠纷处置，已经到了关键时刻，面临的阻力仍然比较大，</w:t>
      </w:r>
      <w:r>
        <w:rPr>
          <w:rFonts w:hint="eastAsia" w:ascii="仿宋_GB2312" w:eastAsia="仿宋_GB2312"/>
          <w:color w:val="000000"/>
          <w:sz w:val="32"/>
          <w:szCs w:val="32"/>
          <w:lang w:val="en-US" w:eastAsia="zh-CN"/>
        </w:rPr>
        <w:t>法院全面强制执行一直没有得到落实</w:t>
      </w:r>
      <w:r>
        <w:rPr>
          <w:rFonts w:hint="eastAsia" w:ascii="仿宋_GB2312" w:eastAsia="仿宋_GB2312"/>
          <w:color w:val="000000"/>
          <w:sz w:val="32"/>
          <w:szCs w:val="32"/>
        </w:rPr>
        <w:t>。</w:t>
      </w:r>
      <w:r>
        <w:rPr>
          <w:rFonts w:hint="eastAsia" w:ascii="仿宋_GB2312" w:eastAsia="仿宋_GB2312"/>
          <w:b/>
          <w:color w:val="000000"/>
          <w:sz w:val="32"/>
          <w:szCs w:val="32"/>
        </w:rPr>
        <w:t>三是高素质的专业技术人才缺乏。</w:t>
      </w:r>
      <w:r>
        <w:rPr>
          <w:rFonts w:hint="eastAsia" w:ascii="仿宋_GB2312" w:eastAsia="仿宋_GB2312"/>
          <w:bCs/>
          <w:color w:val="000000"/>
          <w:sz w:val="32"/>
          <w:szCs w:val="32"/>
        </w:rPr>
        <w:t>我们现在很多专业都缺老师，每年还</w:t>
      </w:r>
      <w:r>
        <w:rPr>
          <w:rFonts w:hint="eastAsia" w:ascii="仿宋_GB2312" w:eastAsia="仿宋_GB2312"/>
          <w:bCs/>
          <w:color w:val="000000"/>
          <w:sz w:val="32"/>
          <w:szCs w:val="32"/>
          <w:lang w:eastAsia="zh-CN"/>
        </w:rPr>
        <w:t>聘</w:t>
      </w:r>
      <w:r>
        <w:rPr>
          <w:rFonts w:hint="eastAsia" w:ascii="仿宋_GB2312" w:eastAsia="仿宋_GB2312"/>
          <w:bCs/>
          <w:color w:val="000000"/>
          <w:sz w:val="32"/>
          <w:szCs w:val="32"/>
        </w:rPr>
        <w:t>了不少的临聘老师，而且这几年退休人员比较多</w:t>
      </w:r>
      <w:r>
        <w:rPr>
          <w:rFonts w:hint="eastAsia" w:ascii="仿宋_GB2312" w:eastAsia="仿宋_GB2312"/>
          <w:bCs/>
          <w:color w:val="000000"/>
          <w:sz w:val="32"/>
          <w:szCs w:val="32"/>
          <w:lang w:eastAsia="zh-CN"/>
        </w:rPr>
        <w:t>，</w:t>
      </w:r>
      <w:r>
        <w:rPr>
          <w:rFonts w:hint="eastAsia" w:ascii="仿宋_GB2312" w:eastAsia="仿宋_GB2312"/>
          <w:bCs/>
          <w:color w:val="000000"/>
          <w:sz w:val="32"/>
          <w:szCs w:val="32"/>
          <w:lang w:val="en-US" w:eastAsia="zh-CN"/>
        </w:rPr>
        <w:t>高学历、高职称的专业骨干老师较少</w:t>
      </w:r>
      <w:r>
        <w:rPr>
          <w:rFonts w:hint="eastAsia" w:ascii="仿宋_GB2312" w:eastAsia="仿宋_GB2312"/>
          <w:bCs/>
          <w:color w:val="000000"/>
          <w:sz w:val="32"/>
          <w:szCs w:val="32"/>
        </w:rPr>
        <w:t>。</w:t>
      </w:r>
      <w:r>
        <w:rPr>
          <w:rFonts w:hint="eastAsia" w:ascii="仿宋_GB2312" w:eastAsia="仿宋_GB2312"/>
          <w:color w:val="000000"/>
          <w:sz w:val="32"/>
          <w:szCs w:val="32"/>
        </w:rPr>
        <w:t>这些困难都需要我们共同面对，并且想办法解决好。</w:t>
      </w:r>
      <w:r>
        <w:rPr>
          <w:rFonts w:hint="eastAsia" w:ascii="仿宋_GB2312" w:eastAsia="仿宋_GB2312"/>
          <w:color w:val="000000"/>
          <w:sz w:val="34"/>
          <w:szCs w:val="34"/>
          <w:lang w:val="en-US" w:eastAsia="zh-CN"/>
        </w:rPr>
        <w:t xml:space="preserve"> </w:t>
      </w:r>
    </w:p>
    <w:p>
      <w:pPr>
        <w:adjustRightInd/>
        <w:snapToGrid/>
        <w:ind w:left="0" w:leftChars="0" w:firstLine="640" w:firstLineChars="200"/>
        <w:outlineLvl w:val="1"/>
        <w:rPr>
          <w:rFonts w:eastAsia="华文细黑"/>
          <w:bCs/>
          <w:sz w:val="32"/>
          <w:szCs w:val="32"/>
        </w:rPr>
      </w:pPr>
      <w:r>
        <w:rPr>
          <w:rFonts w:eastAsia="华文细黑"/>
          <w:bCs/>
          <w:sz w:val="32"/>
          <w:szCs w:val="32"/>
        </w:rPr>
        <w:t>四、存在的问题及原因分析</w:t>
      </w:r>
    </w:p>
    <w:p>
      <w:pPr>
        <w:pStyle w:val="13"/>
        <w:ind w:firstLine="640" w:firstLineChars="200"/>
        <w:rPr>
          <w:rFonts w:hint="eastAsia" w:ascii="仿宋_GB2312" w:hAnsi="Courier New" w:eastAsia="仿宋_GB2312" w:cs="Courier New"/>
          <w:bCs/>
          <w:color w:val="000000"/>
          <w:kern w:val="2"/>
          <w:sz w:val="32"/>
          <w:szCs w:val="32"/>
          <w:lang w:val="en-US" w:eastAsia="zh-CN" w:bidi="ar-SA"/>
        </w:rPr>
      </w:pPr>
      <w:r>
        <w:rPr>
          <w:rFonts w:hint="eastAsia" w:ascii="仿宋_GB2312" w:hAnsi="Courier New" w:eastAsia="仿宋_GB2312" w:cs="Courier New"/>
          <w:bCs/>
          <w:color w:val="000000"/>
          <w:kern w:val="2"/>
          <w:sz w:val="32"/>
          <w:szCs w:val="32"/>
          <w:lang w:val="en-US" w:eastAsia="zh-CN" w:bidi="ar-SA"/>
        </w:rPr>
        <w:t>一是学校执行生均拨款制度，年初预算下达指标与实际需求存在较大差距，年中追加资金比例较大，导致年初预算不能全面反映学校收支情况；二是学校年初预算资金不足，人员经费需从教育项目经费中调剂支付，指标调剂程序繁多，严重影响了资金支付及预算执行进度；三是绩效目标编制不够细化，年度工作目标在执行考核上有待加强。</w:t>
      </w:r>
    </w:p>
    <w:p>
      <w:pPr>
        <w:pStyle w:val="13"/>
        <w:ind w:firstLine="640" w:firstLineChars="200"/>
        <w:rPr>
          <w:rFonts w:hint="eastAsia" w:ascii="仿宋_GB2312" w:hAnsi="Courier New" w:eastAsia="仿宋_GB2312" w:cs="Courier New"/>
          <w:bCs/>
          <w:color w:val="000000"/>
          <w:kern w:val="2"/>
          <w:sz w:val="32"/>
          <w:szCs w:val="32"/>
          <w:lang w:val="en-US" w:eastAsia="zh-CN" w:bidi="ar-SA"/>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r>
        <w:rPr>
          <w:rFonts w:eastAsia="方正小标宋简体"/>
          <w:color w:val="000000"/>
          <w:sz w:val="36"/>
          <w:szCs w:val="36"/>
        </w:rPr>
        <w:t>2023年度部门整体支出绩效评价基础数据表</w:t>
      </w:r>
    </w:p>
    <w:p>
      <w:pPr>
        <w:widowControl/>
        <w:adjustRightInd/>
        <w:snapToGrid/>
        <w:spacing w:before="144" w:beforeLines="25" w:after="144" w:afterLines="25" w:line="500" w:lineRule="exact"/>
        <w:ind w:firstLine="0" w:firstLineChars="0"/>
        <w:jc w:val="center"/>
        <w:rPr>
          <w:rFonts w:eastAsia="方正小标宋简体"/>
          <w:color w:val="000000"/>
          <w:sz w:val="36"/>
          <w:szCs w:val="36"/>
        </w:rPr>
      </w:pPr>
    </w:p>
    <w:tbl>
      <w:tblPr>
        <w:tblStyle w:val="9"/>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控制率</w:t>
            </w:r>
          </w:p>
        </w:tc>
      </w:tr>
      <w:tr>
        <w:tblPrEx>
          <w:tblLayout w:type="fixed"/>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rFonts w:hint="default" w:eastAsia="仿宋_GB2312"/>
                <w:sz w:val="20"/>
                <w:szCs w:val="20"/>
                <w:lang w:val="en-US" w:eastAsia="zh-CN"/>
              </w:rPr>
            </w:pPr>
            <w:r>
              <w:rPr>
                <w:sz w:val="20"/>
                <w:szCs w:val="20"/>
              </w:rPr>
              <w:t>　</w:t>
            </w:r>
            <w:r>
              <w:rPr>
                <w:rFonts w:hint="eastAsia"/>
                <w:sz w:val="20"/>
                <w:szCs w:val="20"/>
                <w:lang w:val="en-US" w:eastAsia="zh-CN"/>
              </w:rPr>
              <w:t>160</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100</w:t>
            </w:r>
            <w:r>
              <w:rPr>
                <w:sz w:val="20"/>
                <w:szCs w:val="20"/>
              </w:rPr>
              <w:t>　</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62.5%</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2022年决算数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b/>
                <w:bCs/>
                <w:sz w:val="20"/>
                <w:szCs w:val="20"/>
              </w:rPr>
            </w:pPr>
            <w:r>
              <w:rPr>
                <w:b/>
                <w:bCs/>
                <w:sz w:val="20"/>
                <w:szCs w:val="20"/>
              </w:rPr>
              <w:t>2023年决算数</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三公经费: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0.90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eastAsia" w:eastAsia="仿宋_GB2312"/>
                <w:sz w:val="20"/>
                <w:szCs w:val="20"/>
                <w:lang w:val="en-US" w:eastAsia="zh-CN"/>
              </w:rPr>
            </w:pPr>
            <w:r>
              <w:rPr>
                <w:sz w:val="20"/>
                <w:szCs w:val="20"/>
              </w:rPr>
              <w:t>　</w:t>
            </w:r>
            <w:r>
              <w:rPr>
                <w:rFonts w:hint="eastAsia"/>
                <w:sz w:val="20"/>
                <w:szCs w:val="20"/>
                <w:lang w:val="en-US" w:eastAsia="zh-CN"/>
              </w:rPr>
              <w:t>0</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0.79</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0.79</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0.11</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1305.00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1800.35</w:t>
            </w:r>
            <w:r>
              <w:rPr>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849.98</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1460.27</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455.02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340.08</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400" w:firstLineChars="200"/>
              <w:jc w:val="left"/>
              <w:textAlignment w:val="center"/>
              <w:rPr>
                <w:sz w:val="20"/>
                <w:szCs w:val="20"/>
              </w:rPr>
            </w:pPr>
            <w:r>
              <w:rPr>
                <w:sz w:val="20"/>
                <w:szCs w:val="20"/>
              </w:rPr>
              <w:t>3、省级专项资金</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r>
      <w:tr>
        <w:tblPrEx>
          <w:tblLayout w:type="fixed"/>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157.51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sz w:val="20"/>
                <w:szCs w:val="20"/>
                <w:lang w:val="en-US"/>
              </w:rPr>
            </w:pPr>
            <w:r>
              <w:rPr>
                <w:rFonts w:hint="eastAsia"/>
                <w:sz w:val="20"/>
                <w:szCs w:val="20"/>
                <w:lang w:val="en-US" w:eastAsia="zh-CN"/>
              </w:rPr>
              <w:t>51.95</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FF0000"/>
                <w:sz w:val="20"/>
                <w:szCs w:val="20"/>
                <w:lang w:val="en-US"/>
              </w:rPr>
            </w:pPr>
            <w:r>
              <w:rPr>
                <w:rFonts w:hint="eastAsia"/>
                <w:color w:val="auto"/>
                <w:sz w:val="20"/>
                <w:szCs w:val="20"/>
                <w:lang w:val="en-US" w:eastAsia="zh-CN"/>
              </w:rPr>
              <w:t>1.43</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FF0000"/>
                <w:sz w:val="20"/>
                <w:szCs w:val="20"/>
              </w:rPr>
            </w:pPr>
            <w:r>
              <w:rPr>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FF0000"/>
                <w:sz w:val="20"/>
                <w:szCs w:val="20"/>
              </w:rPr>
            </w:pP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rPr>
            </w:pPr>
            <w:r>
              <w:rPr>
                <w:rFonts w:hint="eastAsia"/>
                <w:color w:val="auto"/>
                <w:sz w:val="20"/>
                <w:szCs w:val="20"/>
                <w:lang w:val="en-US" w:eastAsia="zh-CN"/>
              </w:rPr>
              <w:t>18.25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FF0000"/>
                <w:sz w:val="20"/>
                <w:szCs w:val="20"/>
              </w:rPr>
            </w:pPr>
            <w:r>
              <w:rPr>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auto"/>
                <w:sz w:val="20"/>
                <w:szCs w:val="20"/>
              </w:rPr>
            </w:pPr>
            <w:r>
              <w:rPr>
                <w:rFonts w:hint="eastAsia"/>
                <w:color w:val="auto"/>
                <w:sz w:val="20"/>
                <w:szCs w:val="20"/>
                <w:lang w:val="en-US" w:eastAsia="zh-CN"/>
              </w:rPr>
              <w:t>5.47</w:t>
            </w:r>
            <w:r>
              <w:rPr>
                <w:color w:val="auto"/>
                <w:sz w:val="20"/>
                <w:szCs w:val="20"/>
              </w:rPr>
              <w:t>　</w:t>
            </w:r>
          </w:p>
        </w:tc>
      </w:tr>
      <w:tr>
        <w:tblPrEx>
          <w:tblLayout w:type="fixed"/>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rPr>
            </w:pPr>
            <w:r>
              <w:rPr>
                <w:rFonts w:hint="eastAsia"/>
                <w:color w:val="auto"/>
                <w:sz w:val="20"/>
                <w:szCs w:val="20"/>
                <w:lang w:val="en-US" w:eastAsia="zh-CN"/>
              </w:rPr>
              <w:t>3.15</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color w:val="FF0000"/>
                <w:sz w:val="20"/>
                <w:szCs w:val="20"/>
              </w:rPr>
            </w:pPr>
            <w:r>
              <w:rPr>
                <w:color w:val="FF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rFonts w:hint="default"/>
                <w:color w:val="auto"/>
                <w:sz w:val="20"/>
                <w:szCs w:val="20"/>
                <w:lang w:val="en-US"/>
              </w:rPr>
            </w:pPr>
            <w:r>
              <w:rPr>
                <w:rFonts w:hint="eastAsia"/>
                <w:color w:val="auto"/>
                <w:sz w:val="20"/>
                <w:szCs w:val="20"/>
                <w:lang w:val="en-US" w:eastAsia="zh-CN"/>
              </w:rPr>
              <w:t>6.02</w:t>
            </w:r>
          </w:p>
        </w:tc>
      </w:tr>
      <w:tr>
        <w:tblPrEx>
          <w:tblLayout w:type="fixed"/>
          <w:tblCellMar>
            <w:top w:w="0" w:type="dxa"/>
            <w:left w:w="108" w:type="dxa"/>
            <w:bottom w:w="0" w:type="dxa"/>
            <w:right w:w="108" w:type="dxa"/>
          </w:tblCellMar>
        </w:tblPrEx>
        <w:trPr>
          <w:trHeight w:val="39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0</w:t>
            </w: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val="en-US" w:eastAsia="zh-CN"/>
              </w:rPr>
              <w:t>343.56</w:t>
            </w:r>
            <w:r>
              <w:rPr>
                <w:sz w:val="20"/>
                <w:szCs w:val="20"/>
              </w:rPr>
              <w:t>　</w:t>
            </w:r>
          </w:p>
        </w:tc>
      </w:tr>
      <w:tr>
        <w:tblPrEx>
          <w:tblLayout w:type="fixed"/>
          <w:tblCellMar>
            <w:top w:w="0" w:type="dxa"/>
            <w:left w:w="108" w:type="dxa"/>
            <w:bottom w:w="0" w:type="dxa"/>
            <w:right w:w="108" w:type="dxa"/>
          </w:tblCellMar>
        </w:tblPrEx>
        <w:trPr>
          <w:trHeight w:val="435"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楼堂馆所控制情况</w:t>
            </w:r>
            <w:r>
              <w:rPr>
                <w:sz w:val="20"/>
                <w:szCs w:val="20"/>
              </w:rPr>
              <w:br w:type="textWrapping"/>
            </w:r>
            <w:r>
              <w:rPr>
                <w:sz w:val="20"/>
                <w:szCs w:val="20"/>
              </w:rPr>
              <w:t>（2023年完工项目）</w:t>
            </w: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批复规模</w:t>
            </w:r>
            <w:r>
              <w:rPr>
                <w:bCs/>
                <w:sz w:val="20"/>
                <w:szCs w:val="20"/>
              </w:rPr>
              <w:br w:type="textWrapping"/>
            </w:r>
            <w:r>
              <w:rPr>
                <w:bCs/>
                <w:sz w:val="20"/>
                <w:szCs w:val="20"/>
              </w:rPr>
              <w:t>（</w:t>
            </w:r>
            <w:r>
              <w:rPr>
                <w:rFonts w:eastAsia="宋体"/>
                <w:bCs/>
                <w:sz w:val="20"/>
                <w:szCs w:val="20"/>
              </w:rPr>
              <w:t>㎡</w:t>
            </w:r>
            <w:r>
              <w:rPr>
                <w:bCs/>
                <w:sz w:val="20"/>
                <w:szCs w:val="20"/>
              </w:rPr>
              <w:t>）</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实际规模（</w:t>
            </w:r>
            <w:r>
              <w:rPr>
                <w:rFonts w:eastAsia="宋体"/>
                <w:bCs/>
                <w:sz w:val="20"/>
                <w:szCs w:val="20"/>
              </w:rPr>
              <w:t>㎡</w:t>
            </w:r>
            <w:r>
              <w:rPr>
                <w:bCs/>
                <w:sz w:val="20"/>
                <w:szCs w:val="20"/>
              </w:rPr>
              <w:t>）</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bCs/>
                <w:sz w:val="20"/>
                <w:szCs w:val="20"/>
              </w:rPr>
            </w:pPr>
            <w:r>
              <w:rPr>
                <w:bCs/>
                <w:sz w:val="20"/>
                <w:szCs w:val="20"/>
              </w:rPr>
              <w:t>投资概算控制率</w:t>
            </w:r>
          </w:p>
        </w:tc>
      </w:tr>
      <w:tr>
        <w:tblPrEx>
          <w:tblLayout w:type="fixed"/>
          <w:tblCellMar>
            <w:top w:w="0" w:type="dxa"/>
            <w:left w:w="108" w:type="dxa"/>
            <w:bottom w:w="0" w:type="dxa"/>
            <w:right w:w="108" w:type="dxa"/>
          </w:tblCellMar>
        </w:tblPrEx>
        <w:trPr>
          <w:trHeight w:val="48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p>
        </w:tc>
        <w:tc>
          <w:tcPr>
            <w:tcW w:w="118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　</w:t>
            </w:r>
          </w:p>
        </w:tc>
        <w:tc>
          <w:tcPr>
            <w:tcW w:w="84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29"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11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1081"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c>
          <w:tcPr>
            <w:tcW w:w="960" w:type="dxa"/>
            <w:tcBorders>
              <w:top w:val="nil"/>
              <w:left w:val="nil"/>
              <w:bottom w:val="single" w:color="auto" w:sz="4" w:space="0"/>
              <w:right w:val="single" w:color="auto" w:sz="4" w:space="0"/>
            </w:tcBorders>
            <w:noWrap w:val="0"/>
            <w:vAlign w:val="center"/>
          </w:tcPr>
          <w:p>
            <w:pPr>
              <w:widowControl/>
              <w:adjustRightInd/>
              <w:snapToGrid/>
              <w:spacing w:line="360" w:lineRule="exact"/>
              <w:ind w:firstLine="0" w:firstLineChars="0"/>
              <w:jc w:val="left"/>
              <w:textAlignment w:val="center"/>
              <w:rPr>
                <w:sz w:val="20"/>
                <w:szCs w:val="20"/>
              </w:rPr>
            </w:pPr>
            <w:r>
              <w:rPr>
                <w:sz w:val="20"/>
                <w:szCs w:val="20"/>
              </w:rPr>
              <w:t>　</w:t>
            </w:r>
          </w:p>
        </w:tc>
      </w:tr>
      <w:tr>
        <w:tblPrEx>
          <w:tblLayout w:type="fixed"/>
          <w:tblCellMar>
            <w:top w:w="0" w:type="dxa"/>
            <w:left w:w="108" w:type="dxa"/>
            <w:bottom w:w="0" w:type="dxa"/>
            <w:right w:w="108" w:type="dxa"/>
          </w:tblCellMar>
        </w:tblPrEx>
        <w:trPr>
          <w:trHeight w:val="52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adjustRightInd/>
              <w:snapToGrid/>
              <w:spacing w:line="360" w:lineRule="exact"/>
              <w:ind w:firstLine="0" w:firstLineChars="0"/>
              <w:jc w:val="center"/>
              <w:textAlignment w:val="center"/>
              <w:rPr>
                <w:sz w:val="20"/>
                <w:szCs w:val="20"/>
              </w:rPr>
            </w:pPr>
            <w:r>
              <w:rPr>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adjustRightInd/>
              <w:snapToGrid/>
              <w:spacing w:line="360" w:lineRule="exact"/>
              <w:ind w:firstLine="0" w:firstLineChars="0"/>
              <w:jc w:val="center"/>
              <w:textAlignment w:val="center"/>
              <w:rPr>
                <w:sz w:val="20"/>
                <w:szCs w:val="20"/>
              </w:rPr>
            </w:pPr>
            <w:r>
              <w:rPr>
                <w:rFonts w:hint="eastAsia"/>
                <w:sz w:val="20"/>
                <w:szCs w:val="20"/>
                <w:lang w:eastAsia="zh-CN"/>
              </w:rPr>
              <w:t>开源节流，严控支出审核，加强学生管理</w:t>
            </w:r>
            <w:r>
              <w:rPr>
                <w:sz w:val="20"/>
                <w:szCs w:val="20"/>
              </w:rPr>
              <w:t>　</w:t>
            </w:r>
          </w:p>
        </w:tc>
      </w:tr>
    </w:tbl>
    <w:p>
      <w:pPr>
        <w:widowControl/>
        <w:adjustRightInd/>
        <w:snapToGrid/>
        <w:spacing w:line="360" w:lineRule="exact"/>
        <w:ind w:firstLine="0" w:firstLineChars="0"/>
        <w:jc w:val="center"/>
        <w:textAlignment w:val="center"/>
        <w:rPr>
          <w:rFonts w:hint="eastAsia"/>
          <w:sz w:val="22"/>
          <w:szCs w:val="22"/>
          <w:lang w:val="en-US" w:eastAsia="zh-CN"/>
        </w:rPr>
      </w:pPr>
    </w:p>
    <w:p>
      <w:pPr>
        <w:widowControl/>
        <w:adjustRightInd/>
        <w:snapToGrid/>
        <w:spacing w:line="360" w:lineRule="exact"/>
        <w:ind w:left="220" w:hanging="220" w:hangingChars="100"/>
        <w:jc w:val="left"/>
        <w:textAlignment w:val="center"/>
        <w:rPr>
          <w:rFonts w:hint="eastAsia"/>
          <w:sz w:val="22"/>
          <w:szCs w:val="22"/>
          <w:lang w:val="en-US" w:eastAsia="zh-CN"/>
        </w:rPr>
      </w:pPr>
      <w:r>
        <w:rPr>
          <w:rFonts w:hint="eastAsia"/>
          <w:sz w:val="22"/>
          <w:szCs w:val="22"/>
          <w:lang w:val="en-US" w:eastAsia="zh-CN"/>
        </w:rPr>
        <w:t xml:space="preserve">   说明：“项目支出”需要填报基本支出以外的所有项目支出情况，“公用经费”填报基本支出中的一般商品和服务支出。</w:t>
      </w:r>
    </w:p>
    <w:p>
      <w:pPr>
        <w:widowControl/>
        <w:adjustRightInd/>
        <w:snapToGrid/>
        <w:spacing w:line="360" w:lineRule="exact"/>
        <w:ind w:firstLine="0" w:firstLineChars="0"/>
        <w:jc w:val="center"/>
        <w:textAlignment w:val="center"/>
        <w:rPr>
          <w:rFonts w:hint="eastAsia"/>
          <w:sz w:val="22"/>
          <w:szCs w:val="22"/>
          <w:lang w:val="en-US" w:eastAsia="zh-CN"/>
        </w:rPr>
      </w:pPr>
      <w:r>
        <w:rPr>
          <w:rFonts w:hint="eastAsia"/>
          <w:sz w:val="22"/>
          <w:szCs w:val="22"/>
          <w:lang w:val="en-US" w:eastAsia="zh-CN"/>
        </w:rPr>
        <w:t>填表人：        填报日期：          联系电话：            单位负责人签字：</w:t>
      </w:r>
    </w:p>
    <w:p>
      <w:pPr>
        <w:pStyle w:val="13"/>
        <w:ind w:firstLine="440" w:firstLineChars="200"/>
        <w:rPr>
          <w:rFonts w:hint="eastAsia" w:ascii="仿宋_GB2312" w:hAnsi="Courier New" w:eastAsia="仿宋_GB2312" w:cs="Courier New"/>
          <w:bCs/>
          <w:color w:val="000000"/>
          <w:kern w:val="2"/>
          <w:sz w:val="22"/>
          <w:szCs w:val="22"/>
          <w:lang w:val="en-US" w:eastAsia="zh-CN" w:bidi="ar-SA"/>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pStyle w:val="13"/>
        <w:ind w:firstLine="640" w:firstLineChars="200"/>
        <w:rPr>
          <w:rFonts w:hint="eastAsia" w:ascii="仿宋" w:hAnsi="仿宋" w:eastAsia="仿宋" w:cs="仿宋"/>
          <w:sz w:val="32"/>
          <w:szCs w:val="32"/>
          <w:highlight w:val="none"/>
          <w:lang w:eastAsia="zh-CN"/>
        </w:rPr>
      </w:pPr>
    </w:p>
    <w:p>
      <w:pPr>
        <w:widowControl/>
        <w:adjustRightInd/>
        <w:snapToGrid/>
        <w:spacing w:before="144" w:beforeLines="25" w:after="144" w:afterLines="25" w:line="500" w:lineRule="exact"/>
        <w:ind w:firstLine="1800" w:firstLineChars="500"/>
        <w:jc w:val="both"/>
        <w:rPr>
          <w:rFonts w:eastAsia="方正小标宋简体"/>
          <w:color w:val="000000"/>
          <w:sz w:val="36"/>
          <w:szCs w:val="36"/>
        </w:rPr>
      </w:pPr>
      <w:r>
        <w:rPr>
          <w:rFonts w:eastAsia="方正小标宋简体"/>
          <w:color w:val="000000"/>
          <w:sz w:val="36"/>
          <w:szCs w:val="36"/>
        </w:rPr>
        <w:t>2023年度部门整体支出绩效自评表</w:t>
      </w:r>
    </w:p>
    <w:p>
      <w:pPr>
        <w:widowControl/>
        <w:adjustRightInd/>
        <w:snapToGrid/>
        <w:spacing w:before="144" w:beforeLines="25" w:after="144" w:afterLines="25" w:line="500" w:lineRule="exact"/>
        <w:ind w:firstLine="1800" w:firstLineChars="500"/>
        <w:jc w:val="both"/>
        <w:rPr>
          <w:rFonts w:eastAsia="方正小标宋简体"/>
          <w:color w:val="000000"/>
          <w:sz w:val="36"/>
          <w:szCs w:val="36"/>
        </w:rPr>
      </w:pPr>
    </w:p>
    <w:tbl>
      <w:tblPr>
        <w:tblStyle w:val="9"/>
        <w:tblW w:w="10202" w:type="dxa"/>
        <w:jc w:val="center"/>
        <w:tblInd w:w="0" w:type="dxa"/>
        <w:tblLayout w:type="fixed"/>
        <w:tblCellMar>
          <w:top w:w="0" w:type="dxa"/>
          <w:left w:w="108" w:type="dxa"/>
          <w:bottom w:w="0" w:type="dxa"/>
          <w:right w:w="108" w:type="dxa"/>
        </w:tblCellMar>
      </w:tblPr>
      <w:tblGrid>
        <w:gridCol w:w="826"/>
        <w:gridCol w:w="645"/>
        <w:gridCol w:w="990"/>
        <w:gridCol w:w="2371"/>
        <w:gridCol w:w="1439"/>
        <w:gridCol w:w="900"/>
        <w:gridCol w:w="589"/>
        <w:gridCol w:w="996"/>
        <w:gridCol w:w="1446"/>
      </w:tblGrid>
      <w:tr>
        <w:tblPrEx>
          <w:tblLayout w:type="fixed"/>
          <w:tblCellMar>
            <w:top w:w="0" w:type="dxa"/>
            <w:left w:w="108" w:type="dxa"/>
            <w:bottom w:w="0" w:type="dxa"/>
            <w:right w:w="108" w:type="dxa"/>
          </w:tblCellMar>
        </w:tblPrEx>
        <w:trPr>
          <w:trHeight w:val="460" w:hRule="atLeast"/>
          <w:jc w:val="center"/>
        </w:trPr>
        <w:tc>
          <w:tcPr>
            <w:tcW w:w="2461"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省级预算部门、单位名称</w:t>
            </w:r>
          </w:p>
        </w:tc>
        <w:tc>
          <w:tcPr>
            <w:tcW w:w="7741" w:type="dxa"/>
            <w:gridSpan w:val="6"/>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rFonts w:hint="eastAsia"/>
                <w:color w:val="000000"/>
                <w:sz w:val="20"/>
                <w:szCs w:val="20"/>
                <w:lang w:eastAsia="zh-CN"/>
              </w:rPr>
              <w:t>湖南省工业贸易学校</w:t>
            </w:r>
            <w:r>
              <w:rPr>
                <w:color w:val="000000"/>
                <w:sz w:val="20"/>
                <w:szCs w:val="20"/>
              </w:rPr>
              <w:t>　</w:t>
            </w:r>
          </w:p>
        </w:tc>
      </w:tr>
      <w:tr>
        <w:tblPrEx>
          <w:tblLayout w:type="fixed"/>
          <w:tblCellMar>
            <w:top w:w="0" w:type="dxa"/>
            <w:left w:w="108" w:type="dxa"/>
            <w:bottom w:w="0" w:type="dxa"/>
            <w:right w:w="108" w:type="dxa"/>
          </w:tblCellMar>
        </w:tblPrEx>
        <w:trPr>
          <w:jc w:val="center"/>
        </w:trPr>
        <w:tc>
          <w:tcPr>
            <w:tcW w:w="826" w:type="dxa"/>
            <w:vMerge w:val="restart"/>
            <w:tcBorders>
              <w:top w:val="nil"/>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年度预</w:t>
            </w:r>
          </w:p>
          <w:p>
            <w:pPr>
              <w:widowControl/>
              <w:adjustRightInd/>
              <w:snapToGrid/>
              <w:spacing w:line="240" w:lineRule="exact"/>
              <w:ind w:firstLine="0" w:firstLineChars="0"/>
              <w:jc w:val="center"/>
              <w:rPr>
                <w:color w:val="000000"/>
                <w:sz w:val="20"/>
                <w:szCs w:val="20"/>
              </w:rPr>
            </w:pPr>
            <w:r>
              <w:rPr>
                <w:color w:val="000000"/>
                <w:sz w:val="20"/>
                <w:szCs w:val="20"/>
              </w:rPr>
              <w:t>算申请</w:t>
            </w:r>
            <w:r>
              <w:rPr>
                <w:color w:val="000000"/>
                <w:sz w:val="20"/>
                <w:szCs w:val="20"/>
              </w:rPr>
              <w:br w:type="textWrapping"/>
            </w:r>
            <w:r>
              <w:rPr>
                <w:color w:val="000000"/>
                <w:sz w:val="20"/>
                <w:szCs w:val="20"/>
              </w:rPr>
              <w:t>（万元）</w:t>
            </w:r>
          </w:p>
        </w:tc>
        <w:tc>
          <w:tcPr>
            <w:tcW w:w="1635" w:type="dxa"/>
            <w:gridSpan w:val="2"/>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p>
        </w:tc>
        <w:tc>
          <w:tcPr>
            <w:tcW w:w="2371"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年初预算数</w:t>
            </w:r>
          </w:p>
        </w:tc>
        <w:tc>
          <w:tcPr>
            <w:tcW w:w="1439"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全年预算数</w:t>
            </w:r>
          </w:p>
        </w:tc>
        <w:tc>
          <w:tcPr>
            <w:tcW w:w="900"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全年执行数</w:t>
            </w:r>
          </w:p>
        </w:tc>
        <w:tc>
          <w:tcPr>
            <w:tcW w:w="589"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分值</w:t>
            </w:r>
          </w:p>
        </w:tc>
        <w:tc>
          <w:tcPr>
            <w:tcW w:w="996"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执行率</w:t>
            </w:r>
          </w:p>
        </w:tc>
        <w:tc>
          <w:tcPr>
            <w:tcW w:w="1446"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sz w:val="20"/>
                <w:szCs w:val="20"/>
              </w:rPr>
              <w:t>自评得分</w:t>
            </w:r>
          </w:p>
        </w:tc>
      </w:tr>
      <w:tr>
        <w:tblPrEx>
          <w:tblLayout w:type="fixed"/>
          <w:tblCellMar>
            <w:top w:w="0" w:type="dxa"/>
            <w:left w:w="108" w:type="dxa"/>
            <w:bottom w:w="0" w:type="dxa"/>
            <w:right w:w="108" w:type="dxa"/>
          </w:tblCellMar>
        </w:tblPrEx>
        <w:trPr>
          <w:trHeight w:val="385" w:hRule="atLeast"/>
          <w:jc w:val="center"/>
        </w:trPr>
        <w:tc>
          <w:tcPr>
            <w:tcW w:w="826" w:type="dxa"/>
            <w:vMerge w:val="continue"/>
            <w:tcBorders>
              <w:top w:val="nil"/>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1635" w:type="dxa"/>
            <w:gridSpan w:val="2"/>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color w:val="000000"/>
                <w:sz w:val="20"/>
                <w:szCs w:val="20"/>
              </w:rPr>
              <w:t>年度资金总额</w:t>
            </w:r>
          </w:p>
        </w:tc>
        <w:tc>
          <w:tcPr>
            <w:tcW w:w="2371"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default" w:eastAsia="仿宋_GB2312"/>
                <w:sz w:val="20"/>
                <w:szCs w:val="20"/>
                <w:lang w:val="en-US" w:eastAsia="zh-CN"/>
              </w:rPr>
            </w:pPr>
            <w:r>
              <w:rPr>
                <w:rFonts w:hint="eastAsia"/>
                <w:sz w:val="20"/>
                <w:szCs w:val="20"/>
                <w:lang w:val="en-US" w:eastAsia="zh-CN"/>
              </w:rPr>
              <w:t>1940.46</w:t>
            </w:r>
          </w:p>
        </w:tc>
        <w:tc>
          <w:tcPr>
            <w:tcW w:w="1439"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default" w:eastAsia="仿宋_GB2312"/>
                <w:sz w:val="20"/>
                <w:szCs w:val="20"/>
                <w:lang w:val="en-US" w:eastAsia="zh-CN"/>
              </w:rPr>
            </w:pPr>
            <w:r>
              <w:rPr>
                <w:rFonts w:hint="eastAsia"/>
                <w:sz w:val="20"/>
                <w:szCs w:val="20"/>
                <w:lang w:val="en-US" w:eastAsia="zh-CN"/>
              </w:rPr>
              <w:t>4991.88</w:t>
            </w:r>
          </w:p>
        </w:tc>
        <w:tc>
          <w:tcPr>
            <w:tcW w:w="900"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rFonts w:hint="default" w:eastAsia="仿宋_GB2312"/>
                <w:sz w:val="20"/>
                <w:szCs w:val="20"/>
                <w:lang w:val="en-US" w:eastAsia="zh-CN"/>
              </w:rPr>
            </w:pPr>
            <w:r>
              <w:rPr>
                <w:rFonts w:hint="eastAsia"/>
                <w:sz w:val="20"/>
                <w:szCs w:val="20"/>
                <w:lang w:val="en-US" w:eastAsia="zh-CN"/>
              </w:rPr>
              <w:t>3895.72</w:t>
            </w:r>
          </w:p>
        </w:tc>
        <w:tc>
          <w:tcPr>
            <w:tcW w:w="589"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r>
              <w:rPr>
                <w:b/>
                <w:bCs/>
                <w:sz w:val="20"/>
                <w:szCs w:val="20"/>
              </w:rPr>
              <w:t>10</w:t>
            </w:r>
          </w:p>
        </w:tc>
        <w:tc>
          <w:tcPr>
            <w:tcW w:w="996"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p>
        </w:tc>
        <w:tc>
          <w:tcPr>
            <w:tcW w:w="1446" w:type="dxa"/>
            <w:tcBorders>
              <w:top w:val="nil"/>
              <w:left w:val="nil"/>
              <w:bottom w:val="single" w:color="auto" w:sz="4" w:space="0"/>
              <w:right w:val="single" w:color="auto" w:sz="4" w:space="0"/>
            </w:tcBorders>
            <w:noWrap w:val="0"/>
            <w:vAlign w:val="center"/>
          </w:tcPr>
          <w:p>
            <w:pPr>
              <w:adjustRightInd/>
              <w:snapToGrid/>
              <w:spacing w:line="240" w:lineRule="exact"/>
              <w:ind w:firstLine="0" w:firstLineChars="0"/>
              <w:jc w:val="center"/>
              <w:rPr>
                <w:sz w:val="20"/>
                <w:szCs w:val="20"/>
              </w:rPr>
            </w:pPr>
          </w:p>
        </w:tc>
      </w:tr>
      <w:tr>
        <w:tblPrEx>
          <w:tblLayout w:type="fixed"/>
          <w:tblCellMar>
            <w:top w:w="0" w:type="dxa"/>
            <w:left w:w="108" w:type="dxa"/>
            <w:bottom w:w="0" w:type="dxa"/>
            <w:right w:w="108" w:type="dxa"/>
          </w:tblCellMar>
        </w:tblPrEx>
        <w:trPr>
          <w:trHeight w:val="370" w:hRule="atLeast"/>
          <w:jc w:val="center"/>
        </w:trPr>
        <w:tc>
          <w:tcPr>
            <w:tcW w:w="826"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5445"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按收入性质分：</w:t>
            </w:r>
          </w:p>
        </w:tc>
        <w:tc>
          <w:tcPr>
            <w:tcW w:w="3931"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按支出性质分：</w:t>
            </w:r>
          </w:p>
        </w:tc>
      </w:tr>
      <w:tr>
        <w:tblPrEx>
          <w:tblLayout w:type="fixed"/>
          <w:tblCellMar>
            <w:top w:w="0" w:type="dxa"/>
            <w:left w:w="108" w:type="dxa"/>
            <w:bottom w:w="0" w:type="dxa"/>
            <w:right w:w="108" w:type="dxa"/>
          </w:tblCellMar>
        </w:tblPrEx>
        <w:trPr>
          <w:trHeight w:val="310" w:hRule="atLeast"/>
          <w:jc w:val="center"/>
        </w:trPr>
        <w:tc>
          <w:tcPr>
            <w:tcW w:w="826"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5445"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xml:space="preserve">  其中：  一般公共预算：</w:t>
            </w:r>
            <w:r>
              <w:rPr>
                <w:rFonts w:hint="eastAsia"/>
                <w:color w:val="000000"/>
                <w:sz w:val="20"/>
                <w:szCs w:val="20"/>
                <w:lang w:val="en-US" w:eastAsia="zh-CN"/>
              </w:rPr>
              <w:t>4264.5</w:t>
            </w:r>
          </w:p>
        </w:tc>
        <w:tc>
          <w:tcPr>
            <w:tcW w:w="3931"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其中：基本支出：</w:t>
            </w:r>
            <w:r>
              <w:rPr>
                <w:rFonts w:hint="eastAsia"/>
                <w:color w:val="000000"/>
                <w:sz w:val="20"/>
                <w:szCs w:val="20"/>
                <w:lang w:val="en-US" w:eastAsia="zh-CN"/>
              </w:rPr>
              <w:t>2095.37</w:t>
            </w:r>
          </w:p>
        </w:tc>
      </w:tr>
      <w:tr>
        <w:tblPrEx>
          <w:tblLayout w:type="fixed"/>
          <w:tblCellMar>
            <w:top w:w="0" w:type="dxa"/>
            <w:left w:w="108" w:type="dxa"/>
            <w:bottom w:w="0" w:type="dxa"/>
            <w:right w:w="108" w:type="dxa"/>
          </w:tblCellMar>
        </w:tblPrEx>
        <w:trPr>
          <w:trHeight w:val="340" w:hRule="atLeast"/>
          <w:jc w:val="center"/>
        </w:trPr>
        <w:tc>
          <w:tcPr>
            <w:tcW w:w="826"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5445"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政府性基金拨款：</w:t>
            </w:r>
          </w:p>
        </w:tc>
        <w:tc>
          <w:tcPr>
            <w:tcW w:w="3931"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项目支出：</w:t>
            </w:r>
            <w:r>
              <w:rPr>
                <w:rFonts w:hint="eastAsia"/>
                <w:color w:val="000000"/>
                <w:sz w:val="20"/>
                <w:szCs w:val="20"/>
                <w:lang w:val="en-US" w:eastAsia="zh-CN"/>
              </w:rPr>
              <w:t>1800.35</w:t>
            </w:r>
          </w:p>
        </w:tc>
      </w:tr>
      <w:tr>
        <w:tblPrEx>
          <w:tblLayout w:type="fixed"/>
          <w:tblCellMar>
            <w:top w:w="0" w:type="dxa"/>
            <w:left w:w="108" w:type="dxa"/>
            <w:bottom w:w="0" w:type="dxa"/>
            <w:right w:w="108" w:type="dxa"/>
          </w:tblCellMar>
        </w:tblPrEx>
        <w:trPr>
          <w:trHeight w:val="355" w:hRule="atLeast"/>
          <w:jc w:val="center"/>
        </w:trPr>
        <w:tc>
          <w:tcPr>
            <w:tcW w:w="826"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5445"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纳入专户管理的非税收入拨款：</w:t>
            </w:r>
            <w:r>
              <w:rPr>
                <w:rFonts w:hint="eastAsia"/>
                <w:color w:val="000000"/>
                <w:sz w:val="20"/>
                <w:szCs w:val="20"/>
                <w:lang w:val="en-US" w:eastAsia="zh-CN"/>
              </w:rPr>
              <w:t>185</w:t>
            </w:r>
          </w:p>
        </w:tc>
        <w:tc>
          <w:tcPr>
            <w:tcW w:w="3931"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r>
      <w:tr>
        <w:tblPrEx>
          <w:tblLayout w:type="fixed"/>
          <w:tblCellMar>
            <w:top w:w="0" w:type="dxa"/>
            <w:left w:w="108" w:type="dxa"/>
            <w:bottom w:w="0" w:type="dxa"/>
            <w:right w:w="108" w:type="dxa"/>
          </w:tblCellMar>
        </w:tblPrEx>
        <w:trPr>
          <w:trHeight w:val="330" w:hRule="atLeast"/>
          <w:jc w:val="center"/>
        </w:trPr>
        <w:tc>
          <w:tcPr>
            <w:tcW w:w="826" w:type="dxa"/>
            <w:vMerge w:val="continue"/>
            <w:tcBorders>
              <w:left w:val="single" w:color="auto" w:sz="4" w:space="0"/>
              <w:bottom w:val="single" w:color="000000"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5445"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其他资金：</w:t>
            </w:r>
            <w:r>
              <w:rPr>
                <w:rFonts w:hint="eastAsia"/>
                <w:color w:val="000000"/>
                <w:sz w:val="20"/>
                <w:szCs w:val="20"/>
                <w:lang w:val="en-US" w:eastAsia="zh-CN"/>
              </w:rPr>
              <w:t>113.72</w:t>
            </w:r>
          </w:p>
        </w:tc>
        <w:tc>
          <w:tcPr>
            <w:tcW w:w="3931" w:type="dxa"/>
            <w:gridSpan w:val="4"/>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r>
      <w:tr>
        <w:tblPrEx>
          <w:tblLayout w:type="fixed"/>
          <w:tblCellMar>
            <w:top w:w="0" w:type="dxa"/>
            <w:left w:w="108" w:type="dxa"/>
            <w:bottom w:w="0" w:type="dxa"/>
            <w:right w:w="108" w:type="dxa"/>
          </w:tblCellMar>
        </w:tblPrEx>
        <w:trPr>
          <w:trHeight w:val="390" w:hRule="atLeast"/>
          <w:jc w:val="center"/>
        </w:trPr>
        <w:tc>
          <w:tcPr>
            <w:tcW w:w="826" w:type="dxa"/>
            <w:vMerge w:val="restart"/>
            <w:tcBorders>
              <w:top w:val="nil"/>
              <w:left w:val="single" w:color="auto" w:sz="4" w:space="0"/>
              <w:bottom w:val="single" w:color="000000"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年度总体目标</w:t>
            </w:r>
          </w:p>
        </w:tc>
        <w:tc>
          <w:tcPr>
            <w:tcW w:w="5445" w:type="dxa"/>
            <w:gridSpan w:val="4"/>
            <w:tcBorders>
              <w:top w:val="single" w:color="auto" w:sz="4" w:space="0"/>
              <w:left w:val="nil"/>
              <w:bottom w:val="single" w:color="auto" w:sz="4" w:space="0"/>
              <w:right w:val="single" w:color="000000"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预期目标</w:t>
            </w:r>
          </w:p>
        </w:tc>
        <w:tc>
          <w:tcPr>
            <w:tcW w:w="3931" w:type="dxa"/>
            <w:gridSpan w:val="4"/>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826" w:type="dxa"/>
            <w:vMerge w:val="continue"/>
            <w:tcBorders>
              <w:top w:val="nil"/>
              <w:left w:val="single" w:color="auto" w:sz="4" w:space="0"/>
              <w:bottom w:val="single" w:color="000000"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5445" w:type="dxa"/>
            <w:gridSpan w:val="4"/>
            <w:tcBorders>
              <w:top w:val="single" w:color="auto" w:sz="4" w:space="0"/>
              <w:left w:val="nil"/>
              <w:bottom w:val="single" w:color="auto" w:sz="4" w:space="0"/>
              <w:right w:val="single" w:color="000000" w:sz="4" w:space="0"/>
            </w:tcBorders>
            <w:noWrap w:val="0"/>
            <w:vAlign w:val="center"/>
          </w:tcPr>
          <w:p>
            <w:pPr>
              <w:widowControl/>
              <w:adjustRightInd/>
              <w:snapToGrid/>
              <w:spacing w:line="240" w:lineRule="exact"/>
              <w:ind w:firstLine="0" w:firstLineChars="0"/>
              <w:rPr>
                <w:rFonts w:hint="eastAsia" w:eastAsia="仿宋_GB2312"/>
                <w:color w:val="000000"/>
                <w:sz w:val="20"/>
                <w:szCs w:val="20"/>
                <w:lang w:eastAsia="zh-CN"/>
              </w:rPr>
            </w:pPr>
            <w:r>
              <w:rPr>
                <w:color w:val="000000"/>
                <w:sz w:val="18"/>
                <w:szCs w:val="18"/>
              </w:rPr>
              <w:t>　</w:t>
            </w:r>
            <w:r>
              <w:rPr>
                <w:rFonts w:hint="eastAsia" w:ascii="仿宋" w:hAnsi="仿宋" w:eastAsia="仿宋" w:cs="仿宋"/>
                <w:sz w:val="18"/>
                <w:szCs w:val="18"/>
              </w:rPr>
              <w:t>坚持立德树人，倡导产教融合，全面落实教学任务和目标</w:t>
            </w:r>
          </w:p>
        </w:tc>
        <w:tc>
          <w:tcPr>
            <w:tcW w:w="3931" w:type="dxa"/>
            <w:gridSpan w:val="4"/>
            <w:tcBorders>
              <w:top w:val="single" w:color="auto" w:sz="4" w:space="0"/>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ascii="宋体" w:hAnsi="宋体" w:cs="宋体"/>
                <w:color w:val="000000"/>
                <w:kern w:val="0"/>
                <w:sz w:val="18"/>
                <w:szCs w:val="18"/>
              </w:rPr>
              <w:t>基本完成年度项目计划</w:t>
            </w:r>
            <w:r>
              <w:rPr>
                <w:rFonts w:ascii="宋体" w:cs="宋体"/>
                <w:color w:val="000000"/>
                <w:kern w:val="0"/>
                <w:sz w:val="18"/>
                <w:szCs w:val="18"/>
              </w:rPr>
              <w:t>,</w:t>
            </w:r>
            <w:r>
              <w:rPr>
                <w:rFonts w:hint="eastAsia" w:ascii="宋体" w:hAnsi="宋体" w:cs="宋体"/>
                <w:color w:val="000000"/>
                <w:kern w:val="0"/>
                <w:sz w:val="18"/>
                <w:szCs w:val="18"/>
              </w:rPr>
              <w:t>教师素质不断提升</w:t>
            </w:r>
            <w:r>
              <w:rPr>
                <w:rFonts w:ascii="宋体" w:cs="宋体"/>
                <w:color w:val="000000"/>
                <w:kern w:val="0"/>
                <w:sz w:val="18"/>
                <w:szCs w:val="18"/>
              </w:rPr>
              <w:t>,</w:t>
            </w:r>
            <w:r>
              <w:rPr>
                <w:rFonts w:hint="eastAsia" w:ascii="宋体" w:hAnsi="宋体" w:cs="宋体"/>
                <w:color w:val="000000"/>
                <w:kern w:val="0"/>
                <w:sz w:val="18"/>
                <w:szCs w:val="18"/>
                <w:lang w:eastAsia="zh-CN"/>
              </w:rPr>
              <w:t>学生综合素质不断提高</w:t>
            </w:r>
            <w:r>
              <w:rPr>
                <w:rFonts w:ascii="宋体" w:cs="宋体"/>
                <w:color w:val="000000"/>
                <w:kern w:val="0"/>
                <w:sz w:val="18"/>
                <w:szCs w:val="18"/>
              </w:rPr>
              <w:t>,</w:t>
            </w:r>
            <w:r>
              <w:rPr>
                <w:rFonts w:hint="eastAsia" w:ascii="宋体" w:hAnsi="宋体" w:cs="宋体"/>
                <w:color w:val="000000"/>
                <w:kern w:val="0"/>
                <w:sz w:val="18"/>
                <w:szCs w:val="18"/>
              </w:rPr>
              <w:t>教育教学水平不断提高</w:t>
            </w:r>
          </w:p>
        </w:tc>
      </w:tr>
      <w:tr>
        <w:tblPrEx>
          <w:tblLayout w:type="fixed"/>
          <w:tblCellMar>
            <w:top w:w="0" w:type="dxa"/>
            <w:left w:w="108" w:type="dxa"/>
            <w:bottom w:w="0" w:type="dxa"/>
            <w:right w:w="108" w:type="dxa"/>
          </w:tblCellMar>
        </w:tblPrEx>
        <w:trPr>
          <w:jc w:val="center"/>
        </w:trPr>
        <w:tc>
          <w:tcPr>
            <w:tcW w:w="826" w:type="dxa"/>
            <w:vMerge w:val="restart"/>
            <w:tcBorders>
              <w:top w:val="nil"/>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绩</w:t>
            </w:r>
          </w:p>
          <w:p>
            <w:pPr>
              <w:widowControl/>
              <w:adjustRightInd/>
              <w:snapToGrid/>
              <w:spacing w:line="240" w:lineRule="exact"/>
              <w:ind w:firstLine="0" w:firstLineChars="0"/>
              <w:jc w:val="center"/>
              <w:rPr>
                <w:color w:val="000000"/>
                <w:sz w:val="20"/>
                <w:szCs w:val="20"/>
              </w:rPr>
            </w:pPr>
            <w:r>
              <w:rPr>
                <w:color w:val="000000"/>
                <w:sz w:val="20"/>
                <w:szCs w:val="20"/>
              </w:rPr>
              <w:t>效</w:t>
            </w:r>
          </w:p>
          <w:p>
            <w:pPr>
              <w:widowControl/>
              <w:adjustRightInd/>
              <w:snapToGrid/>
              <w:spacing w:line="240" w:lineRule="exact"/>
              <w:ind w:firstLine="0" w:firstLineChars="0"/>
              <w:jc w:val="center"/>
              <w:rPr>
                <w:color w:val="000000"/>
                <w:sz w:val="20"/>
                <w:szCs w:val="20"/>
              </w:rPr>
            </w:pPr>
            <w:r>
              <w:rPr>
                <w:color w:val="000000"/>
                <w:sz w:val="20"/>
                <w:szCs w:val="20"/>
              </w:rPr>
              <w:t>指</w:t>
            </w:r>
          </w:p>
          <w:p>
            <w:pPr>
              <w:widowControl/>
              <w:adjustRightInd/>
              <w:snapToGrid/>
              <w:spacing w:line="240" w:lineRule="exact"/>
              <w:ind w:firstLine="0" w:firstLineChars="0"/>
              <w:jc w:val="center"/>
              <w:rPr>
                <w:color w:val="000000"/>
                <w:sz w:val="20"/>
                <w:szCs w:val="20"/>
              </w:rPr>
            </w:pPr>
            <w:r>
              <w:rPr>
                <w:color w:val="000000"/>
                <w:sz w:val="20"/>
                <w:szCs w:val="20"/>
              </w:rPr>
              <w:t>标</w:t>
            </w:r>
          </w:p>
        </w:tc>
        <w:tc>
          <w:tcPr>
            <w:tcW w:w="645"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一级指标</w:t>
            </w:r>
          </w:p>
        </w:tc>
        <w:tc>
          <w:tcPr>
            <w:tcW w:w="99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二级指标</w:t>
            </w:r>
          </w:p>
        </w:tc>
        <w:tc>
          <w:tcPr>
            <w:tcW w:w="237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三级指标</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rPr>
                <w:color w:val="000000"/>
                <w:sz w:val="20"/>
                <w:szCs w:val="20"/>
              </w:rPr>
            </w:pPr>
            <w:r>
              <w:rPr>
                <w:color w:val="000000"/>
                <w:sz w:val="20"/>
                <w:szCs w:val="20"/>
              </w:rPr>
              <w:t>年度指标值</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实际完成值</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分值</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自评</w:t>
            </w:r>
          </w:p>
          <w:p>
            <w:pPr>
              <w:widowControl/>
              <w:adjustRightInd/>
              <w:snapToGrid/>
              <w:spacing w:line="240" w:lineRule="exact"/>
              <w:ind w:firstLine="0" w:firstLineChars="0"/>
              <w:jc w:val="center"/>
              <w:rPr>
                <w:color w:val="000000"/>
                <w:sz w:val="20"/>
                <w:szCs w:val="20"/>
              </w:rPr>
            </w:pPr>
            <w:r>
              <w:rPr>
                <w:color w:val="000000"/>
                <w:sz w:val="20"/>
                <w:szCs w:val="20"/>
              </w:rPr>
              <w:t>得分</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偏差原因分析及改进措施</w:t>
            </w:r>
          </w:p>
        </w:tc>
      </w:tr>
      <w:tr>
        <w:tblPrEx>
          <w:tblLayout w:type="fixed"/>
          <w:tblCellMar>
            <w:top w:w="0" w:type="dxa"/>
            <w:left w:w="108" w:type="dxa"/>
            <w:bottom w:w="0" w:type="dxa"/>
            <w:right w:w="108" w:type="dxa"/>
          </w:tblCellMar>
        </w:tblPrEx>
        <w:trPr>
          <w:trHeight w:val="424"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产出指标</w:t>
            </w:r>
          </w:p>
          <w:p>
            <w:pPr>
              <w:widowControl/>
              <w:adjustRightInd/>
              <w:snapToGrid/>
              <w:spacing w:line="240" w:lineRule="exact"/>
              <w:ind w:firstLine="0" w:firstLineChars="0"/>
              <w:jc w:val="center"/>
              <w:rPr>
                <w:color w:val="000000"/>
                <w:sz w:val="20"/>
                <w:szCs w:val="20"/>
              </w:rPr>
            </w:pPr>
          </w:p>
          <w:p>
            <w:pPr>
              <w:widowControl/>
              <w:adjustRightInd/>
              <w:snapToGrid/>
              <w:spacing w:line="240" w:lineRule="exact"/>
              <w:ind w:firstLine="0" w:firstLineChars="0"/>
              <w:jc w:val="center"/>
              <w:rPr>
                <w:color w:val="000000"/>
                <w:sz w:val="20"/>
                <w:szCs w:val="20"/>
              </w:rPr>
            </w:pPr>
            <w:r>
              <w:rPr>
                <w:color w:val="000000"/>
                <w:sz w:val="20"/>
                <w:szCs w:val="20"/>
              </w:rPr>
              <w:t>(50分)</w:t>
            </w:r>
          </w:p>
        </w:tc>
        <w:tc>
          <w:tcPr>
            <w:tcW w:w="990"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数量指标</w:t>
            </w:r>
          </w:p>
        </w:tc>
        <w:tc>
          <w:tcPr>
            <w:tcW w:w="2371" w:type="dxa"/>
            <w:tcBorders>
              <w:top w:val="nil"/>
              <w:left w:val="nil"/>
              <w:bottom w:val="single" w:color="auto" w:sz="4" w:space="0"/>
              <w:right w:val="single" w:color="auto" w:sz="4" w:space="0"/>
            </w:tcBorders>
            <w:noWrap w:val="0"/>
            <w:vAlign w:val="center"/>
          </w:tcPr>
          <w:p>
            <w:pPr>
              <w:widowControl/>
              <w:ind w:firstLine="360" w:firstLineChars="200"/>
              <w:jc w:val="left"/>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sz w:val="18"/>
                <w:szCs w:val="18"/>
              </w:rPr>
              <w:t>招生就业完成情况</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100%</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8</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8</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Theme="minorEastAsia"/>
                <w:color w:val="000000"/>
                <w:sz w:val="20"/>
                <w:szCs w:val="20"/>
                <w:lang w:eastAsia="zh-CN"/>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364"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continue"/>
            <w:tcBorders>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2371" w:type="dxa"/>
            <w:tcBorders>
              <w:top w:val="nil"/>
              <w:left w:val="nil"/>
              <w:bottom w:val="single" w:color="auto" w:sz="4" w:space="0"/>
              <w:right w:val="single" w:color="auto" w:sz="4" w:space="0"/>
            </w:tcBorders>
            <w:noWrap w:val="0"/>
            <w:vAlign w:val="center"/>
          </w:tcPr>
          <w:p>
            <w:pPr>
              <w:widowControl/>
              <w:ind w:firstLine="360" w:firstLineChars="200"/>
              <w:jc w:val="left"/>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培养学生人数</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val="en-US" w:eastAsia="zh-CN"/>
              </w:rPr>
              <w:t>3823人</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default" w:eastAsia="仿宋_GB2312"/>
                <w:color w:val="000000"/>
                <w:sz w:val="20"/>
                <w:szCs w:val="20"/>
                <w:lang w:val="en-US" w:eastAsia="zh-CN"/>
              </w:rPr>
            </w:pP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质量指标</w:t>
            </w:r>
          </w:p>
        </w:tc>
        <w:tc>
          <w:tcPr>
            <w:tcW w:w="2371" w:type="dxa"/>
            <w:tcBorders>
              <w:top w:val="nil"/>
              <w:left w:val="nil"/>
              <w:bottom w:val="single" w:color="auto" w:sz="4" w:space="0"/>
              <w:right w:val="single" w:color="auto" w:sz="4" w:space="0"/>
            </w:tcBorders>
            <w:noWrap w:val="0"/>
            <w:vAlign w:val="center"/>
          </w:tcPr>
          <w:p>
            <w:pPr>
              <w:widowControl/>
              <w:ind w:firstLine="360" w:firstLineChars="200"/>
              <w:jc w:val="left"/>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学生技能竞赛获奖</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58人次</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color w:val="000000"/>
                <w:sz w:val="20"/>
                <w:szCs w:val="20"/>
                <w:lang w:eastAsia="zh-CN"/>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394"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2371" w:type="dxa"/>
            <w:tcBorders>
              <w:top w:val="nil"/>
              <w:left w:val="nil"/>
              <w:bottom w:val="single" w:color="auto" w:sz="4" w:space="0"/>
              <w:right w:val="single" w:color="auto" w:sz="4" w:space="0"/>
            </w:tcBorders>
            <w:noWrap w:val="0"/>
            <w:vAlign w:val="center"/>
          </w:tcPr>
          <w:p>
            <w:pPr>
              <w:widowControl/>
              <w:ind w:firstLine="360" w:firstLineChars="200"/>
              <w:jc w:val="left"/>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sz w:val="18"/>
                <w:szCs w:val="18"/>
              </w:rPr>
              <w:t>教师技能获奖</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37人次</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415"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continue"/>
            <w:tcBorders>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237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360" w:firstLineChars="200"/>
              <w:jc w:val="both"/>
              <w:rPr>
                <w:rFonts w:hint="eastAsia" w:eastAsia="仿宋_GB2312"/>
                <w:color w:val="000000"/>
                <w:sz w:val="20"/>
                <w:szCs w:val="20"/>
                <w:lang w:eastAsia="zh-CN"/>
              </w:rPr>
            </w:pPr>
            <w:r>
              <w:rPr>
                <w:rFonts w:hint="eastAsia" w:ascii="宋体" w:hAnsi="宋体" w:cs="宋体"/>
                <w:color w:val="000000"/>
                <w:sz w:val="18"/>
                <w:szCs w:val="18"/>
                <w:lang w:eastAsia="zh-CN"/>
              </w:rPr>
              <w:t>省级在线精品课程</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val="en-US" w:eastAsia="zh-CN"/>
              </w:rPr>
              <w:t>2个</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eastAsia="zh-CN"/>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555"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时效指标</w:t>
            </w:r>
          </w:p>
        </w:tc>
        <w:tc>
          <w:tcPr>
            <w:tcW w:w="237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学生综合素质</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color w:val="000000"/>
                <w:sz w:val="13"/>
                <w:szCs w:val="13"/>
                <w:lang w:val="en-US" w:eastAsia="zh-CN"/>
              </w:rPr>
            </w:pPr>
            <w:r>
              <w:rPr>
                <w:color w:val="000000"/>
                <w:sz w:val="13"/>
                <w:szCs w:val="13"/>
              </w:rPr>
              <w:t>　</w:t>
            </w:r>
            <w:r>
              <w:rPr>
                <w:rFonts w:hint="eastAsia"/>
                <w:color w:val="000000"/>
                <w:sz w:val="13"/>
                <w:szCs w:val="13"/>
                <w:lang w:eastAsia="zh-CN"/>
              </w:rPr>
              <w:t>省、市优秀三好学生</w:t>
            </w:r>
            <w:r>
              <w:rPr>
                <w:rFonts w:hint="eastAsia"/>
                <w:color w:val="000000"/>
                <w:sz w:val="13"/>
                <w:szCs w:val="13"/>
                <w:lang w:val="en-US" w:eastAsia="zh-CN"/>
              </w:rPr>
              <w:t>12名</w:t>
            </w:r>
          </w:p>
          <w:p>
            <w:pPr>
              <w:widowControl/>
              <w:adjustRightInd/>
              <w:snapToGrid/>
              <w:spacing w:line="240" w:lineRule="exact"/>
              <w:ind w:firstLine="0" w:firstLineChars="0"/>
              <w:jc w:val="left"/>
              <w:rPr>
                <w:rFonts w:hint="default"/>
                <w:color w:val="000000"/>
                <w:sz w:val="13"/>
                <w:szCs w:val="13"/>
                <w:lang w:val="en-US" w:eastAsia="zh-CN"/>
              </w:rPr>
            </w:pPr>
            <w:r>
              <w:rPr>
                <w:rFonts w:hint="eastAsia"/>
                <w:color w:val="000000"/>
                <w:sz w:val="13"/>
                <w:szCs w:val="13"/>
                <w:lang w:eastAsia="zh-CN"/>
              </w:rPr>
              <w:t>省、市优秀学生</w:t>
            </w:r>
            <w:r>
              <w:rPr>
                <w:rFonts w:hint="eastAsia"/>
                <w:color w:val="000000"/>
                <w:sz w:val="13"/>
                <w:szCs w:val="13"/>
                <w:lang w:val="en-US" w:eastAsia="zh-CN"/>
              </w:rPr>
              <w:t>2名</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5.5</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455"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237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学生德育管理</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485"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continue"/>
            <w:tcBorders>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237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color w:val="000000"/>
                <w:sz w:val="20"/>
                <w:szCs w:val="20"/>
                <w:lang w:eastAsia="zh-CN"/>
              </w:rPr>
              <w:t>班主任能力提升</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default" w:eastAsia="仿宋_GB2312"/>
                <w:color w:val="000000"/>
                <w:sz w:val="20"/>
                <w:szCs w:val="20"/>
                <w:lang w:val="en-US" w:eastAsia="zh-CN"/>
              </w:rPr>
            </w:pPr>
            <w:r>
              <w:rPr>
                <w:rFonts w:hint="eastAsia"/>
                <w:color w:val="000000"/>
                <w:sz w:val="20"/>
                <w:szCs w:val="20"/>
                <w:lang w:val="en-US" w:eastAsia="zh-CN"/>
              </w:rPr>
              <w:t>5.3</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625"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效益指标</w:t>
            </w:r>
          </w:p>
          <w:p>
            <w:pPr>
              <w:widowControl/>
              <w:adjustRightInd/>
              <w:snapToGrid/>
              <w:spacing w:line="240" w:lineRule="exact"/>
              <w:ind w:firstLine="0" w:firstLineChars="0"/>
              <w:jc w:val="left"/>
              <w:rPr>
                <w:color w:val="000000"/>
                <w:sz w:val="20"/>
                <w:szCs w:val="20"/>
              </w:rPr>
            </w:pPr>
          </w:p>
          <w:p>
            <w:pPr>
              <w:widowControl/>
              <w:adjustRightInd/>
              <w:snapToGrid/>
              <w:spacing w:line="240" w:lineRule="exact"/>
              <w:ind w:firstLine="0" w:firstLineChars="0"/>
              <w:jc w:val="left"/>
              <w:rPr>
                <w:color w:val="000000"/>
                <w:sz w:val="20"/>
                <w:szCs w:val="20"/>
              </w:rPr>
            </w:pPr>
            <w:r>
              <w:rPr>
                <w:color w:val="000000"/>
                <w:sz w:val="20"/>
                <w:szCs w:val="20"/>
              </w:rPr>
              <w:t>（30分）</w:t>
            </w:r>
          </w:p>
          <w:p>
            <w:pPr>
              <w:widowControl/>
              <w:adjustRightInd/>
              <w:snapToGrid/>
              <w:spacing w:line="240" w:lineRule="exact"/>
              <w:ind w:firstLine="0" w:firstLineChars="0"/>
              <w:jc w:val="left"/>
              <w:rPr>
                <w:color w:val="000000"/>
                <w:sz w:val="20"/>
                <w:szCs w:val="20"/>
              </w:rPr>
            </w:pPr>
            <w:r>
              <w:rPr>
                <w:color w:val="000000"/>
                <w:sz w:val="20"/>
                <w:szCs w:val="20"/>
              </w:rPr>
              <w:t>　</w:t>
            </w:r>
          </w:p>
        </w:tc>
        <w:tc>
          <w:tcPr>
            <w:tcW w:w="990" w:type="dxa"/>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经济效</w:t>
            </w:r>
          </w:p>
          <w:p>
            <w:pPr>
              <w:widowControl/>
              <w:adjustRightInd/>
              <w:snapToGrid/>
              <w:spacing w:line="240" w:lineRule="exact"/>
              <w:ind w:firstLine="0" w:firstLineChars="0"/>
              <w:jc w:val="center"/>
              <w:rPr>
                <w:color w:val="000000"/>
                <w:sz w:val="20"/>
                <w:szCs w:val="20"/>
              </w:rPr>
            </w:pPr>
            <w:r>
              <w:rPr>
                <w:color w:val="000000"/>
                <w:sz w:val="20"/>
                <w:szCs w:val="20"/>
              </w:rPr>
              <w:t>益指标</w:t>
            </w:r>
          </w:p>
        </w:tc>
        <w:tc>
          <w:tcPr>
            <w:tcW w:w="2371"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eastAsia" w:eastAsia="仿宋_GB2312"/>
                <w:color w:val="000000"/>
                <w:sz w:val="20"/>
                <w:szCs w:val="20"/>
                <w:lang w:eastAsia="zh-CN"/>
              </w:rPr>
            </w:pPr>
            <w:r>
              <w:rPr>
                <w:rFonts w:hint="eastAsia" w:ascii="宋体" w:hAnsi="宋体" w:cs="宋体"/>
                <w:color w:val="000000"/>
                <w:kern w:val="0"/>
                <w:sz w:val="18"/>
                <w:szCs w:val="18"/>
              </w:rPr>
              <w:t>开展培训</w:t>
            </w:r>
            <w:r>
              <w:rPr>
                <w:rFonts w:hint="eastAsia" w:ascii="宋体" w:hAnsi="宋体" w:cs="宋体"/>
                <w:color w:val="000000"/>
                <w:kern w:val="0"/>
                <w:sz w:val="18"/>
                <w:szCs w:val="18"/>
                <w:lang w:eastAsia="zh-CN"/>
              </w:rPr>
              <w:t>业务</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26.2万元</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5</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538"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restart"/>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社会效</w:t>
            </w:r>
          </w:p>
          <w:p>
            <w:pPr>
              <w:widowControl/>
              <w:adjustRightInd/>
              <w:snapToGrid/>
              <w:spacing w:line="240" w:lineRule="exact"/>
              <w:ind w:firstLine="0" w:firstLineChars="0"/>
              <w:jc w:val="center"/>
              <w:rPr>
                <w:color w:val="000000"/>
                <w:sz w:val="20"/>
                <w:szCs w:val="20"/>
              </w:rPr>
            </w:pPr>
            <w:r>
              <w:rPr>
                <w:color w:val="000000"/>
                <w:sz w:val="20"/>
                <w:szCs w:val="20"/>
              </w:rPr>
              <w:t>益指标</w:t>
            </w:r>
          </w:p>
        </w:tc>
        <w:tc>
          <w:tcPr>
            <w:tcW w:w="2371" w:type="dxa"/>
            <w:tcBorders>
              <w:top w:val="nil"/>
              <w:left w:val="nil"/>
              <w:bottom w:val="single" w:color="auto" w:sz="4" w:space="0"/>
              <w:right w:val="single" w:color="auto" w:sz="4" w:space="0"/>
            </w:tcBorders>
            <w:noWrap w:val="0"/>
            <w:vAlign w:val="center"/>
          </w:tcPr>
          <w:p>
            <w:pPr>
              <w:widowControl/>
              <w:ind w:left="0" w:leftChars="0" w:firstLine="0" w:firstLineChars="0"/>
              <w:jc w:val="both"/>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向社会输送技能型人才</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815人</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763"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vMerge w:val="continue"/>
            <w:tcBorders>
              <w:left w:val="nil"/>
              <w:right w:val="single" w:color="auto" w:sz="4" w:space="0"/>
            </w:tcBorders>
            <w:noWrap w:val="0"/>
            <w:vAlign w:val="center"/>
          </w:tcPr>
          <w:p>
            <w:pPr>
              <w:adjustRightInd/>
              <w:snapToGrid/>
              <w:spacing w:line="240" w:lineRule="exact"/>
              <w:ind w:firstLine="0" w:firstLineChars="0"/>
              <w:jc w:val="center"/>
              <w:rPr>
                <w:color w:val="000000"/>
                <w:sz w:val="20"/>
                <w:szCs w:val="20"/>
              </w:rPr>
            </w:pPr>
          </w:p>
        </w:tc>
        <w:tc>
          <w:tcPr>
            <w:tcW w:w="2371" w:type="dxa"/>
            <w:tcBorders>
              <w:top w:val="nil"/>
              <w:left w:val="nil"/>
              <w:bottom w:val="single" w:color="auto" w:sz="4" w:space="0"/>
              <w:right w:val="single" w:color="auto" w:sz="4" w:space="0"/>
            </w:tcBorders>
            <w:noWrap w:val="0"/>
            <w:vAlign w:val="center"/>
          </w:tcPr>
          <w:p>
            <w:pPr>
              <w:widowControl/>
              <w:ind w:firstLine="360" w:firstLineChars="200"/>
              <w:jc w:val="left"/>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auto"/>
                <w:kern w:val="0"/>
                <w:sz w:val="18"/>
                <w:szCs w:val="18"/>
                <w:lang w:eastAsia="zh-CN"/>
              </w:rPr>
              <w:t>校企合作“校中厂”</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1个</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823"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vMerge w:val="continue"/>
            <w:tcBorders>
              <w:left w:val="nil"/>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990" w:type="dxa"/>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生态效</w:t>
            </w:r>
          </w:p>
          <w:p>
            <w:pPr>
              <w:widowControl/>
              <w:adjustRightInd/>
              <w:snapToGrid/>
              <w:spacing w:line="240" w:lineRule="exact"/>
              <w:ind w:firstLine="0" w:firstLineChars="0"/>
              <w:jc w:val="center"/>
              <w:rPr>
                <w:color w:val="000000"/>
                <w:sz w:val="20"/>
                <w:szCs w:val="20"/>
              </w:rPr>
            </w:pPr>
            <w:r>
              <w:rPr>
                <w:color w:val="000000"/>
                <w:sz w:val="20"/>
                <w:szCs w:val="20"/>
              </w:rPr>
              <w:t>益指标</w:t>
            </w:r>
          </w:p>
        </w:tc>
        <w:tc>
          <w:tcPr>
            <w:tcW w:w="2371" w:type="dxa"/>
            <w:tcBorders>
              <w:top w:val="nil"/>
              <w:left w:val="nil"/>
              <w:bottom w:val="single" w:color="auto" w:sz="4" w:space="0"/>
              <w:right w:val="single" w:color="auto" w:sz="4" w:space="0"/>
            </w:tcBorders>
            <w:noWrap w:val="0"/>
            <w:vAlign w:val="center"/>
          </w:tcPr>
          <w:p>
            <w:pPr>
              <w:widowControl/>
              <w:ind w:firstLine="0" w:firstLineChars="0"/>
              <w:jc w:val="left"/>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lang w:eastAsia="zh-CN"/>
              </w:rPr>
              <w:t>　　</w:t>
            </w:r>
            <w:r>
              <w:rPr>
                <w:rFonts w:hint="eastAsia" w:ascii="宋体" w:hAnsi="宋体" w:cs="宋体"/>
                <w:color w:val="000000"/>
                <w:kern w:val="0"/>
                <w:sz w:val="18"/>
                <w:szCs w:val="18"/>
              </w:rPr>
              <w:t>持续为社会培养技能人才，服务产业发展</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rFonts w:hint="eastAsia" w:ascii="宋体" w:hAnsi="宋体" w:cs="宋体"/>
                <w:color w:val="000000"/>
                <w:kern w:val="0"/>
                <w:sz w:val="18"/>
                <w:szCs w:val="18"/>
              </w:rPr>
              <w:t>按时按质完成</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200" w:firstLineChars="100"/>
              <w:jc w:val="left"/>
              <w:rPr>
                <w:rFonts w:hint="eastAsia" w:eastAsia="仿宋_GB2312"/>
                <w:color w:val="000000"/>
                <w:sz w:val="20"/>
                <w:szCs w:val="20"/>
                <w:lang w:eastAsia="zh-CN"/>
              </w:rPr>
            </w:pPr>
            <w:r>
              <w:rPr>
                <w:rFonts w:hint="eastAsia"/>
                <w:color w:val="000000"/>
                <w:sz w:val="20"/>
                <w:szCs w:val="20"/>
                <w:lang w:eastAsia="zh-CN"/>
              </w:rPr>
              <w:t>完成</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default" w:eastAsia="仿宋_GB2312"/>
                <w:color w:val="000000"/>
                <w:sz w:val="20"/>
                <w:szCs w:val="20"/>
                <w:lang w:val="en-US" w:eastAsia="zh-CN"/>
              </w:rPr>
            </w:pPr>
            <w:r>
              <w:rPr>
                <w:rFonts w:hint="eastAsia"/>
                <w:color w:val="000000"/>
                <w:sz w:val="20"/>
                <w:szCs w:val="20"/>
                <w:lang w:val="en-US" w:eastAsia="zh-CN"/>
              </w:rPr>
              <w:t>6</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200" w:firstLineChars="100"/>
              <w:jc w:val="both"/>
              <w:rPr>
                <w:rFonts w:hint="eastAsia" w:eastAsia="仿宋_GB2312"/>
                <w:color w:val="000000"/>
                <w:sz w:val="20"/>
                <w:szCs w:val="20"/>
                <w:lang w:val="en-US" w:eastAsia="zh-CN"/>
              </w:rPr>
            </w:pPr>
            <w:r>
              <w:rPr>
                <w:rFonts w:hint="eastAsia"/>
                <w:color w:val="000000"/>
                <w:sz w:val="20"/>
                <w:szCs w:val="20"/>
                <w:lang w:val="en-US" w:eastAsia="zh-CN"/>
              </w:rPr>
              <w:t>6</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200" w:firstLineChars="100"/>
              <w:jc w:val="left"/>
              <w:rPr>
                <w:color w:val="000000"/>
                <w:sz w:val="20"/>
                <w:szCs w:val="20"/>
              </w:rPr>
            </w:pP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290" w:hRule="atLeast"/>
          <w:jc w:val="center"/>
        </w:trPr>
        <w:tc>
          <w:tcPr>
            <w:tcW w:w="826" w:type="dxa"/>
            <w:vMerge w:val="continue"/>
            <w:tcBorders>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p>
        </w:tc>
        <w:tc>
          <w:tcPr>
            <w:tcW w:w="645" w:type="dxa"/>
            <w:vMerge w:val="continue"/>
            <w:tcBorders>
              <w:left w:val="nil"/>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p>
        </w:tc>
        <w:tc>
          <w:tcPr>
            <w:tcW w:w="990" w:type="dxa"/>
            <w:tcBorders>
              <w:top w:val="single" w:color="auto" w:sz="4" w:space="0"/>
              <w:left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可持续影响指标</w:t>
            </w:r>
          </w:p>
        </w:tc>
        <w:tc>
          <w:tcPr>
            <w:tcW w:w="2371" w:type="dxa"/>
            <w:tcBorders>
              <w:top w:val="single" w:color="auto" w:sz="4" w:space="0"/>
              <w:left w:val="single" w:color="auto" w:sz="4" w:space="0"/>
              <w:bottom w:val="single" w:color="auto" w:sz="4" w:space="0"/>
              <w:right w:val="single" w:color="auto" w:sz="4" w:space="0"/>
            </w:tcBorders>
            <w:noWrap w:val="0"/>
            <w:vAlign w:val="center"/>
          </w:tcPr>
          <w:p>
            <w:pPr>
              <w:widowControl/>
              <w:ind w:firstLine="0" w:firstLineChars="0"/>
              <w:jc w:val="left"/>
              <w:textAlignment w:val="center"/>
              <w:rPr>
                <w:rFonts w:hint="eastAsia"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lang w:eastAsia="zh-CN"/>
              </w:rPr>
              <w:t>　　</w:t>
            </w:r>
            <w:r>
              <w:rPr>
                <w:rFonts w:hint="eastAsia" w:ascii="宋体" w:hAnsi="宋体" w:cs="宋体"/>
                <w:color w:val="000000"/>
                <w:kern w:val="0"/>
                <w:sz w:val="18"/>
                <w:szCs w:val="18"/>
              </w:rPr>
              <w:t>抓好文明创建工作，</w:t>
            </w:r>
            <w:r>
              <w:rPr>
                <w:rFonts w:hint="eastAsia" w:ascii="宋体" w:hAnsi="宋体" w:cs="宋体"/>
                <w:color w:val="000000"/>
                <w:kern w:val="0"/>
                <w:sz w:val="18"/>
                <w:szCs w:val="18"/>
                <w:lang w:eastAsia="zh-CN"/>
              </w:rPr>
              <w:t>继</w:t>
            </w:r>
            <w:r>
              <w:rPr>
                <w:rFonts w:hint="eastAsia" w:ascii="宋体" w:hAnsi="宋体" w:cs="宋体"/>
                <w:color w:val="000000"/>
                <w:kern w:val="0"/>
                <w:sz w:val="18"/>
                <w:szCs w:val="18"/>
              </w:rPr>
              <w:t>创省</w:t>
            </w:r>
            <w:r>
              <w:rPr>
                <w:rFonts w:hint="eastAsia" w:ascii="宋体" w:hAnsi="宋体" w:cs="宋体"/>
                <w:color w:val="000000"/>
                <w:kern w:val="0"/>
                <w:sz w:val="18"/>
                <w:szCs w:val="18"/>
                <w:lang w:eastAsia="zh-CN"/>
              </w:rPr>
              <w:t>直</w:t>
            </w:r>
            <w:r>
              <w:rPr>
                <w:rFonts w:hint="eastAsia" w:ascii="宋体" w:hAnsi="宋体" w:cs="宋体"/>
                <w:color w:val="000000"/>
                <w:kern w:val="0"/>
                <w:sz w:val="18"/>
                <w:szCs w:val="18"/>
              </w:rPr>
              <w:t>文明标兵</w:t>
            </w:r>
            <w:r>
              <w:rPr>
                <w:rFonts w:hint="eastAsia" w:ascii="宋体" w:hAnsi="宋体" w:cs="宋体"/>
                <w:color w:val="000000"/>
                <w:kern w:val="0"/>
                <w:sz w:val="18"/>
                <w:szCs w:val="18"/>
                <w:lang w:eastAsia="zh-CN"/>
              </w:rPr>
              <w:t>校园</w:t>
            </w:r>
          </w:p>
        </w:tc>
        <w:tc>
          <w:tcPr>
            <w:tcW w:w="143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ascii="宋体" w:hAnsi="宋体" w:cs="宋体"/>
                <w:color w:val="000000"/>
                <w:kern w:val="0"/>
                <w:sz w:val="18"/>
                <w:szCs w:val="18"/>
              </w:rPr>
              <w:t>按时按质完成</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完成</w:t>
            </w:r>
          </w:p>
        </w:tc>
        <w:tc>
          <w:tcPr>
            <w:tcW w:w="58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99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eastAsia" w:eastAsia="仿宋_GB2312"/>
                <w:color w:val="000000"/>
                <w:sz w:val="20"/>
                <w:szCs w:val="20"/>
                <w:lang w:val="en-US" w:eastAsia="zh-CN"/>
              </w:rPr>
            </w:pPr>
            <w:r>
              <w:rPr>
                <w:color w:val="000000"/>
                <w:sz w:val="20"/>
                <w:szCs w:val="20"/>
              </w:rPr>
              <w:t>　</w:t>
            </w:r>
            <w:r>
              <w:rPr>
                <w:rFonts w:hint="eastAsia"/>
                <w:color w:val="000000"/>
                <w:sz w:val="20"/>
                <w:szCs w:val="20"/>
                <w:lang w:val="en-US" w:eastAsia="zh-CN"/>
              </w:rPr>
              <w:t>6</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330" w:hRule="atLeast"/>
          <w:jc w:val="center"/>
        </w:trPr>
        <w:tc>
          <w:tcPr>
            <w:tcW w:w="826" w:type="dxa"/>
            <w:vMerge w:val="continue"/>
            <w:tcBorders>
              <w:left w:val="single" w:color="auto" w:sz="4" w:space="0"/>
              <w:right w:val="single" w:color="auto" w:sz="4" w:space="0"/>
            </w:tcBorders>
            <w:noWrap w:val="0"/>
            <w:vAlign w:val="center"/>
          </w:tcPr>
          <w:p>
            <w:pPr>
              <w:adjustRightInd/>
              <w:snapToGrid/>
              <w:spacing w:line="240" w:lineRule="exact"/>
              <w:ind w:firstLine="0" w:firstLineChars="0"/>
              <w:jc w:val="left"/>
              <w:rPr>
                <w:color w:val="000000"/>
                <w:sz w:val="20"/>
                <w:szCs w:val="20"/>
              </w:rPr>
            </w:pPr>
          </w:p>
        </w:tc>
        <w:tc>
          <w:tcPr>
            <w:tcW w:w="645" w:type="dxa"/>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满意度</w:t>
            </w:r>
          </w:p>
          <w:p>
            <w:pPr>
              <w:widowControl/>
              <w:adjustRightInd/>
              <w:snapToGrid/>
              <w:spacing w:line="240" w:lineRule="exact"/>
              <w:ind w:firstLine="0" w:firstLineChars="0"/>
              <w:jc w:val="center"/>
              <w:rPr>
                <w:color w:val="000000"/>
                <w:sz w:val="20"/>
                <w:szCs w:val="20"/>
              </w:rPr>
            </w:pPr>
            <w:r>
              <w:rPr>
                <w:color w:val="000000"/>
                <w:sz w:val="20"/>
                <w:szCs w:val="20"/>
              </w:rPr>
              <w:t>指标</w:t>
            </w:r>
          </w:p>
          <w:p>
            <w:pPr>
              <w:widowControl/>
              <w:adjustRightInd/>
              <w:snapToGrid/>
              <w:spacing w:line="240" w:lineRule="exact"/>
              <w:ind w:firstLine="0" w:firstLineChars="0"/>
              <w:jc w:val="center"/>
              <w:rPr>
                <w:color w:val="000000"/>
                <w:sz w:val="20"/>
                <w:szCs w:val="20"/>
              </w:rPr>
            </w:pPr>
            <w:r>
              <w:rPr>
                <w:color w:val="000000"/>
                <w:sz w:val="20"/>
                <w:szCs w:val="20"/>
              </w:rPr>
              <w:t>（10分）</w:t>
            </w:r>
          </w:p>
        </w:tc>
        <w:tc>
          <w:tcPr>
            <w:tcW w:w="990" w:type="dxa"/>
            <w:tcBorders>
              <w:top w:val="nil"/>
              <w:left w:val="nil"/>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服务对象满意度指标</w:t>
            </w:r>
          </w:p>
        </w:tc>
        <w:tc>
          <w:tcPr>
            <w:tcW w:w="2371" w:type="dxa"/>
            <w:tcBorders>
              <w:top w:val="nil"/>
              <w:left w:val="nil"/>
              <w:bottom w:val="single" w:color="auto" w:sz="4" w:space="0"/>
              <w:right w:val="single" w:color="auto" w:sz="4" w:space="0"/>
            </w:tcBorders>
            <w:noWrap w:val="0"/>
            <w:vAlign w:val="center"/>
          </w:tcPr>
          <w:p>
            <w:pPr>
              <w:widowControl/>
              <w:ind w:firstLine="360" w:firstLineChars="200"/>
              <w:jc w:val="left"/>
              <w:textAlignment w:val="center"/>
              <w:rPr>
                <w:rFonts w:ascii="宋体" w:hAnsi="Times New Roman" w:eastAsia="仿宋_GB2312" w:cs="宋体"/>
                <w:color w:val="000000"/>
                <w:kern w:val="2"/>
                <w:sz w:val="18"/>
                <w:szCs w:val="18"/>
                <w:lang w:val="en-US" w:eastAsia="zh-CN" w:bidi="ar-SA"/>
              </w:rPr>
            </w:pPr>
            <w:r>
              <w:rPr>
                <w:rFonts w:hint="eastAsia" w:ascii="宋体" w:hAnsi="宋体" w:cs="宋体"/>
                <w:color w:val="000000"/>
                <w:kern w:val="0"/>
                <w:sz w:val="18"/>
                <w:szCs w:val="18"/>
              </w:rPr>
              <w:t>学生、家长、社会的满意程度</w:t>
            </w:r>
          </w:p>
        </w:tc>
        <w:tc>
          <w:tcPr>
            <w:tcW w:w="143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95%</w:t>
            </w:r>
          </w:p>
        </w:tc>
        <w:tc>
          <w:tcPr>
            <w:tcW w:w="900"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95%以上</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rFonts w:hint="default" w:eastAsia="仿宋_GB2312"/>
                <w:color w:val="000000"/>
                <w:sz w:val="20"/>
                <w:szCs w:val="20"/>
                <w:lang w:val="en-US" w:eastAsia="zh-CN"/>
              </w:rPr>
            </w:pPr>
            <w:r>
              <w:rPr>
                <w:rFonts w:hint="eastAsia"/>
                <w:color w:val="000000"/>
                <w:sz w:val="20"/>
                <w:szCs w:val="20"/>
                <w:lang w:val="en-US" w:eastAsia="zh-CN"/>
              </w:rPr>
              <w:t>10</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r>
              <w:rPr>
                <w:rFonts w:hint="eastAsia"/>
                <w:color w:val="000000"/>
                <w:sz w:val="20"/>
                <w:szCs w:val="20"/>
                <w:lang w:eastAsia="zh-CN"/>
              </w:rPr>
              <w:t>无偏差</w:t>
            </w:r>
          </w:p>
        </w:tc>
      </w:tr>
      <w:tr>
        <w:tblPrEx>
          <w:tblLayout w:type="fixed"/>
          <w:tblCellMar>
            <w:top w:w="0" w:type="dxa"/>
            <w:left w:w="108" w:type="dxa"/>
            <w:bottom w:w="0" w:type="dxa"/>
            <w:right w:w="108" w:type="dxa"/>
          </w:tblCellMar>
        </w:tblPrEx>
        <w:trPr>
          <w:trHeight w:val="565" w:hRule="atLeast"/>
          <w:jc w:val="center"/>
        </w:trPr>
        <w:tc>
          <w:tcPr>
            <w:tcW w:w="7171" w:type="dxa"/>
            <w:gridSpan w:val="6"/>
            <w:tcBorders>
              <w:top w:val="single" w:color="auto" w:sz="4" w:space="0"/>
              <w:left w:val="single" w:color="auto" w:sz="4" w:space="0"/>
              <w:bottom w:val="single" w:color="auto" w:sz="4" w:space="0"/>
              <w:right w:val="single" w:color="000000"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总分</w:t>
            </w:r>
          </w:p>
        </w:tc>
        <w:tc>
          <w:tcPr>
            <w:tcW w:w="589"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center"/>
              <w:rPr>
                <w:color w:val="000000"/>
                <w:sz w:val="20"/>
                <w:szCs w:val="20"/>
              </w:rPr>
            </w:pPr>
            <w:r>
              <w:rPr>
                <w:color w:val="000000"/>
                <w:sz w:val="20"/>
                <w:szCs w:val="20"/>
              </w:rPr>
              <w:t>100</w:t>
            </w:r>
          </w:p>
        </w:tc>
        <w:tc>
          <w:tcPr>
            <w:tcW w:w="99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rFonts w:hint="default" w:eastAsia="仿宋_GB2312"/>
                <w:color w:val="000000"/>
                <w:sz w:val="20"/>
                <w:szCs w:val="20"/>
                <w:lang w:val="en-US" w:eastAsia="zh-CN"/>
              </w:rPr>
            </w:pPr>
            <w:r>
              <w:rPr>
                <w:color w:val="000000"/>
                <w:sz w:val="20"/>
                <w:szCs w:val="20"/>
              </w:rPr>
              <w:t>　</w:t>
            </w:r>
            <w:r>
              <w:rPr>
                <w:rFonts w:hint="eastAsia"/>
                <w:color w:val="000000"/>
                <w:sz w:val="20"/>
                <w:szCs w:val="20"/>
                <w:lang w:val="en-US" w:eastAsia="zh-CN"/>
              </w:rPr>
              <w:t>96.8</w:t>
            </w:r>
          </w:p>
        </w:tc>
        <w:tc>
          <w:tcPr>
            <w:tcW w:w="1446" w:type="dxa"/>
            <w:tcBorders>
              <w:top w:val="nil"/>
              <w:left w:val="nil"/>
              <w:bottom w:val="single" w:color="auto" w:sz="4" w:space="0"/>
              <w:right w:val="single" w:color="auto" w:sz="4" w:space="0"/>
            </w:tcBorders>
            <w:noWrap w:val="0"/>
            <w:vAlign w:val="center"/>
          </w:tcPr>
          <w:p>
            <w:pPr>
              <w:widowControl/>
              <w:adjustRightInd/>
              <w:snapToGrid/>
              <w:spacing w:line="240" w:lineRule="exact"/>
              <w:ind w:firstLine="0" w:firstLineChars="0"/>
              <w:jc w:val="left"/>
              <w:rPr>
                <w:color w:val="000000"/>
                <w:sz w:val="20"/>
                <w:szCs w:val="20"/>
              </w:rPr>
            </w:pPr>
            <w:r>
              <w:rPr>
                <w:color w:val="000000"/>
                <w:sz w:val="20"/>
                <w:szCs w:val="20"/>
              </w:rPr>
              <w:t>　</w:t>
            </w:r>
          </w:p>
        </w:tc>
      </w:tr>
    </w:tbl>
    <w:p>
      <w:pPr>
        <w:ind w:firstLine="880" w:firstLineChars="400"/>
        <w:rPr>
          <w:rFonts w:cs="黑体" w:asciiTheme="minorEastAsia" w:hAnsiTheme="minorEastAsia"/>
          <w:color w:val="000000"/>
          <w:kern w:val="0"/>
          <w:sz w:val="32"/>
          <w:szCs w:val="32"/>
        </w:rPr>
      </w:pPr>
      <w:r>
        <w:rPr>
          <w:sz w:val="22"/>
          <w:szCs w:val="22"/>
        </w:rPr>
        <w:t>填表人：      填报日期：         联系电话：               单位负责人签字：</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altName w:val="方正舒体"/>
    <w:panose1 w:val="02000000000000000000"/>
    <w:charset w:val="86"/>
    <w:family w:val="script"/>
    <w:pitch w:val="default"/>
    <w:sig w:usb0="00000000" w:usb1="00000000" w:usb2="00000012" w:usb3="00000000" w:csb0="0004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972B14"/>
    <w:multiLevelType w:val="singleLevel"/>
    <w:tmpl w:val="90972B14"/>
    <w:lvl w:ilvl="0" w:tentative="0">
      <w:start w:val="2"/>
      <w:numFmt w:val="chineseCounting"/>
      <w:suff w:val="nothing"/>
      <w:lvlText w:val="（%1）"/>
      <w:lvlJc w:val="left"/>
      <w:rPr>
        <w:rFonts w:hint="eastAsia"/>
      </w:rPr>
    </w:lvl>
  </w:abstractNum>
  <w:abstractNum w:abstractNumId="1">
    <w:nsid w:val="A0C4CAAA"/>
    <w:multiLevelType w:val="singleLevel"/>
    <w:tmpl w:val="A0C4CAAA"/>
    <w:lvl w:ilvl="0" w:tentative="0">
      <w:start w:val="1"/>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CC24E25"/>
    <w:multiLevelType w:val="singleLevel"/>
    <w:tmpl w:val="6CC24E25"/>
    <w:lvl w:ilvl="0" w:tentative="0">
      <w:start w:val="3"/>
      <w:numFmt w:val="decimal"/>
      <w:suff w:val="nothing"/>
      <w:lvlText w:val="%1、"/>
      <w:lvlJc w:val="left"/>
    </w:lvl>
  </w:abstractNum>
  <w:abstractNum w:abstractNumId="4">
    <w:nsid w:val="7DFC1E8E"/>
    <w:multiLevelType w:val="singleLevel"/>
    <w:tmpl w:val="7DFC1E8E"/>
    <w:lvl w:ilvl="0" w:tentative="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YTMyYjRlNGQ3MjJiNTg5MzQ2NDI4YWJiODcyYjYifQ=="/>
  </w:docVars>
  <w:rsids>
    <w:rsidRoot w:val="004506F9"/>
    <w:rsid w:val="0002229B"/>
    <w:rsid w:val="000273BD"/>
    <w:rsid w:val="00040CBC"/>
    <w:rsid w:val="000415B7"/>
    <w:rsid w:val="00041E3F"/>
    <w:rsid w:val="00055DAA"/>
    <w:rsid w:val="00061F7B"/>
    <w:rsid w:val="000658A3"/>
    <w:rsid w:val="00074155"/>
    <w:rsid w:val="000A3F69"/>
    <w:rsid w:val="00103957"/>
    <w:rsid w:val="001213AF"/>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4D0758"/>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5F65CD"/>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67FFD"/>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493597"/>
    <w:rsid w:val="02A604E3"/>
    <w:rsid w:val="02FC45A7"/>
    <w:rsid w:val="03D41080"/>
    <w:rsid w:val="03FF60FC"/>
    <w:rsid w:val="04096FAB"/>
    <w:rsid w:val="0486237A"/>
    <w:rsid w:val="04CD3744"/>
    <w:rsid w:val="065D2D11"/>
    <w:rsid w:val="066928B6"/>
    <w:rsid w:val="06783F44"/>
    <w:rsid w:val="067B3A34"/>
    <w:rsid w:val="06AB256C"/>
    <w:rsid w:val="070C228C"/>
    <w:rsid w:val="073A744C"/>
    <w:rsid w:val="0768220B"/>
    <w:rsid w:val="07AB0349"/>
    <w:rsid w:val="07BD5511"/>
    <w:rsid w:val="07F7533D"/>
    <w:rsid w:val="08E7715F"/>
    <w:rsid w:val="09686882"/>
    <w:rsid w:val="0A4A4B58"/>
    <w:rsid w:val="0BA53447"/>
    <w:rsid w:val="0BC47C2C"/>
    <w:rsid w:val="0C8A2C23"/>
    <w:rsid w:val="0CB57365"/>
    <w:rsid w:val="0DBC6E0C"/>
    <w:rsid w:val="0E6354DA"/>
    <w:rsid w:val="0EC8358F"/>
    <w:rsid w:val="0F5D49A7"/>
    <w:rsid w:val="0F8971C2"/>
    <w:rsid w:val="107E37F2"/>
    <w:rsid w:val="11665A0D"/>
    <w:rsid w:val="1178129C"/>
    <w:rsid w:val="119507D3"/>
    <w:rsid w:val="11B81FE1"/>
    <w:rsid w:val="11FA6155"/>
    <w:rsid w:val="12211934"/>
    <w:rsid w:val="12ED1816"/>
    <w:rsid w:val="138008DC"/>
    <w:rsid w:val="13F2325F"/>
    <w:rsid w:val="15957D73"/>
    <w:rsid w:val="15FA4976"/>
    <w:rsid w:val="160F6C80"/>
    <w:rsid w:val="16B40FC8"/>
    <w:rsid w:val="16F13FCB"/>
    <w:rsid w:val="177D5B6A"/>
    <w:rsid w:val="188624F1"/>
    <w:rsid w:val="19566367"/>
    <w:rsid w:val="19A05834"/>
    <w:rsid w:val="19DB6BB3"/>
    <w:rsid w:val="1AE654C9"/>
    <w:rsid w:val="1B083691"/>
    <w:rsid w:val="1B2D759B"/>
    <w:rsid w:val="1B391A9C"/>
    <w:rsid w:val="1C0A0066"/>
    <w:rsid w:val="1C11425A"/>
    <w:rsid w:val="1C47468D"/>
    <w:rsid w:val="1CAA0778"/>
    <w:rsid w:val="1CCB706C"/>
    <w:rsid w:val="1CCE26B8"/>
    <w:rsid w:val="1D97DEFF"/>
    <w:rsid w:val="1DAD6772"/>
    <w:rsid w:val="1DFF72E5"/>
    <w:rsid w:val="1E0B5246"/>
    <w:rsid w:val="1EFC6F07"/>
    <w:rsid w:val="1F325E4A"/>
    <w:rsid w:val="1F745799"/>
    <w:rsid w:val="20012DA5"/>
    <w:rsid w:val="202D3B9A"/>
    <w:rsid w:val="207277FE"/>
    <w:rsid w:val="20783067"/>
    <w:rsid w:val="20C31E08"/>
    <w:rsid w:val="20E24984"/>
    <w:rsid w:val="21154D5A"/>
    <w:rsid w:val="211865F8"/>
    <w:rsid w:val="221022B3"/>
    <w:rsid w:val="22833F45"/>
    <w:rsid w:val="238F4A20"/>
    <w:rsid w:val="2504136D"/>
    <w:rsid w:val="25083547"/>
    <w:rsid w:val="250F7D12"/>
    <w:rsid w:val="2526061A"/>
    <w:rsid w:val="25887B03"/>
    <w:rsid w:val="25DE1BBE"/>
    <w:rsid w:val="267442D0"/>
    <w:rsid w:val="267B4F1E"/>
    <w:rsid w:val="26DB1D3F"/>
    <w:rsid w:val="27126C1A"/>
    <w:rsid w:val="27F60D15"/>
    <w:rsid w:val="28504E67"/>
    <w:rsid w:val="28687E65"/>
    <w:rsid w:val="28A10C81"/>
    <w:rsid w:val="29764F1C"/>
    <w:rsid w:val="297939AC"/>
    <w:rsid w:val="29DA08EE"/>
    <w:rsid w:val="29F46973"/>
    <w:rsid w:val="2A1A6F3D"/>
    <w:rsid w:val="2ADD306F"/>
    <w:rsid w:val="2AFD0AA0"/>
    <w:rsid w:val="2BFD2672"/>
    <w:rsid w:val="2C471B3F"/>
    <w:rsid w:val="2C581D28"/>
    <w:rsid w:val="2C754C56"/>
    <w:rsid w:val="2D2D51D9"/>
    <w:rsid w:val="2D8868B3"/>
    <w:rsid w:val="2DB63420"/>
    <w:rsid w:val="2DFE0923"/>
    <w:rsid w:val="2EA4771D"/>
    <w:rsid w:val="2F37233F"/>
    <w:rsid w:val="2F45680A"/>
    <w:rsid w:val="2F7B0F11"/>
    <w:rsid w:val="2F947237"/>
    <w:rsid w:val="2FDF85B8"/>
    <w:rsid w:val="2FFFEE04"/>
    <w:rsid w:val="30DA7426"/>
    <w:rsid w:val="31206F96"/>
    <w:rsid w:val="314D3EAD"/>
    <w:rsid w:val="33C756BE"/>
    <w:rsid w:val="34DF85B0"/>
    <w:rsid w:val="35096A78"/>
    <w:rsid w:val="351C000D"/>
    <w:rsid w:val="359C114E"/>
    <w:rsid w:val="35E4113C"/>
    <w:rsid w:val="3747333B"/>
    <w:rsid w:val="37486F12"/>
    <w:rsid w:val="37BF7375"/>
    <w:rsid w:val="380F20AB"/>
    <w:rsid w:val="3820345D"/>
    <w:rsid w:val="386F48F8"/>
    <w:rsid w:val="38D806EF"/>
    <w:rsid w:val="38F12FA6"/>
    <w:rsid w:val="39677CC5"/>
    <w:rsid w:val="3A726921"/>
    <w:rsid w:val="3A746CCC"/>
    <w:rsid w:val="3A7B0598"/>
    <w:rsid w:val="3B037579"/>
    <w:rsid w:val="3B8F36BC"/>
    <w:rsid w:val="3BBF5B96"/>
    <w:rsid w:val="3C502C92"/>
    <w:rsid w:val="3C926E07"/>
    <w:rsid w:val="3D801355"/>
    <w:rsid w:val="3D9B1CEB"/>
    <w:rsid w:val="3DA54918"/>
    <w:rsid w:val="3E726EF0"/>
    <w:rsid w:val="3E8B7FB1"/>
    <w:rsid w:val="3EE55913"/>
    <w:rsid w:val="3F5860E5"/>
    <w:rsid w:val="3FA441BB"/>
    <w:rsid w:val="3FFD5FFE"/>
    <w:rsid w:val="405C1C05"/>
    <w:rsid w:val="40721A55"/>
    <w:rsid w:val="41214BFD"/>
    <w:rsid w:val="41D67795"/>
    <w:rsid w:val="41E719A3"/>
    <w:rsid w:val="41E974C9"/>
    <w:rsid w:val="420E33D3"/>
    <w:rsid w:val="423D5A66"/>
    <w:rsid w:val="42764AD5"/>
    <w:rsid w:val="43776D56"/>
    <w:rsid w:val="4387343D"/>
    <w:rsid w:val="43D536B4"/>
    <w:rsid w:val="43DD12AF"/>
    <w:rsid w:val="43EF2D90"/>
    <w:rsid w:val="44466E54"/>
    <w:rsid w:val="453354AD"/>
    <w:rsid w:val="455A169E"/>
    <w:rsid w:val="455E3D2A"/>
    <w:rsid w:val="458D0AB3"/>
    <w:rsid w:val="45D76DF7"/>
    <w:rsid w:val="4659197E"/>
    <w:rsid w:val="46CA0C65"/>
    <w:rsid w:val="472C5B03"/>
    <w:rsid w:val="47841A42"/>
    <w:rsid w:val="488C6E00"/>
    <w:rsid w:val="48FC3F85"/>
    <w:rsid w:val="48FF5824"/>
    <w:rsid w:val="491FF225"/>
    <w:rsid w:val="49260D69"/>
    <w:rsid w:val="49320A37"/>
    <w:rsid w:val="49543DC1"/>
    <w:rsid w:val="4961028C"/>
    <w:rsid w:val="49647D7D"/>
    <w:rsid w:val="496833C9"/>
    <w:rsid w:val="4A7144FF"/>
    <w:rsid w:val="4AFD5D93"/>
    <w:rsid w:val="4B9D5B90"/>
    <w:rsid w:val="4C105B9F"/>
    <w:rsid w:val="4C611387"/>
    <w:rsid w:val="4D1F6494"/>
    <w:rsid w:val="4D2F3630"/>
    <w:rsid w:val="4D333CEE"/>
    <w:rsid w:val="4D4E0B28"/>
    <w:rsid w:val="4DB52955"/>
    <w:rsid w:val="4E830CA5"/>
    <w:rsid w:val="4E966638"/>
    <w:rsid w:val="4ED80FF1"/>
    <w:rsid w:val="4EDE793C"/>
    <w:rsid w:val="4FAE58AE"/>
    <w:rsid w:val="4FC96B8B"/>
    <w:rsid w:val="4FFD214C"/>
    <w:rsid w:val="525F5585"/>
    <w:rsid w:val="52796647"/>
    <w:rsid w:val="52C378C2"/>
    <w:rsid w:val="5315625D"/>
    <w:rsid w:val="534F527F"/>
    <w:rsid w:val="54357FFB"/>
    <w:rsid w:val="54EA382C"/>
    <w:rsid w:val="55B300C2"/>
    <w:rsid w:val="5608596C"/>
    <w:rsid w:val="56597E7E"/>
    <w:rsid w:val="571921A6"/>
    <w:rsid w:val="5777D4F5"/>
    <w:rsid w:val="57B13CA2"/>
    <w:rsid w:val="58692CBA"/>
    <w:rsid w:val="588B2C30"/>
    <w:rsid w:val="588E0972"/>
    <w:rsid w:val="597E4463"/>
    <w:rsid w:val="598002BB"/>
    <w:rsid w:val="59B12B6A"/>
    <w:rsid w:val="59D6437F"/>
    <w:rsid w:val="59DD8326"/>
    <w:rsid w:val="5A2C0443"/>
    <w:rsid w:val="5ABA77FD"/>
    <w:rsid w:val="5B465534"/>
    <w:rsid w:val="5B687259"/>
    <w:rsid w:val="5B914A01"/>
    <w:rsid w:val="5BA81D4B"/>
    <w:rsid w:val="5BFD3E45"/>
    <w:rsid w:val="5C0C22DA"/>
    <w:rsid w:val="5C7834CB"/>
    <w:rsid w:val="5C9A1694"/>
    <w:rsid w:val="5DEF592A"/>
    <w:rsid w:val="5E514FC7"/>
    <w:rsid w:val="5E7128C8"/>
    <w:rsid w:val="5E9D36BD"/>
    <w:rsid w:val="5F4D6E91"/>
    <w:rsid w:val="5F7579CA"/>
    <w:rsid w:val="5F952235"/>
    <w:rsid w:val="5FC6BB1E"/>
    <w:rsid w:val="5FF720F1"/>
    <w:rsid w:val="60563B24"/>
    <w:rsid w:val="609E371C"/>
    <w:rsid w:val="60D55390"/>
    <w:rsid w:val="612E1581"/>
    <w:rsid w:val="619F6D98"/>
    <w:rsid w:val="61E91B05"/>
    <w:rsid w:val="62061579"/>
    <w:rsid w:val="62083543"/>
    <w:rsid w:val="628074C4"/>
    <w:rsid w:val="63035AB9"/>
    <w:rsid w:val="637924D7"/>
    <w:rsid w:val="63E94CAF"/>
    <w:rsid w:val="63FC2D7D"/>
    <w:rsid w:val="643E2B61"/>
    <w:rsid w:val="64C359B3"/>
    <w:rsid w:val="661C580F"/>
    <w:rsid w:val="6646463A"/>
    <w:rsid w:val="66D954AE"/>
    <w:rsid w:val="66E5373F"/>
    <w:rsid w:val="675F70C4"/>
    <w:rsid w:val="6764746E"/>
    <w:rsid w:val="67734791"/>
    <w:rsid w:val="67C779FD"/>
    <w:rsid w:val="67FF5C0B"/>
    <w:rsid w:val="683706DE"/>
    <w:rsid w:val="68C74DCD"/>
    <w:rsid w:val="69180510"/>
    <w:rsid w:val="69633987"/>
    <w:rsid w:val="699102C2"/>
    <w:rsid w:val="6A01320B"/>
    <w:rsid w:val="6A2829D5"/>
    <w:rsid w:val="6AED1528"/>
    <w:rsid w:val="6D107750"/>
    <w:rsid w:val="6E0C5AD4"/>
    <w:rsid w:val="6EBBB651"/>
    <w:rsid w:val="6EFC0924"/>
    <w:rsid w:val="6F0D03EB"/>
    <w:rsid w:val="6F642C92"/>
    <w:rsid w:val="6F784B80"/>
    <w:rsid w:val="6FB74722"/>
    <w:rsid w:val="6FDC1B6B"/>
    <w:rsid w:val="6FEF8B7E"/>
    <w:rsid w:val="70E7131E"/>
    <w:rsid w:val="70F21646"/>
    <w:rsid w:val="71306613"/>
    <w:rsid w:val="71A6591B"/>
    <w:rsid w:val="71D4362E"/>
    <w:rsid w:val="71F80EDE"/>
    <w:rsid w:val="723C47BD"/>
    <w:rsid w:val="725A0CA1"/>
    <w:rsid w:val="72C338D0"/>
    <w:rsid w:val="73326672"/>
    <w:rsid w:val="737D59BA"/>
    <w:rsid w:val="74212243"/>
    <w:rsid w:val="745F20C6"/>
    <w:rsid w:val="74BB61F3"/>
    <w:rsid w:val="74C51F23"/>
    <w:rsid w:val="74D86DA5"/>
    <w:rsid w:val="74E542BB"/>
    <w:rsid w:val="757E5B9F"/>
    <w:rsid w:val="758807CB"/>
    <w:rsid w:val="75BF1D13"/>
    <w:rsid w:val="76712527"/>
    <w:rsid w:val="76927701"/>
    <w:rsid w:val="77C37683"/>
    <w:rsid w:val="785078DC"/>
    <w:rsid w:val="786372CE"/>
    <w:rsid w:val="787770AD"/>
    <w:rsid w:val="788302E0"/>
    <w:rsid w:val="78A91184"/>
    <w:rsid w:val="790E2D96"/>
    <w:rsid w:val="7973709D"/>
    <w:rsid w:val="79A170D2"/>
    <w:rsid w:val="79FF515B"/>
    <w:rsid w:val="79FF6B82"/>
    <w:rsid w:val="7A287E87"/>
    <w:rsid w:val="7A342CD0"/>
    <w:rsid w:val="7A3902E6"/>
    <w:rsid w:val="7ABD0F17"/>
    <w:rsid w:val="7B0E3521"/>
    <w:rsid w:val="7B3D6142"/>
    <w:rsid w:val="7B832050"/>
    <w:rsid w:val="7C9A62D3"/>
    <w:rsid w:val="7D592A4D"/>
    <w:rsid w:val="7DEB5D9B"/>
    <w:rsid w:val="7E8A7362"/>
    <w:rsid w:val="7E9E1962"/>
    <w:rsid w:val="7E9F11B4"/>
    <w:rsid w:val="7EDE76AE"/>
    <w:rsid w:val="7EFB39A4"/>
    <w:rsid w:val="7F37EC1E"/>
    <w:rsid w:val="7F6C2F0C"/>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Plain Text"/>
    <w:basedOn w:val="1"/>
    <w:qFormat/>
    <w:uiPriority w:val="0"/>
    <w:pPr>
      <w:spacing w:line="240" w:lineRule="auto"/>
      <w:ind w:left="0"/>
    </w:pPr>
    <w:rPr>
      <w:rFonts w:ascii="宋体" w:hAnsi="Courier New" w:eastAsia="宋体" w:cs="Courier New"/>
      <w:kern w:val="2"/>
      <w:sz w:val="21"/>
      <w:szCs w:val="21"/>
    </w:r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3"/>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 w:type="paragraph" w:customStyle="1" w:styleId="19">
    <w:name w:val="样式 文字 + 首行缩进:  2 字符3"/>
    <w:basedOn w:val="1"/>
    <w:qFormat/>
    <w:uiPriority w:val="0"/>
    <w:pPr>
      <w:spacing w:line="360" w:lineRule="auto"/>
      <w:ind w:left="0"/>
      <w:jc w:val="left"/>
    </w:pPr>
    <w:rPr>
      <w:rFonts w:ascii="Calibri" w:hAnsi="Calibri"/>
      <w:kern w:val="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15188</Words>
  <Characters>18321</Characters>
  <Lines>63</Lines>
  <Paragraphs>18</Paragraphs>
  <TotalTime>4</TotalTime>
  <ScaleCrop>false</ScaleCrop>
  <LinksUpToDate>false</LinksUpToDate>
  <CharactersWithSpaces>19295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2020-07-08T10:32:00Z</dcterms:created>
  <dc:creator>李航 null</dc:creator>
  <cp:lastModifiedBy>lenovo</cp:lastModifiedBy>
  <cp:lastPrinted>2024-08-08T18:20:00Z</cp:lastPrinted>
  <dcterms:modified xsi:type="dcterms:W3CDTF">2024-09-05T03:59:02Z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F0C98608E0AB4DA8A7D808C59C212FDB_13</vt:lpwstr>
  </property>
</Properties>
</file>