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
        <w:jc w:val="center"/>
        <w:rPr>
          <w:sz w:val="56"/>
          <w:szCs w:val="56"/>
        </w:rPr>
      </w:pPr>
      <w:bookmarkStart w:id="13" w:name="_GoBack"/>
      <w:bookmarkEnd w:id="13"/>
    </w:p>
    <w:p>
      <w:pPr>
        <w:pStyle w:val="19"/>
        <w:jc w:val="center"/>
        <w:rPr>
          <w:sz w:val="56"/>
          <w:szCs w:val="56"/>
        </w:rPr>
      </w:pPr>
    </w:p>
    <w:p>
      <w:pPr>
        <w:pStyle w:val="19"/>
        <w:jc w:val="center"/>
        <w:rPr>
          <w:sz w:val="84"/>
          <w:szCs w:val="84"/>
        </w:rPr>
      </w:pPr>
    </w:p>
    <w:p>
      <w:pPr>
        <w:pStyle w:val="19"/>
        <w:jc w:val="center"/>
        <w:rPr>
          <w:sz w:val="84"/>
          <w:szCs w:val="84"/>
        </w:rPr>
      </w:pPr>
    </w:p>
    <w:p>
      <w:pPr>
        <w:pStyle w:val="19"/>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202</w:t>
      </w:r>
      <w:r>
        <w:rPr>
          <w:rFonts w:hint="eastAsia" w:ascii="方正小标宋_GBK" w:hAnsi="方正小标宋_GBK" w:eastAsia="方正小标宋_GBK" w:cs="方正小标宋_GBK"/>
          <w:sz w:val="72"/>
          <w:szCs w:val="72"/>
          <w:lang w:val="en-US" w:eastAsia="zh-CN"/>
        </w:rPr>
        <w:t>3</w:t>
      </w:r>
      <w:r>
        <w:rPr>
          <w:rFonts w:hint="eastAsia" w:ascii="方正小标宋_GBK" w:hAnsi="方正小标宋_GBK" w:eastAsia="方正小标宋_GBK" w:cs="方正小标宋_GBK"/>
          <w:sz w:val="72"/>
          <w:szCs w:val="72"/>
        </w:rPr>
        <w:t>年度</w:t>
      </w:r>
    </w:p>
    <w:p>
      <w:pPr>
        <w:pStyle w:val="19"/>
        <w:jc w:val="center"/>
        <w:rPr>
          <w:rFonts w:hint="eastAsia" w:ascii="方正小标宋_GBK" w:hAnsi="方正小标宋_GBK" w:eastAsia="方正小标宋_GBK" w:cs="方正小标宋_GBK"/>
          <w:sz w:val="72"/>
          <w:szCs w:val="72"/>
          <w:lang w:eastAsia="zh-CN"/>
        </w:rPr>
      </w:pPr>
      <w:r>
        <w:rPr>
          <w:rFonts w:hint="eastAsia" w:ascii="方正小标宋_GBK" w:hAnsi="方正小标宋_GBK" w:eastAsia="方正小标宋_GBK" w:cs="方正小标宋_GBK"/>
          <w:sz w:val="72"/>
          <w:szCs w:val="72"/>
          <w:lang w:eastAsia="zh-CN"/>
        </w:rPr>
        <w:t>湖南省动物疫病预防控制中心</w:t>
      </w:r>
    </w:p>
    <w:p>
      <w:pPr>
        <w:pStyle w:val="19"/>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部门决算</w:t>
      </w:r>
    </w:p>
    <w:p>
      <w:pPr>
        <w:pStyle w:val="19"/>
        <w:jc w:val="center"/>
        <w:rPr>
          <w:rFonts w:hint="eastAsia" w:ascii="方正小标宋_GBK" w:hAnsi="方正小标宋_GBK" w:eastAsia="方正小标宋_GBK" w:cs="方正小标宋_GBK"/>
          <w:sz w:val="56"/>
          <w:szCs w:val="56"/>
        </w:rPr>
      </w:pPr>
    </w:p>
    <w:p>
      <w:pPr>
        <w:pStyle w:val="19"/>
        <w:jc w:val="center"/>
        <w:rPr>
          <w:sz w:val="56"/>
          <w:szCs w:val="56"/>
        </w:rPr>
      </w:pPr>
    </w:p>
    <w:p>
      <w:pPr>
        <w:pStyle w:val="19"/>
        <w:jc w:val="center"/>
        <w:rPr>
          <w:sz w:val="56"/>
          <w:szCs w:val="56"/>
        </w:rPr>
      </w:pPr>
    </w:p>
    <w:p>
      <w:pPr>
        <w:pStyle w:val="19"/>
        <w:jc w:val="center"/>
        <w:rPr>
          <w:sz w:val="56"/>
          <w:szCs w:val="56"/>
        </w:rPr>
      </w:pPr>
    </w:p>
    <w:p>
      <w:pPr>
        <w:pStyle w:val="19"/>
        <w:jc w:val="center"/>
        <w:rPr>
          <w:sz w:val="32"/>
          <w:szCs w:val="32"/>
        </w:rPr>
      </w:pPr>
    </w:p>
    <w:p>
      <w:pPr>
        <w:pStyle w:val="19"/>
        <w:jc w:val="center"/>
        <w:rPr>
          <w:sz w:val="32"/>
          <w:szCs w:val="32"/>
        </w:rPr>
      </w:pPr>
    </w:p>
    <w:p>
      <w:pPr>
        <w:pStyle w:val="19"/>
        <w:jc w:val="center"/>
        <w:rPr>
          <w:sz w:val="32"/>
          <w:szCs w:val="32"/>
        </w:rPr>
      </w:pPr>
    </w:p>
    <w:p>
      <w:pPr>
        <w:pStyle w:val="19"/>
        <w:jc w:val="center"/>
        <w:rPr>
          <w:sz w:val="32"/>
          <w:szCs w:val="32"/>
        </w:rPr>
      </w:pPr>
    </w:p>
    <w:p>
      <w:pPr>
        <w:pStyle w:val="19"/>
        <w:jc w:val="center"/>
        <w:rPr>
          <w:sz w:val="32"/>
          <w:szCs w:val="32"/>
        </w:rPr>
      </w:pPr>
    </w:p>
    <w:p>
      <w:pPr>
        <w:pStyle w:val="19"/>
        <w:spacing w:line="500" w:lineRule="exact"/>
        <w:jc w:val="center"/>
        <w:rPr>
          <w:b/>
          <w:sz w:val="36"/>
          <w:szCs w:val="28"/>
        </w:rPr>
      </w:pPr>
      <w:r>
        <w:rPr>
          <w:rFonts w:hint="eastAsia"/>
          <w:b/>
          <w:sz w:val="36"/>
          <w:szCs w:val="28"/>
        </w:rPr>
        <w:t>目录</w:t>
      </w:r>
    </w:p>
    <w:p>
      <w:pPr>
        <w:pStyle w:val="19"/>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hAnsi="黑体" w:cs="黑体"/>
          <w:b w:val="0"/>
          <w:bCs/>
          <w:sz w:val="28"/>
          <w:szCs w:val="28"/>
          <w:lang w:val="en-US" w:eastAsia="zh-CN"/>
        </w:rPr>
        <w:t xml:space="preserve"> 单位</w:t>
      </w:r>
      <w:r>
        <w:rPr>
          <w:rFonts w:hint="eastAsia" w:ascii="黑体" w:hAnsi="黑体" w:eastAsia="黑体" w:cs="黑体"/>
          <w:b w:val="0"/>
          <w:bCs/>
          <w:sz w:val="28"/>
          <w:szCs w:val="28"/>
        </w:rPr>
        <w:t>概况</w:t>
      </w:r>
    </w:p>
    <w:p>
      <w:pPr>
        <w:pStyle w:val="19"/>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pPr>
        <w:pStyle w:val="19"/>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二、机构设置</w:t>
      </w:r>
    </w:p>
    <w:p>
      <w:pPr>
        <w:pStyle w:val="19"/>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pPr>
        <w:pStyle w:val="19"/>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pPr>
        <w:pStyle w:val="19"/>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pPr>
        <w:pStyle w:val="19"/>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pPr>
        <w:pStyle w:val="19"/>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pPr>
        <w:pStyle w:val="19"/>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pPr>
        <w:pStyle w:val="19"/>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pPr>
        <w:pStyle w:val="19"/>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pPr>
        <w:pStyle w:val="19"/>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pPr>
        <w:pStyle w:val="19"/>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pPr>
        <w:pStyle w:val="19"/>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pPr>
        <w:pStyle w:val="19"/>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七、财政拨款三公经费支出决算情况说明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八、政府性基金预算收入支出决算情况</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九、关于机关运行经费支出说明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十、一般性支出情况说明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十一、关于政府采购支出说明</w:t>
      </w:r>
    </w:p>
    <w:p>
      <w:pPr>
        <w:pStyle w:val="19"/>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十二、关于国有资产占用情况说明</w:t>
      </w:r>
    </w:p>
    <w:p>
      <w:pPr>
        <w:pStyle w:val="19"/>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十三、关于</w:t>
      </w:r>
      <w:r>
        <w:rPr>
          <w:rFonts w:hint="default" w:ascii="Times New Roman" w:hAnsi="Times New Roman" w:eastAsia="仿宋_GB2312" w:cs="Times New Roman"/>
          <w:sz w:val="28"/>
          <w:szCs w:val="28"/>
        </w:rPr>
        <w:t>202</w:t>
      </w:r>
      <w:r>
        <w:rPr>
          <w:rFonts w:hint="default" w:ascii="Times New Roman" w:hAnsi="Times New Roman" w:eastAsia="仿宋_GB2312" w:cs="Times New Roman"/>
          <w:sz w:val="28"/>
          <w:szCs w:val="28"/>
          <w:lang w:val="en-US" w:eastAsia="zh-CN"/>
        </w:rPr>
        <w:t>3</w:t>
      </w:r>
      <w:r>
        <w:rPr>
          <w:rFonts w:hint="eastAsia" w:ascii="仿宋_GB2312" w:hAnsi="仿宋_GB2312" w:eastAsia="仿宋_GB2312" w:cs="仿宋_GB2312"/>
          <w:sz w:val="28"/>
          <w:szCs w:val="28"/>
        </w:rPr>
        <w:t>年度</w:t>
      </w:r>
      <w:r>
        <w:rPr>
          <w:rFonts w:hint="eastAsia" w:ascii="仿宋_GB2312" w:hAnsi="仿宋_GB2312" w:eastAsia="仿宋_GB2312" w:cs="仿宋_GB2312"/>
          <w:sz w:val="28"/>
          <w:szCs w:val="28"/>
          <w:lang w:eastAsia="zh-CN"/>
        </w:rPr>
        <w:t>预算</w:t>
      </w:r>
      <w:r>
        <w:rPr>
          <w:rFonts w:hint="eastAsia" w:ascii="仿宋_GB2312" w:hAnsi="仿宋_GB2312" w:eastAsia="仿宋_GB2312" w:cs="仿宋_GB2312"/>
          <w:sz w:val="28"/>
          <w:szCs w:val="28"/>
        </w:rPr>
        <w:t>绩效情况的说明</w:t>
      </w:r>
    </w:p>
    <w:p>
      <w:pPr>
        <w:pStyle w:val="19"/>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pPr>
        <w:pStyle w:val="19"/>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pPr>
        <w:pStyle w:val="19"/>
        <w:spacing w:line="500" w:lineRule="exact"/>
        <w:rPr>
          <w:rFonts w:hint="eastAsia" w:ascii="黑体" w:hAnsi="黑体" w:eastAsia="黑体" w:cs="黑体"/>
          <w:b w:val="0"/>
          <w:bCs/>
          <w:sz w:val="28"/>
          <w:szCs w:val="28"/>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rFonts w:hint="eastAsia" w:ascii="方正小标宋_GBK" w:hAnsi="方正小标宋_GBK" w:eastAsia="方正小标宋_GBK" w:cs="方正小标宋_GBK"/>
          <w:sz w:val="72"/>
          <w:szCs w:val="72"/>
        </w:rPr>
      </w:pPr>
    </w:p>
    <w:p>
      <w:pPr>
        <w:pStyle w:val="19"/>
        <w:ind w:firstLine="3360" w:firstLineChars="400"/>
        <w:jc w:val="both"/>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第一部分</w:t>
      </w:r>
    </w:p>
    <w:p>
      <w:pPr>
        <w:pStyle w:val="19"/>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lang w:eastAsia="zh-CN"/>
        </w:rPr>
        <w:t>单位</w:t>
      </w:r>
      <w:r>
        <w:rPr>
          <w:rFonts w:hint="eastAsia" w:ascii="方正小标宋_GBK" w:hAnsi="方正小标宋_GBK" w:eastAsia="方正小标宋_GBK" w:cs="方正小标宋_GBK"/>
          <w:sz w:val="84"/>
          <w:szCs w:val="84"/>
        </w:rPr>
        <w:t>概况</w:t>
      </w:r>
    </w:p>
    <w:p>
      <w:pPr>
        <w:jc w:val="center"/>
        <w:rPr>
          <w:rFonts w:hint="eastAsia" w:ascii="方正小标宋_GBK" w:hAnsi="方正小标宋_GBK" w:eastAsia="方正小标宋_GBK" w:cs="方正小标宋_GBK"/>
          <w:sz w:val="72"/>
          <w:szCs w:val="72"/>
        </w:rPr>
      </w:pPr>
    </w:p>
    <w:p>
      <w:pPr>
        <w:jc w:val="center"/>
        <w:rPr>
          <w:rFonts w:hint="eastAsia" w:ascii="方正小标宋_GBK" w:hAnsi="方正小标宋_GBK" w:eastAsia="方正小标宋_GBK" w:cs="方正小标宋_GBK"/>
          <w:sz w:val="72"/>
          <w:szCs w:val="72"/>
        </w:rPr>
      </w:pPr>
    </w:p>
    <w:p>
      <w:pPr>
        <w:jc w:val="center"/>
        <w:rPr>
          <w:sz w:val="72"/>
          <w:szCs w:val="72"/>
        </w:rPr>
      </w:pPr>
    </w:p>
    <w:p>
      <w:pPr>
        <w:jc w:val="center"/>
        <w:rPr>
          <w:sz w:val="72"/>
          <w:szCs w:val="72"/>
        </w:rPr>
      </w:pPr>
    </w:p>
    <w:p>
      <w:pPr>
        <w:jc w:val="center"/>
        <w:rPr>
          <w:sz w:val="72"/>
          <w:szCs w:val="72"/>
        </w:rPr>
      </w:pPr>
    </w:p>
    <w:p>
      <w:pPr>
        <w:pStyle w:val="20"/>
        <w:ind w:firstLine="640"/>
        <w:jc w:val="left"/>
        <w:rPr>
          <w:rFonts w:ascii="黑体" w:hAnsi="黑体" w:eastAsia="黑体" w:cs="黑体"/>
          <w:sz w:val="32"/>
          <w:szCs w:val="32"/>
        </w:rPr>
      </w:pPr>
    </w:p>
    <w:p>
      <w:pPr>
        <w:pStyle w:val="20"/>
        <w:ind w:firstLine="640"/>
        <w:jc w:val="left"/>
        <w:rPr>
          <w:rFonts w:ascii="黑体" w:hAnsi="黑体" w:eastAsia="黑体" w:cs="黑体"/>
          <w:sz w:val="32"/>
          <w:szCs w:val="32"/>
        </w:rPr>
      </w:pPr>
    </w:p>
    <w:p>
      <w:pPr>
        <w:pStyle w:val="20"/>
        <w:ind w:firstLine="640"/>
        <w:jc w:val="left"/>
        <w:rPr>
          <w:rFonts w:ascii="黑体" w:hAnsi="黑体" w:eastAsia="黑体" w:cs="黑体"/>
          <w:sz w:val="32"/>
          <w:szCs w:val="32"/>
        </w:rPr>
      </w:pPr>
      <w:r>
        <w:rPr>
          <w:rFonts w:ascii="黑体" w:hAnsi="黑体" w:eastAsia="黑体" w:cs="黑体"/>
          <w:sz w:val="32"/>
          <w:szCs w:val="32"/>
        </w:rPr>
        <w:t>一、</w:t>
      </w:r>
      <w:r>
        <w:rPr>
          <w:rFonts w:hint="eastAsia" w:ascii="黑体" w:hAnsi="黑体" w:eastAsia="黑体" w:cs="黑体"/>
          <w:sz w:val="32"/>
          <w:szCs w:val="32"/>
        </w:rPr>
        <w:t>部门职责</w:t>
      </w:r>
    </w:p>
    <w:p>
      <w:pPr>
        <w:ind w:firstLine="640" w:firstLineChars="200"/>
        <w:jc w:val="left"/>
        <w:rPr>
          <w:rFonts w:asciiTheme="minorEastAsia" w:hAnsiTheme="minorEastAsia"/>
          <w:sz w:val="32"/>
          <w:szCs w:val="32"/>
        </w:rPr>
      </w:pPr>
      <w:r>
        <w:rPr>
          <w:rFonts w:hint="eastAsia" w:ascii="仿宋_GB2312" w:hAnsi="仿宋_GB2312" w:eastAsia="仿宋_GB2312" w:cs="仿宋_GB2312"/>
          <w:sz w:val="32"/>
          <w:szCs w:val="32"/>
        </w:rPr>
        <w:t>我单位是省农业农村厅直属具有独立法人资格的正处级公益一类事业单位，主要承担</w:t>
      </w:r>
      <w:r>
        <w:rPr>
          <w:rFonts w:hint="eastAsia" w:ascii="仿宋_GB2312" w:hAnsi="仿宋_GB2312" w:eastAsia="仿宋_GB2312" w:cs="仿宋_GB2312"/>
          <w:sz w:val="32"/>
          <w:szCs w:val="32"/>
          <w:lang w:eastAsia="zh-CN"/>
        </w:rPr>
        <w:t>动物疫病监测、</w:t>
      </w:r>
      <w:r>
        <w:rPr>
          <w:rFonts w:hint="eastAsia" w:ascii="仿宋_GB2312" w:hAnsi="仿宋_GB2312" w:eastAsia="仿宋_GB2312" w:cs="仿宋_GB2312"/>
          <w:sz w:val="32"/>
          <w:szCs w:val="32"/>
        </w:rPr>
        <w:t>动物疫情预警和报告、动物新发病疑难病诊断、动物疫病监测、流行病学调查、疫病净化、</w:t>
      </w:r>
      <w:r>
        <w:rPr>
          <w:rFonts w:hint="eastAsia" w:ascii="仿宋_GB2312" w:hAnsi="仿宋_GB2312" w:eastAsia="仿宋_GB2312" w:cs="仿宋_GB2312"/>
          <w:sz w:val="32"/>
          <w:szCs w:val="32"/>
          <w:lang w:eastAsia="zh-CN"/>
        </w:rPr>
        <w:t>人兽共患病防控、</w:t>
      </w:r>
      <w:r>
        <w:rPr>
          <w:rFonts w:hint="eastAsia" w:ascii="仿宋_GB2312" w:hAnsi="仿宋_GB2312" w:eastAsia="仿宋_GB2312" w:cs="仿宋_GB2312"/>
          <w:sz w:val="32"/>
          <w:szCs w:val="32"/>
        </w:rPr>
        <w:t>省级应急防疫物资管理、疫情处置技术指导、动物疫病防控技术研究与推广等职能。</w:t>
      </w:r>
    </w:p>
    <w:p>
      <w:pPr>
        <w:widowControl/>
        <w:spacing w:line="600" w:lineRule="exact"/>
        <w:ind w:firstLine="640" w:firstLineChars="200"/>
        <w:rPr>
          <w:rFonts w:ascii="黑体" w:hAnsi="黑体" w:eastAsia="黑体" w:cs="黑体"/>
          <w:bCs/>
          <w:kern w:val="0"/>
          <w:sz w:val="32"/>
          <w:szCs w:val="32"/>
        </w:rPr>
      </w:pPr>
      <w:r>
        <w:rPr>
          <w:rFonts w:hint="eastAsia" w:ascii="黑体" w:hAnsi="黑体" w:eastAsia="黑体" w:cs="黑体"/>
          <w:bCs/>
          <w:kern w:val="0"/>
          <w:sz w:val="32"/>
          <w:szCs w:val="32"/>
        </w:rPr>
        <w:t>二、机构设置及决算单位构成</w:t>
      </w:r>
    </w:p>
    <w:p>
      <w:pPr>
        <w:widowControl/>
        <w:spacing w:line="600" w:lineRule="exact"/>
        <w:ind w:firstLine="627" w:firstLineChars="196"/>
        <w:jc w:val="left"/>
        <w:rPr>
          <w:rFonts w:hint="eastAsia" w:ascii="仿宋" w:hAnsi="仿宋" w:eastAsia="仿宋" w:cs="仿宋"/>
          <w:bCs/>
          <w:kern w:val="0"/>
          <w:sz w:val="32"/>
          <w:szCs w:val="32"/>
        </w:rPr>
      </w:pPr>
      <w:r>
        <w:rPr>
          <w:rFonts w:hint="eastAsia" w:ascii="仿宋" w:hAnsi="仿宋" w:eastAsia="仿宋" w:cs="仿宋"/>
          <w:bCs/>
          <w:sz w:val="32"/>
          <w:szCs w:val="32"/>
        </w:rPr>
        <w:t>（一）</w:t>
      </w:r>
      <w:r>
        <w:rPr>
          <w:rFonts w:hint="eastAsia" w:ascii="Times New Roman" w:hAnsi="Times New Roman" w:eastAsia="仿宋_GB2312" w:cs="仿宋_GB2312"/>
          <w:bCs/>
          <w:kern w:val="0"/>
          <w:sz w:val="32"/>
          <w:szCs w:val="32"/>
        </w:rPr>
        <w:t>内设</w:t>
      </w:r>
      <w:r>
        <w:rPr>
          <w:rFonts w:hint="eastAsia" w:ascii="仿宋" w:hAnsi="仿宋" w:eastAsia="仿宋" w:cs="仿宋"/>
          <w:bCs/>
          <w:sz w:val="32"/>
          <w:szCs w:val="32"/>
        </w:rPr>
        <w:t>机构设置。</w:t>
      </w:r>
      <w:r>
        <w:rPr>
          <w:rFonts w:hint="eastAsia" w:ascii="仿宋" w:hAnsi="仿宋" w:eastAsia="仿宋" w:cs="仿宋"/>
          <w:bCs/>
          <w:sz w:val="32"/>
          <w:szCs w:val="32"/>
          <w:lang w:eastAsia="zh-CN"/>
        </w:rPr>
        <w:t>我单位</w:t>
      </w:r>
      <w:r>
        <w:rPr>
          <w:rFonts w:hint="eastAsia" w:ascii="仿宋" w:hAnsi="仿宋" w:eastAsia="仿宋" w:cs="仿宋"/>
          <w:bCs/>
          <w:kern w:val="2"/>
          <w:sz w:val="32"/>
          <w:szCs w:val="32"/>
        </w:rPr>
        <w:t>内设机构包括</w:t>
      </w:r>
      <w:r>
        <w:rPr>
          <w:rFonts w:hint="eastAsia" w:ascii="仿宋" w:hAnsi="仿宋" w:eastAsia="仿宋" w:cs="仿宋"/>
          <w:bCs/>
          <w:sz w:val="32"/>
          <w:szCs w:val="32"/>
          <w:lang w:eastAsia="zh-CN"/>
        </w:rPr>
        <w:t>：</w:t>
      </w:r>
      <w:r>
        <w:rPr>
          <w:rFonts w:hint="eastAsia" w:ascii="仿宋" w:hAnsi="仿宋" w:eastAsia="仿宋" w:cs="仿宋"/>
          <w:bCs/>
          <w:sz w:val="32"/>
          <w:szCs w:val="32"/>
        </w:rPr>
        <w:t>综合、人事、计财、防控应急、防疫信息、检验一科、检验二科、防疫物资管理8个科室。</w:t>
      </w:r>
    </w:p>
    <w:p>
      <w:pPr>
        <w:widowControl/>
        <w:spacing w:line="600" w:lineRule="exact"/>
        <w:ind w:firstLine="627" w:firstLineChars="196"/>
        <w:jc w:val="left"/>
        <w:rPr>
          <w:rFonts w:hint="eastAsia" w:ascii="仿宋" w:hAnsi="仿宋" w:eastAsia="仿宋" w:cs="仿宋"/>
          <w:bCs/>
          <w:kern w:val="2"/>
          <w:sz w:val="32"/>
          <w:szCs w:val="32"/>
          <w:lang w:eastAsia="zh-CN"/>
        </w:rPr>
      </w:pPr>
      <w:r>
        <w:rPr>
          <w:rFonts w:hint="eastAsia" w:ascii="仿宋" w:hAnsi="仿宋" w:eastAsia="仿宋" w:cs="仿宋"/>
          <w:bCs/>
          <w:kern w:val="0"/>
          <w:sz w:val="32"/>
          <w:szCs w:val="32"/>
        </w:rPr>
        <w:t>（二）决算单位构成。</w:t>
      </w:r>
      <w:r>
        <w:rPr>
          <w:rFonts w:hint="eastAsia" w:ascii="仿宋" w:hAnsi="仿宋" w:eastAsia="仿宋" w:cs="仿宋"/>
          <w:bCs/>
          <w:sz w:val="32"/>
          <w:szCs w:val="32"/>
          <w:lang w:eastAsia="zh-CN"/>
        </w:rPr>
        <w:t>我单位</w:t>
      </w:r>
      <w:r>
        <w:rPr>
          <w:rFonts w:hint="eastAsia" w:ascii="仿宋" w:hAnsi="仿宋" w:eastAsia="仿宋" w:cs="仿宋"/>
          <w:bCs/>
          <w:kern w:val="2"/>
          <w:sz w:val="32"/>
          <w:szCs w:val="32"/>
        </w:rPr>
        <w:t>202</w:t>
      </w:r>
      <w:r>
        <w:rPr>
          <w:rFonts w:hint="eastAsia" w:ascii="仿宋" w:hAnsi="仿宋" w:eastAsia="仿宋" w:cs="仿宋"/>
          <w:bCs/>
          <w:kern w:val="2"/>
          <w:sz w:val="32"/>
          <w:szCs w:val="32"/>
          <w:lang w:val="en-US" w:eastAsia="zh-CN"/>
        </w:rPr>
        <w:t>3</w:t>
      </w:r>
      <w:r>
        <w:rPr>
          <w:rFonts w:hint="eastAsia" w:ascii="仿宋" w:hAnsi="仿宋" w:eastAsia="仿宋" w:cs="仿宋"/>
          <w:bCs/>
          <w:kern w:val="2"/>
          <w:sz w:val="32"/>
          <w:szCs w:val="32"/>
        </w:rPr>
        <w:t>年部门决算汇总公开单位构成包括：</w:t>
      </w:r>
      <w:r>
        <w:rPr>
          <w:rFonts w:hint="eastAsia" w:ascii="仿宋" w:hAnsi="仿宋" w:eastAsia="仿宋" w:cs="仿宋"/>
          <w:bCs/>
          <w:sz w:val="32"/>
          <w:szCs w:val="32"/>
        </w:rPr>
        <w:t>湖南省动物疫病预防控制中心</w:t>
      </w:r>
      <w:r>
        <w:rPr>
          <w:rFonts w:hint="eastAsia" w:ascii="仿宋" w:hAnsi="仿宋" w:eastAsia="仿宋" w:cs="仿宋"/>
          <w:bCs/>
          <w:kern w:val="2"/>
          <w:sz w:val="32"/>
          <w:szCs w:val="32"/>
        </w:rPr>
        <w:t>本级</w:t>
      </w:r>
      <w:r>
        <w:rPr>
          <w:rFonts w:hint="eastAsia" w:ascii="仿宋" w:hAnsi="仿宋" w:eastAsia="仿宋" w:cs="仿宋"/>
          <w:bCs/>
          <w:kern w:val="2"/>
          <w:sz w:val="32"/>
          <w:szCs w:val="32"/>
          <w:lang w:eastAsia="zh-CN"/>
        </w:rPr>
        <w:t>。</w:t>
      </w:r>
    </w:p>
    <w:p>
      <w:pPr>
        <w:jc w:val="left"/>
        <w:rPr>
          <w:rFonts w:ascii="仿宋_GB2312" w:eastAsia="仿宋_GB2312" w:hAnsiTheme="minorEastAsia"/>
          <w:sz w:val="28"/>
          <w:szCs w:val="32"/>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pStyle w:val="19"/>
        <w:jc w:val="center"/>
        <w:rPr>
          <w:rFonts w:hint="eastAsia" w:ascii="方正小标宋_GBK" w:hAnsi="方正小标宋_GBK" w:eastAsia="方正小标宋_GBK" w:cs="方正小标宋_GBK"/>
          <w:sz w:val="84"/>
          <w:szCs w:val="84"/>
        </w:rPr>
      </w:pPr>
    </w:p>
    <w:p>
      <w:pPr>
        <w:pStyle w:val="19"/>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pPr>
        <w:pStyle w:val="19"/>
        <w:jc w:val="center"/>
        <w:rPr>
          <w:rFonts w:hint="eastAsia" w:ascii="方正小标宋_GBK" w:hAnsi="方正小标宋_GBK" w:eastAsia="方正小标宋_GBK" w:cs="方正小标宋_GBK"/>
          <w:sz w:val="84"/>
          <w:szCs w:val="84"/>
        </w:rPr>
      </w:pPr>
    </w:p>
    <w:p>
      <w:pPr>
        <w:pStyle w:val="19"/>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left"/>
        <w:rPr>
          <w:sz w:val="32"/>
          <w:szCs w:val="32"/>
        </w:rPr>
      </w:pPr>
    </w:p>
    <w:p>
      <w:pPr>
        <w:jc w:val="left"/>
        <w:rPr>
          <w:rFonts w:asciiTheme="minorEastAsia" w:hAnsiTheme="minorEastAsia"/>
          <w:sz w:val="32"/>
          <w:szCs w:val="32"/>
        </w:rPr>
        <w:sectPr>
          <w:pgSz w:w="11906" w:h="16838"/>
          <w:pgMar w:top="720" w:right="720" w:bottom="720" w:left="720" w:header="851" w:footer="992" w:gutter="0"/>
          <w:cols w:space="425" w:num="1"/>
          <w:docGrid w:type="lines" w:linePitch="312" w:charSpace="0"/>
        </w:sectPr>
      </w:pPr>
    </w:p>
    <w:tbl>
      <w:tblPr>
        <w:tblW w:w="1477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
      <w:tblGrid>
        <w:gridCol w:w="4606"/>
        <w:gridCol w:w="599"/>
        <w:gridCol w:w="1598"/>
        <w:gridCol w:w="5525"/>
        <w:gridCol w:w="599"/>
        <w:gridCol w:w="18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370" w:hRule="atLeast"/>
        </w:trPr>
        <w:tc>
          <w:tcPr>
            <w:tcW w:w="14773" w:type="dxa"/>
            <w:gridSpan w:val="6"/>
            <w:tcBorders>
              <w:top w:val="nil"/>
              <w:left w:val="nil"/>
              <w:bottom w:val="nil"/>
              <w:right w:val="nil"/>
            </w:tcBorders>
            <w:shd w:val="clear"/>
            <w:noWrap/>
            <w:tcMar>
              <w:top w:w="10" w:type="dxa"/>
              <w:left w:w="10" w:type="dxa"/>
              <w:right w:w="10" w:type="dxa"/>
            </w:tcMar>
            <w:vAlign w:val="center"/>
          </w:tcPr>
          <w:p>
            <w:pPr>
              <w:widowControl/>
              <w:jc w:val="center"/>
              <w:rPr>
                <w:rFonts w:ascii="黑体" w:hAnsi="宋体" w:eastAsia="黑体" w:cs="黑体"/>
                <w:i w:val="0"/>
                <w:color w:val="000000"/>
                <w:sz w:val="30"/>
                <w:szCs w:val="30"/>
                <w:u w:val="none"/>
              </w:rPr>
            </w:pPr>
            <w:r>
              <w:rPr>
                <w:rFonts w:hint="eastAsia" w:ascii="黑体" w:hAnsi="宋体" w:eastAsia="黑体" w:cs="黑体"/>
                <w:i w:val="0"/>
                <w:color w:val="000000"/>
                <w:kern w:val="0"/>
                <w:sz w:val="30"/>
                <w:szCs w:val="30"/>
                <w:u w:val="none"/>
                <w:bdr w:val="none" w:color="auto" w:sz="0" w:space="0"/>
                <w:lang w:val="en-US" w:eastAsia="zh-CN" w:bidi="ar"/>
              </w:rPr>
              <w:t>收入支出决算总表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0" w:hRule="atLeast"/>
        </w:trPr>
        <w:tc>
          <w:tcPr>
            <w:tcW w:w="4606" w:type="dxa"/>
            <w:tcBorders>
              <w:top w:val="nil"/>
              <w:left w:val="nil"/>
              <w:bottom w:val="nil"/>
              <w:right w:val="nil"/>
            </w:tcBorders>
            <w:shd w:val="clear"/>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599" w:type="dxa"/>
            <w:tcBorders>
              <w:top w:val="nil"/>
              <w:left w:val="nil"/>
              <w:bottom w:val="nil"/>
              <w:right w:val="nil"/>
            </w:tcBorders>
            <w:shd w:val="clear"/>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598" w:type="dxa"/>
            <w:tcBorders>
              <w:top w:val="nil"/>
              <w:left w:val="nil"/>
              <w:bottom w:val="nil"/>
              <w:right w:val="nil"/>
            </w:tcBorders>
            <w:shd w:val="clear"/>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5525" w:type="dxa"/>
            <w:tcBorders>
              <w:top w:val="nil"/>
              <w:left w:val="nil"/>
              <w:bottom w:val="nil"/>
              <w:right w:val="nil"/>
            </w:tcBorders>
            <w:shd w:val="clear"/>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599" w:type="dxa"/>
            <w:tcBorders>
              <w:top w:val="nil"/>
              <w:left w:val="nil"/>
              <w:bottom w:val="nil"/>
              <w:right w:val="nil"/>
            </w:tcBorders>
            <w:shd w:val="clear"/>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846" w:type="dxa"/>
            <w:tcBorders>
              <w:top w:val="nil"/>
              <w:left w:val="nil"/>
              <w:bottom w:val="nil"/>
              <w:right w:val="nil"/>
            </w:tcBorders>
            <w:shd w:val="clear"/>
            <w:noWrap/>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公开01表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0" w:hRule="atLeast"/>
        </w:trPr>
        <w:tc>
          <w:tcPr>
            <w:tcW w:w="4606" w:type="dxa"/>
            <w:tcBorders>
              <w:top w:val="nil"/>
              <w:left w:val="nil"/>
              <w:bottom w:val="nil"/>
              <w:right w:val="nil"/>
            </w:tcBorders>
            <w:shd w:val="clear"/>
            <w:noWrap/>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部门：湖南省动物疫病预防控制中心</w:t>
            </w:r>
          </w:p>
        </w:tc>
        <w:tc>
          <w:tcPr>
            <w:tcW w:w="599" w:type="dxa"/>
            <w:tcBorders>
              <w:top w:val="nil"/>
              <w:left w:val="nil"/>
              <w:bottom w:val="nil"/>
              <w:right w:val="nil"/>
            </w:tcBorders>
            <w:shd w:val="clear"/>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598" w:type="dxa"/>
            <w:tcBorders>
              <w:top w:val="nil"/>
              <w:left w:val="nil"/>
              <w:bottom w:val="nil"/>
              <w:right w:val="nil"/>
            </w:tcBorders>
            <w:shd w:val="clear"/>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5525" w:type="dxa"/>
            <w:tcBorders>
              <w:top w:val="nil"/>
              <w:left w:val="nil"/>
              <w:bottom w:val="nil"/>
              <w:right w:val="nil"/>
            </w:tcBorders>
            <w:shd w:val="clear"/>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599" w:type="dxa"/>
            <w:tcBorders>
              <w:top w:val="nil"/>
              <w:left w:val="nil"/>
              <w:bottom w:val="nil"/>
              <w:right w:val="nil"/>
            </w:tcBorders>
            <w:shd w:val="clear"/>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846" w:type="dxa"/>
            <w:tcBorders>
              <w:top w:val="nil"/>
              <w:left w:val="nil"/>
              <w:bottom w:val="nil"/>
              <w:right w:val="nil"/>
            </w:tcBorders>
            <w:shd w:val="clear"/>
            <w:noWrap/>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6803" w:type="dxa"/>
            <w:gridSpan w:val="3"/>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收入</w:t>
            </w:r>
          </w:p>
        </w:tc>
        <w:tc>
          <w:tcPr>
            <w:tcW w:w="7970" w:type="dxa"/>
            <w:gridSpan w:val="3"/>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60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w:t>
            </w:r>
          </w:p>
        </w:tc>
        <w:tc>
          <w:tcPr>
            <w:tcW w:w="59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行次</w:t>
            </w:r>
          </w:p>
        </w:tc>
        <w:tc>
          <w:tcPr>
            <w:tcW w:w="1598"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金额</w:t>
            </w:r>
          </w:p>
        </w:tc>
        <w:tc>
          <w:tcPr>
            <w:tcW w:w="5525"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w:t>
            </w:r>
          </w:p>
        </w:tc>
        <w:tc>
          <w:tcPr>
            <w:tcW w:w="59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行次</w:t>
            </w:r>
          </w:p>
        </w:tc>
        <w:tc>
          <w:tcPr>
            <w:tcW w:w="184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金额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60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栏次</w:t>
            </w:r>
          </w:p>
        </w:tc>
        <w:tc>
          <w:tcPr>
            <w:tcW w:w="59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98"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w:t>
            </w:r>
          </w:p>
        </w:tc>
        <w:tc>
          <w:tcPr>
            <w:tcW w:w="5525"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栏次</w:t>
            </w:r>
          </w:p>
        </w:tc>
        <w:tc>
          <w:tcPr>
            <w:tcW w:w="59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84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60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一、一般公共预算财政拨款收入</w:t>
            </w:r>
          </w:p>
        </w:tc>
        <w:tc>
          <w:tcPr>
            <w:tcW w:w="59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w:t>
            </w:r>
          </w:p>
        </w:tc>
        <w:tc>
          <w:tcPr>
            <w:tcW w:w="1598"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1,763.77</w:t>
            </w:r>
          </w:p>
        </w:tc>
        <w:tc>
          <w:tcPr>
            <w:tcW w:w="5525"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一、一般公共服务支出</w:t>
            </w:r>
          </w:p>
        </w:tc>
        <w:tc>
          <w:tcPr>
            <w:tcW w:w="59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32</w:t>
            </w:r>
          </w:p>
        </w:tc>
        <w:tc>
          <w:tcPr>
            <w:tcW w:w="184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6.25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60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二、政府性基金预算财政拨款收入</w:t>
            </w:r>
          </w:p>
        </w:tc>
        <w:tc>
          <w:tcPr>
            <w:tcW w:w="59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2</w:t>
            </w:r>
          </w:p>
        </w:tc>
        <w:tc>
          <w:tcPr>
            <w:tcW w:w="1598"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0.00</w:t>
            </w:r>
          </w:p>
        </w:tc>
        <w:tc>
          <w:tcPr>
            <w:tcW w:w="5525"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二、外交支出</w:t>
            </w:r>
          </w:p>
        </w:tc>
        <w:tc>
          <w:tcPr>
            <w:tcW w:w="59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33</w:t>
            </w:r>
          </w:p>
        </w:tc>
        <w:tc>
          <w:tcPr>
            <w:tcW w:w="184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60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三、国有资本经营预算财政拨款收入</w:t>
            </w:r>
          </w:p>
        </w:tc>
        <w:tc>
          <w:tcPr>
            <w:tcW w:w="59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w:t>
            </w:r>
          </w:p>
        </w:tc>
        <w:tc>
          <w:tcPr>
            <w:tcW w:w="1598"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0.00</w:t>
            </w:r>
          </w:p>
        </w:tc>
        <w:tc>
          <w:tcPr>
            <w:tcW w:w="5525"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三、国防支出</w:t>
            </w:r>
          </w:p>
        </w:tc>
        <w:tc>
          <w:tcPr>
            <w:tcW w:w="59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34</w:t>
            </w:r>
          </w:p>
        </w:tc>
        <w:tc>
          <w:tcPr>
            <w:tcW w:w="184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300" w:hRule="atLeast"/>
        </w:trPr>
        <w:tc>
          <w:tcPr>
            <w:tcW w:w="460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四、上级补助收入</w:t>
            </w:r>
          </w:p>
        </w:tc>
        <w:tc>
          <w:tcPr>
            <w:tcW w:w="59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4</w:t>
            </w:r>
          </w:p>
        </w:tc>
        <w:tc>
          <w:tcPr>
            <w:tcW w:w="1598"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0.00</w:t>
            </w:r>
          </w:p>
        </w:tc>
        <w:tc>
          <w:tcPr>
            <w:tcW w:w="5525"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四、公共安全支出</w:t>
            </w:r>
          </w:p>
        </w:tc>
        <w:tc>
          <w:tcPr>
            <w:tcW w:w="59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35</w:t>
            </w:r>
          </w:p>
        </w:tc>
        <w:tc>
          <w:tcPr>
            <w:tcW w:w="184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300" w:hRule="atLeast"/>
        </w:trPr>
        <w:tc>
          <w:tcPr>
            <w:tcW w:w="460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五、事业收入</w:t>
            </w:r>
          </w:p>
        </w:tc>
        <w:tc>
          <w:tcPr>
            <w:tcW w:w="59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5</w:t>
            </w:r>
          </w:p>
        </w:tc>
        <w:tc>
          <w:tcPr>
            <w:tcW w:w="1598"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0.00</w:t>
            </w:r>
          </w:p>
        </w:tc>
        <w:tc>
          <w:tcPr>
            <w:tcW w:w="5525"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五、教育支出</w:t>
            </w:r>
          </w:p>
        </w:tc>
        <w:tc>
          <w:tcPr>
            <w:tcW w:w="59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36</w:t>
            </w:r>
          </w:p>
        </w:tc>
        <w:tc>
          <w:tcPr>
            <w:tcW w:w="184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60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六、经营收入</w:t>
            </w:r>
          </w:p>
        </w:tc>
        <w:tc>
          <w:tcPr>
            <w:tcW w:w="59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6</w:t>
            </w:r>
          </w:p>
        </w:tc>
        <w:tc>
          <w:tcPr>
            <w:tcW w:w="1598"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0.00</w:t>
            </w:r>
          </w:p>
        </w:tc>
        <w:tc>
          <w:tcPr>
            <w:tcW w:w="5525"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六、科学技术支出</w:t>
            </w:r>
          </w:p>
        </w:tc>
        <w:tc>
          <w:tcPr>
            <w:tcW w:w="59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37</w:t>
            </w:r>
          </w:p>
        </w:tc>
        <w:tc>
          <w:tcPr>
            <w:tcW w:w="184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300" w:hRule="atLeast"/>
        </w:trPr>
        <w:tc>
          <w:tcPr>
            <w:tcW w:w="460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七、附属单位上缴收入</w:t>
            </w:r>
          </w:p>
        </w:tc>
        <w:tc>
          <w:tcPr>
            <w:tcW w:w="59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7</w:t>
            </w:r>
          </w:p>
        </w:tc>
        <w:tc>
          <w:tcPr>
            <w:tcW w:w="1598"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0.00</w:t>
            </w:r>
          </w:p>
        </w:tc>
        <w:tc>
          <w:tcPr>
            <w:tcW w:w="5525"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七、文化旅游体育与传媒支出</w:t>
            </w:r>
          </w:p>
        </w:tc>
        <w:tc>
          <w:tcPr>
            <w:tcW w:w="59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38</w:t>
            </w:r>
          </w:p>
        </w:tc>
        <w:tc>
          <w:tcPr>
            <w:tcW w:w="184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60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八、其他收入</w:t>
            </w:r>
          </w:p>
        </w:tc>
        <w:tc>
          <w:tcPr>
            <w:tcW w:w="59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8</w:t>
            </w:r>
          </w:p>
        </w:tc>
        <w:tc>
          <w:tcPr>
            <w:tcW w:w="1598"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0.00</w:t>
            </w:r>
          </w:p>
        </w:tc>
        <w:tc>
          <w:tcPr>
            <w:tcW w:w="5525"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八、社会保障和就业支出</w:t>
            </w:r>
          </w:p>
        </w:tc>
        <w:tc>
          <w:tcPr>
            <w:tcW w:w="59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39</w:t>
            </w:r>
          </w:p>
        </w:tc>
        <w:tc>
          <w:tcPr>
            <w:tcW w:w="184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34.00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300" w:hRule="atLeast"/>
        </w:trPr>
        <w:tc>
          <w:tcPr>
            <w:tcW w:w="460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9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9</w:t>
            </w:r>
          </w:p>
        </w:tc>
        <w:tc>
          <w:tcPr>
            <w:tcW w:w="1598"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5525"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九、卫生健康支出</w:t>
            </w:r>
          </w:p>
        </w:tc>
        <w:tc>
          <w:tcPr>
            <w:tcW w:w="59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40</w:t>
            </w:r>
          </w:p>
        </w:tc>
        <w:tc>
          <w:tcPr>
            <w:tcW w:w="184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60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9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10</w:t>
            </w:r>
          </w:p>
        </w:tc>
        <w:tc>
          <w:tcPr>
            <w:tcW w:w="1598"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5525"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十、节能环保支出</w:t>
            </w:r>
          </w:p>
        </w:tc>
        <w:tc>
          <w:tcPr>
            <w:tcW w:w="59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41</w:t>
            </w:r>
          </w:p>
        </w:tc>
        <w:tc>
          <w:tcPr>
            <w:tcW w:w="184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60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9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11</w:t>
            </w:r>
          </w:p>
        </w:tc>
        <w:tc>
          <w:tcPr>
            <w:tcW w:w="1598"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5525"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十一、城乡社区支出</w:t>
            </w:r>
          </w:p>
        </w:tc>
        <w:tc>
          <w:tcPr>
            <w:tcW w:w="59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42</w:t>
            </w:r>
          </w:p>
        </w:tc>
        <w:tc>
          <w:tcPr>
            <w:tcW w:w="184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60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9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12</w:t>
            </w:r>
          </w:p>
        </w:tc>
        <w:tc>
          <w:tcPr>
            <w:tcW w:w="1598"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5525"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十二、农林水支出</w:t>
            </w:r>
          </w:p>
        </w:tc>
        <w:tc>
          <w:tcPr>
            <w:tcW w:w="59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43</w:t>
            </w:r>
          </w:p>
        </w:tc>
        <w:tc>
          <w:tcPr>
            <w:tcW w:w="184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1,832.76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60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9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13</w:t>
            </w:r>
          </w:p>
        </w:tc>
        <w:tc>
          <w:tcPr>
            <w:tcW w:w="1598"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5525"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十三、交通运输支出</w:t>
            </w:r>
          </w:p>
        </w:tc>
        <w:tc>
          <w:tcPr>
            <w:tcW w:w="59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44</w:t>
            </w:r>
          </w:p>
        </w:tc>
        <w:tc>
          <w:tcPr>
            <w:tcW w:w="184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60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9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14</w:t>
            </w:r>
          </w:p>
        </w:tc>
        <w:tc>
          <w:tcPr>
            <w:tcW w:w="1598"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5525"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十四、资源勘探工业信息等支出</w:t>
            </w:r>
          </w:p>
        </w:tc>
        <w:tc>
          <w:tcPr>
            <w:tcW w:w="59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45</w:t>
            </w:r>
          </w:p>
        </w:tc>
        <w:tc>
          <w:tcPr>
            <w:tcW w:w="184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60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9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15</w:t>
            </w:r>
          </w:p>
        </w:tc>
        <w:tc>
          <w:tcPr>
            <w:tcW w:w="1598"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5525"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十五、商业服务业等支出</w:t>
            </w:r>
          </w:p>
        </w:tc>
        <w:tc>
          <w:tcPr>
            <w:tcW w:w="59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46</w:t>
            </w:r>
          </w:p>
        </w:tc>
        <w:tc>
          <w:tcPr>
            <w:tcW w:w="184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60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9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16</w:t>
            </w:r>
          </w:p>
        </w:tc>
        <w:tc>
          <w:tcPr>
            <w:tcW w:w="1598"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5525"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十六、金融支出</w:t>
            </w:r>
          </w:p>
        </w:tc>
        <w:tc>
          <w:tcPr>
            <w:tcW w:w="59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47</w:t>
            </w:r>
          </w:p>
        </w:tc>
        <w:tc>
          <w:tcPr>
            <w:tcW w:w="184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60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9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17</w:t>
            </w:r>
          </w:p>
        </w:tc>
        <w:tc>
          <w:tcPr>
            <w:tcW w:w="1598"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5525"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十七、援助其他地区支出</w:t>
            </w:r>
          </w:p>
        </w:tc>
        <w:tc>
          <w:tcPr>
            <w:tcW w:w="59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48</w:t>
            </w:r>
          </w:p>
        </w:tc>
        <w:tc>
          <w:tcPr>
            <w:tcW w:w="184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300" w:hRule="atLeast"/>
        </w:trPr>
        <w:tc>
          <w:tcPr>
            <w:tcW w:w="460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9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18</w:t>
            </w:r>
          </w:p>
        </w:tc>
        <w:tc>
          <w:tcPr>
            <w:tcW w:w="1598"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5525"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十八、自然资源海洋气象等支出</w:t>
            </w:r>
          </w:p>
        </w:tc>
        <w:tc>
          <w:tcPr>
            <w:tcW w:w="59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49</w:t>
            </w:r>
          </w:p>
        </w:tc>
        <w:tc>
          <w:tcPr>
            <w:tcW w:w="184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60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9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19</w:t>
            </w:r>
          </w:p>
        </w:tc>
        <w:tc>
          <w:tcPr>
            <w:tcW w:w="1598"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5525"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十九、住房保障支出</w:t>
            </w:r>
          </w:p>
        </w:tc>
        <w:tc>
          <w:tcPr>
            <w:tcW w:w="59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50</w:t>
            </w:r>
          </w:p>
        </w:tc>
        <w:tc>
          <w:tcPr>
            <w:tcW w:w="184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2.52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300" w:hRule="atLeast"/>
        </w:trPr>
        <w:tc>
          <w:tcPr>
            <w:tcW w:w="460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9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20</w:t>
            </w:r>
          </w:p>
        </w:tc>
        <w:tc>
          <w:tcPr>
            <w:tcW w:w="1598"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5525"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二十、粮油物资储备支出</w:t>
            </w:r>
          </w:p>
        </w:tc>
        <w:tc>
          <w:tcPr>
            <w:tcW w:w="59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51</w:t>
            </w:r>
          </w:p>
        </w:tc>
        <w:tc>
          <w:tcPr>
            <w:tcW w:w="184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60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9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21</w:t>
            </w:r>
          </w:p>
        </w:tc>
        <w:tc>
          <w:tcPr>
            <w:tcW w:w="1598"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5525"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二十一、国有资本经营预算支出</w:t>
            </w:r>
          </w:p>
        </w:tc>
        <w:tc>
          <w:tcPr>
            <w:tcW w:w="59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52</w:t>
            </w:r>
          </w:p>
        </w:tc>
        <w:tc>
          <w:tcPr>
            <w:tcW w:w="184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60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9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22</w:t>
            </w:r>
          </w:p>
        </w:tc>
        <w:tc>
          <w:tcPr>
            <w:tcW w:w="1598"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5525"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二十二、灾害防治及应急管理支出</w:t>
            </w:r>
          </w:p>
        </w:tc>
        <w:tc>
          <w:tcPr>
            <w:tcW w:w="59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53</w:t>
            </w:r>
          </w:p>
        </w:tc>
        <w:tc>
          <w:tcPr>
            <w:tcW w:w="184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300" w:hRule="atLeast"/>
        </w:trPr>
        <w:tc>
          <w:tcPr>
            <w:tcW w:w="460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9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23</w:t>
            </w:r>
          </w:p>
        </w:tc>
        <w:tc>
          <w:tcPr>
            <w:tcW w:w="1598"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5525"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二十三、其他支出</w:t>
            </w:r>
          </w:p>
        </w:tc>
        <w:tc>
          <w:tcPr>
            <w:tcW w:w="59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54</w:t>
            </w:r>
          </w:p>
        </w:tc>
        <w:tc>
          <w:tcPr>
            <w:tcW w:w="184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300" w:hRule="atLeast"/>
        </w:trPr>
        <w:tc>
          <w:tcPr>
            <w:tcW w:w="460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center"/>
              <w:rPr>
                <w:rFonts w:hint="eastAsia" w:ascii="宋体" w:hAnsi="宋体" w:eastAsia="宋体" w:cs="宋体"/>
                <w:b/>
                <w:i w:val="0"/>
                <w:color w:val="000000"/>
                <w:sz w:val="20"/>
                <w:szCs w:val="20"/>
                <w:u w:val="none"/>
              </w:rPr>
            </w:pPr>
          </w:p>
        </w:tc>
        <w:tc>
          <w:tcPr>
            <w:tcW w:w="59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24</w:t>
            </w:r>
          </w:p>
        </w:tc>
        <w:tc>
          <w:tcPr>
            <w:tcW w:w="1598"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5525"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二十四、债务还本支出</w:t>
            </w:r>
          </w:p>
        </w:tc>
        <w:tc>
          <w:tcPr>
            <w:tcW w:w="59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55</w:t>
            </w:r>
          </w:p>
        </w:tc>
        <w:tc>
          <w:tcPr>
            <w:tcW w:w="184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60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c>
          <w:tcPr>
            <w:tcW w:w="59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25</w:t>
            </w:r>
          </w:p>
        </w:tc>
        <w:tc>
          <w:tcPr>
            <w:tcW w:w="1598"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5525"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二十五、债务付息支出</w:t>
            </w:r>
          </w:p>
        </w:tc>
        <w:tc>
          <w:tcPr>
            <w:tcW w:w="59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56</w:t>
            </w:r>
          </w:p>
        </w:tc>
        <w:tc>
          <w:tcPr>
            <w:tcW w:w="184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300" w:hRule="atLeast"/>
        </w:trPr>
        <w:tc>
          <w:tcPr>
            <w:tcW w:w="460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c>
          <w:tcPr>
            <w:tcW w:w="59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26</w:t>
            </w:r>
          </w:p>
        </w:tc>
        <w:tc>
          <w:tcPr>
            <w:tcW w:w="1598"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5525"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二十六、抗疫特别国债安排的支出</w:t>
            </w:r>
          </w:p>
        </w:tc>
        <w:tc>
          <w:tcPr>
            <w:tcW w:w="59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57</w:t>
            </w:r>
          </w:p>
        </w:tc>
        <w:tc>
          <w:tcPr>
            <w:tcW w:w="184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60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本年收入合计</w:t>
            </w:r>
          </w:p>
        </w:tc>
        <w:tc>
          <w:tcPr>
            <w:tcW w:w="59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27</w:t>
            </w:r>
          </w:p>
        </w:tc>
        <w:tc>
          <w:tcPr>
            <w:tcW w:w="1598"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1,763.77</w:t>
            </w:r>
          </w:p>
        </w:tc>
        <w:tc>
          <w:tcPr>
            <w:tcW w:w="5525"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本年支出合计</w:t>
            </w:r>
          </w:p>
        </w:tc>
        <w:tc>
          <w:tcPr>
            <w:tcW w:w="59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58</w:t>
            </w:r>
          </w:p>
        </w:tc>
        <w:tc>
          <w:tcPr>
            <w:tcW w:w="184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1,875.53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60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使用非财政拨款结余和专用结余</w:t>
            </w:r>
          </w:p>
        </w:tc>
        <w:tc>
          <w:tcPr>
            <w:tcW w:w="59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28</w:t>
            </w:r>
          </w:p>
        </w:tc>
        <w:tc>
          <w:tcPr>
            <w:tcW w:w="1598"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0.00</w:t>
            </w:r>
          </w:p>
        </w:tc>
        <w:tc>
          <w:tcPr>
            <w:tcW w:w="5525"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结余分配</w:t>
            </w:r>
          </w:p>
        </w:tc>
        <w:tc>
          <w:tcPr>
            <w:tcW w:w="59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59</w:t>
            </w:r>
          </w:p>
        </w:tc>
        <w:tc>
          <w:tcPr>
            <w:tcW w:w="184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60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年初结转和结余</w:t>
            </w:r>
          </w:p>
        </w:tc>
        <w:tc>
          <w:tcPr>
            <w:tcW w:w="59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29</w:t>
            </w:r>
          </w:p>
        </w:tc>
        <w:tc>
          <w:tcPr>
            <w:tcW w:w="1598"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214.98</w:t>
            </w:r>
          </w:p>
        </w:tc>
        <w:tc>
          <w:tcPr>
            <w:tcW w:w="5525"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年末结转和结余</w:t>
            </w:r>
          </w:p>
        </w:tc>
        <w:tc>
          <w:tcPr>
            <w:tcW w:w="59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60</w:t>
            </w:r>
          </w:p>
        </w:tc>
        <w:tc>
          <w:tcPr>
            <w:tcW w:w="184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103.22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300" w:hRule="atLeast"/>
        </w:trPr>
        <w:tc>
          <w:tcPr>
            <w:tcW w:w="460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9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30</w:t>
            </w:r>
          </w:p>
        </w:tc>
        <w:tc>
          <w:tcPr>
            <w:tcW w:w="1598"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5525"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9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61</w:t>
            </w:r>
          </w:p>
        </w:tc>
        <w:tc>
          <w:tcPr>
            <w:tcW w:w="184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300" w:hRule="atLeast"/>
        </w:trPr>
        <w:tc>
          <w:tcPr>
            <w:tcW w:w="460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总计</w:t>
            </w:r>
          </w:p>
        </w:tc>
        <w:tc>
          <w:tcPr>
            <w:tcW w:w="59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31</w:t>
            </w:r>
          </w:p>
        </w:tc>
        <w:tc>
          <w:tcPr>
            <w:tcW w:w="1598"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1,978.75</w:t>
            </w:r>
          </w:p>
        </w:tc>
        <w:tc>
          <w:tcPr>
            <w:tcW w:w="5525"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总计</w:t>
            </w:r>
          </w:p>
        </w:tc>
        <w:tc>
          <w:tcPr>
            <w:tcW w:w="59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62</w:t>
            </w:r>
          </w:p>
        </w:tc>
        <w:tc>
          <w:tcPr>
            <w:tcW w:w="184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1,978.75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300" w:hRule="atLeast"/>
        </w:trPr>
        <w:tc>
          <w:tcPr>
            <w:tcW w:w="14773" w:type="dxa"/>
            <w:gridSpan w:val="6"/>
            <w:tcBorders>
              <w:top w:val="nil"/>
              <w:left w:val="nil"/>
              <w:bottom w:val="nil"/>
              <w:right w:val="nil"/>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注：1.本表反映部门本年度的总收支和年末结转结余情况。</w:t>
            </w:r>
          </w:p>
        </w:tc>
      </w:tr>
    </w:tbl>
    <w:p>
      <w:pPr>
        <w:widowControl/>
        <w:jc w:val="left"/>
        <w:rPr>
          <w:rFonts w:ascii="Times New Roman" w:hAnsi="Times New Roman" w:eastAsia="黑体" w:cs="Times New Roman"/>
          <w:bCs/>
          <w:kern w:val="0"/>
          <w:sz w:val="32"/>
          <w:szCs w:val="32"/>
        </w:rPr>
      </w:pPr>
    </w:p>
    <w:tbl>
      <w:tblPr>
        <w:tblStyle w:val="13"/>
        <w:tblW w:w="1482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29"/>
        <w:gridCol w:w="329"/>
        <w:gridCol w:w="329"/>
        <w:gridCol w:w="4034"/>
        <w:gridCol w:w="1840"/>
        <w:gridCol w:w="1678"/>
        <w:gridCol w:w="1281"/>
        <w:gridCol w:w="1296"/>
        <w:gridCol w:w="1282"/>
        <w:gridCol w:w="1145"/>
        <w:gridCol w:w="128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0" w:hRule="atLeast"/>
        </w:trPr>
        <w:tc>
          <w:tcPr>
            <w:tcW w:w="14825" w:type="dxa"/>
            <w:gridSpan w:val="11"/>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黑体" w:hAnsi="宋体" w:eastAsia="黑体" w:cs="黑体"/>
                <w:i w:val="0"/>
                <w:iCs w:val="0"/>
                <w:color w:val="000000"/>
                <w:sz w:val="30"/>
                <w:szCs w:val="30"/>
                <w:u w:val="none"/>
              </w:rPr>
            </w:pPr>
            <w:r>
              <w:rPr>
                <w:rFonts w:hint="eastAsia" w:ascii="黑体" w:hAnsi="宋体" w:eastAsia="黑体" w:cs="黑体"/>
                <w:i w:val="0"/>
                <w:iCs w:val="0"/>
                <w:color w:val="000000"/>
                <w:kern w:val="0"/>
                <w:sz w:val="30"/>
                <w:szCs w:val="30"/>
                <w:u w:val="none"/>
                <w:lang w:val="en-US" w:eastAsia="zh-CN" w:bidi="ar"/>
              </w:rPr>
              <w:t>收入决算表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70" w:hRule="atLeast"/>
        </w:trPr>
        <w:tc>
          <w:tcPr>
            <w:tcW w:w="329"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329"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329"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403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84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678"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281"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296"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282"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427" w:type="dxa"/>
            <w:gridSpan w:val="2"/>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公开02表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70" w:hRule="atLeast"/>
        </w:trPr>
        <w:tc>
          <w:tcPr>
            <w:tcW w:w="5021" w:type="dxa"/>
            <w:gridSpan w:val="4"/>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部门：湖南省动物疫病预防控制中心</w:t>
            </w:r>
          </w:p>
        </w:tc>
        <w:tc>
          <w:tcPr>
            <w:tcW w:w="184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678"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281"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296"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282"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427" w:type="dxa"/>
            <w:gridSpan w:val="2"/>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00" w:hRule="atLeast"/>
        </w:trPr>
        <w:tc>
          <w:tcPr>
            <w:tcW w:w="502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18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本年收入合计</w:t>
            </w:r>
          </w:p>
        </w:tc>
        <w:tc>
          <w:tcPr>
            <w:tcW w:w="16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财政拨款收入</w:t>
            </w:r>
          </w:p>
        </w:tc>
        <w:tc>
          <w:tcPr>
            <w:tcW w:w="12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上级补助收入</w:t>
            </w:r>
          </w:p>
        </w:tc>
        <w:tc>
          <w:tcPr>
            <w:tcW w:w="12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事业收入</w:t>
            </w:r>
          </w:p>
        </w:tc>
        <w:tc>
          <w:tcPr>
            <w:tcW w:w="12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经营收入</w:t>
            </w:r>
          </w:p>
        </w:tc>
        <w:tc>
          <w:tcPr>
            <w:tcW w:w="11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附属单位上缴收入</w:t>
            </w:r>
          </w:p>
        </w:tc>
        <w:tc>
          <w:tcPr>
            <w:tcW w:w="12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其他收入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00" w:hRule="atLeast"/>
        </w:trPr>
        <w:tc>
          <w:tcPr>
            <w:tcW w:w="987"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科目代码</w:t>
            </w:r>
          </w:p>
        </w:tc>
        <w:tc>
          <w:tcPr>
            <w:tcW w:w="403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1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6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2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2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2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1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2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987"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403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6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2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2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2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1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2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987"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403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6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2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2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2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1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2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00" w:hRule="atLeast"/>
        </w:trPr>
        <w:tc>
          <w:tcPr>
            <w:tcW w:w="502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1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6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2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12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502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1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1,763.77</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1,763.77</w:t>
            </w:r>
          </w:p>
        </w:tc>
        <w:tc>
          <w:tcPr>
            <w:tcW w:w="12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2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2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00" w:hRule="atLeast"/>
        </w:trPr>
        <w:tc>
          <w:tcPr>
            <w:tcW w:w="98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w:t>
            </w:r>
          </w:p>
        </w:tc>
        <w:tc>
          <w:tcPr>
            <w:tcW w:w="40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社会保障和就业支出</w:t>
            </w:r>
          </w:p>
        </w:tc>
        <w:tc>
          <w:tcPr>
            <w:tcW w:w="1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34.00</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34.00</w:t>
            </w:r>
          </w:p>
        </w:tc>
        <w:tc>
          <w:tcPr>
            <w:tcW w:w="12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00" w:hRule="atLeast"/>
        </w:trPr>
        <w:tc>
          <w:tcPr>
            <w:tcW w:w="98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20805</w:t>
            </w:r>
          </w:p>
        </w:tc>
        <w:tc>
          <w:tcPr>
            <w:tcW w:w="40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行政事业单位养老支出</w:t>
            </w:r>
          </w:p>
        </w:tc>
        <w:tc>
          <w:tcPr>
            <w:tcW w:w="1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34.00</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34.00</w:t>
            </w:r>
          </w:p>
        </w:tc>
        <w:tc>
          <w:tcPr>
            <w:tcW w:w="12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00" w:hRule="atLeast"/>
        </w:trPr>
        <w:tc>
          <w:tcPr>
            <w:tcW w:w="98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2080505</w:t>
            </w:r>
          </w:p>
        </w:tc>
        <w:tc>
          <w:tcPr>
            <w:tcW w:w="40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机关事业单位基本养老保险缴费支出</w:t>
            </w:r>
          </w:p>
        </w:tc>
        <w:tc>
          <w:tcPr>
            <w:tcW w:w="1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34.00</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34.00</w:t>
            </w:r>
          </w:p>
        </w:tc>
        <w:tc>
          <w:tcPr>
            <w:tcW w:w="12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98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w:t>
            </w:r>
          </w:p>
        </w:tc>
        <w:tc>
          <w:tcPr>
            <w:tcW w:w="40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农林水支出</w:t>
            </w:r>
          </w:p>
        </w:tc>
        <w:tc>
          <w:tcPr>
            <w:tcW w:w="1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1,727.25</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1,727.25</w:t>
            </w:r>
          </w:p>
        </w:tc>
        <w:tc>
          <w:tcPr>
            <w:tcW w:w="12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98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21301</w:t>
            </w:r>
          </w:p>
        </w:tc>
        <w:tc>
          <w:tcPr>
            <w:tcW w:w="40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农业农村</w:t>
            </w:r>
          </w:p>
        </w:tc>
        <w:tc>
          <w:tcPr>
            <w:tcW w:w="1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1,727.25</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1,727.25</w:t>
            </w:r>
          </w:p>
        </w:tc>
        <w:tc>
          <w:tcPr>
            <w:tcW w:w="12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98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2130101</w:t>
            </w:r>
          </w:p>
        </w:tc>
        <w:tc>
          <w:tcPr>
            <w:tcW w:w="40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行政运行</w:t>
            </w:r>
          </w:p>
        </w:tc>
        <w:tc>
          <w:tcPr>
            <w:tcW w:w="1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120.06</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120.06</w:t>
            </w:r>
          </w:p>
        </w:tc>
        <w:tc>
          <w:tcPr>
            <w:tcW w:w="12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98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2130104</w:t>
            </w:r>
          </w:p>
        </w:tc>
        <w:tc>
          <w:tcPr>
            <w:tcW w:w="40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事业运行</w:t>
            </w:r>
          </w:p>
        </w:tc>
        <w:tc>
          <w:tcPr>
            <w:tcW w:w="1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620.03</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620.03</w:t>
            </w:r>
          </w:p>
        </w:tc>
        <w:tc>
          <w:tcPr>
            <w:tcW w:w="12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00" w:hRule="atLeast"/>
        </w:trPr>
        <w:tc>
          <w:tcPr>
            <w:tcW w:w="98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2130106</w:t>
            </w:r>
          </w:p>
        </w:tc>
        <w:tc>
          <w:tcPr>
            <w:tcW w:w="40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科技转化与推广服务</w:t>
            </w:r>
          </w:p>
        </w:tc>
        <w:tc>
          <w:tcPr>
            <w:tcW w:w="1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40.00</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40.00</w:t>
            </w:r>
          </w:p>
        </w:tc>
        <w:tc>
          <w:tcPr>
            <w:tcW w:w="12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00" w:hRule="atLeast"/>
        </w:trPr>
        <w:tc>
          <w:tcPr>
            <w:tcW w:w="98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2130108</w:t>
            </w:r>
          </w:p>
        </w:tc>
        <w:tc>
          <w:tcPr>
            <w:tcW w:w="40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病虫害控制</w:t>
            </w:r>
          </w:p>
        </w:tc>
        <w:tc>
          <w:tcPr>
            <w:tcW w:w="1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505.00</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505.00</w:t>
            </w:r>
          </w:p>
        </w:tc>
        <w:tc>
          <w:tcPr>
            <w:tcW w:w="12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98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2130122</w:t>
            </w:r>
          </w:p>
        </w:tc>
        <w:tc>
          <w:tcPr>
            <w:tcW w:w="40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农业生产发展</w:t>
            </w:r>
          </w:p>
        </w:tc>
        <w:tc>
          <w:tcPr>
            <w:tcW w:w="1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442.16</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442.16</w:t>
            </w:r>
          </w:p>
        </w:tc>
        <w:tc>
          <w:tcPr>
            <w:tcW w:w="12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00" w:hRule="atLeast"/>
        </w:trPr>
        <w:tc>
          <w:tcPr>
            <w:tcW w:w="98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w:t>
            </w:r>
          </w:p>
        </w:tc>
        <w:tc>
          <w:tcPr>
            <w:tcW w:w="40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住房保障支出</w:t>
            </w:r>
          </w:p>
        </w:tc>
        <w:tc>
          <w:tcPr>
            <w:tcW w:w="1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2.52</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2.52</w:t>
            </w:r>
          </w:p>
        </w:tc>
        <w:tc>
          <w:tcPr>
            <w:tcW w:w="12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98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22102</w:t>
            </w:r>
          </w:p>
        </w:tc>
        <w:tc>
          <w:tcPr>
            <w:tcW w:w="40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住房改革支出</w:t>
            </w:r>
          </w:p>
        </w:tc>
        <w:tc>
          <w:tcPr>
            <w:tcW w:w="1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2.52</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2.52</w:t>
            </w:r>
          </w:p>
        </w:tc>
        <w:tc>
          <w:tcPr>
            <w:tcW w:w="12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00" w:hRule="atLeast"/>
        </w:trPr>
        <w:tc>
          <w:tcPr>
            <w:tcW w:w="98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2210203</w:t>
            </w:r>
          </w:p>
        </w:tc>
        <w:tc>
          <w:tcPr>
            <w:tcW w:w="40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购房补贴</w:t>
            </w:r>
          </w:p>
        </w:tc>
        <w:tc>
          <w:tcPr>
            <w:tcW w:w="1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2.52</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2.52</w:t>
            </w:r>
          </w:p>
        </w:tc>
        <w:tc>
          <w:tcPr>
            <w:tcW w:w="12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00" w:hRule="atLeast"/>
        </w:trPr>
        <w:tc>
          <w:tcPr>
            <w:tcW w:w="14825" w:type="dxa"/>
            <w:gridSpan w:val="11"/>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注：本表反映部门本年度取得的各项收入情况。</w:t>
            </w:r>
          </w:p>
        </w:tc>
      </w:tr>
    </w:tbl>
    <w:p>
      <w:pPr>
        <w:widowControl/>
        <w:rPr>
          <w:rFonts w:ascii="Times New Roman" w:hAnsi="Times New Roman" w:eastAsia="方正小标宋_GBK" w:cs="Times New Roman"/>
          <w:color w:val="000000"/>
          <w:kern w:val="0"/>
          <w:sz w:val="36"/>
          <w:szCs w:val="36"/>
        </w:rPr>
      </w:pPr>
    </w:p>
    <w:p>
      <w:pPr>
        <w:widowControl/>
        <w:jc w:val="both"/>
        <w:rPr>
          <w:rFonts w:ascii="Times New Roman" w:hAnsi="Times New Roman" w:eastAsia="方正小标宋_GBK" w:cs="Times New Roman"/>
          <w:color w:val="000000"/>
          <w:kern w:val="0"/>
          <w:sz w:val="36"/>
          <w:szCs w:val="21"/>
        </w:rPr>
      </w:pPr>
    </w:p>
    <w:p>
      <w:pPr>
        <w:widowControl/>
        <w:jc w:val="both"/>
        <w:rPr>
          <w:rFonts w:ascii="Times New Roman" w:hAnsi="Times New Roman" w:eastAsia="方正小标宋_GBK" w:cs="Times New Roman"/>
          <w:color w:val="000000"/>
          <w:kern w:val="0"/>
          <w:sz w:val="36"/>
          <w:szCs w:val="21"/>
        </w:rPr>
      </w:pPr>
    </w:p>
    <w:p>
      <w:pPr>
        <w:widowControl/>
        <w:jc w:val="both"/>
        <w:rPr>
          <w:rFonts w:ascii="Times New Roman" w:hAnsi="Times New Roman" w:eastAsia="方正小标宋_GBK" w:cs="Times New Roman"/>
          <w:color w:val="000000"/>
          <w:kern w:val="0"/>
          <w:sz w:val="36"/>
          <w:szCs w:val="21"/>
        </w:rPr>
      </w:pPr>
    </w:p>
    <w:tbl>
      <w:tblPr>
        <w:tblStyle w:val="13"/>
        <w:tblW w:w="1516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30"/>
        <w:gridCol w:w="330"/>
        <w:gridCol w:w="330"/>
        <w:gridCol w:w="4699"/>
        <w:gridCol w:w="1731"/>
        <w:gridCol w:w="1514"/>
        <w:gridCol w:w="1500"/>
        <w:gridCol w:w="1568"/>
        <w:gridCol w:w="1269"/>
        <w:gridCol w:w="189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90" w:hRule="atLeast"/>
        </w:trPr>
        <w:tc>
          <w:tcPr>
            <w:tcW w:w="15166" w:type="dxa"/>
            <w:gridSpan w:val="10"/>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2"/>
                <w:szCs w:val="22"/>
                <w:u w:val="none"/>
              </w:rPr>
            </w:pPr>
            <w:r>
              <w:rPr>
                <w:rFonts w:hint="eastAsia" w:ascii="黑体" w:hAnsi="宋体" w:eastAsia="黑体" w:cs="黑体"/>
                <w:i w:val="0"/>
                <w:iCs w:val="0"/>
                <w:color w:val="000000"/>
                <w:kern w:val="0"/>
                <w:sz w:val="30"/>
                <w:szCs w:val="30"/>
                <w:u w:val="none"/>
                <w:lang w:val="en-US" w:eastAsia="zh-CN" w:bidi="ar"/>
              </w:rPr>
              <w:t>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68" w:hRule="atLeast"/>
        </w:trPr>
        <w:tc>
          <w:tcPr>
            <w:tcW w:w="33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33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33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4699"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731"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51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50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568"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3164" w:type="dxa"/>
            <w:gridSpan w:val="2"/>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公开03表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trPr>
        <w:tc>
          <w:tcPr>
            <w:tcW w:w="5689" w:type="dxa"/>
            <w:gridSpan w:val="4"/>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部门：湖南省动物疫病预防控制中心</w:t>
            </w:r>
          </w:p>
        </w:tc>
        <w:tc>
          <w:tcPr>
            <w:tcW w:w="1731"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51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50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568"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3164" w:type="dxa"/>
            <w:gridSpan w:val="2"/>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5689"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173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本年支出合计</w:t>
            </w:r>
          </w:p>
        </w:tc>
        <w:tc>
          <w:tcPr>
            <w:tcW w:w="15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基本支出</w:t>
            </w:r>
          </w:p>
        </w:tc>
        <w:tc>
          <w:tcPr>
            <w:tcW w:w="1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项目支出</w:t>
            </w:r>
          </w:p>
        </w:tc>
        <w:tc>
          <w:tcPr>
            <w:tcW w:w="15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上缴上级支出</w:t>
            </w:r>
          </w:p>
        </w:tc>
        <w:tc>
          <w:tcPr>
            <w:tcW w:w="12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经营支出</w:t>
            </w:r>
          </w:p>
        </w:tc>
        <w:tc>
          <w:tcPr>
            <w:tcW w:w="18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对附属单位补助支出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99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科目代码</w:t>
            </w:r>
          </w:p>
        </w:tc>
        <w:tc>
          <w:tcPr>
            <w:tcW w:w="469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1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5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2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8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00" w:hRule="atLeast"/>
        </w:trPr>
        <w:tc>
          <w:tcPr>
            <w:tcW w:w="99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469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5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2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8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00" w:hRule="atLeast"/>
        </w:trPr>
        <w:tc>
          <w:tcPr>
            <w:tcW w:w="99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469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5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2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8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5689"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5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5689"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17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1,875.53</w:t>
            </w:r>
          </w:p>
        </w:tc>
        <w:tc>
          <w:tcPr>
            <w:tcW w:w="1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700.52</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1,175.01</w:t>
            </w:r>
          </w:p>
        </w:tc>
        <w:tc>
          <w:tcPr>
            <w:tcW w:w="1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2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99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w:t>
            </w:r>
          </w:p>
        </w:tc>
        <w:tc>
          <w:tcPr>
            <w:tcW w:w="46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一般公共服务支出</w:t>
            </w:r>
          </w:p>
        </w:tc>
        <w:tc>
          <w:tcPr>
            <w:tcW w:w="17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6.25</w:t>
            </w:r>
          </w:p>
        </w:tc>
        <w:tc>
          <w:tcPr>
            <w:tcW w:w="1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6.25</w:t>
            </w:r>
          </w:p>
        </w:tc>
        <w:tc>
          <w:tcPr>
            <w:tcW w:w="1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99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20138</w:t>
            </w:r>
          </w:p>
        </w:tc>
        <w:tc>
          <w:tcPr>
            <w:tcW w:w="46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市场监督管理事务</w:t>
            </w:r>
          </w:p>
        </w:tc>
        <w:tc>
          <w:tcPr>
            <w:tcW w:w="17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6.25</w:t>
            </w:r>
          </w:p>
        </w:tc>
        <w:tc>
          <w:tcPr>
            <w:tcW w:w="1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6.25</w:t>
            </w:r>
          </w:p>
        </w:tc>
        <w:tc>
          <w:tcPr>
            <w:tcW w:w="1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99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2013810</w:t>
            </w:r>
          </w:p>
        </w:tc>
        <w:tc>
          <w:tcPr>
            <w:tcW w:w="46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质量基础</w:t>
            </w:r>
          </w:p>
        </w:tc>
        <w:tc>
          <w:tcPr>
            <w:tcW w:w="17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6.25</w:t>
            </w:r>
          </w:p>
        </w:tc>
        <w:tc>
          <w:tcPr>
            <w:tcW w:w="1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6.25</w:t>
            </w:r>
          </w:p>
        </w:tc>
        <w:tc>
          <w:tcPr>
            <w:tcW w:w="1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00" w:hRule="atLeast"/>
        </w:trPr>
        <w:tc>
          <w:tcPr>
            <w:tcW w:w="99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w:t>
            </w:r>
          </w:p>
        </w:tc>
        <w:tc>
          <w:tcPr>
            <w:tcW w:w="46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社会保障和就业支出</w:t>
            </w:r>
          </w:p>
        </w:tc>
        <w:tc>
          <w:tcPr>
            <w:tcW w:w="17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34.00</w:t>
            </w:r>
          </w:p>
        </w:tc>
        <w:tc>
          <w:tcPr>
            <w:tcW w:w="1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34.00</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99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20805</w:t>
            </w:r>
          </w:p>
        </w:tc>
        <w:tc>
          <w:tcPr>
            <w:tcW w:w="46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行政事业单位养老支出</w:t>
            </w:r>
          </w:p>
        </w:tc>
        <w:tc>
          <w:tcPr>
            <w:tcW w:w="17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34.00</w:t>
            </w:r>
          </w:p>
        </w:tc>
        <w:tc>
          <w:tcPr>
            <w:tcW w:w="1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34.00</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99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2080505</w:t>
            </w:r>
          </w:p>
        </w:tc>
        <w:tc>
          <w:tcPr>
            <w:tcW w:w="46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机关事业单位基本养老保险缴费支出</w:t>
            </w:r>
          </w:p>
        </w:tc>
        <w:tc>
          <w:tcPr>
            <w:tcW w:w="17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34.00</w:t>
            </w:r>
          </w:p>
        </w:tc>
        <w:tc>
          <w:tcPr>
            <w:tcW w:w="1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34.00</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00" w:hRule="atLeast"/>
        </w:trPr>
        <w:tc>
          <w:tcPr>
            <w:tcW w:w="99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w:t>
            </w:r>
          </w:p>
        </w:tc>
        <w:tc>
          <w:tcPr>
            <w:tcW w:w="46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农林水支出</w:t>
            </w:r>
          </w:p>
        </w:tc>
        <w:tc>
          <w:tcPr>
            <w:tcW w:w="17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1,832.76</w:t>
            </w:r>
          </w:p>
        </w:tc>
        <w:tc>
          <w:tcPr>
            <w:tcW w:w="1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664.00</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1,168.76</w:t>
            </w:r>
          </w:p>
        </w:tc>
        <w:tc>
          <w:tcPr>
            <w:tcW w:w="1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99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21301</w:t>
            </w:r>
          </w:p>
        </w:tc>
        <w:tc>
          <w:tcPr>
            <w:tcW w:w="46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农业农村</w:t>
            </w:r>
          </w:p>
        </w:tc>
        <w:tc>
          <w:tcPr>
            <w:tcW w:w="17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1,832.76</w:t>
            </w:r>
          </w:p>
        </w:tc>
        <w:tc>
          <w:tcPr>
            <w:tcW w:w="1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664.00</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1,168.76</w:t>
            </w:r>
          </w:p>
        </w:tc>
        <w:tc>
          <w:tcPr>
            <w:tcW w:w="1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99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2130101</w:t>
            </w:r>
          </w:p>
        </w:tc>
        <w:tc>
          <w:tcPr>
            <w:tcW w:w="46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行政运行</w:t>
            </w:r>
          </w:p>
        </w:tc>
        <w:tc>
          <w:tcPr>
            <w:tcW w:w="17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44.08</w:t>
            </w:r>
          </w:p>
        </w:tc>
        <w:tc>
          <w:tcPr>
            <w:tcW w:w="1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44.08</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99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2130104</w:t>
            </w:r>
          </w:p>
        </w:tc>
        <w:tc>
          <w:tcPr>
            <w:tcW w:w="46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事业运行</w:t>
            </w:r>
          </w:p>
        </w:tc>
        <w:tc>
          <w:tcPr>
            <w:tcW w:w="17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619.92</w:t>
            </w:r>
          </w:p>
        </w:tc>
        <w:tc>
          <w:tcPr>
            <w:tcW w:w="1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619.92</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99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2130106</w:t>
            </w:r>
          </w:p>
        </w:tc>
        <w:tc>
          <w:tcPr>
            <w:tcW w:w="46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科技转化与推广服务</w:t>
            </w:r>
          </w:p>
        </w:tc>
        <w:tc>
          <w:tcPr>
            <w:tcW w:w="17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14.87</w:t>
            </w:r>
          </w:p>
        </w:tc>
        <w:tc>
          <w:tcPr>
            <w:tcW w:w="1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14.87</w:t>
            </w:r>
          </w:p>
        </w:tc>
        <w:tc>
          <w:tcPr>
            <w:tcW w:w="1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00" w:hRule="atLeast"/>
        </w:trPr>
        <w:tc>
          <w:tcPr>
            <w:tcW w:w="99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2130108</w:t>
            </w:r>
          </w:p>
        </w:tc>
        <w:tc>
          <w:tcPr>
            <w:tcW w:w="46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病虫害控制</w:t>
            </w:r>
          </w:p>
        </w:tc>
        <w:tc>
          <w:tcPr>
            <w:tcW w:w="17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630.15</w:t>
            </w:r>
          </w:p>
        </w:tc>
        <w:tc>
          <w:tcPr>
            <w:tcW w:w="1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630.15</w:t>
            </w:r>
          </w:p>
        </w:tc>
        <w:tc>
          <w:tcPr>
            <w:tcW w:w="1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99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2130122</w:t>
            </w:r>
          </w:p>
        </w:tc>
        <w:tc>
          <w:tcPr>
            <w:tcW w:w="46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农业生产发展</w:t>
            </w:r>
          </w:p>
        </w:tc>
        <w:tc>
          <w:tcPr>
            <w:tcW w:w="17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502.27</w:t>
            </w:r>
          </w:p>
        </w:tc>
        <w:tc>
          <w:tcPr>
            <w:tcW w:w="1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502.27</w:t>
            </w:r>
          </w:p>
        </w:tc>
        <w:tc>
          <w:tcPr>
            <w:tcW w:w="1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99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2130199</w:t>
            </w:r>
          </w:p>
        </w:tc>
        <w:tc>
          <w:tcPr>
            <w:tcW w:w="46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其他农业农村支出</w:t>
            </w:r>
          </w:p>
        </w:tc>
        <w:tc>
          <w:tcPr>
            <w:tcW w:w="17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21.46</w:t>
            </w:r>
          </w:p>
        </w:tc>
        <w:tc>
          <w:tcPr>
            <w:tcW w:w="1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21.46</w:t>
            </w:r>
          </w:p>
        </w:tc>
        <w:tc>
          <w:tcPr>
            <w:tcW w:w="1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00" w:hRule="atLeast"/>
        </w:trPr>
        <w:tc>
          <w:tcPr>
            <w:tcW w:w="99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w:t>
            </w:r>
          </w:p>
        </w:tc>
        <w:tc>
          <w:tcPr>
            <w:tcW w:w="46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住房保障支出</w:t>
            </w:r>
          </w:p>
        </w:tc>
        <w:tc>
          <w:tcPr>
            <w:tcW w:w="17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2.52</w:t>
            </w:r>
          </w:p>
        </w:tc>
        <w:tc>
          <w:tcPr>
            <w:tcW w:w="1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2.52</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99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22102</w:t>
            </w:r>
          </w:p>
        </w:tc>
        <w:tc>
          <w:tcPr>
            <w:tcW w:w="46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住房改革支出</w:t>
            </w:r>
          </w:p>
        </w:tc>
        <w:tc>
          <w:tcPr>
            <w:tcW w:w="17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2.52</w:t>
            </w:r>
          </w:p>
        </w:tc>
        <w:tc>
          <w:tcPr>
            <w:tcW w:w="1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2.52</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99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2210203</w:t>
            </w:r>
          </w:p>
        </w:tc>
        <w:tc>
          <w:tcPr>
            <w:tcW w:w="46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购房补贴</w:t>
            </w:r>
          </w:p>
        </w:tc>
        <w:tc>
          <w:tcPr>
            <w:tcW w:w="17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2.52</w:t>
            </w:r>
          </w:p>
        </w:tc>
        <w:tc>
          <w:tcPr>
            <w:tcW w:w="1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2.52</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5166" w:type="dxa"/>
            <w:gridSpan w:val="10"/>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注：本表反映部门本年度各项支出情况。</w:t>
            </w:r>
          </w:p>
        </w:tc>
      </w:tr>
    </w:tbl>
    <w:p>
      <w:pPr>
        <w:widowControl/>
        <w:jc w:val="both"/>
        <w:rPr>
          <w:rFonts w:ascii="Times New Roman" w:hAnsi="Times New Roman" w:eastAsia="方正小标宋_GBK" w:cs="Times New Roman"/>
          <w:color w:val="000000"/>
          <w:kern w:val="0"/>
          <w:sz w:val="36"/>
          <w:szCs w:val="21"/>
        </w:rPr>
      </w:pPr>
    </w:p>
    <w:p>
      <w:pPr>
        <w:widowControl/>
        <w:jc w:val="both"/>
        <w:rPr>
          <w:rFonts w:ascii="Times New Roman" w:hAnsi="Times New Roman" w:eastAsia="方正小标宋_GBK" w:cs="Times New Roman"/>
          <w:color w:val="000000"/>
          <w:kern w:val="0"/>
          <w:sz w:val="36"/>
          <w:szCs w:val="21"/>
        </w:rPr>
      </w:pPr>
    </w:p>
    <w:tbl>
      <w:tblPr>
        <w:tblStyle w:val="13"/>
        <w:tblW w:w="1533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739"/>
        <w:gridCol w:w="736"/>
        <w:gridCol w:w="1514"/>
        <w:gridCol w:w="3491"/>
        <w:gridCol w:w="831"/>
        <w:gridCol w:w="1228"/>
        <w:gridCol w:w="1268"/>
        <w:gridCol w:w="1200"/>
        <w:gridCol w:w="13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0" w:hRule="atLeast"/>
        </w:trPr>
        <w:tc>
          <w:tcPr>
            <w:tcW w:w="15330" w:type="dxa"/>
            <w:gridSpan w:val="9"/>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黑体" w:hAnsi="宋体" w:eastAsia="黑体" w:cs="黑体"/>
                <w:i w:val="0"/>
                <w:iCs w:val="0"/>
                <w:color w:val="000000"/>
                <w:sz w:val="30"/>
                <w:szCs w:val="30"/>
                <w:u w:val="none"/>
              </w:rPr>
            </w:pPr>
            <w:r>
              <w:rPr>
                <w:rFonts w:hint="eastAsia" w:ascii="黑体" w:hAnsi="宋体" w:eastAsia="黑体" w:cs="黑体"/>
                <w:i w:val="0"/>
                <w:iCs w:val="0"/>
                <w:color w:val="000000"/>
                <w:kern w:val="0"/>
                <w:sz w:val="30"/>
                <w:szCs w:val="30"/>
                <w:u w:val="none"/>
                <w:lang w:val="en-US" w:eastAsia="zh-CN" w:bidi="ar"/>
              </w:rPr>
              <w:t>财政拨款收入支出决算总表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70" w:hRule="atLeast"/>
        </w:trPr>
        <w:tc>
          <w:tcPr>
            <w:tcW w:w="3739"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736"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51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3491"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831"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228"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268"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20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323"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公开04表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70" w:hRule="atLeast"/>
        </w:trPr>
        <w:tc>
          <w:tcPr>
            <w:tcW w:w="3739"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部门：湖南省动物疫病预防控制中心</w:t>
            </w:r>
          </w:p>
        </w:tc>
        <w:tc>
          <w:tcPr>
            <w:tcW w:w="736"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51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3491"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831"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228"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268"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20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323"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598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收     入</w:t>
            </w:r>
          </w:p>
        </w:tc>
        <w:tc>
          <w:tcPr>
            <w:tcW w:w="9341"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5" w:hRule="atLeast"/>
        </w:trPr>
        <w:tc>
          <w:tcPr>
            <w:tcW w:w="37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7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行次</w:t>
            </w:r>
          </w:p>
        </w:tc>
        <w:tc>
          <w:tcPr>
            <w:tcW w:w="15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金额</w:t>
            </w:r>
          </w:p>
        </w:tc>
        <w:tc>
          <w:tcPr>
            <w:tcW w:w="34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83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行次</w:t>
            </w:r>
          </w:p>
        </w:tc>
        <w:tc>
          <w:tcPr>
            <w:tcW w:w="122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12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一般公共预算财政拨款</w:t>
            </w:r>
          </w:p>
        </w:tc>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政府性基金预算财政拨款</w:t>
            </w:r>
          </w:p>
        </w:tc>
        <w:tc>
          <w:tcPr>
            <w:tcW w:w="13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国有资本经营预算财政拨款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0" w:hRule="atLeast"/>
        </w:trPr>
        <w:tc>
          <w:tcPr>
            <w:tcW w:w="37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7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34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22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3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3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3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2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00" w:hRule="atLeast"/>
        </w:trPr>
        <w:tc>
          <w:tcPr>
            <w:tcW w:w="3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一、一般公共预算财政拨款</w:t>
            </w:r>
          </w:p>
        </w:tc>
        <w:tc>
          <w:tcPr>
            <w:tcW w:w="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1,763.77</w:t>
            </w:r>
          </w:p>
        </w:tc>
        <w:tc>
          <w:tcPr>
            <w:tcW w:w="3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一、一般公共服务支出</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w:t>
            </w:r>
          </w:p>
        </w:tc>
        <w:tc>
          <w:tcPr>
            <w:tcW w:w="12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6.25</w:t>
            </w:r>
          </w:p>
        </w:tc>
        <w:tc>
          <w:tcPr>
            <w:tcW w:w="1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6.25</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00" w:hRule="atLeast"/>
        </w:trPr>
        <w:tc>
          <w:tcPr>
            <w:tcW w:w="3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二、政府性基金预算财政拨款</w:t>
            </w:r>
          </w:p>
        </w:tc>
        <w:tc>
          <w:tcPr>
            <w:tcW w:w="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3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二、外交支出</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w:t>
            </w:r>
          </w:p>
        </w:tc>
        <w:tc>
          <w:tcPr>
            <w:tcW w:w="12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3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三、国有资本经营预算财政拨款</w:t>
            </w:r>
          </w:p>
        </w:tc>
        <w:tc>
          <w:tcPr>
            <w:tcW w:w="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3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三、国防支出</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w:t>
            </w:r>
          </w:p>
        </w:tc>
        <w:tc>
          <w:tcPr>
            <w:tcW w:w="12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3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3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四、公共安全支出</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w:t>
            </w:r>
          </w:p>
        </w:tc>
        <w:tc>
          <w:tcPr>
            <w:tcW w:w="12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00" w:hRule="atLeast"/>
        </w:trPr>
        <w:tc>
          <w:tcPr>
            <w:tcW w:w="3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3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五、教育支出</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w:t>
            </w:r>
          </w:p>
        </w:tc>
        <w:tc>
          <w:tcPr>
            <w:tcW w:w="12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00" w:hRule="atLeast"/>
        </w:trPr>
        <w:tc>
          <w:tcPr>
            <w:tcW w:w="3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1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3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六、科学技术支出</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w:t>
            </w:r>
          </w:p>
        </w:tc>
        <w:tc>
          <w:tcPr>
            <w:tcW w:w="12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00" w:hRule="atLeast"/>
        </w:trPr>
        <w:tc>
          <w:tcPr>
            <w:tcW w:w="3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1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3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七、文化旅游体育与传媒支出</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w:t>
            </w:r>
          </w:p>
        </w:tc>
        <w:tc>
          <w:tcPr>
            <w:tcW w:w="12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3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1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3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八、社会保障和就业支出</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w:t>
            </w:r>
          </w:p>
        </w:tc>
        <w:tc>
          <w:tcPr>
            <w:tcW w:w="12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34.00</w:t>
            </w:r>
          </w:p>
        </w:tc>
        <w:tc>
          <w:tcPr>
            <w:tcW w:w="1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34.00</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3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1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3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九、卫生健康支出</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w:t>
            </w:r>
          </w:p>
        </w:tc>
        <w:tc>
          <w:tcPr>
            <w:tcW w:w="12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3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3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十、节能环保支出</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w:t>
            </w:r>
          </w:p>
        </w:tc>
        <w:tc>
          <w:tcPr>
            <w:tcW w:w="12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00" w:hRule="atLeast"/>
        </w:trPr>
        <w:tc>
          <w:tcPr>
            <w:tcW w:w="3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1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3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十一、城乡社区支出</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43</w:t>
            </w:r>
          </w:p>
        </w:tc>
        <w:tc>
          <w:tcPr>
            <w:tcW w:w="12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00" w:hRule="atLeast"/>
        </w:trPr>
        <w:tc>
          <w:tcPr>
            <w:tcW w:w="3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1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3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十二、农林水支出</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44</w:t>
            </w:r>
          </w:p>
        </w:tc>
        <w:tc>
          <w:tcPr>
            <w:tcW w:w="12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1,832.76</w:t>
            </w:r>
          </w:p>
        </w:tc>
        <w:tc>
          <w:tcPr>
            <w:tcW w:w="1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1,832.76</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3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1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3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十三、交通运输支出</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w:t>
            </w:r>
          </w:p>
        </w:tc>
        <w:tc>
          <w:tcPr>
            <w:tcW w:w="12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00" w:hRule="atLeast"/>
        </w:trPr>
        <w:tc>
          <w:tcPr>
            <w:tcW w:w="3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1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3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十四、资源勘探工业信息等支出</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w:t>
            </w:r>
          </w:p>
        </w:tc>
        <w:tc>
          <w:tcPr>
            <w:tcW w:w="12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3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1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3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十五、商业服务业等支出</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47</w:t>
            </w:r>
          </w:p>
        </w:tc>
        <w:tc>
          <w:tcPr>
            <w:tcW w:w="12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00" w:hRule="atLeast"/>
        </w:trPr>
        <w:tc>
          <w:tcPr>
            <w:tcW w:w="3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c>
          <w:tcPr>
            <w:tcW w:w="1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3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十六、金融支出</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w:t>
            </w:r>
          </w:p>
        </w:tc>
        <w:tc>
          <w:tcPr>
            <w:tcW w:w="12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3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w:t>
            </w:r>
          </w:p>
        </w:tc>
        <w:tc>
          <w:tcPr>
            <w:tcW w:w="1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3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十七、援助其他地区支出</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49</w:t>
            </w:r>
          </w:p>
        </w:tc>
        <w:tc>
          <w:tcPr>
            <w:tcW w:w="12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3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w:t>
            </w:r>
          </w:p>
        </w:tc>
        <w:tc>
          <w:tcPr>
            <w:tcW w:w="1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3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十八、自然资源海洋气象等支出</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12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3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w:t>
            </w:r>
          </w:p>
        </w:tc>
        <w:tc>
          <w:tcPr>
            <w:tcW w:w="1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3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十九、住房保障支出</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w:t>
            </w:r>
          </w:p>
        </w:tc>
        <w:tc>
          <w:tcPr>
            <w:tcW w:w="12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2.52</w:t>
            </w:r>
          </w:p>
        </w:tc>
        <w:tc>
          <w:tcPr>
            <w:tcW w:w="1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2.52</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3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3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二十、粮油物资储备支出</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w:t>
            </w:r>
          </w:p>
        </w:tc>
        <w:tc>
          <w:tcPr>
            <w:tcW w:w="12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3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w:t>
            </w:r>
          </w:p>
        </w:tc>
        <w:tc>
          <w:tcPr>
            <w:tcW w:w="1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3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二十一、国有资本经营预算支出</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53</w:t>
            </w:r>
          </w:p>
        </w:tc>
        <w:tc>
          <w:tcPr>
            <w:tcW w:w="12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00" w:hRule="atLeast"/>
        </w:trPr>
        <w:tc>
          <w:tcPr>
            <w:tcW w:w="3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w:t>
            </w:r>
          </w:p>
        </w:tc>
        <w:tc>
          <w:tcPr>
            <w:tcW w:w="1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3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二十二、灾害防治及应急管理支出</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54</w:t>
            </w:r>
          </w:p>
        </w:tc>
        <w:tc>
          <w:tcPr>
            <w:tcW w:w="12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3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w:t>
            </w:r>
          </w:p>
        </w:tc>
        <w:tc>
          <w:tcPr>
            <w:tcW w:w="1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3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二十三、其他支出</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55</w:t>
            </w:r>
          </w:p>
        </w:tc>
        <w:tc>
          <w:tcPr>
            <w:tcW w:w="12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3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0"/>
                <w:szCs w:val="20"/>
                <w:u w:val="none"/>
              </w:rPr>
            </w:pPr>
          </w:p>
        </w:tc>
        <w:tc>
          <w:tcPr>
            <w:tcW w:w="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w:t>
            </w:r>
          </w:p>
        </w:tc>
        <w:tc>
          <w:tcPr>
            <w:tcW w:w="1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3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二十四、债务还本支出</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56</w:t>
            </w:r>
          </w:p>
        </w:tc>
        <w:tc>
          <w:tcPr>
            <w:tcW w:w="12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3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w:t>
            </w:r>
          </w:p>
        </w:tc>
        <w:tc>
          <w:tcPr>
            <w:tcW w:w="1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3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二十五、债务付息支出</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57</w:t>
            </w:r>
          </w:p>
        </w:tc>
        <w:tc>
          <w:tcPr>
            <w:tcW w:w="12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3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w:t>
            </w:r>
          </w:p>
        </w:tc>
        <w:tc>
          <w:tcPr>
            <w:tcW w:w="1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3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二十六、抗疫特别国债安排的支出</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58</w:t>
            </w:r>
          </w:p>
        </w:tc>
        <w:tc>
          <w:tcPr>
            <w:tcW w:w="12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3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本年收入合计</w:t>
            </w:r>
          </w:p>
        </w:tc>
        <w:tc>
          <w:tcPr>
            <w:tcW w:w="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w:t>
            </w:r>
          </w:p>
        </w:tc>
        <w:tc>
          <w:tcPr>
            <w:tcW w:w="1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1,763.77</w:t>
            </w:r>
          </w:p>
        </w:tc>
        <w:tc>
          <w:tcPr>
            <w:tcW w:w="3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本年支出合计</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59</w:t>
            </w:r>
          </w:p>
        </w:tc>
        <w:tc>
          <w:tcPr>
            <w:tcW w:w="12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1,875.53</w:t>
            </w:r>
          </w:p>
        </w:tc>
        <w:tc>
          <w:tcPr>
            <w:tcW w:w="1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1,875.53</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00" w:hRule="atLeast"/>
        </w:trPr>
        <w:tc>
          <w:tcPr>
            <w:tcW w:w="3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年初财政拨款结转和结余</w:t>
            </w:r>
          </w:p>
        </w:tc>
        <w:tc>
          <w:tcPr>
            <w:tcW w:w="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c>
          <w:tcPr>
            <w:tcW w:w="1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214.98</w:t>
            </w:r>
          </w:p>
        </w:tc>
        <w:tc>
          <w:tcPr>
            <w:tcW w:w="3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年末财政拨款结转和结余</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12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103.22</w:t>
            </w:r>
          </w:p>
        </w:tc>
        <w:tc>
          <w:tcPr>
            <w:tcW w:w="1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103.22</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3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一般公共预算财政拨款</w:t>
            </w:r>
          </w:p>
        </w:tc>
        <w:tc>
          <w:tcPr>
            <w:tcW w:w="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w:t>
            </w:r>
          </w:p>
        </w:tc>
        <w:tc>
          <w:tcPr>
            <w:tcW w:w="1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214.98</w:t>
            </w:r>
          </w:p>
        </w:tc>
        <w:tc>
          <w:tcPr>
            <w:tcW w:w="3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w:t>
            </w:r>
          </w:p>
        </w:tc>
        <w:tc>
          <w:tcPr>
            <w:tcW w:w="12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3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政府性基金预算财政拨款</w:t>
            </w:r>
          </w:p>
        </w:tc>
        <w:tc>
          <w:tcPr>
            <w:tcW w:w="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1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3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62</w:t>
            </w:r>
          </w:p>
        </w:tc>
        <w:tc>
          <w:tcPr>
            <w:tcW w:w="12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00" w:hRule="atLeast"/>
        </w:trPr>
        <w:tc>
          <w:tcPr>
            <w:tcW w:w="3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国有资本经营预算财政拨款</w:t>
            </w:r>
          </w:p>
        </w:tc>
        <w:tc>
          <w:tcPr>
            <w:tcW w:w="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w:t>
            </w:r>
          </w:p>
        </w:tc>
        <w:tc>
          <w:tcPr>
            <w:tcW w:w="1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3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63</w:t>
            </w:r>
          </w:p>
        </w:tc>
        <w:tc>
          <w:tcPr>
            <w:tcW w:w="12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00" w:hRule="atLeast"/>
        </w:trPr>
        <w:tc>
          <w:tcPr>
            <w:tcW w:w="3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总计</w:t>
            </w:r>
          </w:p>
        </w:tc>
        <w:tc>
          <w:tcPr>
            <w:tcW w:w="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w:t>
            </w:r>
          </w:p>
        </w:tc>
        <w:tc>
          <w:tcPr>
            <w:tcW w:w="1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1,978.75</w:t>
            </w:r>
          </w:p>
        </w:tc>
        <w:tc>
          <w:tcPr>
            <w:tcW w:w="3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总计</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64</w:t>
            </w:r>
          </w:p>
        </w:tc>
        <w:tc>
          <w:tcPr>
            <w:tcW w:w="12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1,978.75</w:t>
            </w:r>
          </w:p>
        </w:tc>
        <w:tc>
          <w:tcPr>
            <w:tcW w:w="1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1,978.75</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00" w:hRule="atLeast"/>
        </w:trPr>
        <w:tc>
          <w:tcPr>
            <w:tcW w:w="14007" w:type="dxa"/>
            <w:gridSpan w:val="8"/>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注：本表反映部门本年度一般公共预算财政拨款、政府性基金预算财政拨款和国有资本经营预算财政拨款的总收支和年末结转结余情况。</w:t>
            </w:r>
          </w:p>
        </w:tc>
        <w:tc>
          <w:tcPr>
            <w:tcW w:w="1323" w:type="dxa"/>
            <w:tcBorders>
              <w:top w:val="nil"/>
              <w:left w:val="nil"/>
              <w:bottom w:val="nil"/>
              <w:right w:val="nil"/>
            </w:tcBorders>
            <w:shd w:val="clear" w:color="auto" w:fill="auto"/>
            <w:noWrap/>
            <w:vAlign w:val="center"/>
          </w:tcPr>
          <w:p>
            <w:pPr>
              <w:jc w:val="left"/>
              <w:rPr>
                <w:rFonts w:hint="eastAsia" w:ascii="宋体" w:hAnsi="宋体" w:eastAsia="宋体" w:cs="宋体"/>
                <w:i w:val="0"/>
                <w:iCs w:val="0"/>
                <w:color w:val="000000"/>
                <w:sz w:val="20"/>
                <w:szCs w:val="20"/>
                <w:u w:val="none"/>
              </w:rPr>
            </w:pPr>
          </w:p>
        </w:tc>
      </w:tr>
    </w:tbl>
    <w:p>
      <w:pPr>
        <w:widowControl/>
        <w:jc w:val="both"/>
        <w:rPr>
          <w:rFonts w:ascii="Times New Roman" w:hAnsi="Times New Roman" w:eastAsia="方正小标宋_GBK" w:cs="Times New Roman"/>
          <w:color w:val="000000"/>
          <w:kern w:val="0"/>
          <w:sz w:val="36"/>
          <w:szCs w:val="21"/>
        </w:rPr>
      </w:pPr>
    </w:p>
    <w:p>
      <w:pPr>
        <w:widowControl/>
        <w:jc w:val="both"/>
        <w:rPr>
          <w:rFonts w:ascii="Times New Roman" w:hAnsi="Times New Roman" w:eastAsia="方正小标宋_GBK" w:cs="Times New Roman"/>
          <w:color w:val="000000"/>
          <w:kern w:val="0"/>
          <w:sz w:val="36"/>
          <w:szCs w:val="21"/>
        </w:rPr>
      </w:pPr>
    </w:p>
    <w:p>
      <w:pPr>
        <w:widowControl/>
        <w:jc w:val="both"/>
        <w:rPr>
          <w:rFonts w:ascii="Times New Roman" w:hAnsi="Times New Roman" w:eastAsia="方正小标宋_GBK" w:cs="Times New Roman"/>
          <w:color w:val="000000"/>
          <w:kern w:val="0"/>
          <w:sz w:val="36"/>
          <w:szCs w:val="21"/>
        </w:rPr>
      </w:pPr>
    </w:p>
    <w:p>
      <w:pPr>
        <w:widowControl/>
        <w:jc w:val="both"/>
        <w:rPr>
          <w:rFonts w:ascii="Times New Roman" w:hAnsi="Times New Roman" w:eastAsia="方正小标宋_GBK" w:cs="Times New Roman"/>
          <w:color w:val="000000"/>
          <w:kern w:val="0"/>
          <w:sz w:val="36"/>
          <w:szCs w:val="21"/>
        </w:rPr>
      </w:pPr>
    </w:p>
    <w:p>
      <w:pPr>
        <w:widowControl/>
        <w:jc w:val="both"/>
        <w:rPr>
          <w:rFonts w:ascii="Times New Roman" w:hAnsi="Times New Roman" w:eastAsia="方正小标宋_GBK" w:cs="Times New Roman"/>
          <w:color w:val="000000"/>
          <w:kern w:val="0"/>
          <w:sz w:val="36"/>
          <w:szCs w:val="21"/>
        </w:rPr>
      </w:pPr>
    </w:p>
    <w:p>
      <w:pPr>
        <w:widowControl/>
        <w:jc w:val="both"/>
        <w:rPr>
          <w:rFonts w:ascii="Times New Roman" w:hAnsi="Times New Roman" w:eastAsia="方正小标宋_GBK" w:cs="Times New Roman"/>
          <w:color w:val="000000"/>
          <w:kern w:val="0"/>
          <w:sz w:val="36"/>
          <w:szCs w:val="21"/>
        </w:rPr>
      </w:pPr>
    </w:p>
    <w:p>
      <w:pPr>
        <w:widowControl/>
        <w:jc w:val="both"/>
        <w:rPr>
          <w:rFonts w:ascii="Times New Roman" w:hAnsi="Times New Roman" w:eastAsia="方正小标宋_GBK" w:cs="Times New Roman"/>
          <w:color w:val="000000"/>
          <w:kern w:val="0"/>
          <w:sz w:val="36"/>
          <w:szCs w:val="21"/>
        </w:rPr>
      </w:pPr>
    </w:p>
    <w:p>
      <w:pPr>
        <w:widowControl/>
        <w:jc w:val="both"/>
        <w:rPr>
          <w:rFonts w:ascii="Times New Roman" w:hAnsi="Times New Roman" w:eastAsia="方正小标宋_GBK" w:cs="Times New Roman"/>
          <w:color w:val="000000"/>
          <w:kern w:val="0"/>
          <w:sz w:val="36"/>
          <w:szCs w:val="21"/>
        </w:rPr>
      </w:pPr>
    </w:p>
    <w:tbl>
      <w:tblPr>
        <w:tblStyle w:val="13"/>
        <w:tblW w:w="13582" w:type="dxa"/>
        <w:tblInd w:w="58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73"/>
        <w:gridCol w:w="435"/>
        <w:gridCol w:w="632"/>
        <w:gridCol w:w="306"/>
        <w:gridCol w:w="5030"/>
        <w:gridCol w:w="929"/>
        <w:gridCol w:w="950"/>
        <w:gridCol w:w="945"/>
        <w:gridCol w:w="1855"/>
        <w:gridCol w:w="747"/>
        <w:gridCol w:w="13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33" w:hRule="atLeast"/>
        </w:trPr>
        <w:tc>
          <w:tcPr>
            <w:tcW w:w="13582" w:type="dxa"/>
            <w:gridSpan w:val="11"/>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30"/>
                <w:szCs w:val="30"/>
                <w:u w:val="none"/>
                <w:lang w:val="en-US" w:eastAsia="zh-CN" w:bidi="ar"/>
              </w:rPr>
            </w:pPr>
          </w:p>
          <w:p>
            <w:pPr>
              <w:keepNext w:val="0"/>
              <w:keepLines w:val="0"/>
              <w:widowControl/>
              <w:suppressLineNumbers w:val="0"/>
              <w:jc w:val="center"/>
              <w:textAlignment w:val="center"/>
              <w:rPr>
                <w:rFonts w:hint="eastAsia" w:ascii="黑体" w:hAnsi="宋体" w:eastAsia="黑体" w:cs="黑体"/>
                <w:i w:val="0"/>
                <w:iCs w:val="0"/>
                <w:color w:val="000000"/>
                <w:kern w:val="0"/>
                <w:sz w:val="30"/>
                <w:szCs w:val="30"/>
                <w:u w:val="none"/>
                <w:lang w:val="en-US" w:eastAsia="zh-CN" w:bidi="ar"/>
              </w:rPr>
            </w:pPr>
          </w:p>
          <w:p>
            <w:pPr>
              <w:keepNext w:val="0"/>
              <w:keepLines w:val="0"/>
              <w:widowControl/>
              <w:suppressLineNumbers w:val="0"/>
              <w:jc w:val="center"/>
              <w:textAlignment w:val="center"/>
              <w:rPr>
                <w:rFonts w:hint="eastAsia" w:ascii="黑体" w:hAnsi="宋体" w:eastAsia="黑体" w:cs="黑体"/>
                <w:i w:val="0"/>
                <w:iCs w:val="0"/>
                <w:color w:val="000000"/>
                <w:kern w:val="0"/>
                <w:sz w:val="30"/>
                <w:szCs w:val="30"/>
                <w:u w:val="none"/>
                <w:lang w:val="en-US" w:eastAsia="zh-CN" w:bidi="ar"/>
              </w:rPr>
            </w:pPr>
          </w:p>
          <w:p>
            <w:pPr>
              <w:keepNext w:val="0"/>
              <w:keepLines w:val="0"/>
              <w:widowControl/>
              <w:suppressLineNumbers w:val="0"/>
              <w:jc w:val="center"/>
              <w:textAlignment w:val="center"/>
              <w:rPr>
                <w:rFonts w:ascii="黑体" w:hAnsi="宋体" w:eastAsia="黑体" w:cs="黑体"/>
                <w:i w:val="0"/>
                <w:iCs w:val="0"/>
                <w:color w:val="000000"/>
                <w:sz w:val="30"/>
                <w:szCs w:val="30"/>
                <w:u w:val="none"/>
              </w:rPr>
            </w:pPr>
            <w:r>
              <w:rPr>
                <w:rFonts w:hint="eastAsia" w:ascii="黑体" w:hAnsi="宋体" w:eastAsia="黑体" w:cs="黑体"/>
                <w:i w:val="0"/>
                <w:iCs w:val="0"/>
                <w:color w:val="000000"/>
                <w:kern w:val="0"/>
                <w:sz w:val="30"/>
                <w:szCs w:val="30"/>
                <w:u w:val="none"/>
                <w:lang w:val="en-US" w:eastAsia="zh-CN" w:bidi="ar"/>
              </w:rPr>
              <w:t>一般公共预算财政拨款支出决算表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1380" w:type="dxa"/>
          <w:trHeight w:val="270" w:hRule="atLeast"/>
        </w:trPr>
        <w:tc>
          <w:tcPr>
            <w:tcW w:w="373"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435"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632"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5336" w:type="dxa"/>
            <w:gridSpan w:val="2"/>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879" w:type="dxa"/>
            <w:gridSpan w:val="2"/>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3547" w:type="dxa"/>
            <w:gridSpan w:val="3"/>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公开05表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trPr>
        <w:tc>
          <w:tcPr>
            <w:tcW w:w="7705" w:type="dxa"/>
            <w:gridSpan w:val="6"/>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部门：湖南省动物疫病预防控制中心</w:t>
            </w:r>
          </w:p>
        </w:tc>
        <w:tc>
          <w:tcPr>
            <w:tcW w:w="1895" w:type="dxa"/>
            <w:gridSpan w:val="2"/>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3982" w:type="dxa"/>
            <w:gridSpan w:val="3"/>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0" w:hRule="atLeast"/>
        </w:trPr>
        <w:tc>
          <w:tcPr>
            <w:tcW w:w="7705"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587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20" w:hRule="atLeast"/>
        </w:trPr>
        <w:tc>
          <w:tcPr>
            <w:tcW w:w="1746"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科目代码</w:t>
            </w:r>
          </w:p>
        </w:tc>
        <w:tc>
          <w:tcPr>
            <w:tcW w:w="595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189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基本支出</w:t>
            </w:r>
          </w:p>
        </w:tc>
        <w:tc>
          <w:tcPr>
            <w:tcW w:w="212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 w:hRule="atLeast"/>
        </w:trPr>
        <w:tc>
          <w:tcPr>
            <w:tcW w:w="1746"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595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89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21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 w:hRule="atLeast"/>
        </w:trPr>
        <w:tc>
          <w:tcPr>
            <w:tcW w:w="1746"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595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89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21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0" w:hRule="atLeast"/>
        </w:trPr>
        <w:tc>
          <w:tcPr>
            <w:tcW w:w="7705"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189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21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0" w:hRule="atLeast"/>
        </w:trPr>
        <w:tc>
          <w:tcPr>
            <w:tcW w:w="7705"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189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1,875.53</w:t>
            </w:r>
          </w:p>
        </w:tc>
        <w:tc>
          <w:tcPr>
            <w:tcW w:w="1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700.52</w:t>
            </w:r>
          </w:p>
        </w:tc>
        <w:tc>
          <w:tcPr>
            <w:tcW w:w="21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1,175.01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0" w:hRule="atLeast"/>
        </w:trPr>
        <w:tc>
          <w:tcPr>
            <w:tcW w:w="1746"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w:t>
            </w:r>
          </w:p>
        </w:tc>
        <w:tc>
          <w:tcPr>
            <w:tcW w:w="595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一般公共服务支出</w:t>
            </w:r>
          </w:p>
        </w:tc>
        <w:tc>
          <w:tcPr>
            <w:tcW w:w="189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6.25</w:t>
            </w:r>
          </w:p>
        </w:tc>
        <w:tc>
          <w:tcPr>
            <w:tcW w:w="1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21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0" w:hRule="atLeast"/>
        </w:trPr>
        <w:tc>
          <w:tcPr>
            <w:tcW w:w="1746"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20138</w:t>
            </w:r>
          </w:p>
        </w:tc>
        <w:tc>
          <w:tcPr>
            <w:tcW w:w="595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市场监督管理事务</w:t>
            </w:r>
          </w:p>
        </w:tc>
        <w:tc>
          <w:tcPr>
            <w:tcW w:w="189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6.25</w:t>
            </w:r>
          </w:p>
        </w:tc>
        <w:tc>
          <w:tcPr>
            <w:tcW w:w="1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21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0" w:hRule="atLeast"/>
        </w:trPr>
        <w:tc>
          <w:tcPr>
            <w:tcW w:w="1746"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2013810</w:t>
            </w:r>
          </w:p>
        </w:tc>
        <w:tc>
          <w:tcPr>
            <w:tcW w:w="595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质量基础</w:t>
            </w:r>
          </w:p>
        </w:tc>
        <w:tc>
          <w:tcPr>
            <w:tcW w:w="189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6.25</w:t>
            </w:r>
          </w:p>
        </w:tc>
        <w:tc>
          <w:tcPr>
            <w:tcW w:w="1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21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0" w:hRule="atLeast"/>
        </w:trPr>
        <w:tc>
          <w:tcPr>
            <w:tcW w:w="1746"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w:t>
            </w:r>
          </w:p>
        </w:tc>
        <w:tc>
          <w:tcPr>
            <w:tcW w:w="595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社会保障和就业支出</w:t>
            </w:r>
          </w:p>
        </w:tc>
        <w:tc>
          <w:tcPr>
            <w:tcW w:w="189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34.00</w:t>
            </w:r>
          </w:p>
        </w:tc>
        <w:tc>
          <w:tcPr>
            <w:tcW w:w="1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34.00</w:t>
            </w:r>
          </w:p>
        </w:tc>
        <w:tc>
          <w:tcPr>
            <w:tcW w:w="21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0" w:hRule="atLeast"/>
        </w:trPr>
        <w:tc>
          <w:tcPr>
            <w:tcW w:w="1746"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20805</w:t>
            </w:r>
          </w:p>
        </w:tc>
        <w:tc>
          <w:tcPr>
            <w:tcW w:w="595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行政事业单位养老支出</w:t>
            </w:r>
          </w:p>
        </w:tc>
        <w:tc>
          <w:tcPr>
            <w:tcW w:w="189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34.00</w:t>
            </w:r>
          </w:p>
        </w:tc>
        <w:tc>
          <w:tcPr>
            <w:tcW w:w="1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34.00</w:t>
            </w:r>
          </w:p>
        </w:tc>
        <w:tc>
          <w:tcPr>
            <w:tcW w:w="21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0" w:hRule="atLeast"/>
        </w:trPr>
        <w:tc>
          <w:tcPr>
            <w:tcW w:w="1746"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2080505</w:t>
            </w:r>
          </w:p>
        </w:tc>
        <w:tc>
          <w:tcPr>
            <w:tcW w:w="595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机关事业单位基本养老保险缴费支出</w:t>
            </w:r>
          </w:p>
        </w:tc>
        <w:tc>
          <w:tcPr>
            <w:tcW w:w="189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34.00</w:t>
            </w:r>
          </w:p>
        </w:tc>
        <w:tc>
          <w:tcPr>
            <w:tcW w:w="1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34.00</w:t>
            </w:r>
          </w:p>
        </w:tc>
        <w:tc>
          <w:tcPr>
            <w:tcW w:w="21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0" w:hRule="atLeast"/>
        </w:trPr>
        <w:tc>
          <w:tcPr>
            <w:tcW w:w="1746"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w:t>
            </w:r>
          </w:p>
        </w:tc>
        <w:tc>
          <w:tcPr>
            <w:tcW w:w="595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农林水支出</w:t>
            </w:r>
          </w:p>
        </w:tc>
        <w:tc>
          <w:tcPr>
            <w:tcW w:w="189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1,832.76</w:t>
            </w:r>
          </w:p>
        </w:tc>
        <w:tc>
          <w:tcPr>
            <w:tcW w:w="1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664.00</w:t>
            </w:r>
          </w:p>
        </w:tc>
        <w:tc>
          <w:tcPr>
            <w:tcW w:w="21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1,168.76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0" w:hRule="atLeast"/>
        </w:trPr>
        <w:tc>
          <w:tcPr>
            <w:tcW w:w="1746"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21301</w:t>
            </w:r>
          </w:p>
        </w:tc>
        <w:tc>
          <w:tcPr>
            <w:tcW w:w="595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农业农村</w:t>
            </w:r>
          </w:p>
        </w:tc>
        <w:tc>
          <w:tcPr>
            <w:tcW w:w="189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1,832.76</w:t>
            </w:r>
          </w:p>
        </w:tc>
        <w:tc>
          <w:tcPr>
            <w:tcW w:w="1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664.00</w:t>
            </w:r>
          </w:p>
        </w:tc>
        <w:tc>
          <w:tcPr>
            <w:tcW w:w="21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1,168.76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0" w:hRule="atLeast"/>
        </w:trPr>
        <w:tc>
          <w:tcPr>
            <w:tcW w:w="1746"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2130101</w:t>
            </w:r>
          </w:p>
        </w:tc>
        <w:tc>
          <w:tcPr>
            <w:tcW w:w="595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行政运行</w:t>
            </w:r>
          </w:p>
        </w:tc>
        <w:tc>
          <w:tcPr>
            <w:tcW w:w="189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44.08</w:t>
            </w:r>
          </w:p>
        </w:tc>
        <w:tc>
          <w:tcPr>
            <w:tcW w:w="1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44.08</w:t>
            </w:r>
          </w:p>
        </w:tc>
        <w:tc>
          <w:tcPr>
            <w:tcW w:w="21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0" w:hRule="atLeast"/>
        </w:trPr>
        <w:tc>
          <w:tcPr>
            <w:tcW w:w="1746"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2130104</w:t>
            </w:r>
          </w:p>
        </w:tc>
        <w:tc>
          <w:tcPr>
            <w:tcW w:w="595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事业运行</w:t>
            </w:r>
          </w:p>
        </w:tc>
        <w:tc>
          <w:tcPr>
            <w:tcW w:w="189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619.92</w:t>
            </w:r>
          </w:p>
        </w:tc>
        <w:tc>
          <w:tcPr>
            <w:tcW w:w="1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619.92</w:t>
            </w:r>
          </w:p>
        </w:tc>
        <w:tc>
          <w:tcPr>
            <w:tcW w:w="21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0" w:hRule="atLeast"/>
        </w:trPr>
        <w:tc>
          <w:tcPr>
            <w:tcW w:w="1746"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2130106</w:t>
            </w:r>
          </w:p>
        </w:tc>
        <w:tc>
          <w:tcPr>
            <w:tcW w:w="595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科技转化与推广服务</w:t>
            </w:r>
          </w:p>
        </w:tc>
        <w:tc>
          <w:tcPr>
            <w:tcW w:w="189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14.87</w:t>
            </w:r>
          </w:p>
        </w:tc>
        <w:tc>
          <w:tcPr>
            <w:tcW w:w="1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21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14.87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0" w:hRule="atLeast"/>
        </w:trPr>
        <w:tc>
          <w:tcPr>
            <w:tcW w:w="1746"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2130108</w:t>
            </w:r>
          </w:p>
        </w:tc>
        <w:tc>
          <w:tcPr>
            <w:tcW w:w="595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病虫害控制</w:t>
            </w:r>
          </w:p>
        </w:tc>
        <w:tc>
          <w:tcPr>
            <w:tcW w:w="189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630.15</w:t>
            </w:r>
          </w:p>
        </w:tc>
        <w:tc>
          <w:tcPr>
            <w:tcW w:w="1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21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630.15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0" w:hRule="atLeast"/>
        </w:trPr>
        <w:tc>
          <w:tcPr>
            <w:tcW w:w="1746"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2130122</w:t>
            </w:r>
          </w:p>
        </w:tc>
        <w:tc>
          <w:tcPr>
            <w:tcW w:w="595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农业生产发展</w:t>
            </w:r>
          </w:p>
        </w:tc>
        <w:tc>
          <w:tcPr>
            <w:tcW w:w="189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502.27</w:t>
            </w:r>
          </w:p>
        </w:tc>
        <w:tc>
          <w:tcPr>
            <w:tcW w:w="1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21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502.27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0" w:hRule="atLeast"/>
        </w:trPr>
        <w:tc>
          <w:tcPr>
            <w:tcW w:w="1746"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2130199</w:t>
            </w:r>
          </w:p>
        </w:tc>
        <w:tc>
          <w:tcPr>
            <w:tcW w:w="595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其他农业农村支出</w:t>
            </w:r>
          </w:p>
        </w:tc>
        <w:tc>
          <w:tcPr>
            <w:tcW w:w="189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21.46</w:t>
            </w:r>
          </w:p>
        </w:tc>
        <w:tc>
          <w:tcPr>
            <w:tcW w:w="1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21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0" w:hRule="atLeast"/>
        </w:trPr>
        <w:tc>
          <w:tcPr>
            <w:tcW w:w="1746"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w:t>
            </w:r>
          </w:p>
        </w:tc>
        <w:tc>
          <w:tcPr>
            <w:tcW w:w="595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住房保障支出</w:t>
            </w:r>
          </w:p>
        </w:tc>
        <w:tc>
          <w:tcPr>
            <w:tcW w:w="189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2.52</w:t>
            </w:r>
          </w:p>
        </w:tc>
        <w:tc>
          <w:tcPr>
            <w:tcW w:w="1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2.52</w:t>
            </w:r>
          </w:p>
        </w:tc>
        <w:tc>
          <w:tcPr>
            <w:tcW w:w="21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0" w:hRule="atLeast"/>
        </w:trPr>
        <w:tc>
          <w:tcPr>
            <w:tcW w:w="1746"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22102</w:t>
            </w:r>
          </w:p>
        </w:tc>
        <w:tc>
          <w:tcPr>
            <w:tcW w:w="595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住房改革支出</w:t>
            </w:r>
          </w:p>
        </w:tc>
        <w:tc>
          <w:tcPr>
            <w:tcW w:w="189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2.52</w:t>
            </w:r>
          </w:p>
        </w:tc>
        <w:tc>
          <w:tcPr>
            <w:tcW w:w="1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2.52</w:t>
            </w:r>
          </w:p>
        </w:tc>
        <w:tc>
          <w:tcPr>
            <w:tcW w:w="21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0" w:hRule="atLeast"/>
        </w:trPr>
        <w:tc>
          <w:tcPr>
            <w:tcW w:w="1746"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2210203</w:t>
            </w:r>
          </w:p>
        </w:tc>
        <w:tc>
          <w:tcPr>
            <w:tcW w:w="595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购房补贴</w:t>
            </w:r>
          </w:p>
        </w:tc>
        <w:tc>
          <w:tcPr>
            <w:tcW w:w="189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2.52</w:t>
            </w:r>
          </w:p>
        </w:tc>
        <w:tc>
          <w:tcPr>
            <w:tcW w:w="1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2.52</w:t>
            </w:r>
          </w:p>
        </w:tc>
        <w:tc>
          <w:tcPr>
            <w:tcW w:w="21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0" w:hRule="atLeast"/>
        </w:trPr>
        <w:tc>
          <w:tcPr>
            <w:tcW w:w="13582" w:type="dxa"/>
            <w:gridSpan w:val="11"/>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注：本表反映部门本年度一般公共预算财政拨款支出情况。</w:t>
            </w:r>
          </w:p>
        </w:tc>
      </w:tr>
    </w:tbl>
    <w:p>
      <w:pPr>
        <w:widowControl/>
        <w:jc w:val="both"/>
        <w:rPr>
          <w:rFonts w:ascii="Times New Roman" w:hAnsi="Times New Roman" w:eastAsia="方正小标宋_GBK" w:cs="Times New Roman"/>
          <w:color w:val="000000"/>
          <w:kern w:val="0"/>
          <w:sz w:val="36"/>
          <w:szCs w:val="21"/>
        </w:rPr>
      </w:pPr>
    </w:p>
    <w:p>
      <w:pPr>
        <w:widowControl/>
        <w:jc w:val="both"/>
        <w:rPr>
          <w:rFonts w:ascii="Times New Roman" w:hAnsi="Times New Roman" w:eastAsia="方正小标宋_GBK" w:cs="Times New Roman"/>
          <w:color w:val="000000"/>
          <w:kern w:val="0"/>
          <w:sz w:val="36"/>
          <w:szCs w:val="21"/>
        </w:rPr>
      </w:pPr>
    </w:p>
    <w:p>
      <w:pPr>
        <w:widowControl/>
        <w:jc w:val="both"/>
        <w:rPr>
          <w:rFonts w:ascii="Times New Roman" w:hAnsi="Times New Roman" w:eastAsia="方正小标宋_GBK" w:cs="Times New Roman"/>
          <w:color w:val="000000"/>
          <w:kern w:val="0"/>
          <w:sz w:val="36"/>
          <w:szCs w:val="21"/>
        </w:rPr>
      </w:pPr>
    </w:p>
    <w:tbl>
      <w:tblPr>
        <w:tblStyle w:val="13"/>
        <w:tblW w:w="1531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25"/>
        <w:gridCol w:w="3600"/>
        <w:gridCol w:w="1146"/>
        <w:gridCol w:w="981"/>
        <w:gridCol w:w="2509"/>
        <w:gridCol w:w="1023"/>
        <w:gridCol w:w="1173"/>
        <w:gridCol w:w="2891"/>
        <w:gridCol w:w="96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90" w:hRule="atLeast"/>
        </w:trPr>
        <w:tc>
          <w:tcPr>
            <w:tcW w:w="15316" w:type="dxa"/>
            <w:gridSpan w:val="9"/>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黑体" w:hAnsi="宋体" w:eastAsia="黑体" w:cs="黑体"/>
                <w:i w:val="0"/>
                <w:iCs w:val="0"/>
                <w:color w:val="000000"/>
                <w:sz w:val="30"/>
                <w:szCs w:val="30"/>
                <w:u w:val="none"/>
              </w:rPr>
            </w:pPr>
            <w:r>
              <w:rPr>
                <w:rFonts w:hint="eastAsia" w:ascii="黑体" w:hAnsi="宋体" w:eastAsia="黑体" w:cs="黑体"/>
                <w:i w:val="0"/>
                <w:iCs w:val="0"/>
                <w:color w:val="000000"/>
                <w:kern w:val="0"/>
                <w:sz w:val="30"/>
                <w:szCs w:val="30"/>
                <w:u w:val="none"/>
                <w:lang w:val="en-US" w:eastAsia="zh-CN" w:bidi="ar"/>
              </w:rPr>
              <w:t>一般公共预算财政拨款基本支出决算明细表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trPr>
        <w:tc>
          <w:tcPr>
            <w:tcW w:w="1025"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360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146"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981"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509"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023"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173"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3859" w:type="dxa"/>
            <w:gridSpan w:val="2"/>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公开06表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trPr>
        <w:tc>
          <w:tcPr>
            <w:tcW w:w="4625" w:type="dxa"/>
            <w:gridSpan w:val="2"/>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部门：湖南省动物疫病预防控制中心</w:t>
            </w:r>
          </w:p>
        </w:tc>
        <w:tc>
          <w:tcPr>
            <w:tcW w:w="1146"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981"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509"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023"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173"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3859" w:type="dxa"/>
            <w:gridSpan w:val="2"/>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00" w:hRule="atLeast"/>
        </w:trPr>
        <w:tc>
          <w:tcPr>
            <w:tcW w:w="577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人员经费</w:t>
            </w:r>
          </w:p>
        </w:tc>
        <w:tc>
          <w:tcPr>
            <w:tcW w:w="9545"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0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科目代码</w:t>
            </w:r>
          </w:p>
        </w:tc>
        <w:tc>
          <w:tcPr>
            <w:tcW w:w="36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11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决算数</w:t>
            </w:r>
          </w:p>
        </w:tc>
        <w:tc>
          <w:tcPr>
            <w:tcW w:w="9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科目代码</w:t>
            </w:r>
          </w:p>
        </w:tc>
        <w:tc>
          <w:tcPr>
            <w:tcW w:w="25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10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决算数</w:t>
            </w:r>
          </w:p>
        </w:tc>
        <w:tc>
          <w:tcPr>
            <w:tcW w:w="11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科目代码</w:t>
            </w:r>
          </w:p>
        </w:tc>
        <w:tc>
          <w:tcPr>
            <w:tcW w:w="28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9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00" w:hRule="atLeast"/>
        </w:trPr>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3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9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25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0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28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9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00" w:hRule="atLeast"/>
        </w:trPr>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w:t>
            </w:r>
          </w:p>
        </w:tc>
        <w:tc>
          <w:tcPr>
            <w:tcW w:w="3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工资福利支出</w:t>
            </w:r>
          </w:p>
        </w:tc>
        <w:tc>
          <w:tcPr>
            <w:tcW w:w="11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543.46</w:t>
            </w:r>
          </w:p>
        </w:tc>
        <w:tc>
          <w:tcPr>
            <w:tcW w:w="9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w:t>
            </w:r>
          </w:p>
        </w:tc>
        <w:tc>
          <w:tcPr>
            <w:tcW w:w="2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商品和服务支出</w:t>
            </w:r>
          </w:p>
        </w:tc>
        <w:tc>
          <w:tcPr>
            <w:tcW w:w="10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93.62</w:t>
            </w:r>
          </w:p>
        </w:tc>
        <w:tc>
          <w:tcPr>
            <w:tcW w:w="11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307</w:t>
            </w:r>
          </w:p>
        </w:tc>
        <w:tc>
          <w:tcPr>
            <w:tcW w:w="2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债务利息及费用支出</w:t>
            </w:r>
          </w:p>
        </w:tc>
        <w:tc>
          <w:tcPr>
            <w:tcW w:w="9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30101</w:t>
            </w:r>
          </w:p>
        </w:tc>
        <w:tc>
          <w:tcPr>
            <w:tcW w:w="3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基本工资</w:t>
            </w:r>
          </w:p>
        </w:tc>
        <w:tc>
          <w:tcPr>
            <w:tcW w:w="11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130.50</w:t>
            </w:r>
          </w:p>
        </w:tc>
        <w:tc>
          <w:tcPr>
            <w:tcW w:w="9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30201</w:t>
            </w:r>
          </w:p>
        </w:tc>
        <w:tc>
          <w:tcPr>
            <w:tcW w:w="2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办公费</w:t>
            </w:r>
          </w:p>
        </w:tc>
        <w:tc>
          <w:tcPr>
            <w:tcW w:w="10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2.57</w:t>
            </w:r>
          </w:p>
        </w:tc>
        <w:tc>
          <w:tcPr>
            <w:tcW w:w="11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30701</w:t>
            </w:r>
          </w:p>
        </w:tc>
        <w:tc>
          <w:tcPr>
            <w:tcW w:w="2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国内债务付息</w:t>
            </w:r>
          </w:p>
        </w:tc>
        <w:tc>
          <w:tcPr>
            <w:tcW w:w="9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30102</w:t>
            </w:r>
          </w:p>
        </w:tc>
        <w:tc>
          <w:tcPr>
            <w:tcW w:w="3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津贴补贴</w:t>
            </w:r>
          </w:p>
        </w:tc>
        <w:tc>
          <w:tcPr>
            <w:tcW w:w="11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23.33</w:t>
            </w:r>
          </w:p>
        </w:tc>
        <w:tc>
          <w:tcPr>
            <w:tcW w:w="9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30202</w:t>
            </w:r>
          </w:p>
        </w:tc>
        <w:tc>
          <w:tcPr>
            <w:tcW w:w="2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印刷费</w:t>
            </w:r>
          </w:p>
        </w:tc>
        <w:tc>
          <w:tcPr>
            <w:tcW w:w="10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11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30702</w:t>
            </w:r>
          </w:p>
        </w:tc>
        <w:tc>
          <w:tcPr>
            <w:tcW w:w="2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国外债务付息</w:t>
            </w:r>
          </w:p>
        </w:tc>
        <w:tc>
          <w:tcPr>
            <w:tcW w:w="9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00" w:hRule="atLeast"/>
        </w:trPr>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30103</w:t>
            </w:r>
          </w:p>
        </w:tc>
        <w:tc>
          <w:tcPr>
            <w:tcW w:w="3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奖金</w:t>
            </w:r>
          </w:p>
        </w:tc>
        <w:tc>
          <w:tcPr>
            <w:tcW w:w="11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30203</w:t>
            </w:r>
          </w:p>
        </w:tc>
        <w:tc>
          <w:tcPr>
            <w:tcW w:w="2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咨询费</w:t>
            </w:r>
          </w:p>
        </w:tc>
        <w:tc>
          <w:tcPr>
            <w:tcW w:w="10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1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w:t>
            </w:r>
          </w:p>
        </w:tc>
        <w:tc>
          <w:tcPr>
            <w:tcW w:w="2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资本性支出</w:t>
            </w:r>
          </w:p>
        </w:tc>
        <w:tc>
          <w:tcPr>
            <w:tcW w:w="9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30106</w:t>
            </w:r>
          </w:p>
        </w:tc>
        <w:tc>
          <w:tcPr>
            <w:tcW w:w="3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伙食补助费</w:t>
            </w:r>
          </w:p>
        </w:tc>
        <w:tc>
          <w:tcPr>
            <w:tcW w:w="11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21.00</w:t>
            </w:r>
          </w:p>
        </w:tc>
        <w:tc>
          <w:tcPr>
            <w:tcW w:w="9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30204</w:t>
            </w:r>
          </w:p>
        </w:tc>
        <w:tc>
          <w:tcPr>
            <w:tcW w:w="2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手续费</w:t>
            </w:r>
          </w:p>
        </w:tc>
        <w:tc>
          <w:tcPr>
            <w:tcW w:w="10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1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31001</w:t>
            </w:r>
          </w:p>
        </w:tc>
        <w:tc>
          <w:tcPr>
            <w:tcW w:w="2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房屋建筑物购建</w:t>
            </w:r>
          </w:p>
        </w:tc>
        <w:tc>
          <w:tcPr>
            <w:tcW w:w="9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30107</w:t>
            </w:r>
          </w:p>
        </w:tc>
        <w:tc>
          <w:tcPr>
            <w:tcW w:w="3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绩效工资</w:t>
            </w:r>
          </w:p>
        </w:tc>
        <w:tc>
          <w:tcPr>
            <w:tcW w:w="11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250.57</w:t>
            </w:r>
          </w:p>
        </w:tc>
        <w:tc>
          <w:tcPr>
            <w:tcW w:w="9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30205</w:t>
            </w:r>
          </w:p>
        </w:tc>
        <w:tc>
          <w:tcPr>
            <w:tcW w:w="2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水费</w:t>
            </w:r>
          </w:p>
        </w:tc>
        <w:tc>
          <w:tcPr>
            <w:tcW w:w="10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w:t>
            </w:r>
          </w:p>
        </w:tc>
        <w:tc>
          <w:tcPr>
            <w:tcW w:w="11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31002</w:t>
            </w:r>
          </w:p>
        </w:tc>
        <w:tc>
          <w:tcPr>
            <w:tcW w:w="2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办公设备购置</w:t>
            </w:r>
          </w:p>
        </w:tc>
        <w:tc>
          <w:tcPr>
            <w:tcW w:w="9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80" w:hRule="atLeast"/>
        </w:trPr>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30108</w:t>
            </w:r>
          </w:p>
        </w:tc>
        <w:tc>
          <w:tcPr>
            <w:tcW w:w="3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机关事业单位基本养老保险缴费</w:t>
            </w:r>
          </w:p>
        </w:tc>
        <w:tc>
          <w:tcPr>
            <w:tcW w:w="11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34.37</w:t>
            </w:r>
          </w:p>
        </w:tc>
        <w:tc>
          <w:tcPr>
            <w:tcW w:w="9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30206</w:t>
            </w:r>
          </w:p>
        </w:tc>
        <w:tc>
          <w:tcPr>
            <w:tcW w:w="2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电费</w:t>
            </w:r>
          </w:p>
        </w:tc>
        <w:tc>
          <w:tcPr>
            <w:tcW w:w="10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5.00</w:t>
            </w:r>
          </w:p>
        </w:tc>
        <w:tc>
          <w:tcPr>
            <w:tcW w:w="11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31003</w:t>
            </w:r>
          </w:p>
        </w:tc>
        <w:tc>
          <w:tcPr>
            <w:tcW w:w="2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专用设备购置</w:t>
            </w:r>
          </w:p>
        </w:tc>
        <w:tc>
          <w:tcPr>
            <w:tcW w:w="9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30109</w:t>
            </w:r>
          </w:p>
        </w:tc>
        <w:tc>
          <w:tcPr>
            <w:tcW w:w="3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职业年金缴费</w:t>
            </w:r>
          </w:p>
        </w:tc>
        <w:tc>
          <w:tcPr>
            <w:tcW w:w="11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30207</w:t>
            </w:r>
          </w:p>
        </w:tc>
        <w:tc>
          <w:tcPr>
            <w:tcW w:w="2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邮电费</w:t>
            </w:r>
          </w:p>
        </w:tc>
        <w:tc>
          <w:tcPr>
            <w:tcW w:w="10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0.01</w:t>
            </w:r>
          </w:p>
        </w:tc>
        <w:tc>
          <w:tcPr>
            <w:tcW w:w="11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31005</w:t>
            </w:r>
          </w:p>
        </w:tc>
        <w:tc>
          <w:tcPr>
            <w:tcW w:w="2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基础设施建设</w:t>
            </w:r>
          </w:p>
        </w:tc>
        <w:tc>
          <w:tcPr>
            <w:tcW w:w="9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30110</w:t>
            </w:r>
          </w:p>
        </w:tc>
        <w:tc>
          <w:tcPr>
            <w:tcW w:w="3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职工基本医疗保险缴费</w:t>
            </w:r>
          </w:p>
        </w:tc>
        <w:tc>
          <w:tcPr>
            <w:tcW w:w="11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28.73</w:t>
            </w:r>
          </w:p>
        </w:tc>
        <w:tc>
          <w:tcPr>
            <w:tcW w:w="9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30208</w:t>
            </w:r>
          </w:p>
        </w:tc>
        <w:tc>
          <w:tcPr>
            <w:tcW w:w="2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取暖费</w:t>
            </w:r>
          </w:p>
        </w:tc>
        <w:tc>
          <w:tcPr>
            <w:tcW w:w="10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1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31006</w:t>
            </w:r>
          </w:p>
        </w:tc>
        <w:tc>
          <w:tcPr>
            <w:tcW w:w="2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大型修缮</w:t>
            </w:r>
          </w:p>
        </w:tc>
        <w:tc>
          <w:tcPr>
            <w:tcW w:w="9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30111</w:t>
            </w:r>
          </w:p>
        </w:tc>
        <w:tc>
          <w:tcPr>
            <w:tcW w:w="3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公务员医疗补助缴费</w:t>
            </w:r>
          </w:p>
        </w:tc>
        <w:tc>
          <w:tcPr>
            <w:tcW w:w="11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30209</w:t>
            </w:r>
          </w:p>
        </w:tc>
        <w:tc>
          <w:tcPr>
            <w:tcW w:w="2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物业管理费</w:t>
            </w:r>
          </w:p>
        </w:tc>
        <w:tc>
          <w:tcPr>
            <w:tcW w:w="10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2.60</w:t>
            </w:r>
          </w:p>
        </w:tc>
        <w:tc>
          <w:tcPr>
            <w:tcW w:w="11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31007</w:t>
            </w:r>
          </w:p>
        </w:tc>
        <w:tc>
          <w:tcPr>
            <w:tcW w:w="2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信息网络及软件购置更新</w:t>
            </w:r>
          </w:p>
        </w:tc>
        <w:tc>
          <w:tcPr>
            <w:tcW w:w="9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30112</w:t>
            </w:r>
          </w:p>
        </w:tc>
        <w:tc>
          <w:tcPr>
            <w:tcW w:w="3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其他社会保障缴费</w:t>
            </w:r>
          </w:p>
        </w:tc>
        <w:tc>
          <w:tcPr>
            <w:tcW w:w="11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3.34</w:t>
            </w:r>
          </w:p>
        </w:tc>
        <w:tc>
          <w:tcPr>
            <w:tcW w:w="9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30211</w:t>
            </w:r>
          </w:p>
        </w:tc>
        <w:tc>
          <w:tcPr>
            <w:tcW w:w="2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差旅费</w:t>
            </w:r>
          </w:p>
        </w:tc>
        <w:tc>
          <w:tcPr>
            <w:tcW w:w="10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0.72</w:t>
            </w:r>
          </w:p>
        </w:tc>
        <w:tc>
          <w:tcPr>
            <w:tcW w:w="11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31008</w:t>
            </w:r>
          </w:p>
        </w:tc>
        <w:tc>
          <w:tcPr>
            <w:tcW w:w="2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物资储备</w:t>
            </w:r>
          </w:p>
        </w:tc>
        <w:tc>
          <w:tcPr>
            <w:tcW w:w="9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30113</w:t>
            </w:r>
          </w:p>
        </w:tc>
        <w:tc>
          <w:tcPr>
            <w:tcW w:w="3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住房公积金</w:t>
            </w:r>
          </w:p>
        </w:tc>
        <w:tc>
          <w:tcPr>
            <w:tcW w:w="11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46.00</w:t>
            </w:r>
          </w:p>
        </w:tc>
        <w:tc>
          <w:tcPr>
            <w:tcW w:w="9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30212</w:t>
            </w:r>
          </w:p>
        </w:tc>
        <w:tc>
          <w:tcPr>
            <w:tcW w:w="2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因公出国（境）费用</w:t>
            </w:r>
          </w:p>
        </w:tc>
        <w:tc>
          <w:tcPr>
            <w:tcW w:w="10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1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31009</w:t>
            </w:r>
          </w:p>
        </w:tc>
        <w:tc>
          <w:tcPr>
            <w:tcW w:w="2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土地补偿</w:t>
            </w:r>
          </w:p>
        </w:tc>
        <w:tc>
          <w:tcPr>
            <w:tcW w:w="9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30114</w:t>
            </w:r>
          </w:p>
        </w:tc>
        <w:tc>
          <w:tcPr>
            <w:tcW w:w="3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医疗费</w:t>
            </w:r>
          </w:p>
        </w:tc>
        <w:tc>
          <w:tcPr>
            <w:tcW w:w="11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30213</w:t>
            </w:r>
          </w:p>
        </w:tc>
        <w:tc>
          <w:tcPr>
            <w:tcW w:w="2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维修（护）费</w:t>
            </w:r>
          </w:p>
        </w:tc>
        <w:tc>
          <w:tcPr>
            <w:tcW w:w="10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9.43</w:t>
            </w:r>
          </w:p>
        </w:tc>
        <w:tc>
          <w:tcPr>
            <w:tcW w:w="11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31010</w:t>
            </w:r>
          </w:p>
        </w:tc>
        <w:tc>
          <w:tcPr>
            <w:tcW w:w="2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安置补助</w:t>
            </w:r>
          </w:p>
        </w:tc>
        <w:tc>
          <w:tcPr>
            <w:tcW w:w="9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30199</w:t>
            </w:r>
          </w:p>
        </w:tc>
        <w:tc>
          <w:tcPr>
            <w:tcW w:w="3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其他工资福利支出</w:t>
            </w:r>
          </w:p>
        </w:tc>
        <w:tc>
          <w:tcPr>
            <w:tcW w:w="11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5.62</w:t>
            </w:r>
          </w:p>
        </w:tc>
        <w:tc>
          <w:tcPr>
            <w:tcW w:w="9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30214</w:t>
            </w:r>
          </w:p>
        </w:tc>
        <w:tc>
          <w:tcPr>
            <w:tcW w:w="2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租赁费</w:t>
            </w:r>
          </w:p>
        </w:tc>
        <w:tc>
          <w:tcPr>
            <w:tcW w:w="10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1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31011</w:t>
            </w:r>
          </w:p>
        </w:tc>
        <w:tc>
          <w:tcPr>
            <w:tcW w:w="2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地上附着物和青苗补偿</w:t>
            </w:r>
          </w:p>
        </w:tc>
        <w:tc>
          <w:tcPr>
            <w:tcW w:w="9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00" w:hRule="atLeast"/>
        </w:trPr>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w:t>
            </w:r>
          </w:p>
        </w:tc>
        <w:tc>
          <w:tcPr>
            <w:tcW w:w="3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对个人和家庭的补助</w:t>
            </w:r>
          </w:p>
        </w:tc>
        <w:tc>
          <w:tcPr>
            <w:tcW w:w="11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63.44</w:t>
            </w:r>
          </w:p>
        </w:tc>
        <w:tc>
          <w:tcPr>
            <w:tcW w:w="9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30215</w:t>
            </w:r>
          </w:p>
        </w:tc>
        <w:tc>
          <w:tcPr>
            <w:tcW w:w="2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会议费</w:t>
            </w:r>
          </w:p>
        </w:tc>
        <w:tc>
          <w:tcPr>
            <w:tcW w:w="10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1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31012</w:t>
            </w:r>
          </w:p>
        </w:tc>
        <w:tc>
          <w:tcPr>
            <w:tcW w:w="2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拆迁补偿</w:t>
            </w:r>
          </w:p>
        </w:tc>
        <w:tc>
          <w:tcPr>
            <w:tcW w:w="9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00" w:hRule="atLeast"/>
        </w:trPr>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30301</w:t>
            </w:r>
          </w:p>
        </w:tc>
        <w:tc>
          <w:tcPr>
            <w:tcW w:w="3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离休费</w:t>
            </w:r>
          </w:p>
        </w:tc>
        <w:tc>
          <w:tcPr>
            <w:tcW w:w="11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30216</w:t>
            </w:r>
          </w:p>
        </w:tc>
        <w:tc>
          <w:tcPr>
            <w:tcW w:w="2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培训费</w:t>
            </w:r>
          </w:p>
        </w:tc>
        <w:tc>
          <w:tcPr>
            <w:tcW w:w="10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1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31013</w:t>
            </w:r>
          </w:p>
        </w:tc>
        <w:tc>
          <w:tcPr>
            <w:tcW w:w="2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公务用车购置</w:t>
            </w:r>
          </w:p>
        </w:tc>
        <w:tc>
          <w:tcPr>
            <w:tcW w:w="9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30302</w:t>
            </w:r>
          </w:p>
        </w:tc>
        <w:tc>
          <w:tcPr>
            <w:tcW w:w="3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退休费</w:t>
            </w:r>
          </w:p>
        </w:tc>
        <w:tc>
          <w:tcPr>
            <w:tcW w:w="11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58.44</w:t>
            </w:r>
          </w:p>
        </w:tc>
        <w:tc>
          <w:tcPr>
            <w:tcW w:w="9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30217</w:t>
            </w:r>
          </w:p>
        </w:tc>
        <w:tc>
          <w:tcPr>
            <w:tcW w:w="2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公务接待费</w:t>
            </w:r>
          </w:p>
        </w:tc>
        <w:tc>
          <w:tcPr>
            <w:tcW w:w="10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1.29</w:t>
            </w:r>
          </w:p>
        </w:tc>
        <w:tc>
          <w:tcPr>
            <w:tcW w:w="11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31019</w:t>
            </w:r>
          </w:p>
        </w:tc>
        <w:tc>
          <w:tcPr>
            <w:tcW w:w="2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其他交通工具购置</w:t>
            </w:r>
          </w:p>
        </w:tc>
        <w:tc>
          <w:tcPr>
            <w:tcW w:w="9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30303</w:t>
            </w:r>
          </w:p>
        </w:tc>
        <w:tc>
          <w:tcPr>
            <w:tcW w:w="3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退职（役）费</w:t>
            </w:r>
          </w:p>
        </w:tc>
        <w:tc>
          <w:tcPr>
            <w:tcW w:w="11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30218</w:t>
            </w:r>
          </w:p>
        </w:tc>
        <w:tc>
          <w:tcPr>
            <w:tcW w:w="2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专用材料费</w:t>
            </w:r>
          </w:p>
        </w:tc>
        <w:tc>
          <w:tcPr>
            <w:tcW w:w="10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1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31021</w:t>
            </w:r>
          </w:p>
        </w:tc>
        <w:tc>
          <w:tcPr>
            <w:tcW w:w="2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文物和陈列品购置</w:t>
            </w:r>
          </w:p>
        </w:tc>
        <w:tc>
          <w:tcPr>
            <w:tcW w:w="9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30304</w:t>
            </w:r>
          </w:p>
        </w:tc>
        <w:tc>
          <w:tcPr>
            <w:tcW w:w="3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抚恤金</w:t>
            </w:r>
          </w:p>
        </w:tc>
        <w:tc>
          <w:tcPr>
            <w:tcW w:w="11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30224</w:t>
            </w:r>
          </w:p>
        </w:tc>
        <w:tc>
          <w:tcPr>
            <w:tcW w:w="2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被装购置费</w:t>
            </w:r>
          </w:p>
        </w:tc>
        <w:tc>
          <w:tcPr>
            <w:tcW w:w="10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1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31022</w:t>
            </w:r>
          </w:p>
        </w:tc>
        <w:tc>
          <w:tcPr>
            <w:tcW w:w="2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无形资产购置</w:t>
            </w:r>
          </w:p>
        </w:tc>
        <w:tc>
          <w:tcPr>
            <w:tcW w:w="9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30305</w:t>
            </w:r>
          </w:p>
        </w:tc>
        <w:tc>
          <w:tcPr>
            <w:tcW w:w="3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生活补助</w:t>
            </w:r>
          </w:p>
        </w:tc>
        <w:tc>
          <w:tcPr>
            <w:tcW w:w="11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5.00</w:t>
            </w:r>
          </w:p>
        </w:tc>
        <w:tc>
          <w:tcPr>
            <w:tcW w:w="9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30225</w:t>
            </w:r>
          </w:p>
        </w:tc>
        <w:tc>
          <w:tcPr>
            <w:tcW w:w="2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专用燃料费</w:t>
            </w:r>
          </w:p>
        </w:tc>
        <w:tc>
          <w:tcPr>
            <w:tcW w:w="10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1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31099</w:t>
            </w:r>
          </w:p>
        </w:tc>
        <w:tc>
          <w:tcPr>
            <w:tcW w:w="2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其他资本性支出</w:t>
            </w:r>
          </w:p>
        </w:tc>
        <w:tc>
          <w:tcPr>
            <w:tcW w:w="9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00" w:hRule="atLeast"/>
        </w:trPr>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30306</w:t>
            </w:r>
          </w:p>
        </w:tc>
        <w:tc>
          <w:tcPr>
            <w:tcW w:w="3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救济费</w:t>
            </w:r>
          </w:p>
        </w:tc>
        <w:tc>
          <w:tcPr>
            <w:tcW w:w="11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30226</w:t>
            </w:r>
          </w:p>
        </w:tc>
        <w:tc>
          <w:tcPr>
            <w:tcW w:w="2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劳务费</w:t>
            </w:r>
          </w:p>
        </w:tc>
        <w:tc>
          <w:tcPr>
            <w:tcW w:w="10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3.62</w:t>
            </w:r>
          </w:p>
        </w:tc>
        <w:tc>
          <w:tcPr>
            <w:tcW w:w="11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399</w:t>
            </w:r>
          </w:p>
        </w:tc>
        <w:tc>
          <w:tcPr>
            <w:tcW w:w="2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其他支出</w:t>
            </w:r>
          </w:p>
        </w:tc>
        <w:tc>
          <w:tcPr>
            <w:tcW w:w="9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30307</w:t>
            </w:r>
          </w:p>
        </w:tc>
        <w:tc>
          <w:tcPr>
            <w:tcW w:w="3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医疗费补助</w:t>
            </w:r>
          </w:p>
        </w:tc>
        <w:tc>
          <w:tcPr>
            <w:tcW w:w="11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30227</w:t>
            </w:r>
          </w:p>
        </w:tc>
        <w:tc>
          <w:tcPr>
            <w:tcW w:w="2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委托业务费</w:t>
            </w:r>
          </w:p>
        </w:tc>
        <w:tc>
          <w:tcPr>
            <w:tcW w:w="10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1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39907</w:t>
            </w:r>
          </w:p>
        </w:tc>
        <w:tc>
          <w:tcPr>
            <w:tcW w:w="2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国家赔偿费用支出</w:t>
            </w:r>
          </w:p>
        </w:tc>
        <w:tc>
          <w:tcPr>
            <w:tcW w:w="9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0" w:hRule="atLeast"/>
        </w:trPr>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30308</w:t>
            </w:r>
          </w:p>
        </w:tc>
        <w:tc>
          <w:tcPr>
            <w:tcW w:w="3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助学金</w:t>
            </w:r>
          </w:p>
        </w:tc>
        <w:tc>
          <w:tcPr>
            <w:tcW w:w="11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30228</w:t>
            </w:r>
          </w:p>
        </w:tc>
        <w:tc>
          <w:tcPr>
            <w:tcW w:w="2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工会经费</w:t>
            </w:r>
          </w:p>
        </w:tc>
        <w:tc>
          <w:tcPr>
            <w:tcW w:w="10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14.00</w:t>
            </w:r>
          </w:p>
        </w:tc>
        <w:tc>
          <w:tcPr>
            <w:tcW w:w="11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39908</w:t>
            </w:r>
          </w:p>
        </w:tc>
        <w:tc>
          <w:tcPr>
            <w:tcW w:w="2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对民间非营利组织和群众性自治组织补贴</w:t>
            </w:r>
          </w:p>
        </w:tc>
        <w:tc>
          <w:tcPr>
            <w:tcW w:w="9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30309</w:t>
            </w:r>
          </w:p>
        </w:tc>
        <w:tc>
          <w:tcPr>
            <w:tcW w:w="3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奖励金</w:t>
            </w:r>
          </w:p>
        </w:tc>
        <w:tc>
          <w:tcPr>
            <w:tcW w:w="11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30229</w:t>
            </w:r>
          </w:p>
        </w:tc>
        <w:tc>
          <w:tcPr>
            <w:tcW w:w="2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福利费</w:t>
            </w:r>
          </w:p>
        </w:tc>
        <w:tc>
          <w:tcPr>
            <w:tcW w:w="10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11.00</w:t>
            </w:r>
          </w:p>
        </w:tc>
        <w:tc>
          <w:tcPr>
            <w:tcW w:w="11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39909</w:t>
            </w:r>
          </w:p>
        </w:tc>
        <w:tc>
          <w:tcPr>
            <w:tcW w:w="2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经常性赠与</w:t>
            </w:r>
          </w:p>
        </w:tc>
        <w:tc>
          <w:tcPr>
            <w:tcW w:w="9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30310</w:t>
            </w:r>
          </w:p>
        </w:tc>
        <w:tc>
          <w:tcPr>
            <w:tcW w:w="3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个人农业生产补贴</w:t>
            </w:r>
          </w:p>
        </w:tc>
        <w:tc>
          <w:tcPr>
            <w:tcW w:w="11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30231</w:t>
            </w:r>
          </w:p>
        </w:tc>
        <w:tc>
          <w:tcPr>
            <w:tcW w:w="2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公务用车运行维护费</w:t>
            </w:r>
          </w:p>
        </w:tc>
        <w:tc>
          <w:tcPr>
            <w:tcW w:w="10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9.20</w:t>
            </w:r>
          </w:p>
        </w:tc>
        <w:tc>
          <w:tcPr>
            <w:tcW w:w="11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39910</w:t>
            </w:r>
          </w:p>
        </w:tc>
        <w:tc>
          <w:tcPr>
            <w:tcW w:w="2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资本性赠与</w:t>
            </w:r>
          </w:p>
        </w:tc>
        <w:tc>
          <w:tcPr>
            <w:tcW w:w="9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30311</w:t>
            </w:r>
          </w:p>
        </w:tc>
        <w:tc>
          <w:tcPr>
            <w:tcW w:w="3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代缴社会保险费</w:t>
            </w:r>
          </w:p>
        </w:tc>
        <w:tc>
          <w:tcPr>
            <w:tcW w:w="11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30239</w:t>
            </w:r>
          </w:p>
        </w:tc>
        <w:tc>
          <w:tcPr>
            <w:tcW w:w="2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其他交通费用</w:t>
            </w:r>
          </w:p>
        </w:tc>
        <w:tc>
          <w:tcPr>
            <w:tcW w:w="10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1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39999</w:t>
            </w:r>
          </w:p>
        </w:tc>
        <w:tc>
          <w:tcPr>
            <w:tcW w:w="2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其他支出</w:t>
            </w:r>
          </w:p>
        </w:tc>
        <w:tc>
          <w:tcPr>
            <w:tcW w:w="9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30399</w:t>
            </w:r>
          </w:p>
        </w:tc>
        <w:tc>
          <w:tcPr>
            <w:tcW w:w="3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其他对个人和家庭的补助</w:t>
            </w:r>
          </w:p>
        </w:tc>
        <w:tc>
          <w:tcPr>
            <w:tcW w:w="11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30240</w:t>
            </w:r>
          </w:p>
        </w:tc>
        <w:tc>
          <w:tcPr>
            <w:tcW w:w="2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税金及附加费用</w:t>
            </w:r>
          </w:p>
        </w:tc>
        <w:tc>
          <w:tcPr>
            <w:tcW w:w="10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5.54</w:t>
            </w:r>
          </w:p>
        </w:tc>
        <w:tc>
          <w:tcPr>
            <w:tcW w:w="11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28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3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11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9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30299</w:t>
            </w:r>
          </w:p>
        </w:tc>
        <w:tc>
          <w:tcPr>
            <w:tcW w:w="2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其他商品和服务支出</w:t>
            </w:r>
          </w:p>
        </w:tc>
        <w:tc>
          <w:tcPr>
            <w:tcW w:w="10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25.64</w:t>
            </w:r>
          </w:p>
        </w:tc>
        <w:tc>
          <w:tcPr>
            <w:tcW w:w="11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28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462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人员经费合计</w:t>
            </w:r>
          </w:p>
        </w:tc>
        <w:tc>
          <w:tcPr>
            <w:tcW w:w="11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606.90</w:t>
            </w:r>
          </w:p>
        </w:tc>
        <w:tc>
          <w:tcPr>
            <w:tcW w:w="8577"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公用经费合计</w:t>
            </w:r>
          </w:p>
        </w:tc>
        <w:tc>
          <w:tcPr>
            <w:tcW w:w="9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93.62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5316" w:type="dxa"/>
            <w:gridSpan w:val="9"/>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注：本表反映部门本年度一般公共预算财政拨款基本支出明细情况。</w:t>
            </w:r>
          </w:p>
        </w:tc>
      </w:tr>
    </w:tbl>
    <w:p>
      <w:pPr>
        <w:widowControl/>
        <w:jc w:val="both"/>
        <w:rPr>
          <w:rFonts w:ascii="Times New Roman" w:hAnsi="Times New Roman" w:eastAsia="方正小标宋_GBK" w:cs="Times New Roman"/>
          <w:color w:val="000000"/>
          <w:kern w:val="0"/>
          <w:sz w:val="36"/>
          <w:szCs w:val="21"/>
        </w:rPr>
      </w:pPr>
    </w:p>
    <w:p>
      <w:pPr>
        <w:widowControl/>
        <w:jc w:val="both"/>
        <w:rPr>
          <w:rFonts w:ascii="Times New Roman" w:hAnsi="Times New Roman" w:eastAsia="方正小标宋_GBK" w:cs="Times New Roman"/>
          <w:color w:val="000000"/>
          <w:kern w:val="0"/>
          <w:sz w:val="36"/>
          <w:szCs w:val="21"/>
        </w:rPr>
      </w:pPr>
    </w:p>
    <w:p>
      <w:pPr>
        <w:widowControl/>
        <w:jc w:val="both"/>
        <w:rPr>
          <w:rFonts w:ascii="Times New Roman" w:hAnsi="Times New Roman" w:eastAsia="方正小标宋_GBK" w:cs="Times New Roman"/>
          <w:color w:val="000000"/>
          <w:kern w:val="0"/>
          <w:sz w:val="36"/>
          <w:szCs w:val="21"/>
        </w:rPr>
      </w:pPr>
    </w:p>
    <w:p>
      <w:pPr>
        <w:widowControl/>
        <w:jc w:val="both"/>
        <w:rPr>
          <w:rFonts w:ascii="Times New Roman" w:hAnsi="Times New Roman" w:eastAsia="方正小标宋_GBK" w:cs="Times New Roman"/>
          <w:color w:val="000000"/>
          <w:kern w:val="0"/>
          <w:sz w:val="36"/>
          <w:szCs w:val="21"/>
        </w:rPr>
      </w:pPr>
    </w:p>
    <w:p>
      <w:pPr>
        <w:widowControl/>
        <w:jc w:val="both"/>
        <w:rPr>
          <w:rFonts w:ascii="Times New Roman" w:hAnsi="Times New Roman" w:eastAsia="方正小标宋_GBK" w:cs="Times New Roman"/>
          <w:color w:val="000000"/>
          <w:kern w:val="0"/>
          <w:sz w:val="36"/>
          <w:szCs w:val="21"/>
        </w:rPr>
      </w:pPr>
    </w:p>
    <w:p>
      <w:pPr>
        <w:widowControl/>
        <w:jc w:val="both"/>
        <w:rPr>
          <w:rFonts w:ascii="Times New Roman" w:hAnsi="Times New Roman" w:eastAsia="方正小标宋_GBK" w:cs="Times New Roman"/>
          <w:color w:val="000000"/>
          <w:kern w:val="0"/>
          <w:sz w:val="36"/>
          <w:szCs w:val="21"/>
        </w:rPr>
      </w:pPr>
    </w:p>
    <w:p>
      <w:pPr>
        <w:widowControl/>
        <w:jc w:val="both"/>
        <w:rPr>
          <w:rFonts w:ascii="Times New Roman" w:hAnsi="Times New Roman" w:eastAsia="方正小标宋_GBK" w:cs="Times New Roman"/>
          <w:color w:val="000000"/>
          <w:kern w:val="0"/>
          <w:sz w:val="36"/>
          <w:szCs w:val="21"/>
        </w:rPr>
      </w:pPr>
    </w:p>
    <w:p>
      <w:pPr>
        <w:widowControl/>
        <w:jc w:val="both"/>
        <w:rPr>
          <w:rFonts w:ascii="Times New Roman" w:hAnsi="Times New Roman" w:eastAsia="方正小标宋_GBK" w:cs="Times New Roman"/>
          <w:color w:val="000000"/>
          <w:kern w:val="0"/>
          <w:sz w:val="36"/>
          <w:szCs w:val="21"/>
        </w:rPr>
      </w:pPr>
    </w:p>
    <w:tbl>
      <w:tblPr>
        <w:tblStyle w:val="13"/>
        <w:tblW w:w="153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03"/>
        <w:gridCol w:w="240"/>
        <w:gridCol w:w="1402"/>
        <w:gridCol w:w="2119"/>
        <w:gridCol w:w="2119"/>
        <w:gridCol w:w="2119"/>
        <w:gridCol w:w="2119"/>
        <w:gridCol w:w="2119"/>
        <w:gridCol w:w="21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90" w:hRule="atLeast"/>
        </w:trPr>
        <w:tc>
          <w:tcPr>
            <w:tcW w:w="15360" w:type="dxa"/>
            <w:gridSpan w:val="9"/>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r>
              <w:rPr>
                <w:rFonts w:hint="eastAsia" w:ascii="华文中宋" w:hAnsi="华文中宋" w:eastAsia="华文中宋" w:cs="华文中宋"/>
                <w:i w:val="0"/>
                <w:color w:val="000000"/>
                <w:kern w:val="0"/>
                <w:sz w:val="32"/>
                <w:szCs w:val="32"/>
                <w:u w:val="none"/>
                <w:lang w:val="en-US" w:eastAsia="zh-CN" w:bidi="ar"/>
              </w:rPr>
              <w:t>政府性基金预算财政拨款收入支出决算表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45" w:hRule="atLeast"/>
        </w:trPr>
        <w:tc>
          <w:tcPr>
            <w:tcW w:w="1003"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240"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1402"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20"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公开07表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90" w:hRule="atLeast"/>
        </w:trPr>
        <w:tc>
          <w:tcPr>
            <w:tcW w:w="1003" w:type="dxa"/>
            <w:tcBorders>
              <w:top w:val="nil"/>
              <w:left w:val="nil"/>
              <w:bottom w:val="nil"/>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部门：</w:t>
            </w:r>
          </w:p>
        </w:tc>
        <w:tc>
          <w:tcPr>
            <w:tcW w:w="3761" w:type="dxa"/>
            <w:gridSpan w:val="3"/>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lang w:eastAsia="zh-CN"/>
              </w:rPr>
            </w:pPr>
            <w:r>
              <w:rPr>
                <w:rFonts w:hint="eastAsia" w:ascii="宋体" w:hAnsi="宋体" w:eastAsia="宋体" w:cs="宋体"/>
                <w:i w:val="0"/>
                <w:color w:val="000000"/>
                <w:sz w:val="20"/>
                <w:szCs w:val="20"/>
                <w:u w:val="none"/>
                <w:lang w:eastAsia="zh-CN"/>
              </w:rPr>
              <w:t>湖南省动物疫病预防控制中心</w:t>
            </w: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20"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59" w:hRule="atLeast"/>
        </w:trPr>
        <w:tc>
          <w:tcPr>
            <w:tcW w:w="26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项 </w:t>
            </w:r>
            <w:r>
              <w:rPr>
                <w:rStyle w:val="22"/>
                <w:lang w:val="en-US" w:eastAsia="zh-CN" w:bidi="ar"/>
              </w:rPr>
              <w:t xml:space="preserve">   </w:t>
            </w:r>
            <w:r>
              <w:rPr>
                <w:rStyle w:val="23"/>
                <w:lang w:val="en-US" w:eastAsia="zh-CN" w:bidi="ar"/>
              </w:rPr>
              <w:t>目</w:t>
            </w: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年初结转和结余</w:t>
            </w: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本年收入</w:t>
            </w:r>
          </w:p>
        </w:tc>
        <w:tc>
          <w:tcPr>
            <w:tcW w:w="635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本年支出</w:t>
            </w:r>
          </w:p>
        </w:tc>
        <w:tc>
          <w:tcPr>
            <w:tcW w:w="21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年末结转和结余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09" w:hRule="atLeast"/>
        </w:trPr>
        <w:tc>
          <w:tcPr>
            <w:tcW w:w="124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科目代码</w:t>
            </w:r>
          </w:p>
        </w:tc>
        <w:tc>
          <w:tcPr>
            <w:tcW w:w="140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科目名称</w:t>
            </w: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小计</w:t>
            </w: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基本支出  </w:t>
            </w: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项目支出</w:t>
            </w:r>
          </w:p>
        </w:tc>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09" w:hRule="atLeast"/>
        </w:trPr>
        <w:tc>
          <w:tcPr>
            <w:tcW w:w="124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09" w:hRule="atLeast"/>
        </w:trPr>
        <w:tc>
          <w:tcPr>
            <w:tcW w:w="124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09" w:hRule="atLeast"/>
        </w:trPr>
        <w:tc>
          <w:tcPr>
            <w:tcW w:w="26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栏次</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09" w:hRule="atLeast"/>
        </w:trPr>
        <w:tc>
          <w:tcPr>
            <w:tcW w:w="26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合计</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25" w:hRule="atLeast"/>
        </w:trPr>
        <w:tc>
          <w:tcPr>
            <w:tcW w:w="15360" w:type="dxa"/>
            <w:gridSpan w:val="9"/>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注：本表反映部门本年度政府性基金预算财政拨款收入、支出及结转和结余情况。</w:t>
            </w: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楷体" w:hAnsi="楷体" w:eastAsia="楷体" w:cs="楷体"/>
                <w:b/>
                <w:bCs/>
                <w:i w:val="0"/>
                <w:color w:val="auto"/>
                <w:kern w:val="0"/>
                <w:sz w:val="24"/>
                <w:szCs w:val="24"/>
                <w:u w:val="none"/>
                <w:lang w:val="en-US" w:eastAsia="zh-CN" w:bidi="ar"/>
              </w:rPr>
              <w:t>说明：我单位没有政府性基金收入，也没有使用政府性基金安排的支出，故本表无数据。</w:t>
            </w:r>
          </w:p>
        </w:tc>
      </w:tr>
    </w:tbl>
    <w:p>
      <w:pPr>
        <w:widowControl/>
        <w:jc w:val="center"/>
        <w:rPr>
          <w:rFonts w:hint="eastAsia" w:ascii="Times New Roman" w:hAnsi="Times New Roman" w:eastAsia="方正小标宋_GBK" w:cs="Times New Roman"/>
          <w:color w:val="000000"/>
          <w:kern w:val="0"/>
          <w:sz w:val="36"/>
          <w:szCs w:val="36"/>
        </w:rPr>
      </w:pPr>
    </w:p>
    <w:p>
      <w:pPr>
        <w:widowControl/>
        <w:jc w:val="both"/>
        <w:rPr>
          <w:rFonts w:ascii="Times New Roman" w:hAnsi="Times New Roman" w:eastAsia="方正小标宋_GBK" w:cs="Times New Roman"/>
          <w:color w:val="000000"/>
          <w:kern w:val="0"/>
          <w:sz w:val="36"/>
          <w:szCs w:val="21"/>
        </w:rPr>
      </w:pPr>
    </w:p>
    <w:tbl>
      <w:tblPr>
        <w:tblStyle w:val="13"/>
        <w:tblW w:w="1512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26"/>
        <w:gridCol w:w="701"/>
        <w:gridCol w:w="2292"/>
        <w:gridCol w:w="3315"/>
        <w:gridCol w:w="3315"/>
        <w:gridCol w:w="41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963" w:hRule="atLeast"/>
        </w:trPr>
        <w:tc>
          <w:tcPr>
            <w:tcW w:w="15120" w:type="dxa"/>
            <w:gridSpan w:val="6"/>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r>
              <w:rPr>
                <w:rFonts w:hint="eastAsia" w:ascii="华文中宋" w:hAnsi="华文中宋" w:eastAsia="华文中宋" w:cs="华文中宋"/>
                <w:i w:val="0"/>
                <w:color w:val="000000"/>
                <w:kern w:val="0"/>
                <w:sz w:val="32"/>
                <w:szCs w:val="32"/>
                <w:u w:val="none"/>
                <w:lang w:val="en-US" w:eastAsia="zh-CN" w:bidi="ar"/>
              </w:rPr>
              <w:t>国有资本经营预算财政拨款支出决算表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17" w:hRule="atLeast"/>
        </w:trPr>
        <w:tc>
          <w:tcPr>
            <w:tcW w:w="1326"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701"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2292"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4171"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公开08表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17" w:hRule="atLeast"/>
        </w:trPr>
        <w:tc>
          <w:tcPr>
            <w:tcW w:w="1326" w:type="dxa"/>
            <w:tcBorders>
              <w:top w:val="nil"/>
              <w:left w:val="nil"/>
              <w:bottom w:val="nil"/>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部门：</w:t>
            </w:r>
          </w:p>
        </w:tc>
        <w:tc>
          <w:tcPr>
            <w:tcW w:w="6308" w:type="dxa"/>
            <w:gridSpan w:val="3"/>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lang w:eastAsia="zh-CN"/>
              </w:rPr>
            </w:pPr>
            <w:r>
              <w:rPr>
                <w:rFonts w:hint="eastAsia" w:ascii="宋体" w:hAnsi="宋体" w:eastAsia="宋体" w:cs="宋体"/>
                <w:i w:val="0"/>
                <w:color w:val="000000"/>
                <w:sz w:val="20"/>
                <w:szCs w:val="20"/>
                <w:u w:val="none"/>
                <w:lang w:eastAsia="zh-CN"/>
              </w:rPr>
              <w:t>湖南省动物疫病预防控制中心</w:t>
            </w: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4171"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项 </w:t>
            </w:r>
            <w:r>
              <w:rPr>
                <w:rFonts w:hint="eastAsia" w:ascii="宋体" w:hAnsi="宋体" w:eastAsia="宋体" w:cs="宋体"/>
                <w:i w:val="0"/>
                <w:color w:val="000000"/>
                <w:kern w:val="0"/>
                <w:sz w:val="22"/>
                <w:szCs w:val="22"/>
                <w:u w:val="none"/>
                <w:lang w:val="en-US" w:eastAsia="zh-CN" w:bidi="ar"/>
              </w:rPr>
              <w:t xml:space="preserve">   </w:t>
            </w:r>
            <w:r>
              <w:rPr>
                <w:rStyle w:val="24"/>
                <w:lang w:val="en-US" w:eastAsia="zh-CN" w:bidi="ar"/>
              </w:rPr>
              <w:t>目</w:t>
            </w:r>
          </w:p>
        </w:tc>
        <w:tc>
          <w:tcPr>
            <w:tcW w:w="108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202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科目代码</w:t>
            </w:r>
          </w:p>
        </w:tc>
        <w:tc>
          <w:tcPr>
            <w:tcW w:w="22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科目名称</w:t>
            </w:r>
          </w:p>
        </w:tc>
        <w:tc>
          <w:tcPr>
            <w:tcW w:w="3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合计</w:t>
            </w:r>
          </w:p>
        </w:tc>
        <w:tc>
          <w:tcPr>
            <w:tcW w:w="3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基本支出  </w:t>
            </w:r>
          </w:p>
        </w:tc>
        <w:tc>
          <w:tcPr>
            <w:tcW w:w="41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20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4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20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4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栏次</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合计</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76" w:hRule="atLeast"/>
        </w:trPr>
        <w:tc>
          <w:tcPr>
            <w:tcW w:w="15120" w:type="dxa"/>
            <w:gridSpan w:val="6"/>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注：本表反映部门本年度国有资本经营预算财政拨款支出情况。</w:t>
            </w: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楷体" w:hAnsi="楷体" w:eastAsia="楷体" w:cs="楷体"/>
                <w:b/>
                <w:bCs/>
                <w:i w:val="0"/>
                <w:color w:val="auto"/>
                <w:kern w:val="0"/>
                <w:sz w:val="24"/>
                <w:szCs w:val="24"/>
                <w:u w:val="none"/>
                <w:lang w:val="en-US" w:eastAsia="zh-CN" w:bidi="ar"/>
              </w:rPr>
              <w:t>说明：我单位没有使用国有资本经营预算安排的支出，故本表无数据。</w:t>
            </w:r>
          </w:p>
        </w:tc>
      </w:tr>
    </w:tbl>
    <w:p>
      <w:pPr>
        <w:widowControl/>
        <w:jc w:val="both"/>
        <w:rPr>
          <w:rFonts w:ascii="Times New Roman" w:hAnsi="Times New Roman" w:eastAsia="方正小标宋_GBK" w:cs="Times New Roman"/>
          <w:color w:val="000000"/>
          <w:kern w:val="0"/>
          <w:sz w:val="36"/>
          <w:szCs w:val="21"/>
        </w:rPr>
      </w:pPr>
    </w:p>
    <w:p/>
    <w:p>
      <w:pPr>
        <w:widowControl/>
        <w:jc w:val="both"/>
        <w:rPr>
          <w:rFonts w:ascii="Times New Roman" w:hAnsi="Times New Roman" w:eastAsia="方正小标宋_GBK" w:cs="Times New Roman"/>
          <w:color w:val="000000"/>
          <w:kern w:val="0"/>
          <w:sz w:val="36"/>
          <w:szCs w:val="21"/>
        </w:rPr>
      </w:pPr>
    </w:p>
    <w:p>
      <w:pPr>
        <w:widowControl/>
        <w:jc w:val="both"/>
        <w:rPr>
          <w:rFonts w:ascii="Times New Roman" w:hAnsi="Times New Roman" w:eastAsia="方正小标宋_GBK" w:cs="Times New Roman"/>
          <w:color w:val="000000"/>
          <w:kern w:val="0"/>
          <w:sz w:val="36"/>
          <w:szCs w:val="21"/>
        </w:rPr>
      </w:pPr>
    </w:p>
    <w:tbl>
      <w:tblPr>
        <w:tblStyle w:val="13"/>
        <w:tblpPr w:leftFromText="180" w:rightFromText="180" w:vertAnchor="text" w:horzAnchor="page" w:tblpX="1553" w:tblpY="847"/>
        <w:tblOverlap w:val="never"/>
        <w:tblW w:w="1340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45"/>
        <w:gridCol w:w="1260"/>
        <w:gridCol w:w="1111"/>
        <w:gridCol w:w="1110"/>
        <w:gridCol w:w="1260"/>
        <w:gridCol w:w="840"/>
        <w:gridCol w:w="1035"/>
        <w:gridCol w:w="1155"/>
        <w:gridCol w:w="1050"/>
        <w:gridCol w:w="1125"/>
        <w:gridCol w:w="1410"/>
        <w:gridCol w:w="10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0" w:hRule="atLeast"/>
        </w:trPr>
        <w:tc>
          <w:tcPr>
            <w:tcW w:w="13406" w:type="dxa"/>
            <w:gridSpan w:val="12"/>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黑体" w:hAnsi="宋体" w:eastAsia="黑体" w:cs="黑体"/>
                <w:i w:val="0"/>
                <w:iCs w:val="0"/>
                <w:color w:val="000000"/>
                <w:sz w:val="44"/>
                <w:szCs w:val="44"/>
                <w:u w:val="none"/>
              </w:rPr>
            </w:pPr>
            <w:r>
              <w:rPr>
                <w:rFonts w:hint="eastAsia" w:ascii="黑体" w:hAnsi="宋体" w:eastAsia="黑体" w:cs="黑体"/>
                <w:i w:val="0"/>
                <w:iCs w:val="0"/>
                <w:color w:val="000000"/>
                <w:kern w:val="0"/>
                <w:sz w:val="44"/>
                <w:szCs w:val="44"/>
                <w:u w:val="none"/>
                <w:lang w:val="en-US" w:eastAsia="zh-CN" w:bidi="ar"/>
              </w:rPr>
              <w:t>财政拨款“三公”经费支出决算表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trPr>
        <w:tc>
          <w:tcPr>
            <w:tcW w:w="1045"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26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111"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11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26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84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035"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155"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05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125"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415" w:type="dxa"/>
            <w:gridSpan w:val="2"/>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公开09表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70" w:hRule="atLeast"/>
        </w:trPr>
        <w:tc>
          <w:tcPr>
            <w:tcW w:w="3416" w:type="dxa"/>
            <w:gridSpan w:val="3"/>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部门：湖南省动物疫病预防控制中心</w:t>
            </w:r>
          </w:p>
        </w:tc>
        <w:tc>
          <w:tcPr>
            <w:tcW w:w="111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26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84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035"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155"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05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125"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415" w:type="dxa"/>
            <w:gridSpan w:val="2"/>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00" w:hRule="atLeast"/>
        </w:trPr>
        <w:tc>
          <w:tcPr>
            <w:tcW w:w="662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预算数</w:t>
            </w:r>
          </w:p>
        </w:tc>
        <w:tc>
          <w:tcPr>
            <w:tcW w:w="678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0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因公出国（境）费</w:t>
            </w:r>
          </w:p>
        </w:tc>
        <w:tc>
          <w:tcPr>
            <w:tcW w:w="34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公务用车购置及运行维护费</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公务接待费</w:t>
            </w:r>
          </w:p>
        </w:tc>
        <w:tc>
          <w:tcPr>
            <w:tcW w:w="10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11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因公出国（境）费</w:t>
            </w:r>
          </w:p>
        </w:tc>
        <w:tc>
          <w:tcPr>
            <w:tcW w:w="358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公务用车购置及运行维护费</w:t>
            </w: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公务接待费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0" w:hRule="atLeast"/>
        </w:trPr>
        <w:tc>
          <w:tcPr>
            <w:tcW w:w="10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公务用车购置费</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公务用车运行维护费</w:t>
            </w: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0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1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公务用车购置费</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公务用车运行维护费</w:t>
            </w: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1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0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10.60</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9.20</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9.20</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1.40</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10.49</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9.20</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9.20</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00" w:hRule="atLeast"/>
        </w:trPr>
        <w:tc>
          <w:tcPr>
            <w:tcW w:w="13406" w:type="dxa"/>
            <w:gridSpan w:val="1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注：本表反映部门本年度财政拨款“三公”经费支出预决算情况。其中，预算数为“三公”经费全年预算数，反映按规定程序调整后的预算数；决算数是包括当年财政拨款和以前年度结转资金安排的实际支出。</w:t>
            </w:r>
          </w:p>
        </w:tc>
      </w:tr>
    </w:tbl>
    <w:p>
      <w:pPr>
        <w:widowControl/>
        <w:jc w:val="both"/>
        <w:rPr>
          <w:rFonts w:ascii="Times New Roman" w:hAnsi="Times New Roman" w:eastAsia="方正小标宋_GBK" w:cs="Times New Roman"/>
          <w:color w:val="000000"/>
          <w:kern w:val="0"/>
          <w:sz w:val="36"/>
          <w:szCs w:val="21"/>
        </w:rPr>
      </w:pPr>
    </w:p>
    <w:p>
      <w:pPr>
        <w:widowControl/>
        <w:jc w:val="both"/>
        <w:rPr>
          <w:rFonts w:ascii="Times New Roman" w:hAnsi="Times New Roman" w:eastAsia="方正小标宋_GBK" w:cs="Times New Roman"/>
          <w:color w:val="000000"/>
          <w:kern w:val="0"/>
          <w:sz w:val="36"/>
          <w:szCs w:val="21"/>
        </w:rPr>
      </w:pPr>
    </w:p>
    <w:p>
      <w:pPr>
        <w:widowControl/>
        <w:jc w:val="left"/>
        <w:rPr>
          <w:sz w:val="72"/>
          <w:szCs w:val="72"/>
        </w:rPr>
        <w:sectPr>
          <w:pgSz w:w="16838" w:h="11906" w:orient="landscape"/>
          <w:pgMar w:top="720" w:right="720" w:bottom="720" w:left="720" w:header="851" w:footer="992" w:gutter="0"/>
          <w:cols w:space="425" w:num="1"/>
          <w:docGrid w:type="lines" w:linePitch="312" w:charSpace="0"/>
        </w:sectPr>
      </w:pPr>
      <w:bookmarkStart w:id="0" w:name="RANGE!A1:I22"/>
      <w:bookmarkEnd w:id="0"/>
      <w:r>
        <w:rPr>
          <w:rFonts w:ascii="黑体" w:hAnsi="黑体" w:eastAsia="黑体"/>
          <w:szCs w:val="21"/>
        </w:rPr>
        <w:br w:type="page"/>
      </w:r>
    </w:p>
    <w:p>
      <w:pPr>
        <w:pStyle w:val="19"/>
        <w:rPr>
          <w:sz w:val="72"/>
          <w:szCs w:val="72"/>
        </w:rPr>
      </w:pPr>
    </w:p>
    <w:p>
      <w:pPr>
        <w:pStyle w:val="19"/>
        <w:rPr>
          <w:sz w:val="72"/>
          <w:szCs w:val="72"/>
        </w:rPr>
      </w:pPr>
    </w:p>
    <w:p>
      <w:pPr>
        <w:pStyle w:val="19"/>
        <w:rPr>
          <w:sz w:val="72"/>
          <w:szCs w:val="72"/>
        </w:rPr>
      </w:pPr>
    </w:p>
    <w:p>
      <w:pPr>
        <w:pStyle w:val="19"/>
        <w:rPr>
          <w:sz w:val="72"/>
          <w:szCs w:val="72"/>
        </w:rPr>
      </w:pPr>
    </w:p>
    <w:p>
      <w:pPr>
        <w:pStyle w:val="19"/>
        <w:ind w:firstLine="2880" w:firstLineChars="400"/>
        <w:jc w:val="both"/>
        <w:rPr>
          <w:rFonts w:hint="eastAsia" w:ascii="方正小标宋_GBK" w:hAnsi="方正小标宋_GBK" w:eastAsia="方正小标宋_GBK" w:cs="方正小标宋_GBK"/>
          <w:sz w:val="72"/>
          <w:szCs w:val="72"/>
        </w:rPr>
      </w:pPr>
      <w:bookmarkStart w:id="1" w:name="OLE_LINK1"/>
      <w:r>
        <w:rPr>
          <w:rFonts w:hint="eastAsia" w:ascii="方正小标宋_GBK" w:hAnsi="方正小标宋_GBK" w:eastAsia="方正小标宋_GBK" w:cs="方正小标宋_GBK"/>
          <w:sz w:val="72"/>
          <w:szCs w:val="72"/>
        </w:rPr>
        <w:t>第三部分</w:t>
      </w:r>
    </w:p>
    <w:p>
      <w:pPr>
        <w:pStyle w:val="19"/>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3</w:t>
      </w:r>
      <w:r>
        <w:rPr>
          <w:rFonts w:hint="eastAsia" w:ascii="方正小标宋_GBK" w:hAnsi="方正小标宋_GBK" w:eastAsia="方正小标宋_GBK" w:cs="方正小标宋_GBK"/>
          <w:sz w:val="70"/>
          <w:szCs w:val="70"/>
        </w:rPr>
        <w:t>年度部门决算</w:t>
      </w:r>
    </w:p>
    <w:p>
      <w:pPr>
        <w:pStyle w:val="19"/>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情况说明</w:t>
      </w:r>
    </w:p>
    <w:bookmarkEnd w:id="1"/>
    <w:p>
      <w:pPr>
        <w:widowControl/>
        <w:jc w:val="center"/>
        <w:rPr>
          <w:rFonts w:asciiTheme="minorEastAsia" w:hAnsiTheme="minorEastAsia" w:eastAsiaTheme="minorEastAsia"/>
          <w:sz w:val="32"/>
          <w:szCs w:val="32"/>
        </w:rPr>
      </w:pPr>
      <w:r>
        <w:rPr>
          <w:rFonts w:hint="eastAsia" w:ascii="方正小标宋_GBK" w:hAnsi="方正小标宋_GBK" w:eastAsia="方正小标宋_GBK" w:cs="方正小标宋_GBK"/>
          <w:sz w:val="70"/>
          <w:szCs w:val="70"/>
        </w:rPr>
        <w:br w:type="page"/>
      </w:r>
    </w:p>
    <w:p>
      <w:pPr>
        <w:pStyle w:val="19"/>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pPr>
        <w:pStyle w:val="19"/>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Times New Roman" w:hAnsi="Times New Roman" w:eastAsia="仿宋_GB2312"/>
          <w:sz w:val="32"/>
          <w:szCs w:val="32"/>
          <w:highlight w:val="red"/>
          <w:lang w:val="en-US" w:eastAsia="zh-CN"/>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年度收、支总计</w:t>
      </w:r>
      <w:r>
        <w:rPr>
          <w:rFonts w:hint="eastAsia" w:ascii="Times New Roman" w:hAnsi="Times New Roman" w:eastAsia="仿宋_GB2312"/>
          <w:sz w:val="32"/>
          <w:szCs w:val="32"/>
          <w:lang w:val="en-US" w:eastAsia="zh-CN"/>
        </w:rPr>
        <w:t>1978.75</w:t>
      </w:r>
      <w:r>
        <w:rPr>
          <w:rFonts w:hint="eastAsia" w:ascii="Times New Roman" w:hAnsi="Times New Roman" w:eastAsia="仿宋_GB2312"/>
          <w:sz w:val="32"/>
          <w:szCs w:val="32"/>
        </w:rPr>
        <w:t>万元。与上年相比，增加</w:t>
      </w:r>
      <w:r>
        <w:rPr>
          <w:rFonts w:hint="eastAsia" w:ascii="Times New Roman" w:hAnsi="Times New Roman" w:eastAsia="仿宋_GB2312"/>
          <w:sz w:val="32"/>
          <w:szCs w:val="32"/>
          <w:lang w:val="en-US" w:eastAsia="zh-CN"/>
        </w:rPr>
        <w:t>121.07</w:t>
      </w:r>
      <w:r>
        <w:rPr>
          <w:rFonts w:hint="eastAsia" w:ascii="Times New Roman" w:hAnsi="Times New Roman" w:eastAsia="仿宋_GB2312"/>
          <w:sz w:val="32"/>
          <w:szCs w:val="32"/>
        </w:rPr>
        <w:t>万元，增长</w:t>
      </w:r>
      <w:r>
        <w:rPr>
          <w:rFonts w:hint="eastAsia" w:ascii="Times New Roman" w:hAnsi="Times New Roman" w:eastAsia="仿宋_GB2312"/>
          <w:sz w:val="32"/>
          <w:szCs w:val="32"/>
          <w:lang w:val="en-US" w:eastAsia="zh-CN"/>
        </w:rPr>
        <w:t>6.52</w:t>
      </w:r>
      <w:r>
        <w:rPr>
          <w:rFonts w:hint="eastAsia" w:ascii="Times New Roman" w:hAnsi="Times New Roman" w:eastAsia="仿宋_GB2312"/>
          <w:sz w:val="32"/>
          <w:szCs w:val="32"/>
        </w:rPr>
        <w:t>%，主要</w:t>
      </w:r>
      <w:r>
        <w:rPr>
          <w:rFonts w:hint="eastAsia" w:ascii="Times New Roman" w:hAnsi="Times New Roman" w:eastAsia="仿宋_GB2312"/>
          <w:color w:val="auto"/>
          <w:sz w:val="32"/>
          <w:szCs w:val="32"/>
          <w:highlight w:val="none"/>
        </w:rPr>
        <w:t>是因为</w:t>
      </w:r>
      <w:r>
        <w:rPr>
          <w:rFonts w:hint="eastAsia" w:ascii="Times New Roman" w:hAnsi="Times New Roman" w:eastAsia="仿宋_GB2312"/>
          <w:color w:val="auto"/>
          <w:sz w:val="32"/>
          <w:szCs w:val="32"/>
          <w:highlight w:val="none"/>
          <w:lang w:val="en-US" w:eastAsia="zh-CN"/>
        </w:rPr>
        <w:t>人员经费增加绩效工资补助120.06万元。</w:t>
      </w:r>
    </w:p>
    <w:p>
      <w:pPr>
        <w:pStyle w:val="19"/>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pPr>
        <w:pStyle w:val="19"/>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年度收入合计</w:t>
      </w:r>
      <w:r>
        <w:rPr>
          <w:rFonts w:hint="eastAsia" w:ascii="Times New Roman" w:hAnsi="Times New Roman" w:eastAsia="仿宋_GB2312"/>
          <w:sz w:val="32"/>
          <w:szCs w:val="32"/>
          <w:lang w:val="en-US" w:eastAsia="zh-CN"/>
        </w:rPr>
        <w:t>1763.77</w:t>
      </w:r>
      <w:r>
        <w:rPr>
          <w:rFonts w:hint="eastAsia" w:ascii="Times New Roman" w:hAnsi="Times New Roman" w:eastAsia="仿宋_GB2312"/>
          <w:sz w:val="32"/>
          <w:szCs w:val="32"/>
        </w:rPr>
        <w:t>万元，其中：财政拨款收入</w:t>
      </w:r>
      <w:r>
        <w:rPr>
          <w:rFonts w:hint="eastAsia" w:ascii="Times New Roman" w:hAnsi="Times New Roman" w:eastAsia="仿宋_GB2312"/>
          <w:sz w:val="32"/>
          <w:szCs w:val="32"/>
          <w:lang w:val="en-US" w:eastAsia="zh-CN"/>
        </w:rPr>
        <w:t>1763.77</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%；上级补助收入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%；事业收入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%；经营收入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%；附属单位上缴收入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%；其他收入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w:t>
      </w:r>
    </w:p>
    <w:p>
      <w:pPr>
        <w:pStyle w:val="19"/>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pPr>
        <w:pStyle w:val="19"/>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年度支出合计</w:t>
      </w:r>
      <w:r>
        <w:rPr>
          <w:rFonts w:hint="eastAsia" w:ascii="Times New Roman" w:hAnsi="Times New Roman" w:eastAsia="仿宋_GB2312"/>
          <w:sz w:val="32"/>
          <w:szCs w:val="32"/>
          <w:lang w:val="en-US" w:eastAsia="zh-CN"/>
        </w:rPr>
        <w:t>1875.53</w:t>
      </w:r>
      <w:r>
        <w:rPr>
          <w:rFonts w:hint="eastAsia" w:ascii="Times New Roman" w:hAnsi="Times New Roman" w:eastAsia="仿宋_GB2312"/>
          <w:sz w:val="32"/>
          <w:szCs w:val="32"/>
        </w:rPr>
        <w:t>万元，其中：基本支出</w:t>
      </w:r>
      <w:r>
        <w:rPr>
          <w:rFonts w:hint="eastAsia" w:ascii="Times New Roman" w:hAnsi="Times New Roman" w:eastAsia="仿宋_GB2312"/>
          <w:sz w:val="32"/>
          <w:szCs w:val="32"/>
          <w:lang w:val="en-US" w:eastAsia="zh-CN"/>
        </w:rPr>
        <w:t>700.52</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37.35</w:t>
      </w:r>
      <w:r>
        <w:rPr>
          <w:rFonts w:hint="eastAsia" w:ascii="Times New Roman" w:hAnsi="Times New Roman" w:eastAsia="仿宋_GB2312"/>
          <w:sz w:val="32"/>
          <w:szCs w:val="32"/>
        </w:rPr>
        <w:t>%；项目支出</w:t>
      </w:r>
      <w:r>
        <w:rPr>
          <w:rFonts w:hint="eastAsia" w:ascii="Times New Roman" w:hAnsi="Times New Roman" w:eastAsia="仿宋_GB2312"/>
          <w:sz w:val="32"/>
          <w:szCs w:val="32"/>
          <w:lang w:val="en-US" w:eastAsia="zh-CN"/>
        </w:rPr>
        <w:t>1175.01</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62.65</w:t>
      </w:r>
      <w:r>
        <w:rPr>
          <w:rFonts w:hint="eastAsia" w:ascii="Times New Roman" w:hAnsi="Times New Roman" w:eastAsia="仿宋_GB2312"/>
          <w:sz w:val="32"/>
          <w:szCs w:val="32"/>
        </w:rPr>
        <w:t>%；上缴上级支出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%；经营支出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%；对附属单位补助支出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w:t>
      </w:r>
    </w:p>
    <w:p>
      <w:pPr>
        <w:pStyle w:val="19"/>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pPr>
        <w:pStyle w:val="19"/>
        <w:keepNext w:val="0"/>
        <w:keepLines w:val="0"/>
        <w:pageBreakBefore w:val="0"/>
        <w:widowControl w:val="0"/>
        <w:kinsoku/>
        <w:wordWrap/>
        <w:overflowPunct/>
        <w:topLinePunct w:val="0"/>
        <w:bidi w:val="0"/>
        <w:snapToGrid/>
        <w:spacing w:line="60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 xml:space="preserve">    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年度财政拨款收、支总计</w:t>
      </w:r>
      <w:r>
        <w:rPr>
          <w:rFonts w:hint="eastAsia" w:ascii="仿宋_GB2312" w:hAnsi="仿宋_GB2312" w:eastAsia="仿宋_GB2312" w:cs="仿宋_GB2312"/>
          <w:sz w:val="32"/>
          <w:szCs w:val="32"/>
          <w:lang w:val="en-US" w:eastAsia="zh-CN"/>
        </w:rPr>
        <w:t>1978.75</w:t>
      </w:r>
      <w:r>
        <w:rPr>
          <w:rFonts w:hint="eastAsia" w:ascii="仿宋_GB2312" w:hAnsi="仿宋_GB2312" w:eastAsia="仿宋_GB2312" w:cs="仿宋_GB2312"/>
          <w:sz w:val="32"/>
          <w:szCs w:val="32"/>
        </w:rPr>
        <w:t>万元，与上年相比，增加</w:t>
      </w:r>
      <w:r>
        <w:rPr>
          <w:rFonts w:hint="eastAsia" w:ascii="仿宋_GB2312" w:hAnsi="仿宋_GB2312" w:eastAsia="仿宋_GB2312" w:cs="仿宋_GB2312"/>
          <w:sz w:val="32"/>
          <w:szCs w:val="32"/>
          <w:lang w:val="en-US" w:eastAsia="zh-CN"/>
        </w:rPr>
        <w:t>121.07</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6.11</w:t>
      </w:r>
      <w:r>
        <w:rPr>
          <w:rFonts w:hint="eastAsia" w:ascii="仿宋_GB2312" w:hAnsi="仿宋_GB2312" w:eastAsia="仿宋_GB2312" w:cs="仿宋_GB2312"/>
          <w:sz w:val="32"/>
          <w:szCs w:val="32"/>
        </w:rPr>
        <w:t>%，</w:t>
      </w:r>
      <w:r>
        <w:rPr>
          <w:rFonts w:hint="eastAsia" w:ascii="Times New Roman" w:hAnsi="Times New Roman" w:eastAsia="仿宋_GB2312"/>
          <w:sz w:val="32"/>
          <w:szCs w:val="32"/>
        </w:rPr>
        <w:t>主要</w:t>
      </w:r>
      <w:r>
        <w:rPr>
          <w:rFonts w:hint="eastAsia" w:ascii="Times New Roman" w:hAnsi="Times New Roman" w:eastAsia="仿宋_GB2312"/>
          <w:color w:val="auto"/>
          <w:sz w:val="32"/>
          <w:szCs w:val="32"/>
          <w:highlight w:val="none"/>
        </w:rPr>
        <w:t>是因为</w:t>
      </w:r>
      <w:r>
        <w:rPr>
          <w:rFonts w:hint="eastAsia" w:ascii="Times New Roman" w:hAnsi="Times New Roman" w:eastAsia="仿宋_GB2312"/>
          <w:color w:val="auto"/>
          <w:sz w:val="32"/>
          <w:szCs w:val="32"/>
          <w:highlight w:val="none"/>
          <w:lang w:val="en-US" w:eastAsia="zh-CN"/>
        </w:rPr>
        <w:t>人员经费增加绩效工资补助120.06万元。</w:t>
      </w:r>
    </w:p>
    <w:p>
      <w:pPr>
        <w:pStyle w:val="19"/>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pPr>
        <w:pStyle w:val="19"/>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（一）一般公共预算财政拨款支出决算总体情况</w:t>
      </w:r>
    </w:p>
    <w:p>
      <w:pPr>
        <w:pStyle w:val="19"/>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年度财政拨款支出</w:t>
      </w:r>
      <w:r>
        <w:rPr>
          <w:rFonts w:hint="eastAsia" w:ascii="Times New Roman" w:hAnsi="Times New Roman" w:eastAsia="仿宋_GB2312"/>
          <w:sz w:val="32"/>
          <w:szCs w:val="32"/>
          <w:lang w:val="en-US" w:eastAsia="zh-CN"/>
        </w:rPr>
        <w:t>1875.53</w:t>
      </w:r>
      <w:r>
        <w:rPr>
          <w:rFonts w:hint="eastAsia" w:ascii="Times New Roman" w:hAnsi="Times New Roman" w:eastAsia="仿宋_GB2312"/>
          <w:sz w:val="32"/>
          <w:szCs w:val="32"/>
        </w:rPr>
        <w:t>万元，占本年支出合计的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%，与上年相比，财政拨款支出增加</w:t>
      </w:r>
      <w:r>
        <w:rPr>
          <w:rFonts w:hint="eastAsia" w:ascii="Times New Roman" w:hAnsi="Times New Roman" w:eastAsia="仿宋_GB2312"/>
          <w:sz w:val="32"/>
          <w:szCs w:val="32"/>
          <w:lang w:val="en-US" w:eastAsia="zh-CN"/>
        </w:rPr>
        <w:t>261.78</w:t>
      </w:r>
      <w:r>
        <w:rPr>
          <w:rFonts w:hint="eastAsia" w:ascii="Times New Roman" w:hAnsi="Times New Roman" w:eastAsia="仿宋_GB2312"/>
          <w:sz w:val="32"/>
          <w:szCs w:val="32"/>
        </w:rPr>
        <w:t>万元，增长</w:t>
      </w:r>
      <w:r>
        <w:rPr>
          <w:rFonts w:hint="eastAsia" w:ascii="Times New Roman" w:hAnsi="Times New Roman" w:eastAsia="仿宋_GB2312"/>
          <w:sz w:val="32"/>
          <w:szCs w:val="32"/>
          <w:lang w:val="en-US" w:eastAsia="zh-CN"/>
        </w:rPr>
        <w:t>16</w:t>
      </w:r>
      <w:r>
        <w:rPr>
          <w:rFonts w:hint="eastAsia" w:ascii="Times New Roman" w:hAnsi="Times New Roman" w:eastAsia="仿宋_GB2312"/>
          <w:sz w:val="32"/>
          <w:szCs w:val="32"/>
        </w:rPr>
        <w:t>%，</w:t>
      </w:r>
      <w:r>
        <w:rPr>
          <w:rFonts w:hint="eastAsia" w:ascii="Times New Roman" w:hAnsi="Times New Roman" w:eastAsia="仿宋_GB2312"/>
          <w:sz w:val="32"/>
          <w:szCs w:val="32"/>
          <w:highlight w:val="none"/>
        </w:rPr>
        <w:t>主要是因</w:t>
      </w:r>
      <w:r>
        <w:rPr>
          <w:rFonts w:hint="eastAsia" w:ascii="Times New Roman" w:hAnsi="Times New Roman" w:eastAsia="仿宋_GB2312"/>
          <w:sz w:val="32"/>
          <w:szCs w:val="32"/>
          <w:highlight w:val="none"/>
          <w:lang w:eastAsia="zh-CN"/>
        </w:rPr>
        <w:t>为：</w:t>
      </w:r>
      <w:r>
        <w:rPr>
          <w:rFonts w:hint="eastAsia" w:ascii="Times New Roman" w:hAnsi="Times New Roman" w:eastAsia="仿宋_GB2312"/>
          <w:sz w:val="32"/>
          <w:szCs w:val="32"/>
          <w:highlight w:val="none"/>
          <w:lang w:val="en-US" w:eastAsia="zh-CN"/>
        </w:rPr>
        <w:t>1、2023年加快业务工作进度，支出了2022年结转的专项资金120.16万元；2、2023年度湖南省主要动物疫病监测与流调专项增加支出42.16万元；3、2023年人员经费中绩效工资支出增加106.00万元。</w:t>
      </w:r>
    </w:p>
    <w:p>
      <w:pPr>
        <w:pStyle w:val="19"/>
        <w:keepNext w:val="0"/>
        <w:keepLines w:val="0"/>
        <w:pageBreakBefore w:val="0"/>
        <w:widowControl w:val="0"/>
        <w:kinsoku/>
        <w:wordWrap/>
        <w:overflowPunct/>
        <w:topLinePunct w:val="0"/>
        <w:bidi w:val="0"/>
        <w:snapToGrid/>
        <w:spacing w:line="600" w:lineRule="exact"/>
        <w:ind w:firstLine="480" w:firstLineChars="15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（二）一般公共预算财政拨款支出决算结构情况</w:t>
      </w:r>
    </w:p>
    <w:p>
      <w:pPr>
        <w:pStyle w:val="19"/>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年度财政拨款支出</w:t>
      </w:r>
      <w:r>
        <w:rPr>
          <w:rFonts w:hint="eastAsia" w:ascii="Times New Roman" w:hAnsi="Times New Roman" w:eastAsia="仿宋_GB2312"/>
          <w:sz w:val="32"/>
          <w:szCs w:val="32"/>
          <w:lang w:val="en-US" w:eastAsia="zh-CN"/>
        </w:rPr>
        <w:t>1875.53</w:t>
      </w:r>
      <w:r>
        <w:rPr>
          <w:rFonts w:hint="eastAsia" w:ascii="Times New Roman" w:hAnsi="Times New Roman" w:eastAsia="仿宋_GB2312"/>
          <w:sz w:val="32"/>
          <w:szCs w:val="32"/>
        </w:rPr>
        <w:t>万元，主要用于以下方面：一般公共服务（类）支出</w:t>
      </w:r>
      <w:r>
        <w:rPr>
          <w:rFonts w:hint="eastAsia" w:ascii="Times New Roman" w:hAnsi="Times New Roman" w:eastAsia="仿宋_GB2312"/>
          <w:sz w:val="32"/>
          <w:szCs w:val="32"/>
          <w:lang w:val="en-US" w:eastAsia="zh-CN"/>
        </w:rPr>
        <w:t>6.25</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0.33</w:t>
      </w:r>
      <w:r>
        <w:rPr>
          <w:rFonts w:hint="eastAsia" w:ascii="Times New Roman" w:hAnsi="Times New Roman" w:eastAsia="仿宋_GB2312"/>
          <w:sz w:val="32"/>
          <w:szCs w:val="32"/>
        </w:rPr>
        <w:t>%；</w:t>
      </w:r>
      <w:r>
        <w:rPr>
          <w:rFonts w:hint="eastAsia" w:ascii="Times New Roman" w:hAnsi="Times New Roman" w:eastAsia="仿宋_GB2312"/>
          <w:sz w:val="32"/>
          <w:szCs w:val="32"/>
          <w:highlight w:val="none"/>
          <w:lang w:eastAsia="zh-CN"/>
        </w:rPr>
        <w:t>社会保障和就业（类）</w:t>
      </w:r>
      <w:r>
        <w:rPr>
          <w:rFonts w:hint="eastAsia" w:ascii="Times New Roman" w:hAnsi="Times New Roman" w:eastAsia="仿宋_GB2312"/>
          <w:sz w:val="32"/>
          <w:szCs w:val="32"/>
          <w:highlight w:val="none"/>
        </w:rPr>
        <w:t>支出</w:t>
      </w:r>
      <w:r>
        <w:rPr>
          <w:rFonts w:hint="eastAsia" w:ascii="Times New Roman" w:hAnsi="Times New Roman" w:eastAsia="仿宋_GB2312"/>
          <w:sz w:val="32"/>
          <w:szCs w:val="32"/>
          <w:highlight w:val="none"/>
          <w:lang w:val="en-US" w:eastAsia="zh-CN"/>
        </w:rPr>
        <w:t>34</w:t>
      </w:r>
      <w:r>
        <w:rPr>
          <w:rFonts w:hint="eastAsia" w:ascii="Times New Roman" w:hAnsi="Times New Roman" w:eastAsia="仿宋_GB2312"/>
          <w:sz w:val="32"/>
          <w:szCs w:val="32"/>
          <w:highlight w:val="none"/>
        </w:rPr>
        <w:t>万元</w:t>
      </w:r>
      <w:r>
        <w:rPr>
          <w:rFonts w:hint="eastAsia" w:ascii="Times New Roman" w:hAnsi="Times New Roman" w:eastAsia="仿宋_GB2312"/>
          <w:sz w:val="32"/>
          <w:szCs w:val="32"/>
        </w:rPr>
        <w:t>，占</w:t>
      </w:r>
      <w:r>
        <w:rPr>
          <w:rFonts w:hint="eastAsia" w:ascii="Times New Roman" w:hAnsi="Times New Roman" w:eastAsia="仿宋_GB2312"/>
          <w:sz w:val="32"/>
          <w:szCs w:val="32"/>
          <w:lang w:val="en-US" w:eastAsia="zh-CN"/>
        </w:rPr>
        <w:t>1.81</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；农林水（类）支出</w:t>
      </w:r>
      <w:r>
        <w:rPr>
          <w:rFonts w:hint="eastAsia" w:ascii="Times New Roman" w:hAnsi="Times New Roman" w:eastAsia="仿宋_GB2312"/>
          <w:sz w:val="32"/>
          <w:szCs w:val="32"/>
          <w:lang w:val="en-US" w:eastAsia="zh-CN"/>
        </w:rPr>
        <w:t>1832.76万元，占97.72%；住房保障（类）支出2.52万元，占0.14%</w:t>
      </w:r>
      <w:r>
        <w:rPr>
          <w:rFonts w:hint="eastAsia" w:ascii="Times New Roman" w:hAnsi="Times New Roman" w:eastAsia="仿宋_GB2312"/>
          <w:sz w:val="32"/>
          <w:szCs w:val="32"/>
          <w:lang w:eastAsia="zh-CN"/>
        </w:rPr>
        <w:t>。</w:t>
      </w:r>
    </w:p>
    <w:p>
      <w:pPr>
        <w:pStyle w:val="19"/>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（三）一般公共预算财政拨款支出决算具体情况</w:t>
      </w:r>
    </w:p>
    <w:p>
      <w:pPr>
        <w:pStyle w:val="19"/>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年度财政拨款支出年初预算数为</w:t>
      </w:r>
      <w:r>
        <w:rPr>
          <w:rFonts w:hint="eastAsia" w:ascii="Times New Roman" w:hAnsi="Times New Roman" w:eastAsia="仿宋_GB2312"/>
          <w:sz w:val="32"/>
          <w:szCs w:val="32"/>
          <w:lang w:val="en-US" w:eastAsia="zh-CN"/>
        </w:rPr>
        <w:t>1824.01</w:t>
      </w:r>
      <w:r>
        <w:rPr>
          <w:rFonts w:hint="eastAsia" w:ascii="Times New Roman" w:hAnsi="Times New Roman" w:eastAsia="仿宋_GB2312"/>
          <w:sz w:val="32"/>
          <w:szCs w:val="32"/>
        </w:rPr>
        <w:t>万元，支出决算数为</w:t>
      </w:r>
      <w:r>
        <w:rPr>
          <w:rFonts w:hint="eastAsia" w:ascii="Times New Roman" w:hAnsi="Times New Roman" w:eastAsia="仿宋_GB2312"/>
          <w:sz w:val="32"/>
          <w:szCs w:val="32"/>
          <w:lang w:val="en-US" w:eastAsia="zh-CN"/>
        </w:rPr>
        <w:t>1875.53</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102.82</w:t>
      </w:r>
      <w:r>
        <w:rPr>
          <w:rFonts w:hint="eastAsia" w:ascii="Times New Roman" w:hAnsi="Times New Roman" w:eastAsia="仿宋_GB2312"/>
          <w:sz w:val="32"/>
          <w:szCs w:val="32"/>
        </w:rPr>
        <w:t>%，其中：</w:t>
      </w:r>
    </w:p>
    <w:p>
      <w:pPr>
        <w:pStyle w:val="19"/>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highlight w:val="none"/>
        </w:rPr>
        <w:t>1、一般公共服务（类）</w:t>
      </w:r>
      <w:r>
        <w:rPr>
          <w:rFonts w:hint="eastAsia" w:ascii="Times New Roman" w:hAnsi="Times New Roman" w:eastAsia="仿宋_GB2312"/>
          <w:sz w:val="32"/>
          <w:szCs w:val="32"/>
          <w:highlight w:val="none"/>
          <w:lang w:eastAsia="zh-CN"/>
        </w:rPr>
        <w:t>市场监督管理事务</w:t>
      </w:r>
      <w:r>
        <w:rPr>
          <w:rFonts w:hint="eastAsia" w:ascii="Times New Roman" w:hAnsi="Times New Roman" w:eastAsia="仿宋_GB2312"/>
          <w:sz w:val="32"/>
          <w:szCs w:val="32"/>
          <w:highlight w:val="none"/>
        </w:rPr>
        <w:t>（款）</w:t>
      </w:r>
      <w:r>
        <w:rPr>
          <w:rFonts w:hint="eastAsia" w:ascii="Times New Roman" w:hAnsi="Times New Roman" w:eastAsia="仿宋_GB2312"/>
          <w:sz w:val="32"/>
          <w:szCs w:val="32"/>
          <w:highlight w:val="none"/>
          <w:lang w:eastAsia="zh-CN"/>
        </w:rPr>
        <w:t>质量基础</w:t>
      </w:r>
      <w:r>
        <w:rPr>
          <w:rFonts w:hint="eastAsia" w:ascii="Times New Roman" w:hAnsi="Times New Roman" w:eastAsia="仿宋_GB2312"/>
          <w:sz w:val="32"/>
          <w:szCs w:val="32"/>
          <w:highlight w:val="none"/>
        </w:rPr>
        <w:t>（项）</w:t>
      </w:r>
      <w:r>
        <w:rPr>
          <w:rFonts w:hint="eastAsia" w:ascii="Times New Roman" w:hAnsi="Times New Roman" w:eastAsia="仿宋_GB2312"/>
          <w:sz w:val="32"/>
          <w:szCs w:val="32"/>
        </w:rPr>
        <w:t>。</w:t>
      </w:r>
    </w:p>
    <w:p>
      <w:pPr>
        <w:pStyle w:val="19"/>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6.25</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6.25</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p>
    <w:p>
      <w:pPr>
        <w:pStyle w:val="19"/>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2、</w:t>
      </w:r>
      <w:r>
        <w:rPr>
          <w:rFonts w:hint="eastAsia" w:ascii="Times New Roman" w:hAnsi="Times New Roman" w:eastAsia="仿宋_GB2312"/>
          <w:sz w:val="32"/>
          <w:szCs w:val="32"/>
          <w:highlight w:val="none"/>
          <w:lang w:eastAsia="zh-CN"/>
        </w:rPr>
        <w:t>社会保障和就业</w:t>
      </w:r>
      <w:r>
        <w:rPr>
          <w:rFonts w:hint="eastAsia" w:ascii="Times New Roman" w:hAnsi="Times New Roman" w:eastAsia="仿宋_GB2312"/>
          <w:sz w:val="32"/>
          <w:szCs w:val="32"/>
          <w:highlight w:val="none"/>
        </w:rPr>
        <w:t>（类）</w:t>
      </w:r>
      <w:r>
        <w:rPr>
          <w:rFonts w:hint="eastAsia" w:ascii="Times New Roman" w:hAnsi="Times New Roman" w:eastAsia="仿宋_GB2312"/>
          <w:sz w:val="32"/>
          <w:szCs w:val="32"/>
          <w:highlight w:val="none"/>
          <w:lang w:eastAsia="zh-CN"/>
        </w:rPr>
        <w:t>行政事业单位养老</w:t>
      </w:r>
      <w:r>
        <w:rPr>
          <w:rFonts w:hint="eastAsia" w:ascii="Times New Roman" w:hAnsi="Times New Roman" w:eastAsia="仿宋_GB2312"/>
          <w:sz w:val="32"/>
          <w:szCs w:val="32"/>
          <w:highlight w:val="none"/>
        </w:rPr>
        <w:t>（款）</w:t>
      </w:r>
      <w:r>
        <w:rPr>
          <w:rFonts w:hint="eastAsia" w:ascii="Times New Roman" w:hAnsi="Times New Roman" w:eastAsia="仿宋_GB2312"/>
          <w:sz w:val="32"/>
          <w:szCs w:val="32"/>
          <w:highlight w:val="none"/>
          <w:lang w:eastAsia="zh-CN"/>
        </w:rPr>
        <w:t>机关事业单位基本养老保险缴费</w:t>
      </w:r>
      <w:r>
        <w:rPr>
          <w:rFonts w:hint="eastAsia" w:ascii="Times New Roman" w:hAnsi="Times New Roman" w:eastAsia="仿宋_GB2312"/>
          <w:sz w:val="32"/>
          <w:szCs w:val="32"/>
          <w:highlight w:val="none"/>
        </w:rPr>
        <w:t>（项）。</w:t>
      </w:r>
    </w:p>
    <w:p>
      <w:pPr>
        <w:pStyle w:val="19"/>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34.00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34.00</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p>
    <w:p>
      <w:pPr>
        <w:pStyle w:val="19"/>
        <w:numPr>
          <w:ilvl w:val="0"/>
          <w:numId w:val="0"/>
        </w:numPr>
        <w:spacing w:line="600" w:lineRule="exact"/>
        <w:ind w:firstLine="640" w:firstLineChars="200"/>
        <w:jc w:val="both"/>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highlight w:val="none"/>
          <w:lang w:val="en-US" w:eastAsia="zh-CN"/>
        </w:rPr>
        <w:t>、住房保障（类）住房改革（款）购房补贴</w:t>
      </w:r>
      <w:r>
        <w:rPr>
          <w:rFonts w:hint="eastAsia" w:ascii="Times New Roman" w:hAnsi="Times New Roman" w:eastAsia="仿宋_GB2312"/>
          <w:sz w:val="32"/>
          <w:szCs w:val="32"/>
          <w:lang w:val="en-US" w:eastAsia="zh-CN"/>
        </w:rPr>
        <w:t>（项）。</w:t>
      </w:r>
    </w:p>
    <w:p>
      <w:pPr>
        <w:pStyle w:val="19"/>
        <w:numPr>
          <w:ilvl w:val="0"/>
          <w:numId w:val="0"/>
        </w:numPr>
        <w:spacing w:line="600" w:lineRule="exact"/>
        <w:jc w:val="both"/>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 xml:space="preserve">    年初预算为0万元，决算支出2.52万元，决算数大于年初预算数的主要原因是：年中追加购房补贴2.52万元。</w:t>
      </w:r>
    </w:p>
    <w:p>
      <w:pPr>
        <w:pStyle w:val="19"/>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4、农林水（类）农业农村（款）行政运行（项）。</w:t>
      </w:r>
    </w:p>
    <w:p>
      <w:pPr>
        <w:pStyle w:val="19"/>
        <w:spacing w:line="600" w:lineRule="exact"/>
        <w:ind w:firstLine="800" w:firstLineChars="250"/>
        <w:jc w:val="both"/>
        <w:rPr>
          <w:rFonts w:ascii="Times New Roman" w:hAnsi="Times New Roman" w:eastAsia="仿宋_GB2312"/>
          <w:sz w:val="32"/>
          <w:szCs w:val="32"/>
          <w:highlight w:val="red"/>
        </w:rPr>
      </w:pPr>
      <w:r>
        <w:rPr>
          <w:rFonts w:hint="eastAsia" w:ascii="Times New Roman" w:hAnsi="Times New Roman" w:eastAsia="仿宋_GB2312"/>
          <w:sz w:val="32"/>
          <w:szCs w:val="32"/>
          <w:lang w:val="en-US" w:eastAsia="zh-CN"/>
        </w:rPr>
        <w:t>年初预算为0万元，支出决算为44.08万元，</w:t>
      </w:r>
      <w:bookmarkStart w:id="2" w:name="OLE_LINK2"/>
      <w:r>
        <w:rPr>
          <w:rFonts w:hint="eastAsia" w:ascii="Times New Roman" w:hAnsi="Times New Roman" w:eastAsia="仿宋_GB2312"/>
          <w:sz w:val="32"/>
          <w:szCs w:val="32"/>
        </w:rPr>
        <w:t>决算数大于年初预算数的主要原因是：</w:t>
      </w:r>
      <w:r>
        <w:rPr>
          <w:rFonts w:hint="eastAsia" w:ascii="Times New Roman" w:hAnsi="Times New Roman" w:eastAsia="仿宋_GB2312"/>
          <w:sz w:val="32"/>
          <w:szCs w:val="32"/>
          <w:highlight w:val="none"/>
        </w:rPr>
        <w:t>年中追加</w:t>
      </w:r>
      <w:r>
        <w:rPr>
          <w:rFonts w:hint="eastAsia" w:ascii="Times New Roman" w:hAnsi="Times New Roman" w:eastAsia="仿宋_GB2312"/>
          <w:color w:val="auto"/>
          <w:sz w:val="32"/>
          <w:szCs w:val="32"/>
          <w:highlight w:val="none"/>
          <w:lang w:val="en-US" w:eastAsia="zh-CN"/>
        </w:rPr>
        <w:t>省直事业单位经费补助</w:t>
      </w:r>
      <w:r>
        <w:rPr>
          <w:rFonts w:hint="eastAsia" w:ascii="Times New Roman" w:hAnsi="Times New Roman" w:eastAsia="仿宋_GB2312"/>
          <w:sz w:val="32"/>
          <w:szCs w:val="32"/>
          <w:highlight w:val="none"/>
          <w:lang w:val="en-US" w:eastAsia="zh-CN"/>
        </w:rPr>
        <w:t>120.06万元</w:t>
      </w:r>
      <w:r>
        <w:rPr>
          <w:rFonts w:hint="eastAsia" w:ascii="Times New Roman" w:hAnsi="Times New Roman" w:eastAsia="仿宋_GB2312"/>
          <w:sz w:val="32"/>
          <w:szCs w:val="32"/>
          <w:highlight w:val="none"/>
        </w:rPr>
        <w:t>。</w:t>
      </w:r>
    </w:p>
    <w:bookmarkEnd w:id="2"/>
    <w:p>
      <w:pPr>
        <w:pStyle w:val="19"/>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default"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lang w:val="en-US" w:eastAsia="zh-CN"/>
        </w:rPr>
        <w:t>5、农林水（类）农业农村（款）事业运行（项）。</w:t>
      </w:r>
    </w:p>
    <w:p>
      <w:pPr>
        <w:pStyle w:val="19"/>
        <w:spacing w:line="600" w:lineRule="exact"/>
        <w:ind w:firstLine="800" w:firstLineChars="250"/>
        <w:jc w:val="both"/>
        <w:rPr>
          <w:rFonts w:ascii="Times New Roman" w:hAnsi="Times New Roman" w:eastAsia="仿宋_GB2312"/>
          <w:sz w:val="32"/>
          <w:szCs w:val="32"/>
        </w:rPr>
      </w:pPr>
      <w:r>
        <w:rPr>
          <w:rFonts w:hint="eastAsia" w:ascii="Times New Roman" w:hAnsi="Times New Roman" w:eastAsia="仿宋_GB2312"/>
          <w:sz w:val="32"/>
          <w:szCs w:val="32"/>
          <w:lang w:val="en-US" w:eastAsia="zh-CN"/>
        </w:rPr>
        <w:t>年初预算为620.03万元，支出决算为619.92万元，完成年初预算的99.98%，</w:t>
      </w:r>
      <w:r>
        <w:rPr>
          <w:rFonts w:hint="eastAsia" w:ascii="Times New Roman" w:hAnsi="Times New Roman" w:eastAsia="仿宋_GB2312"/>
          <w:sz w:val="32"/>
          <w:szCs w:val="32"/>
        </w:rPr>
        <w:t>决算数小于年初预算数的主要原因是</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公务接待费结余0.</w:t>
      </w:r>
      <w:r>
        <w:rPr>
          <w:rFonts w:hint="eastAsia" w:ascii="Times New Roman" w:hAnsi="Times New Roman" w:eastAsia="仿宋_GB2312"/>
          <w:sz w:val="32"/>
          <w:szCs w:val="32"/>
          <w:lang w:val="en-US" w:eastAsia="zh-CN"/>
        </w:rPr>
        <w:t>11</w:t>
      </w:r>
      <w:r>
        <w:rPr>
          <w:rFonts w:hint="eastAsia" w:ascii="Times New Roman" w:hAnsi="Times New Roman" w:eastAsia="仿宋_GB2312"/>
          <w:sz w:val="32"/>
          <w:szCs w:val="32"/>
        </w:rPr>
        <w:t>万元。</w:t>
      </w:r>
    </w:p>
    <w:p>
      <w:pPr>
        <w:pStyle w:val="19"/>
        <w:spacing w:line="600" w:lineRule="exact"/>
        <w:ind w:firstLine="640" w:firstLineChars="200"/>
        <w:jc w:val="both"/>
        <w:rPr>
          <w:rFonts w:ascii="Times New Roman" w:hAnsi="Times New Roman" w:eastAsia="仿宋_GB2312"/>
          <w:sz w:val="32"/>
          <w:szCs w:val="32"/>
        </w:rPr>
      </w:pPr>
      <w:r>
        <w:rPr>
          <w:rFonts w:hint="eastAsia" w:ascii="Times New Roman" w:hAnsi="Times New Roman" w:eastAsia="仿宋_GB2312"/>
          <w:sz w:val="32"/>
          <w:szCs w:val="32"/>
          <w:highlight w:val="none"/>
          <w:lang w:val="en-US" w:eastAsia="zh-CN"/>
        </w:rPr>
        <w:t>6、</w:t>
      </w:r>
      <w:r>
        <w:rPr>
          <w:rFonts w:hint="eastAsia" w:ascii="Times New Roman" w:hAnsi="Times New Roman" w:eastAsia="仿宋_GB2312"/>
          <w:sz w:val="32"/>
          <w:szCs w:val="32"/>
          <w:highlight w:val="none"/>
        </w:rPr>
        <w:t>农林水（类）农业农村（款）科技转化与推广</w:t>
      </w:r>
      <w:r>
        <w:rPr>
          <w:rFonts w:hint="eastAsia" w:ascii="Times New Roman" w:hAnsi="Times New Roman" w:eastAsia="仿宋_GB2312"/>
          <w:sz w:val="32"/>
          <w:szCs w:val="32"/>
        </w:rPr>
        <w:t>服务（项）。</w:t>
      </w:r>
    </w:p>
    <w:p>
      <w:pPr>
        <w:pStyle w:val="19"/>
        <w:spacing w:line="600" w:lineRule="exact"/>
        <w:ind w:firstLine="800" w:firstLineChars="250"/>
        <w:jc w:val="both"/>
        <w:rPr>
          <w:rFonts w:ascii="Times New Roman" w:hAnsi="Times New Roman" w:eastAsia="仿宋_GB2312"/>
          <w:sz w:val="32"/>
          <w:szCs w:val="32"/>
          <w:highlight w:val="red"/>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14.87</w:t>
      </w:r>
      <w:r>
        <w:rPr>
          <w:rFonts w:hint="eastAsia" w:ascii="Times New Roman" w:hAnsi="Times New Roman" w:eastAsia="仿宋_GB2312"/>
          <w:sz w:val="32"/>
          <w:szCs w:val="32"/>
        </w:rPr>
        <w:t>万元，决算数大于年初预算数的主要原因是：</w:t>
      </w:r>
      <w:r>
        <w:rPr>
          <w:rFonts w:hint="eastAsia" w:ascii="Times New Roman" w:hAnsi="Times New Roman" w:eastAsia="仿宋_GB2312"/>
          <w:sz w:val="32"/>
          <w:szCs w:val="32"/>
          <w:highlight w:val="none"/>
        </w:rPr>
        <w:t>年中追加</w:t>
      </w:r>
      <w:r>
        <w:rPr>
          <w:rFonts w:hint="eastAsia" w:ascii="Times New Roman" w:hAnsi="Times New Roman" w:eastAsia="仿宋_GB2312"/>
          <w:color w:val="auto"/>
          <w:sz w:val="32"/>
          <w:szCs w:val="32"/>
          <w:highlight w:val="none"/>
          <w:lang w:val="en-US" w:eastAsia="zh-CN"/>
        </w:rPr>
        <w:t>重要农产品稳产保供（市县）专项40.00万元</w:t>
      </w:r>
      <w:r>
        <w:rPr>
          <w:rFonts w:hint="eastAsia" w:ascii="Times New Roman" w:hAnsi="Times New Roman" w:eastAsia="仿宋_GB2312"/>
          <w:color w:val="auto"/>
          <w:sz w:val="32"/>
          <w:szCs w:val="32"/>
          <w:highlight w:val="none"/>
        </w:rPr>
        <w:t>。</w:t>
      </w:r>
    </w:p>
    <w:p>
      <w:pPr>
        <w:pStyle w:val="19"/>
        <w:spacing w:line="600" w:lineRule="exact"/>
        <w:ind w:firstLine="640" w:firstLineChars="200"/>
        <w:jc w:val="both"/>
        <w:rPr>
          <w:rFonts w:ascii="Times New Roman" w:hAnsi="Times New Roman" w:eastAsia="仿宋_GB2312"/>
          <w:sz w:val="32"/>
          <w:szCs w:val="32"/>
        </w:rPr>
      </w:pPr>
      <w:r>
        <w:rPr>
          <w:rFonts w:hint="eastAsia" w:ascii="Times New Roman" w:hAnsi="Times New Roman" w:eastAsia="仿宋_GB2312"/>
          <w:sz w:val="32"/>
          <w:szCs w:val="32"/>
          <w:lang w:val="en-US" w:eastAsia="zh-CN"/>
        </w:rPr>
        <w:t>7、</w:t>
      </w:r>
      <w:r>
        <w:rPr>
          <w:rFonts w:hint="eastAsia" w:ascii="Times New Roman" w:hAnsi="Times New Roman" w:eastAsia="仿宋_GB2312"/>
          <w:sz w:val="32"/>
          <w:szCs w:val="32"/>
        </w:rPr>
        <w:t>农林水（类）农业农村（款）病虫害控制（项）。</w:t>
      </w:r>
    </w:p>
    <w:p>
      <w:pPr>
        <w:pStyle w:val="19"/>
        <w:spacing w:line="600" w:lineRule="exact"/>
        <w:ind w:firstLine="800" w:firstLineChars="250"/>
        <w:jc w:val="both"/>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632.16</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630.16</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99.68</w:t>
      </w:r>
      <w:r>
        <w:rPr>
          <w:rFonts w:hint="eastAsia" w:ascii="Times New Roman" w:hAnsi="Times New Roman" w:eastAsia="仿宋_GB2312"/>
          <w:sz w:val="32"/>
          <w:szCs w:val="32"/>
        </w:rPr>
        <w:t>%，</w:t>
      </w:r>
      <w:bookmarkStart w:id="3" w:name="OLE_LINK3"/>
      <w:r>
        <w:rPr>
          <w:rFonts w:hint="eastAsia" w:ascii="Times New Roman" w:hAnsi="Times New Roman" w:eastAsia="仿宋_GB2312"/>
          <w:sz w:val="32"/>
          <w:szCs w:val="32"/>
        </w:rPr>
        <w:t>决算数小于年初预算数的主要原因是：</w:t>
      </w:r>
      <w:bookmarkEnd w:id="3"/>
      <w:r>
        <w:rPr>
          <w:rFonts w:hint="eastAsia" w:ascii="Times New Roman" w:hAnsi="Times New Roman" w:eastAsia="仿宋_GB2312"/>
          <w:sz w:val="32"/>
          <w:szCs w:val="32"/>
          <w:lang w:val="en-US" w:eastAsia="zh-CN"/>
        </w:rPr>
        <w:t>培训费结余2.00万元。</w:t>
      </w:r>
    </w:p>
    <w:p>
      <w:pPr>
        <w:pStyle w:val="19"/>
        <w:spacing w:line="600" w:lineRule="exact"/>
        <w:ind w:firstLine="640" w:firstLineChars="200"/>
        <w:jc w:val="both"/>
        <w:rPr>
          <w:rFonts w:ascii="Times New Roman" w:hAnsi="Times New Roman" w:eastAsia="仿宋_GB2312"/>
          <w:color w:val="auto"/>
          <w:sz w:val="32"/>
          <w:szCs w:val="32"/>
        </w:rPr>
      </w:pPr>
      <w:r>
        <w:rPr>
          <w:rFonts w:hint="eastAsia" w:ascii="Times New Roman" w:hAnsi="Times New Roman" w:eastAsia="仿宋_GB2312"/>
          <w:color w:val="auto"/>
          <w:sz w:val="32"/>
          <w:szCs w:val="32"/>
          <w:lang w:val="en-US" w:eastAsia="zh-CN"/>
        </w:rPr>
        <w:t>8、</w:t>
      </w:r>
      <w:r>
        <w:rPr>
          <w:rFonts w:hint="eastAsia" w:ascii="Times New Roman" w:hAnsi="Times New Roman" w:eastAsia="仿宋_GB2312"/>
          <w:color w:val="auto"/>
          <w:sz w:val="32"/>
          <w:szCs w:val="32"/>
        </w:rPr>
        <w:t>农林水支出（类）农业农村（款）农业生产发展（项）。</w:t>
      </w:r>
    </w:p>
    <w:p>
      <w:pPr>
        <w:pStyle w:val="19"/>
        <w:spacing w:line="600" w:lineRule="exact"/>
        <w:ind w:firstLine="800" w:firstLineChars="250"/>
        <w:jc w:val="both"/>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510.11</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502.27</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98.46</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决算数小于年初预算数的主要原因是：</w:t>
      </w:r>
      <w:r>
        <w:rPr>
          <w:rFonts w:hint="eastAsia" w:ascii="Times New Roman" w:hAnsi="Times New Roman" w:eastAsia="仿宋_GB2312"/>
          <w:sz w:val="32"/>
          <w:szCs w:val="32"/>
          <w:lang w:val="en-US" w:eastAsia="zh-CN"/>
        </w:rPr>
        <w:t xml:space="preserve">2022年非税短收7.84万元，2023年财政按规定收回指标7.84万元。  </w:t>
      </w:r>
    </w:p>
    <w:p>
      <w:pPr>
        <w:pStyle w:val="19"/>
        <w:spacing w:line="600" w:lineRule="exact"/>
        <w:ind w:firstLine="800" w:firstLineChars="250"/>
        <w:jc w:val="both"/>
        <w:rPr>
          <w:rFonts w:ascii="Times New Roman" w:hAnsi="Times New Roman" w:eastAsia="仿宋_GB2312"/>
          <w:sz w:val="32"/>
          <w:szCs w:val="32"/>
        </w:rPr>
      </w:pPr>
      <w:r>
        <w:rPr>
          <w:rFonts w:hint="eastAsia" w:ascii="Times New Roman" w:hAnsi="Times New Roman" w:eastAsia="仿宋_GB2312"/>
          <w:sz w:val="32"/>
          <w:szCs w:val="32"/>
          <w:lang w:val="en-US" w:eastAsia="zh-CN"/>
        </w:rPr>
        <w:t>9、</w:t>
      </w:r>
      <w:r>
        <w:rPr>
          <w:rFonts w:hint="eastAsia" w:ascii="Times New Roman" w:hAnsi="Times New Roman" w:eastAsia="仿宋_GB2312"/>
          <w:sz w:val="32"/>
          <w:szCs w:val="32"/>
        </w:rPr>
        <w:t>农林水（类）农业农村（款）其他农业农村支出（项）。</w:t>
      </w:r>
    </w:p>
    <w:p>
      <w:pPr>
        <w:pStyle w:val="19"/>
        <w:spacing w:line="600" w:lineRule="exact"/>
        <w:ind w:firstLine="640" w:firstLineChars="200"/>
        <w:jc w:val="both"/>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21.46</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21.46</w:t>
      </w:r>
      <w:r>
        <w:rPr>
          <w:rFonts w:hint="eastAsia" w:ascii="Times New Roman" w:hAnsi="Times New Roman" w:eastAsia="仿宋_GB2312"/>
          <w:sz w:val="32"/>
          <w:szCs w:val="32"/>
        </w:rPr>
        <w:t>万元，完成年初预算的100%</w:t>
      </w:r>
      <w:r>
        <w:rPr>
          <w:rFonts w:hint="eastAsia" w:ascii="Times New Roman" w:hAnsi="Times New Roman" w:eastAsia="仿宋_GB2312"/>
          <w:sz w:val="32"/>
          <w:szCs w:val="32"/>
          <w:lang w:eastAsia="zh-CN"/>
        </w:rPr>
        <w:t>。</w:t>
      </w:r>
    </w:p>
    <w:p>
      <w:pPr>
        <w:pStyle w:val="19"/>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pPr>
        <w:pStyle w:val="19"/>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年度财政拨款基本支出</w:t>
      </w:r>
      <w:r>
        <w:rPr>
          <w:rFonts w:hint="eastAsia" w:ascii="Times New Roman" w:hAnsi="Times New Roman" w:eastAsia="仿宋_GB2312"/>
          <w:sz w:val="32"/>
          <w:szCs w:val="32"/>
          <w:lang w:val="en-US" w:eastAsia="zh-CN"/>
        </w:rPr>
        <w:t>700.52</w:t>
      </w:r>
      <w:r>
        <w:rPr>
          <w:rFonts w:hint="eastAsia" w:ascii="Times New Roman" w:hAnsi="Times New Roman" w:eastAsia="仿宋_GB2312"/>
          <w:sz w:val="32"/>
          <w:szCs w:val="32"/>
        </w:rPr>
        <w:t>元，其中：</w:t>
      </w:r>
    </w:p>
    <w:p>
      <w:pPr>
        <w:pStyle w:val="19"/>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eastAsia="zh-CN"/>
        </w:rPr>
      </w:pPr>
      <w:r>
        <w:rPr>
          <w:rFonts w:hint="eastAsia" w:ascii="Times New Roman" w:hAnsi="Times New Roman" w:eastAsia="仿宋_GB2312"/>
          <w:b/>
          <w:bCs/>
          <w:sz w:val="32"/>
          <w:szCs w:val="32"/>
        </w:rPr>
        <w:t>人员经费</w:t>
      </w:r>
      <w:r>
        <w:rPr>
          <w:rFonts w:hint="eastAsia" w:ascii="Times New Roman" w:hAnsi="Times New Roman" w:eastAsia="仿宋_GB2312"/>
          <w:sz w:val="32"/>
          <w:szCs w:val="32"/>
          <w:lang w:val="en-US" w:eastAsia="zh-CN"/>
        </w:rPr>
        <w:t>606.90</w:t>
      </w:r>
      <w:r>
        <w:rPr>
          <w:rFonts w:hint="eastAsia" w:ascii="Times New Roman" w:hAnsi="Times New Roman" w:eastAsia="仿宋_GB2312"/>
          <w:sz w:val="32"/>
          <w:szCs w:val="32"/>
        </w:rPr>
        <w:t>万元，占基本支出的</w:t>
      </w:r>
      <w:r>
        <w:rPr>
          <w:rFonts w:hint="eastAsia" w:ascii="Times New Roman" w:hAnsi="Times New Roman" w:eastAsia="仿宋_GB2312"/>
          <w:sz w:val="32"/>
          <w:szCs w:val="32"/>
          <w:lang w:val="en-US" w:eastAsia="zh-CN"/>
        </w:rPr>
        <w:t>86.64</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主要包括基本工资、津贴补贴、</w:t>
      </w:r>
      <w:r>
        <w:rPr>
          <w:rFonts w:hint="eastAsia" w:ascii="Times New Roman" w:hAnsi="Times New Roman" w:eastAsia="仿宋_GB2312"/>
          <w:sz w:val="32"/>
          <w:szCs w:val="32"/>
          <w:lang w:eastAsia="zh-CN"/>
        </w:rPr>
        <w:t>绩效工资</w:t>
      </w:r>
      <w:r>
        <w:rPr>
          <w:rFonts w:hint="eastAsia" w:ascii="Times New Roman" w:hAnsi="Times New Roman" w:eastAsia="仿宋_GB2312"/>
          <w:sz w:val="32"/>
          <w:szCs w:val="32"/>
        </w:rPr>
        <w:t>、伙食补助费</w:t>
      </w:r>
      <w:r>
        <w:rPr>
          <w:rFonts w:hint="eastAsia" w:ascii="Times New Roman" w:hAnsi="Times New Roman" w:eastAsia="仿宋_GB2312"/>
          <w:sz w:val="32"/>
          <w:szCs w:val="32"/>
          <w:lang w:eastAsia="zh-CN"/>
        </w:rPr>
        <w:t>、社会保险缴费、住房公积金、其他工资福利支出及对个人和家庭的补助</w:t>
      </w:r>
      <w:r>
        <w:rPr>
          <w:rFonts w:hint="eastAsia" w:ascii="Times New Roman" w:hAnsi="Times New Roman" w:eastAsia="仿宋_GB2312"/>
          <w:color w:val="auto"/>
          <w:sz w:val="32"/>
          <w:szCs w:val="32"/>
          <w:lang w:eastAsia="zh-CN"/>
        </w:rPr>
        <w:t>等。</w:t>
      </w:r>
    </w:p>
    <w:p>
      <w:pPr>
        <w:pStyle w:val="19"/>
        <w:spacing w:line="600" w:lineRule="exact"/>
        <w:ind w:firstLine="640" w:firstLineChars="200"/>
        <w:jc w:val="both"/>
        <w:rPr>
          <w:rFonts w:ascii="Times New Roman" w:hAnsi="Times New Roman" w:eastAsia="仿宋_GB2312"/>
          <w:b/>
          <w:sz w:val="32"/>
          <w:szCs w:val="32"/>
        </w:rPr>
      </w:pPr>
      <w:r>
        <w:rPr>
          <w:rFonts w:hint="eastAsia" w:ascii="Times New Roman" w:hAnsi="Times New Roman" w:eastAsia="仿宋_GB2312"/>
          <w:b/>
          <w:bCs/>
          <w:sz w:val="32"/>
          <w:szCs w:val="32"/>
        </w:rPr>
        <w:t>公用经费</w:t>
      </w:r>
      <w:r>
        <w:rPr>
          <w:rFonts w:hint="eastAsia" w:ascii="Times New Roman" w:hAnsi="Times New Roman" w:eastAsia="仿宋_GB2312"/>
          <w:sz w:val="32"/>
          <w:szCs w:val="32"/>
          <w:lang w:val="en-US" w:eastAsia="zh-CN"/>
        </w:rPr>
        <w:t>93.62</w:t>
      </w:r>
      <w:r>
        <w:rPr>
          <w:rFonts w:hint="eastAsia" w:ascii="Times New Roman" w:hAnsi="Times New Roman" w:eastAsia="仿宋_GB2312"/>
          <w:sz w:val="32"/>
          <w:szCs w:val="32"/>
        </w:rPr>
        <w:t>万元，占基本支出的</w:t>
      </w:r>
      <w:r>
        <w:rPr>
          <w:rFonts w:hint="eastAsia" w:ascii="Times New Roman" w:hAnsi="Times New Roman" w:eastAsia="仿宋_GB2312"/>
          <w:sz w:val="32"/>
          <w:szCs w:val="32"/>
          <w:lang w:val="en-US" w:eastAsia="zh-CN"/>
        </w:rPr>
        <w:t>13.36</w:t>
      </w:r>
      <w:r>
        <w:rPr>
          <w:rFonts w:hint="eastAsia" w:ascii="Times New Roman" w:hAnsi="Times New Roman" w:eastAsia="仿宋_GB2312"/>
          <w:sz w:val="32"/>
          <w:szCs w:val="32"/>
        </w:rPr>
        <w:t>%，主要包括</w:t>
      </w:r>
      <w:r>
        <w:rPr>
          <w:rFonts w:hint="eastAsia" w:ascii="仿宋_GB2312" w:hAnsi="仿宋_GB2312" w:eastAsia="仿宋_GB2312" w:cs="仿宋_GB2312"/>
          <w:sz w:val="32"/>
          <w:szCs w:val="32"/>
        </w:rPr>
        <w:t>办公费、印刷费、水费、电费、邮电费、差旅费、维修（维护）费、工会经费、福利费、专用材料费、公务接待费、公车运行经费、税金及附加费、其他商品服务</w:t>
      </w:r>
      <w:r>
        <w:rPr>
          <w:rFonts w:hint="eastAsia" w:ascii="仿宋_GB2312" w:hAnsi="仿宋_GB2312" w:eastAsia="仿宋_GB2312" w:cs="仿宋_GB2312"/>
          <w:color w:val="auto"/>
          <w:sz w:val="32"/>
          <w:szCs w:val="32"/>
        </w:rPr>
        <w:t>支出</w:t>
      </w:r>
      <w:r>
        <w:rPr>
          <w:rFonts w:hint="eastAsia" w:ascii="仿宋_GB2312" w:hAnsi="仿宋_GB2312" w:eastAsia="仿宋_GB2312" w:cs="仿宋_GB2312"/>
          <w:color w:val="auto"/>
          <w:sz w:val="32"/>
          <w:szCs w:val="32"/>
          <w:lang w:eastAsia="zh-CN"/>
        </w:rPr>
        <w:t>等</w:t>
      </w:r>
      <w:r>
        <w:rPr>
          <w:rFonts w:hint="eastAsia" w:ascii="仿宋_GB2312" w:hAnsi="仿宋_GB2312" w:eastAsia="仿宋_GB2312" w:cs="仿宋_GB2312"/>
          <w:color w:val="auto"/>
          <w:sz w:val="32"/>
          <w:szCs w:val="32"/>
        </w:rPr>
        <w:t>。</w:t>
      </w:r>
    </w:p>
    <w:p>
      <w:pPr>
        <w:pStyle w:val="19"/>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sz w:val="32"/>
          <w:szCs w:val="32"/>
        </w:rPr>
      </w:pPr>
      <w:r>
        <w:rPr>
          <w:rFonts w:hint="eastAsia" w:ascii="黑体" w:hAnsi="黑体" w:eastAsia="黑体" w:cs="黑体"/>
          <w:b w:val="0"/>
          <w:bCs/>
          <w:sz w:val="32"/>
          <w:szCs w:val="32"/>
        </w:rPr>
        <w:t>七、财政拨款三公经费支出决算情况说明</w:t>
      </w:r>
    </w:p>
    <w:p>
      <w:pPr>
        <w:pStyle w:val="19"/>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（一）“三公”经费财政拨款支出决算总体情况说明</w:t>
      </w:r>
    </w:p>
    <w:p>
      <w:pPr>
        <w:pStyle w:val="19"/>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“三公”经费财政拨款支出预算为</w:t>
      </w:r>
      <w:r>
        <w:rPr>
          <w:rFonts w:hint="eastAsia" w:ascii="Times New Roman" w:hAnsi="Times New Roman" w:eastAsia="仿宋_GB2312"/>
          <w:sz w:val="32"/>
          <w:szCs w:val="32"/>
          <w:lang w:val="en-US" w:eastAsia="zh-CN"/>
        </w:rPr>
        <w:t>10.60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10.49</w:t>
      </w:r>
      <w:r>
        <w:rPr>
          <w:rFonts w:hint="eastAsia" w:ascii="Times New Roman" w:hAnsi="Times New Roman" w:eastAsia="仿宋_GB2312"/>
          <w:sz w:val="32"/>
          <w:szCs w:val="32"/>
        </w:rPr>
        <w:t>万元，完成预算的</w:t>
      </w:r>
      <w:r>
        <w:rPr>
          <w:rFonts w:hint="eastAsia" w:ascii="Times New Roman" w:hAnsi="Times New Roman" w:eastAsia="仿宋_GB2312"/>
          <w:sz w:val="32"/>
          <w:szCs w:val="32"/>
          <w:lang w:val="en-US" w:eastAsia="zh-CN"/>
        </w:rPr>
        <w:t>98.96</w:t>
      </w:r>
      <w:r>
        <w:rPr>
          <w:rFonts w:hint="eastAsia" w:ascii="Times New Roman" w:hAnsi="Times New Roman" w:eastAsia="仿宋_GB2312"/>
          <w:sz w:val="32"/>
          <w:szCs w:val="32"/>
        </w:rPr>
        <w:t>%，决算数小于预算数的主要原因是</w:t>
      </w:r>
      <w:r>
        <w:rPr>
          <w:rFonts w:hint="eastAsia" w:ascii="Times New Roman" w:hAnsi="Times New Roman" w:eastAsia="仿宋_GB2312"/>
          <w:sz w:val="32"/>
          <w:szCs w:val="32"/>
          <w:lang w:val="en-US" w:eastAsia="zh-CN"/>
        </w:rPr>
        <w:t>决算控制在预算范围内</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与上年相比增加</w:t>
      </w:r>
      <w:r>
        <w:rPr>
          <w:rFonts w:hint="eastAsia" w:ascii="Times New Roman" w:hAnsi="Times New Roman" w:eastAsia="仿宋_GB2312"/>
          <w:sz w:val="32"/>
          <w:szCs w:val="32"/>
          <w:lang w:val="en-US" w:eastAsia="zh-CN"/>
        </w:rPr>
        <w:t>0.34</w:t>
      </w:r>
      <w:r>
        <w:rPr>
          <w:rFonts w:hint="eastAsia" w:ascii="Times New Roman" w:hAnsi="Times New Roman" w:eastAsia="仿宋_GB2312"/>
          <w:sz w:val="32"/>
          <w:szCs w:val="32"/>
        </w:rPr>
        <w:t>万元，增长</w:t>
      </w:r>
      <w:r>
        <w:rPr>
          <w:rFonts w:hint="eastAsia" w:ascii="Times New Roman" w:hAnsi="Times New Roman" w:eastAsia="仿宋_GB2312"/>
          <w:sz w:val="32"/>
          <w:szCs w:val="32"/>
          <w:lang w:val="en-US" w:eastAsia="zh-CN"/>
        </w:rPr>
        <w:t>3.25</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增长的主要原因是</w:t>
      </w:r>
      <w:bookmarkStart w:id="4" w:name="OLE_LINK4"/>
      <w:r>
        <w:rPr>
          <w:rFonts w:hint="eastAsia" w:ascii="Times New Roman" w:hAnsi="Times New Roman" w:eastAsia="仿宋_GB2312"/>
          <w:sz w:val="32"/>
          <w:szCs w:val="32"/>
          <w:lang w:eastAsia="zh-CN"/>
        </w:rPr>
        <w:t>：</w:t>
      </w:r>
      <w:bookmarkStart w:id="5" w:name="OLE_LINK7"/>
      <w:r>
        <w:rPr>
          <w:rFonts w:hint="eastAsia" w:ascii="Times New Roman" w:hAnsi="Times New Roman" w:eastAsia="仿宋_GB2312"/>
          <w:sz w:val="32"/>
          <w:szCs w:val="32"/>
          <w:lang w:val="en-US" w:eastAsia="zh-CN"/>
        </w:rPr>
        <w:t>2023年年初新冠疫情防控转段后，我单位各项业务工作正常开展，公务接待费在预算水平极低的情况下，控制在预算内比上年略有增长</w:t>
      </w:r>
      <w:bookmarkEnd w:id="4"/>
      <w:r>
        <w:rPr>
          <w:rFonts w:hint="eastAsia" w:ascii="Times New Roman" w:hAnsi="Times New Roman" w:eastAsia="仿宋_GB2312"/>
          <w:sz w:val="32"/>
          <w:szCs w:val="32"/>
        </w:rPr>
        <w:t>。</w:t>
      </w:r>
      <w:bookmarkEnd w:id="5"/>
      <w:r>
        <w:rPr>
          <w:rFonts w:hint="eastAsia" w:ascii="Times New Roman" w:hAnsi="Times New Roman" w:eastAsia="仿宋_GB2312"/>
          <w:sz w:val="32"/>
          <w:szCs w:val="32"/>
        </w:rPr>
        <w:t>其中：</w:t>
      </w:r>
    </w:p>
    <w:p>
      <w:pPr>
        <w:pStyle w:val="19"/>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因公出国（境）费支出预算为</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万元，支出决算为</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万元，</w:t>
      </w:r>
      <w:r>
        <w:rPr>
          <w:rFonts w:hint="eastAsia" w:ascii="Times New Roman" w:hAnsi="Times New Roman" w:eastAsia="仿宋_GB2312"/>
          <w:sz w:val="32"/>
          <w:szCs w:val="32"/>
          <w:highlight w:val="none"/>
          <w:lang w:eastAsia="zh-CN"/>
        </w:rPr>
        <w:t>与上年持平</w:t>
      </w:r>
      <w:r>
        <w:rPr>
          <w:rFonts w:hint="eastAsia" w:ascii="Times New Roman" w:hAnsi="Times New Roman" w:eastAsia="仿宋_GB2312"/>
          <w:sz w:val="32"/>
          <w:szCs w:val="32"/>
          <w:highlight w:val="none"/>
        </w:rPr>
        <w:t>。</w:t>
      </w:r>
    </w:p>
    <w:p>
      <w:pPr>
        <w:pStyle w:val="19"/>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公务接待费支出预算为</w:t>
      </w:r>
      <w:r>
        <w:rPr>
          <w:rFonts w:hint="eastAsia" w:ascii="Times New Roman" w:hAnsi="Times New Roman" w:eastAsia="仿宋_GB2312"/>
          <w:sz w:val="32"/>
          <w:szCs w:val="32"/>
          <w:lang w:val="en-US" w:eastAsia="zh-CN"/>
        </w:rPr>
        <w:t>1.40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1.29</w:t>
      </w:r>
      <w:r>
        <w:rPr>
          <w:rFonts w:hint="eastAsia" w:ascii="Times New Roman" w:hAnsi="Times New Roman" w:eastAsia="仿宋_GB2312"/>
          <w:sz w:val="32"/>
          <w:szCs w:val="32"/>
        </w:rPr>
        <w:t>万元，完成预算的</w:t>
      </w:r>
      <w:r>
        <w:rPr>
          <w:rFonts w:hint="eastAsia" w:ascii="Times New Roman" w:hAnsi="Times New Roman" w:eastAsia="仿宋_GB2312"/>
          <w:sz w:val="32"/>
          <w:szCs w:val="32"/>
          <w:lang w:val="en-US" w:eastAsia="zh-CN"/>
        </w:rPr>
        <w:t>92.14</w:t>
      </w:r>
      <w:r>
        <w:rPr>
          <w:rFonts w:hint="eastAsia" w:ascii="Times New Roman" w:hAnsi="Times New Roman" w:eastAsia="仿宋_GB2312"/>
          <w:sz w:val="32"/>
          <w:szCs w:val="32"/>
        </w:rPr>
        <w:t>%，决算数小于预算数的主要原因是</w:t>
      </w:r>
      <w:r>
        <w:rPr>
          <w:rFonts w:hint="eastAsia" w:ascii="Times New Roman" w:hAnsi="Times New Roman" w:eastAsia="仿宋_GB2312"/>
          <w:sz w:val="32"/>
          <w:szCs w:val="32"/>
          <w:lang w:eastAsia="zh-CN"/>
        </w:rPr>
        <w:t>：</w:t>
      </w:r>
      <w:bookmarkStart w:id="6" w:name="OLE_LINK5"/>
      <w:r>
        <w:rPr>
          <w:rFonts w:hint="eastAsia" w:ascii="Times New Roman" w:hAnsi="Times New Roman" w:eastAsia="仿宋_GB2312"/>
          <w:sz w:val="32"/>
          <w:szCs w:val="32"/>
        </w:rPr>
        <w:t>我单位</w:t>
      </w:r>
      <w:r>
        <w:rPr>
          <w:rFonts w:hint="eastAsia" w:ascii="Times New Roman" w:hAnsi="Times New Roman" w:eastAsia="仿宋_GB2312"/>
          <w:sz w:val="32"/>
          <w:szCs w:val="32"/>
          <w:lang w:eastAsia="zh-CN"/>
        </w:rPr>
        <w:t>在确保业务工作正常开展的前提下</w:t>
      </w:r>
      <w:r>
        <w:rPr>
          <w:rFonts w:hint="eastAsia" w:ascii="Times New Roman" w:hAnsi="Times New Roman" w:eastAsia="仿宋_GB2312"/>
          <w:sz w:val="32"/>
          <w:szCs w:val="32"/>
        </w:rPr>
        <w:t>，“三公”经费支出</w:t>
      </w:r>
      <w:r>
        <w:rPr>
          <w:rFonts w:hint="eastAsia" w:ascii="Times New Roman" w:hAnsi="Times New Roman" w:eastAsia="仿宋_GB2312"/>
          <w:sz w:val="32"/>
          <w:szCs w:val="32"/>
          <w:lang w:eastAsia="zh-CN"/>
        </w:rPr>
        <w:t>控制在预算内</w:t>
      </w:r>
      <w:bookmarkEnd w:id="6"/>
      <w:r>
        <w:rPr>
          <w:rFonts w:hint="eastAsia" w:ascii="Times New Roman" w:hAnsi="Times New Roman" w:eastAsia="仿宋_GB2312"/>
          <w:sz w:val="32"/>
          <w:szCs w:val="32"/>
          <w:lang w:eastAsia="zh-CN"/>
        </w:rPr>
        <w:t>，</w:t>
      </w:r>
      <w:r>
        <w:rPr>
          <w:rFonts w:hint="eastAsia" w:ascii="Times New Roman" w:hAnsi="Times New Roman" w:eastAsia="仿宋_GB2312"/>
          <w:sz w:val="32"/>
          <w:szCs w:val="32"/>
          <w:highlight w:val="none"/>
        </w:rPr>
        <w:t>与上年相比增加</w:t>
      </w:r>
      <w:r>
        <w:rPr>
          <w:rFonts w:hint="eastAsia" w:ascii="Times New Roman" w:hAnsi="Times New Roman" w:eastAsia="仿宋_GB2312"/>
          <w:sz w:val="32"/>
          <w:szCs w:val="32"/>
          <w:highlight w:val="none"/>
          <w:lang w:val="en-US" w:eastAsia="zh-CN"/>
        </w:rPr>
        <w:t>0.44</w:t>
      </w:r>
      <w:r>
        <w:rPr>
          <w:rFonts w:hint="eastAsia" w:ascii="Times New Roman" w:hAnsi="Times New Roman" w:eastAsia="仿宋_GB2312"/>
          <w:sz w:val="32"/>
          <w:szCs w:val="32"/>
          <w:highlight w:val="none"/>
        </w:rPr>
        <w:t>万</w:t>
      </w:r>
      <w:r>
        <w:rPr>
          <w:rFonts w:hint="eastAsia" w:ascii="Times New Roman" w:hAnsi="Times New Roman" w:eastAsia="仿宋_GB2312"/>
          <w:sz w:val="32"/>
          <w:szCs w:val="32"/>
        </w:rPr>
        <w:t>元，增长</w:t>
      </w:r>
      <w:r>
        <w:rPr>
          <w:rFonts w:hint="eastAsia" w:ascii="Times New Roman" w:hAnsi="Times New Roman" w:eastAsia="仿宋_GB2312"/>
          <w:sz w:val="32"/>
          <w:szCs w:val="32"/>
          <w:lang w:val="en-US" w:eastAsia="zh-CN"/>
        </w:rPr>
        <w:t>51.76</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增长的主要原因是</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2023年年初新冠疫情防控转段后，各项业务工作正常开展，公务接待费在预算水平极低的情况下，控制在预算内比上年略有增长</w:t>
      </w:r>
      <w:r>
        <w:rPr>
          <w:rFonts w:hint="eastAsia" w:ascii="Times New Roman" w:hAnsi="Times New Roman" w:eastAsia="仿宋_GB2312"/>
          <w:sz w:val="32"/>
          <w:szCs w:val="32"/>
        </w:rPr>
        <w:t>。</w:t>
      </w:r>
    </w:p>
    <w:p>
      <w:pPr>
        <w:pStyle w:val="19"/>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公务用车购置费支出预算为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与上年持平</w:t>
      </w:r>
      <w:r>
        <w:rPr>
          <w:rFonts w:hint="eastAsia" w:ascii="Times New Roman" w:hAnsi="Times New Roman" w:eastAsia="仿宋_GB2312"/>
          <w:sz w:val="32"/>
          <w:szCs w:val="32"/>
        </w:rPr>
        <w:t>。</w:t>
      </w:r>
    </w:p>
    <w:p>
      <w:pPr>
        <w:pStyle w:val="19"/>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公务用车运行维护费支出预算为</w:t>
      </w:r>
      <w:r>
        <w:rPr>
          <w:rFonts w:hint="eastAsia" w:ascii="Times New Roman" w:hAnsi="Times New Roman" w:eastAsia="仿宋_GB2312"/>
          <w:sz w:val="32"/>
          <w:szCs w:val="32"/>
          <w:lang w:val="en-US" w:eastAsia="zh-CN"/>
        </w:rPr>
        <w:t>9.20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9.20</w:t>
      </w:r>
      <w:r>
        <w:rPr>
          <w:rFonts w:hint="eastAsia" w:ascii="Times New Roman" w:hAnsi="Times New Roman" w:eastAsia="仿宋_GB2312"/>
          <w:sz w:val="32"/>
          <w:szCs w:val="32"/>
        </w:rPr>
        <w:t>万元，完成预算的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与上年相比减少</w:t>
      </w:r>
      <w:r>
        <w:rPr>
          <w:rFonts w:hint="eastAsia" w:ascii="Times New Roman" w:hAnsi="Times New Roman" w:eastAsia="仿宋_GB2312"/>
          <w:sz w:val="32"/>
          <w:szCs w:val="32"/>
          <w:lang w:val="en-US" w:eastAsia="zh-CN"/>
        </w:rPr>
        <w:t>0.10</w:t>
      </w:r>
      <w:r>
        <w:rPr>
          <w:rFonts w:hint="eastAsia" w:ascii="Times New Roman" w:hAnsi="Times New Roman" w:eastAsia="仿宋_GB2312"/>
          <w:sz w:val="32"/>
          <w:szCs w:val="32"/>
        </w:rPr>
        <w:t>万元，减少</w:t>
      </w:r>
      <w:r>
        <w:rPr>
          <w:rFonts w:hint="eastAsia" w:ascii="Times New Roman" w:hAnsi="Times New Roman" w:eastAsia="仿宋_GB2312"/>
          <w:sz w:val="32"/>
          <w:szCs w:val="32"/>
          <w:lang w:val="en-US" w:eastAsia="zh-CN"/>
        </w:rPr>
        <w:t>1.08</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减少的主要原因是</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我单位</w:t>
      </w:r>
      <w:r>
        <w:rPr>
          <w:rFonts w:hint="eastAsia" w:ascii="Times New Roman" w:hAnsi="Times New Roman" w:eastAsia="仿宋_GB2312"/>
          <w:sz w:val="32"/>
          <w:szCs w:val="32"/>
          <w:lang w:eastAsia="zh-CN"/>
        </w:rPr>
        <w:t>在确保业务工作正常开展的前提下，</w:t>
      </w:r>
      <w:r>
        <w:rPr>
          <w:rFonts w:hint="eastAsia" w:ascii="Times New Roman" w:hAnsi="Times New Roman" w:eastAsia="仿宋_GB2312"/>
          <w:sz w:val="32"/>
          <w:szCs w:val="32"/>
        </w:rPr>
        <w:t>积极响应政府号召，严控“三公”经费支出。</w:t>
      </w:r>
    </w:p>
    <w:p>
      <w:pPr>
        <w:pStyle w:val="19"/>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（二）“三公”经费财政拨款支出决算具体情况说明</w:t>
      </w:r>
    </w:p>
    <w:p>
      <w:pPr>
        <w:pStyle w:val="19"/>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年度“三公”经费财政拨款支出决算中，公务接待费支出决算</w:t>
      </w:r>
      <w:r>
        <w:rPr>
          <w:rFonts w:hint="eastAsia" w:ascii="Times New Roman" w:hAnsi="Times New Roman" w:eastAsia="仿宋_GB2312"/>
          <w:sz w:val="32"/>
          <w:szCs w:val="32"/>
          <w:lang w:val="en-US" w:eastAsia="zh-CN"/>
        </w:rPr>
        <w:t>1.29</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12.30</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因公出国（境）费支出决算</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公务用车购置费及运行维护费支出决算</w:t>
      </w:r>
      <w:r>
        <w:rPr>
          <w:rFonts w:hint="eastAsia" w:ascii="Times New Roman" w:hAnsi="Times New Roman" w:eastAsia="仿宋_GB2312"/>
          <w:sz w:val="32"/>
          <w:szCs w:val="32"/>
          <w:lang w:val="en-US" w:eastAsia="zh-CN"/>
        </w:rPr>
        <w:t>9.20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87.70</w:t>
      </w:r>
      <w:r>
        <w:rPr>
          <w:rFonts w:hint="eastAsia" w:ascii="Times New Roman" w:hAnsi="Times New Roman" w:eastAsia="仿宋_GB2312"/>
          <w:sz w:val="32"/>
          <w:szCs w:val="32"/>
        </w:rPr>
        <w:t>%。其中：</w:t>
      </w:r>
    </w:p>
    <w:p>
      <w:pPr>
        <w:pStyle w:val="19"/>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楷体" w:hAnsi="楷体" w:eastAsia="仿宋_GB2312" w:cs="楷体"/>
          <w:b/>
          <w:bCs/>
          <w:i/>
          <w:color w:val="auto"/>
          <w:sz w:val="32"/>
          <w:szCs w:val="32"/>
          <w:lang w:eastAsia="zh-CN"/>
        </w:rPr>
      </w:pP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因公出国（境）费支出决算为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万元，全年安排因公出国（境）团组</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个，累计</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人次</w:t>
      </w:r>
      <w:r>
        <w:rPr>
          <w:rFonts w:hint="eastAsia" w:ascii="Times New Roman" w:hAnsi="Times New Roman" w:eastAsia="仿宋_GB2312"/>
          <w:sz w:val="32"/>
          <w:szCs w:val="32"/>
          <w:lang w:eastAsia="zh-CN"/>
        </w:rPr>
        <w:t>。</w:t>
      </w:r>
    </w:p>
    <w:p>
      <w:pPr>
        <w:pStyle w:val="19"/>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2、公务接待费支出决算为</w:t>
      </w:r>
      <w:r>
        <w:rPr>
          <w:rFonts w:hint="eastAsia" w:ascii="Times New Roman" w:hAnsi="Times New Roman" w:eastAsia="仿宋_GB2312"/>
          <w:sz w:val="32"/>
          <w:szCs w:val="32"/>
          <w:lang w:val="en-US" w:eastAsia="zh-CN"/>
        </w:rPr>
        <w:t>1.29</w:t>
      </w:r>
      <w:r>
        <w:rPr>
          <w:rFonts w:hint="eastAsia" w:ascii="Times New Roman" w:hAnsi="Times New Roman" w:eastAsia="仿宋_GB2312"/>
          <w:sz w:val="32"/>
          <w:szCs w:val="32"/>
        </w:rPr>
        <w:t>万元，全年共接待来访团组</w:t>
      </w:r>
      <w:r>
        <w:rPr>
          <w:rFonts w:hint="eastAsia" w:ascii="Times New Roman" w:hAnsi="Times New Roman" w:eastAsia="仿宋_GB2312"/>
          <w:sz w:val="32"/>
          <w:szCs w:val="32"/>
          <w:lang w:val="en-US" w:eastAsia="zh-CN"/>
        </w:rPr>
        <w:t>20</w:t>
      </w:r>
      <w:r>
        <w:rPr>
          <w:rFonts w:hint="eastAsia" w:ascii="Times New Roman" w:hAnsi="Times New Roman" w:eastAsia="仿宋_GB2312"/>
          <w:sz w:val="32"/>
          <w:szCs w:val="32"/>
        </w:rPr>
        <w:t>个、来宾</w:t>
      </w:r>
      <w:r>
        <w:rPr>
          <w:rFonts w:hint="eastAsia" w:ascii="Times New Roman" w:hAnsi="Times New Roman" w:eastAsia="仿宋_GB2312"/>
          <w:sz w:val="32"/>
          <w:szCs w:val="32"/>
          <w:lang w:val="en-US" w:eastAsia="zh-CN"/>
        </w:rPr>
        <w:t>73</w:t>
      </w:r>
      <w:r>
        <w:rPr>
          <w:rFonts w:hint="eastAsia" w:ascii="Times New Roman" w:hAnsi="Times New Roman" w:eastAsia="仿宋_GB2312"/>
          <w:sz w:val="32"/>
          <w:szCs w:val="32"/>
        </w:rPr>
        <w:t>人次，主要是农业农村部办公厅</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农业农村部畜牧兽医局、中国动物疫病预防控制中心、中国动物卫生与流行病学中心、</w:t>
      </w:r>
      <w:bookmarkStart w:id="7" w:name="OLE_LINK6"/>
      <w:r>
        <w:rPr>
          <w:rFonts w:hint="eastAsia" w:ascii="Times New Roman" w:hAnsi="Times New Roman" w:eastAsia="仿宋_GB2312"/>
          <w:sz w:val="32"/>
          <w:szCs w:val="32"/>
        </w:rPr>
        <w:t>中国农业科学院哈尔滨兽医研究所</w:t>
      </w:r>
      <w:bookmarkEnd w:id="7"/>
      <w:r>
        <w:rPr>
          <w:rFonts w:hint="eastAsia" w:ascii="Times New Roman" w:hAnsi="Times New Roman" w:eastAsia="仿宋_GB2312"/>
          <w:sz w:val="32"/>
          <w:szCs w:val="32"/>
          <w:lang w:eastAsia="zh-CN"/>
        </w:rPr>
        <w:t>及</w:t>
      </w:r>
      <w:r>
        <w:rPr>
          <w:rFonts w:hint="eastAsia" w:ascii="Times New Roman" w:hAnsi="Times New Roman" w:eastAsia="仿宋_GB2312"/>
          <w:sz w:val="32"/>
          <w:szCs w:val="32"/>
        </w:rPr>
        <w:t>中国农业科学院</w:t>
      </w:r>
      <w:r>
        <w:rPr>
          <w:rFonts w:hint="eastAsia" w:ascii="Times New Roman" w:hAnsi="Times New Roman" w:eastAsia="仿宋_GB2312"/>
          <w:sz w:val="32"/>
          <w:szCs w:val="32"/>
          <w:lang w:eastAsia="zh-CN"/>
        </w:rPr>
        <w:t>兰州</w:t>
      </w:r>
      <w:r>
        <w:rPr>
          <w:rFonts w:hint="eastAsia" w:ascii="Times New Roman" w:hAnsi="Times New Roman" w:eastAsia="仿宋_GB2312"/>
          <w:sz w:val="32"/>
          <w:szCs w:val="32"/>
        </w:rPr>
        <w:t>兽医研究所等单位调研、指导工作及市县动物防疫机构汇报工作、执行任务等发生的接待支出。</w:t>
      </w:r>
    </w:p>
    <w:p>
      <w:pPr>
        <w:pStyle w:val="19"/>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3、公务用车购置费及运行维护费支出决算为</w:t>
      </w:r>
      <w:r>
        <w:rPr>
          <w:rFonts w:hint="eastAsia" w:ascii="Times New Roman" w:hAnsi="Times New Roman" w:eastAsia="仿宋_GB2312"/>
          <w:sz w:val="32"/>
          <w:szCs w:val="32"/>
          <w:lang w:val="en-US" w:eastAsia="zh-CN"/>
        </w:rPr>
        <w:t>9.20</w:t>
      </w:r>
      <w:r>
        <w:rPr>
          <w:rFonts w:hint="eastAsia" w:ascii="Times New Roman" w:hAnsi="Times New Roman" w:eastAsia="仿宋_GB2312"/>
          <w:sz w:val="32"/>
          <w:szCs w:val="32"/>
        </w:rPr>
        <w:t>万元，其中：公务用车购置费</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单位本级</w:t>
      </w:r>
      <w:r>
        <w:rPr>
          <w:rFonts w:hint="eastAsia" w:ascii="Times New Roman" w:hAnsi="Times New Roman" w:eastAsia="仿宋_GB2312"/>
          <w:sz w:val="32"/>
          <w:szCs w:val="32"/>
        </w:rPr>
        <w:t>更新公务用车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w:t>
      </w:r>
      <w:r>
        <w:rPr>
          <w:rFonts w:hint="eastAsia" w:ascii="Times New Roman" w:hAnsi="Times New Roman" w:eastAsia="仿宋_GB2312"/>
          <w:color w:val="000000" w:themeColor="text1"/>
          <w:sz w:val="32"/>
          <w:szCs w:val="32"/>
          <w14:textFill>
            <w14:solidFill>
              <w14:schemeClr w14:val="tx1"/>
            </w14:solidFill>
          </w14:textFill>
        </w:rPr>
        <w:t>。</w:t>
      </w:r>
      <w:r>
        <w:rPr>
          <w:rFonts w:hint="eastAsia" w:ascii="Times New Roman" w:hAnsi="Times New Roman" w:eastAsia="仿宋_GB2312"/>
          <w:sz w:val="32"/>
          <w:szCs w:val="32"/>
        </w:rPr>
        <w:t>公务用车运行维护费</w:t>
      </w:r>
      <w:r>
        <w:rPr>
          <w:rFonts w:hint="eastAsia" w:ascii="Times New Roman" w:hAnsi="Times New Roman" w:eastAsia="仿宋_GB2312"/>
          <w:sz w:val="32"/>
          <w:szCs w:val="32"/>
          <w:lang w:val="en-US" w:eastAsia="zh-CN"/>
        </w:rPr>
        <w:t>9.20</w:t>
      </w:r>
      <w:r>
        <w:rPr>
          <w:rFonts w:hint="eastAsia" w:ascii="Times New Roman" w:hAnsi="Times New Roman" w:eastAsia="仿宋_GB2312"/>
          <w:sz w:val="32"/>
          <w:szCs w:val="32"/>
        </w:rPr>
        <w:t>万元，主要是</w:t>
      </w:r>
      <w:r>
        <w:rPr>
          <w:rFonts w:hint="eastAsia" w:ascii="Times New Roman" w:hAnsi="Times New Roman" w:eastAsia="仿宋_GB2312"/>
          <w:sz w:val="32"/>
          <w:szCs w:val="32"/>
          <w:lang w:eastAsia="zh-CN"/>
        </w:rPr>
        <w:t>燃油费、车辆保险费、车辆维修费及过路过桥费</w:t>
      </w:r>
      <w:r>
        <w:rPr>
          <w:rFonts w:hint="eastAsia" w:ascii="Times New Roman" w:hAnsi="Times New Roman" w:eastAsia="仿宋_GB2312"/>
          <w:sz w:val="32"/>
          <w:szCs w:val="32"/>
        </w:rPr>
        <w:t>支出，截止202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年12月31日，我单位开支财政拨款的公务用车保有量为</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辆。</w:t>
      </w:r>
    </w:p>
    <w:p>
      <w:pPr>
        <w:pStyle w:val="19"/>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八、政府性基金预算收入支出决算情况</w:t>
      </w:r>
    </w:p>
    <w:p>
      <w:pPr>
        <w:pStyle w:val="19"/>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cstheme="minorBidi"/>
          <w:color w:val="auto"/>
          <w:kern w:val="2"/>
          <w:sz w:val="32"/>
          <w:szCs w:val="32"/>
          <w:lang w:val="en-US" w:eastAsia="zh-CN" w:bidi="ar-SA"/>
        </w:rPr>
      </w:pPr>
      <w:r>
        <w:rPr>
          <w:rFonts w:hint="eastAsia" w:ascii="Times New Roman" w:hAnsi="Times New Roman" w:eastAsia="仿宋_GB2312" w:cstheme="minorBidi"/>
          <w:color w:val="auto"/>
          <w:kern w:val="2"/>
          <w:sz w:val="32"/>
          <w:szCs w:val="32"/>
          <w:lang w:val="en-US" w:eastAsia="zh-CN" w:bidi="ar-SA"/>
        </w:rPr>
        <w:t>本单位无政府性基金收支。</w:t>
      </w:r>
    </w:p>
    <w:p>
      <w:pPr>
        <w:pStyle w:val="19"/>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rPr>
        <w:t>九、关于机关运行经费支出说明</w:t>
      </w:r>
    </w:p>
    <w:p>
      <w:pPr>
        <w:pStyle w:val="19"/>
        <w:spacing w:line="600" w:lineRule="exact"/>
        <w:ind w:firstLine="640" w:firstLineChars="200"/>
        <w:jc w:val="both"/>
        <w:rPr>
          <w:rFonts w:ascii="Times New Roman" w:hAnsi="Times New Roman" w:eastAsia="仿宋_GB2312"/>
          <w:sz w:val="32"/>
          <w:szCs w:val="32"/>
        </w:rPr>
      </w:pPr>
      <w:r>
        <w:rPr>
          <w:rFonts w:hint="eastAsia" w:ascii="Times New Roman" w:hAnsi="Times New Roman" w:eastAsia="仿宋_GB2312"/>
          <w:sz w:val="32"/>
          <w:szCs w:val="32"/>
          <w:lang w:eastAsia="zh-CN"/>
        </w:rPr>
        <w:t>本</w:t>
      </w:r>
      <w:r>
        <w:rPr>
          <w:rFonts w:hint="eastAsia" w:ascii="Times New Roman" w:hAnsi="Times New Roman" w:eastAsia="仿宋_GB2312"/>
          <w:sz w:val="32"/>
          <w:szCs w:val="32"/>
        </w:rPr>
        <w:t>单位202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年度机关运行经费支出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p>
    <w:p>
      <w:pPr>
        <w:pStyle w:val="19"/>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十、一般性支出情况说明</w:t>
      </w:r>
    </w:p>
    <w:p>
      <w:pPr>
        <w:pStyle w:val="19"/>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i/>
          <w:color w:val="auto"/>
          <w:kern w:val="0"/>
          <w:sz w:val="32"/>
          <w:szCs w:val="32"/>
          <w:lang w:val="en-US" w:eastAsia="zh-CN" w:bidi="ar-SA"/>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年本</w:t>
      </w:r>
      <w:r>
        <w:rPr>
          <w:rFonts w:hint="eastAsia" w:ascii="Times New Roman" w:hAnsi="Times New Roman" w:eastAsia="仿宋_GB2312"/>
          <w:sz w:val="32"/>
          <w:szCs w:val="32"/>
          <w:lang w:eastAsia="zh-CN"/>
        </w:rPr>
        <w:t>单位</w:t>
      </w:r>
      <w:r>
        <w:rPr>
          <w:rFonts w:hint="eastAsia" w:ascii="Times New Roman" w:hAnsi="Times New Roman" w:eastAsia="仿宋_GB2312"/>
          <w:sz w:val="32"/>
          <w:szCs w:val="32"/>
        </w:rPr>
        <w:t>开支会议费</w:t>
      </w:r>
      <w:r>
        <w:rPr>
          <w:rFonts w:hint="eastAsia" w:ascii="Times New Roman" w:hAnsi="Times New Roman" w:eastAsia="仿宋_GB2312"/>
          <w:sz w:val="32"/>
          <w:szCs w:val="32"/>
          <w:lang w:val="en-US" w:eastAsia="zh-CN"/>
        </w:rPr>
        <w:t>2.82</w:t>
      </w:r>
      <w:r>
        <w:rPr>
          <w:rFonts w:hint="eastAsia" w:ascii="Times New Roman" w:hAnsi="Times New Roman" w:eastAsia="仿宋_GB2312"/>
          <w:sz w:val="32"/>
          <w:szCs w:val="32"/>
        </w:rPr>
        <w:t>万元，用于召开2023省级动物疫病净化场申报材料评审会，人数</w:t>
      </w:r>
      <w:r>
        <w:rPr>
          <w:rFonts w:hint="eastAsia" w:ascii="Times New Roman" w:hAnsi="Times New Roman" w:eastAsia="仿宋_GB2312"/>
          <w:sz w:val="32"/>
          <w:szCs w:val="32"/>
          <w:lang w:val="en-US" w:eastAsia="zh-CN"/>
        </w:rPr>
        <w:t>26</w:t>
      </w:r>
      <w:r>
        <w:rPr>
          <w:rFonts w:hint="eastAsia" w:ascii="Times New Roman" w:hAnsi="Times New Roman" w:eastAsia="仿宋_GB2312"/>
          <w:sz w:val="32"/>
          <w:szCs w:val="32"/>
        </w:rPr>
        <w:t>人，</w:t>
      </w:r>
      <w:r>
        <w:rPr>
          <w:rFonts w:hint="eastAsia" w:ascii="Times New Roman" w:hAnsi="Times New Roman" w:eastAsia="仿宋_GB2312"/>
          <w:sz w:val="32"/>
          <w:szCs w:val="32"/>
          <w:lang w:eastAsia="zh-CN"/>
        </w:rPr>
        <w:t>支出</w:t>
      </w:r>
      <w:r>
        <w:rPr>
          <w:rFonts w:hint="eastAsia" w:ascii="Times New Roman" w:hAnsi="Times New Roman" w:eastAsia="仿宋_GB2312"/>
          <w:sz w:val="32"/>
          <w:szCs w:val="32"/>
          <w:lang w:val="en-US" w:eastAsia="zh-CN"/>
        </w:rPr>
        <w:t>0.48万元，</w:t>
      </w:r>
      <w:r>
        <w:rPr>
          <w:rFonts w:hint="eastAsia" w:ascii="Times New Roman" w:hAnsi="Times New Roman" w:eastAsia="仿宋_GB2312"/>
          <w:sz w:val="32"/>
          <w:szCs w:val="32"/>
        </w:rPr>
        <w:t>内容为组织专家审查参加省级净化场评估的申报资料；</w:t>
      </w:r>
      <w:r>
        <w:rPr>
          <w:rFonts w:hint="eastAsia" w:ascii="Times New Roman" w:hAnsi="Times New Roman" w:eastAsia="仿宋_GB2312"/>
          <w:sz w:val="32"/>
          <w:szCs w:val="32"/>
          <w:lang w:eastAsia="zh-CN"/>
        </w:rPr>
        <w:t>用于召开</w:t>
      </w:r>
      <w:r>
        <w:rPr>
          <w:rFonts w:hint="eastAsia" w:ascii="Times New Roman" w:hAnsi="Times New Roman" w:eastAsia="仿宋_GB2312"/>
          <w:sz w:val="32"/>
          <w:szCs w:val="32"/>
        </w:rPr>
        <w:t>2023年上半年非洲猪瘟等重大动物疫病形势分析研讨会</w:t>
      </w:r>
      <w:r>
        <w:rPr>
          <w:rFonts w:hint="eastAsia" w:ascii="Times New Roman" w:hAnsi="Times New Roman" w:eastAsia="仿宋_GB2312"/>
          <w:sz w:val="32"/>
          <w:szCs w:val="32"/>
          <w:lang w:eastAsia="zh-CN"/>
        </w:rPr>
        <w:t>，人数</w:t>
      </w:r>
      <w:r>
        <w:rPr>
          <w:rFonts w:hint="eastAsia" w:ascii="Times New Roman" w:hAnsi="Times New Roman" w:eastAsia="仿宋_GB2312"/>
          <w:sz w:val="32"/>
          <w:szCs w:val="32"/>
          <w:lang w:val="en-US" w:eastAsia="zh-CN"/>
        </w:rPr>
        <w:t>29人，支出0.28万元，内容为组织部分市州动物疫病防控机构、省内大型养殖企业和第三方检测机构及高校专家对我省疫情形势分析研讨；用于召开布鲁氏菌病等防控知识宣传教育活动会，人数49人，支出0.86万元，内容为组织市州动物疫病防控机构负责人、宁乡乡镇动物防疫人员等，进行牛羊调运防控政策宣讲及无疫小区创建经验分享；用于召开全省动物疫情分析暨动物疫情测报工作会，人数39人，支出1.20万元，内容为组织市州动物疫病防控机构人员解读《全省动物疫情测报网点管理办法》，分析我省动物疫情形势。</w:t>
      </w:r>
      <w:r>
        <w:rPr>
          <w:rFonts w:hint="eastAsia" w:ascii="Times New Roman" w:hAnsi="Times New Roman" w:eastAsia="仿宋_GB2312"/>
          <w:sz w:val="32"/>
          <w:szCs w:val="32"/>
        </w:rPr>
        <w:t>开支培训费</w:t>
      </w:r>
      <w:r>
        <w:rPr>
          <w:rFonts w:hint="eastAsia" w:ascii="Times New Roman" w:hAnsi="Times New Roman" w:eastAsia="仿宋_GB2312"/>
          <w:sz w:val="32"/>
          <w:szCs w:val="32"/>
          <w:lang w:val="en-US" w:eastAsia="zh-CN"/>
        </w:rPr>
        <w:t>20.00</w:t>
      </w:r>
      <w:r>
        <w:rPr>
          <w:rFonts w:hint="eastAsia" w:ascii="Times New Roman" w:hAnsi="Times New Roman" w:eastAsia="仿宋_GB2312"/>
          <w:sz w:val="32"/>
          <w:szCs w:val="32"/>
        </w:rPr>
        <w:t>万元，用于开展2023年全省动物疫病监测与流调工作培训班，人数</w:t>
      </w:r>
      <w:r>
        <w:rPr>
          <w:rFonts w:hint="eastAsia" w:ascii="Times New Roman" w:hAnsi="Times New Roman" w:eastAsia="仿宋_GB2312"/>
          <w:sz w:val="32"/>
          <w:szCs w:val="32"/>
          <w:lang w:val="en-US" w:eastAsia="zh-CN"/>
        </w:rPr>
        <w:t>90</w:t>
      </w:r>
      <w:r>
        <w:rPr>
          <w:rFonts w:hint="eastAsia" w:ascii="Times New Roman" w:hAnsi="Times New Roman" w:eastAsia="仿宋_GB2312"/>
          <w:sz w:val="32"/>
          <w:szCs w:val="32"/>
        </w:rPr>
        <w:t>人，</w:t>
      </w:r>
      <w:r>
        <w:rPr>
          <w:rFonts w:hint="eastAsia" w:ascii="Times New Roman" w:hAnsi="Times New Roman" w:eastAsia="仿宋_GB2312"/>
          <w:sz w:val="32"/>
          <w:szCs w:val="32"/>
          <w:lang w:eastAsia="zh-CN"/>
        </w:rPr>
        <w:t>支出</w:t>
      </w:r>
      <w:r>
        <w:rPr>
          <w:rFonts w:hint="eastAsia" w:ascii="Times New Roman" w:hAnsi="Times New Roman" w:eastAsia="仿宋_GB2312"/>
          <w:sz w:val="32"/>
          <w:szCs w:val="32"/>
          <w:lang w:val="en-US" w:eastAsia="zh-CN"/>
        </w:rPr>
        <w:t>5.52万元，</w:t>
      </w:r>
      <w:r>
        <w:rPr>
          <w:rFonts w:hint="eastAsia" w:ascii="Times New Roman" w:hAnsi="Times New Roman" w:eastAsia="仿宋_GB2312"/>
          <w:sz w:val="32"/>
          <w:szCs w:val="32"/>
        </w:rPr>
        <w:t>内容为</w:t>
      </w:r>
      <w:bookmarkStart w:id="8" w:name="OLE_LINK8"/>
      <w:r>
        <w:rPr>
          <w:rFonts w:hint="eastAsia" w:ascii="Times New Roman" w:hAnsi="Times New Roman" w:eastAsia="仿宋_GB2312"/>
          <w:sz w:val="32"/>
          <w:szCs w:val="32"/>
        </w:rPr>
        <w:t>组织市州和</w:t>
      </w:r>
      <w:r>
        <w:rPr>
          <w:rFonts w:hint="eastAsia" w:ascii="Times New Roman" w:hAnsi="Times New Roman" w:eastAsia="仿宋_GB2312"/>
          <w:sz w:val="32"/>
          <w:szCs w:val="32"/>
          <w:lang w:eastAsia="zh-CN"/>
        </w:rPr>
        <w:t>有关任务</w:t>
      </w:r>
      <w:r>
        <w:rPr>
          <w:rFonts w:hint="eastAsia" w:ascii="Times New Roman" w:hAnsi="Times New Roman" w:eastAsia="仿宋_GB2312"/>
          <w:sz w:val="32"/>
          <w:szCs w:val="32"/>
        </w:rPr>
        <w:t>县工作人员培训</w:t>
      </w:r>
      <w:r>
        <w:rPr>
          <w:rFonts w:hint="eastAsia" w:ascii="Times New Roman" w:hAnsi="Times New Roman" w:eastAsia="仿宋_GB2312"/>
          <w:sz w:val="32"/>
          <w:szCs w:val="32"/>
          <w:lang w:eastAsia="zh-CN"/>
        </w:rPr>
        <w:t>，</w:t>
      </w:r>
      <w:bookmarkEnd w:id="8"/>
      <w:bookmarkStart w:id="9" w:name="OLE_LINK9"/>
      <w:r>
        <w:rPr>
          <w:rFonts w:hint="eastAsia" w:ascii="Times New Roman" w:hAnsi="Times New Roman" w:eastAsia="仿宋_GB2312"/>
          <w:sz w:val="32"/>
          <w:szCs w:val="32"/>
        </w:rPr>
        <w:t>解读年度监测流调工作方案；</w:t>
      </w:r>
      <w:bookmarkEnd w:id="9"/>
      <w:r>
        <w:rPr>
          <w:rFonts w:hint="eastAsia" w:ascii="Times New Roman" w:hAnsi="Times New Roman" w:eastAsia="仿宋_GB2312"/>
          <w:sz w:val="32"/>
          <w:szCs w:val="32"/>
          <w:lang w:eastAsia="zh-CN"/>
        </w:rPr>
        <w:t>用于开展</w:t>
      </w:r>
      <w:r>
        <w:rPr>
          <w:rFonts w:hint="eastAsia" w:ascii="Times New Roman" w:hAnsi="Times New Roman" w:eastAsia="仿宋_GB2312"/>
          <w:sz w:val="32"/>
          <w:szCs w:val="32"/>
        </w:rPr>
        <w:t>2023年全省人兽共患病防控技术培训班</w:t>
      </w:r>
      <w:r>
        <w:rPr>
          <w:rFonts w:hint="eastAsia" w:ascii="Times New Roman" w:hAnsi="Times New Roman" w:eastAsia="仿宋_GB2312"/>
          <w:sz w:val="32"/>
          <w:szCs w:val="32"/>
          <w:lang w:eastAsia="zh-CN"/>
        </w:rPr>
        <w:t>，人数</w:t>
      </w:r>
      <w:r>
        <w:rPr>
          <w:rFonts w:hint="eastAsia" w:ascii="Times New Roman" w:hAnsi="Times New Roman" w:eastAsia="仿宋_GB2312"/>
          <w:sz w:val="32"/>
          <w:szCs w:val="32"/>
          <w:lang w:val="en-US" w:eastAsia="zh-CN"/>
        </w:rPr>
        <w:t>60人，支出2.66万元，内容为组织市州工作人员培训布病等人兽共患病防控；用于开展2023年全省动物疫病净化工作培训班，人数112人，支出5.73万元，</w:t>
      </w:r>
      <w:bookmarkStart w:id="10" w:name="OLE_LINK10"/>
      <w:bookmarkStart w:id="11" w:name="OLE_LINK11"/>
      <w:r>
        <w:rPr>
          <w:rFonts w:hint="eastAsia" w:ascii="Times New Roman" w:hAnsi="Times New Roman" w:eastAsia="仿宋_GB2312"/>
          <w:sz w:val="32"/>
          <w:szCs w:val="32"/>
          <w:lang w:val="en-US" w:eastAsia="zh-CN"/>
        </w:rPr>
        <w:t>内容为组织市州疫控机构负责人及创建净化场的养殖场负责人，</w:t>
      </w:r>
      <w:bookmarkEnd w:id="10"/>
      <w:r>
        <w:rPr>
          <w:rFonts w:hint="eastAsia" w:ascii="Times New Roman" w:hAnsi="Times New Roman" w:eastAsia="仿宋_GB2312"/>
          <w:sz w:val="32"/>
          <w:szCs w:val="32"/>
          <w:lang w:val="en-US" w:eastAsia="zh-CN"/>
        </w:rPr>
        <w:t>培训解读新修订的净化标准；</w:t>
      </w:r>
      <w:bookmarkEnd w:id="11"/>
      <w:r>
        <w:rPr>
          <w:rFonts w:hint="eastAsia" w:ascii="Times New Roman" w:hAnsi="Times New Roman" w:eastAsia="仿宋_GB2312"/>
          <w:sz w:val="32"/>
          <w:szCs w:val="32"/>
          <w:lang w:val="en-US" w:eastAsia="zh-CN"/>
        </w:rPr>
        <w:t>用于开展2023年全省兽医实验室检测与生物安全管理技术培训班，人数156人，支出6.09万元，内容为组织市州实验室人员及市县疫控负责人，培训实验室质量和生物安全管理。</w:t>
      </w:r>
    </w:p>
    <w:p>
      <w:pPr>
        <w:pStyle w:val="19"/>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十一、关于政府采购支出说明</w:t>
      </w:r>
    </w:p>
    <w:p>
      <w:pPr>
        <w:pStyle w:val="19"/>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楷体" w:hAnsi="楷体" w:eastAsia="楷体" w:cs="楷体"/>
          <w:b/>
          <w:bCs/>
          <w:i/>
          <w:color w:val="auto"/>
          <w:kern w:val="0"/>
          <w:sz w:val="32"/>
          <w:szCs w:val="32"/>
          <w:lang w:val="en-US" w:eastAsia="zh-CN" w:bidi="ar-SA"/>
        </w:rPr>
      </w:pPr>
      <w:r>
        <w:rPr>
          <w:rFonts w:hint="eastAsia" w:ascii="Times New Roman" w:hAnsi="Times New Roman" w:eastAsia="仿宋_GB2312"/>
          <w:sz w:val="32"/>
          <w:szCs w:val="32"/>
        </w:rPr>
        <w:t>本</w:t>
      </w:r>
      <w:r>
        <w:rPr>
          <w:rFonts w:hint="eastAsia" w:ascii="Times New Roman" w:hAnsi="Times New Roman" w:eastAsia="仿宋_GB2312"/>
          <w:sz w:val="32"/>
          <w:szCs w:val="32"/>
          <w:lang w:eastAsia="zh-CN"/>
        </w:rPr>
        <w:t>单位</w:t>
      </w: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年度政府采购支出总额</w:t>
      </w:r>
      <w:r>
        <w:rPr>
          <w:rFonts w:hint="eastAsia" w:ascii="Times New Roman" w:hAnsi="Times New Roman" w:eastAsia="仿宋_GB2312"/>
          <w:sz w:val="32"/>
          <w:szCs w:val="32"/>
          <w:lang w:val="en-US" w:eastAsia="zh-CN"/>
        </w:rPr>
        <w:t>949.57</w:t>
      </w:r>
      <w:r>
        <w:rPr>
          <w:rFonts w:hint="eastAsia" w:ascii="Times New Roman" w:hAnsi="Times New Roman" w:eastAsia="仿宋_GB2312"/>
          <w:sz w:val="32"/>
          <w:szCs w:val="32"/>
        </w:rPr>
        <w:t>万元，其中：政府采购货物支出</w:t>
      </w:r>
      <w:r>
        <w:rPr>
          <w:rFonts w:hint="eastAsia" w:ascii="Times New Roman" w:hAnsi="Times New Roman" w:eastAsia="仿宋_GB2312"/>
          <w:sz w:val="32"/>
          <w:szCs w:val="32"/>
          <w:lang w:val="en-US" w:eastAsia="zh-CN"/>
        </w:rPr>
        <w:t>930.02</w:t>
      </w:r>
      <w:r>
        <w:rPr>
          <w:rFonts w:hint="eastAsia" w:ascii="Times New Roman" w:hAnsi="Times New Roman" w:eastAsia="仿宋_GB2312"/>
          <w:sz w:val="32"/>
          <w:szCs w:val="32"/>
        </w:rPr>
        <w:t>万元、政府采购工程支出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万元、政府采购服务支出</w:t>
      </w:r>
      <w:r>
        <w:rPr>
          <w:rFonts w:hint="eastAsia" w:ascii="Times New Roman" w:hAnsi="Times New Roman" w:eastAsia="仿宋_GB2312"/>
          <w:sz w:val="32"/>
          <w:szCs w:val="32"/>
          <w:lang w:val="en-US" w:eastAsia="zh-CN"/>
        </w:rPr>
        <w:t>19.55</w:t>
      </w:r>
      <w:r>
        <w:rPr>
          <w:rFonts w:hint="eastAsia" w:ascii="Times New Roman" w:hAnsi="Times New Roman" w:eastAsia="仿宋_GB2312"/>
          <w:sz w:val="32"/>
          <w:szCs w:val="32"/>
        </w:rPr>
        <w:t>万元。授予中小企业合同金额</w:t>
      </w:r>
      <w:r>
        <w:rPr>
          <w:rFonts w:hint="eastAsia" w:ascii="Times New Roman" w:hAnsi="Times New Roman" w:eastAsia="仿宋_GB2312"/>
          <w:sz w:val="32"/>
          <w:szCs w:val="32"/>
          <w:lang w:val="en-US" w:eastAsia="zh-CN"/>
        </w:rPr>
        <w:t>949.57</w:t>
      </w:r>
      <w:r>
        <w:rPr>
          <w:rFonts w:hint="eastAsia" w:ascii="Times New Roman" w:hAnsi="Times New Roman" w:eastAsia="仿宋_GB2312"/>
          <w:sz w:val="32"/>
          <w:szCs w:val="32"/>
        </w:rPr>
        <w:t>万元，占政府采购支出总额的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%，其中：授予小微企业合同金额</w:t>
      </w:r>
      <w:r>
        <w:rPr>
          <w:rFonts w:hint="eastAsia" w:ascii="Times New Roman" w:hAnsi="Times New Roman" w:eastAsia="仿宋_GB2312"/>
          <w:sz w:val="32"/>
          <w:szCs w:val="32"/>
          <w:lang w:val="en-US" w:eastAsia="zh-CN"/>
        </w:rPr>
        <w:t>99.57</w:t>
      </w:r>
      <w:r>
        <w:rPr>
          <w:rFonts w:hint="eastAsia" w:ascii="Times New Roman" w:hAnsi="Times New Roman" w:eastAsia="仿宋_GB2312"/>
          <w:sz w:val="32"/>
          <w:szCs w:val="32"/>
        </w:rPr>
        <w:t>万元，</w:t>
      </w:r>
      <w:r>
        <w:rPr>
          <w:rFonts w:hint="eastAsia" w:ascii="Times New Roman" w:hAnsi="Times New Roman" w:eastAsia="仿宋_GB2312"/>
          <w:color w:val="auto"/>
          <w:sz w:val="32"/>
          <w:szCs w:val="32"/>
        </w:rPr>
        <w:t>占</w:t>
      </w:r>
      <w:r>
        <w:rPr>
          <w:rFonts w:hint="eastAsia" w:ascii="Times New Roman" w:hAnsi="Times New Roman" w:eastAsia="仿宋_GB2312"/>
          <w:color w:val="auto"/>
          <w:sz w:val="32"/>
          <w:szCs w:val="32"/>
          <w:lang w:eastAsia="zh-CN"/>
        </w:rPr>
        <w:t>授予中小企业合同金额</w:t>
      </w:r>
      <w:r>
        <w:rPr>
          <w:rFonts w:hint="eastAsia" w:ascii="Times New Roman" w:hAnsi="Times New Roman" w:eastAsia="仿宋_GB2312"/>
          <w:color w:val="auto"/>
          <w:sz w:val="32"/>
          <w:szCs w:val="32"/>
        </w:rPr>
        <w:t>的</w:t>
      </w:r>
      <w:r>
        <w:rPr>
          <w:rFonts w:hint="eastAsia" w:ascii="Times New Roman" w:hAnsi="Times New Roman" w:eastAsia="仿宋_GB2312"/>
          <w:color w:val="auto"/>
          <w:sz w:val="32"/>
          <w:szCs w:val="32"/>
          <w:lang w:val="en-US" w:eastAsia="zh-CN"/>
        </w:rPr>
        <w:t>100</w:t>
      </w:r>
      <w:r>
        <w:rPr>
          <w:rFonts w:hint="eastAsia" w:ascii="Times New Roman" w:hAnsi="Times New Roman" w:eastAsia="仿宋_GB2312"/>
          <w:color w:val="auto"/>
          <w:sz w:val="32"/>
          <w:szCs w:val="32"/>
        </w:rPr>
        <w:t>%。货物采购授予中小企业合同金额占货物支出金额的</w:t>
      </w:r>
      <w:r>
        <w:rPr>
          <w:rFonts w:hint="eastAsia" w:ascii="Times New Roman" w:hAnsi="Times New Roman" w:eastAsia="仿宋_GB2312"/>
          <w:color w:val="auto"/>
          <w:sz w:val="32"/>
          <w:szCs w:val="32"/>
          <w:lang w:val="en-US" w:eastAsia="zh-CN"/>
        </w:rPr>
        <w:t>100</w:t>
      </w:r>
      <w:r>
        <w:rPr>
          <w:rFonts w:hint="eastAsia" w:ascii="Times New Roman" w:hAnsi="Times New Roman" w:eastAsia="仿宋_GB2312"/>
          <w:color w:val="auto"/>
          <w:sz w:val="32"/>
          <w:szCs w:val="32"/>
        </w:rPr>
        <w:t>%，服务采购授予中小企业合同占服务支出金额的</w:t>
      </w:r>
      <w:r>
        <w:rPr>
          <w:rFonts w:hint="eastAsia" w:ascii="Times New Roman" w:hAnsi="Times New Roman" w:eastAsia="仿宋_GB2312"/>
          <w:color w:val="auto"/>
          <w:sz w:val="32"/>
          <w:szCs w:val="32"/>
          <w:lang w:val="en-US" w:eastAsia="zh-CN"/>
        </w:rPr>
        <w:t>90</w:t>
      </w:r>
      <w:r>
        <w:rPr>
          <w:rFonts w:hint="eastAsia" w:ascii="Times New Roman" w:hAnsi="Times New Roman" w:eastAsia="仿宋_GB2312"/>
          <w:color w:val="auto"/>
          <w:sz w:val="32"/>
          <w:szCs w:val="32"/>
        </w:rPr>
        <w:t>%。</w:t>
      </w:r>
    </w:p>
    <w:p>
      <w:pPr>
        <w:pStyle w:val="19"/>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十二、关于国有资产占用情况说明</w:t>
      </w:r>
    </w:p>
    <w:p>
      <w:pPr>
        <w:pStyle w:val="19"/>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rPr>
        <w:t>截至202</w:t>
      </w:r>
      <w:r>
        <w:rPr>
          <w:rFonts w:hint="eastAsia" w:ascii="Times New Roman" w:hAnsi="Times New Roman" w:eastAsia="仿宋_GB2312"/>
          <w:color w:val="auto"/>
          <w:sz w:val="32"/>
          <w:szCs w:val="32"/>
          <w:lang w:val="en-US" w:eastAsia="zh-CN"/>
        </w:rPr>
        <w:t>3</w:t>
      </w:r>
      <w:r>
        <w:rPr>
          <w:rFonts w:hint="eastAsia" w:ascii="Times New Roman" w:hAnsi="Times New Roman" w:eastAsia="仿宋_GB2312"/>
          <w:color w:val="auto"/>
          <w:sz w:val="32"/>
          <w:szCs w:val="32"/>
        </w:rPr>
        <w:t>年12月31日，</w:t>
      </w:r>
      <w:r>
        <w:rPr>
          <w:rFonts w:hint="eastAsia" w:ascii="Times New Roman" w:hAnsi="Times New Roman" w:eastAsia="仿宋_GB2312"/>
          <w:color w:val="auto"/>
          <w:sz w:val="32"/>
          <w:szCs w:val="32"/>
          <w:lang w:eastAsia="zh-CN"/>
        </w:rPr>
        <w:t>本单位</w:t>
      </w:r>
      <w:r>
        <w:rPr>
          <w:rFonts w:hint="eastAsia" w:ascii="Times New Roman" w:hAnsi="Times New Roman" w:eastAsia="仿宋_GB2312"/>
          <w:color w:val="auto"/>
          <w:sz w:val="32"/>
          <w:szCs w:val="32"/>
        </w:rPr>
        <w:t>共有车辆</w:t>
      </w:r>
      <w:r>
        <w:rPr>
          <w:rFonts w:hint="eastAsia" w:ascii="Times New Roman" w:hAnsi="Times New Roman" w:eastAsia="仿宋_GB2312"/>
          <w:color w:val="auto"/>
          <w:sz w:val="32"/>
          <w:szCs w:val="32"/>
          <w:lang w:val="en-US" w:eastAsia="zh-CN"/>
        </w:rPr>
        <w:t>2</w:t>
      </w:r>
      <w:r>
        <w:rPr>
          <w:rFonts w:hint="eastAsia" w:ascii="Times New Roman" w:hAnsi="Times New Roman" w:eastAsia="仿宋_GB2312"/>
          <w:color w:val="auto"/>
          <w:sz w:val="32"/>
          <w:szCs w:val="32"/>
        </w:rPr>
        <w:t>辆，其中</w:t>
      </w:r>
      <w:r>
        <w:rPr>
          <w:rFonts w:hint="eastAsia" w:ascii="Times New Roman" w:hAnsi="Times New Roman" w:eastAsia="仿宋_GB2312"/>
          <w:color w:val="auto"/>
          <w:sz w:val="32"/>
          <w:szCs w:val="32"/>
          <w:lang w:eastAsia="zh-CN"/>
        </w:rPr>
        <w:t>，副部（省）级及以上领导用车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rPr>
        <w:t>主要</w:t>
      </w:r>
      <w:r>
        <w:rPr>
          <w:rFonts w:hint="eastAsia" w:ascii="Times New Roman" w:hAnsi="Times New Roman" w:eastAsia="仿宋_GB2312"/>
          <w:color w:val="auto"/>
          <w:sz w:val="32"/>
          <w:szCs w:val="32"/>
          <w:lang w:eastAsia="zh-CN"/>
        </w:rPr>
        <w:t>负责人</w:t>
      </w:r>
      <w:r>
        <w:rPr>
          <w:rFonts w:hint="eastAsia" w:ascii="Times New Roman" w:hAnsi="Times New Roman" w:eastAsia="仿宋_GB2312"/>
          <w:color w:val="auto"/>
          <w:sz w:val="32"/>
          <w:szCs w:val="32"/>
        </w:rPr>
        <w:t>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rPr>
        <w:t>机要通信用车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辆、应急保障用车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辆、执法执勤用车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辆、特种专业技术用车</w:t>
      </w:r>
      <w:r>
        <w:rPr>
          <w:rFonts w:hint="eastAsia" w:ascii="Times New Roman" w:hAnsi="Times New Roman" w:eastAsia="仿宋_GB2312"/>
          <w:color w:val="auto"/>
          <w:sz w:val="32"/>
          <w:szCs w:val="32"/>
          <w:lang w:val="en-US" w:eastAsia="zh-CN"/>
        </w:rPr>
        <w:t>1</w:t>
      </w:r>
      <w:r>
        <w:rPr>
          <w:rFonts w:hint="eastAsia" w:ascii="Times New Roman" w:hAnsi="Times New Roman" w:eastAsia="仿宋_GB2312"/>
          <w:color w:val="auto"/>
          <w:sz w:val="32"/>
          <w:szCs w:val="32"/>
        </w:rPr>
        <w:t>辆、</w:t>
      </w:r>
      <w:r>
        <w:rPr>
          <w:rFonts w:hint="eastAsia" w:ascii="Times New Roman" w:hAnsi="Times New Roman" w:eastAsia="仿宋_GB2312"/>
          <w:color w:val="auto"/>
          <w:sz w:val="32"/>
          <w:szCs w:val="32"/>
          <w:lang w:eastAsia="zh-CN"/>
        </w:rPr>
        <w:t>离退休干部服务用车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辆、其他用车</w:t>
      </w:r>
      <w:r>
        <w:rPr>
          <w:rFonts w:hint="eastAsia" w:ascii="Times New Roman" w:hAnsi="Times New Roman" w:eastAsia="仿宋_GB2312"/>
          <w:color w:val="auto"/>
          <w:sz w:val="32"/>
          <w:szCs w:val="32"/>
          <w:lang w:val="en-US" w:eastAsia="zh-CN"/>
        </w:rPr>
        <w:t>1</w:t>
      </w:r>
      <w:r>
        <w:rPr>
          <w:rFonts w:hint="eastAsia" w:ascii="Times New Roman" w:hAnsi="Times New Roman" w:eastAsia="仿宋_GB2312"/>
          <w:color w:val="auto"/>
          <w:sz w:val="32"/>
          <w:szCs w:val="32"/>
        </w:rPr>
        <w:t>辆，其他用车</w:t>
      </w:r>
      <w:r>
        <w:rPr>
          <w:rFonts w:hint="eastAsia" w:ascii="Times New Roman" w:hAnsi="Times New Roman" w:eastAsia="仿宋_GB2312"/>
          <w:sz w:val="32"/>
          <w:szCs w:val="32"/>
        </w:rPr>
        <w:t>主要是按规定配置的一般公务用车</w:t>
      </w:r>
      <w:r>
        <w:rPr>
          <w:rFonts w:hint="eastAsia" w:ascii="Times New Roman" w:hAnsi="Times New Roman" w:eastAsia="仿宋_GB2312"/>
          <w:color w:val="auto"/>
          <w:sz w:val="32"/>
          <w:szCs w:val="32"/>
        </w:rPr>
        <w:t>；单位价值100万元以上设备</w:t>
      </w:r>
      <w:r>
        <w:rPr>
          <w:rFonts w:hint="eastAsia" w:ascii="Times New Roman" w:hAnsi="Times New Roman" w:eastAsia="仿宋_GB2312"/>
          <w:color w:val="auto"/>
          <w:sz w:val="32"/>
          <w:szCs w:val="32"/>
          <w:lang w:val="en-US" w:eastAsia="zh-CN"/>
        </w:rPr>
        <w:t>1</w:t>
      </w:r>
      <w:r>
        <w:rPr>
          <w:rFonts w:hint="eastAsia" w:ascii="Times New Roman" w:hAnsi="Times New Roman" w:eastAsia="仿宋_GB2312"/>
          <w:color w:val="auto"/>
          <w:sz w:val="32"/>
          <w:szCs w:val="32"/>
        </w:rPr>
        <w:t>台（套）。</w:t>
      </w:r>
    </w:p>
    <w:p>
      <w:pPr>
        <w:pStyle w:val="19"/>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十三、关于</w:t>
      </w: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黑体" w:hAnsi="黑体" w:eastAsia="黑体" w:cs="黑体"/>
          <w:b w:val="0"/>
          <w:bCs/>
          <w:color w:val="auto"/>
          <w:sz w:val="32"/>
          <w:szCs w:val="32"/>
        </w:rPr>
        <w:t>年度</w:t>
      </w:r>
      <w:r>
        <w:rPr>
          <w:rFonts w:hint="eastAsia" w:hAnsi="黑体" w:cs="黑体"/>
          <w:b w:val="0"/>
          <w:bCs/>
          <w:color w:val="auto"/>
          <w:sz w:val="32"/>
          <w:szCs w:val="32"/>
          <w:lang w:eastAsia="zh-CN"/>
        </w:rPr>
        <w:t>预算</w:t>
      </w:r>
      <w:r>
        <w:rPr>
          <w:rFonts w:hint="eastAsia" w:ascii="黑体" w:hAnsi="黑体" w:eastAsia="黑体" w:cs="黑体"/>
          <w:b w:val="0"/>
          <w:bCs/>
          <w:color w:val="auto"/>
          <w:sz w:val="32"/>
          <w:szCs w:val="32"/>
        </w:rPr>
        <w:t>绩效情况的说明</w:t>
      </w:r>
    </w:p>
    <w:p>
      <w:pPr>
        <w:pStyle w:val="19"/>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（一）绩效管理工作开展情况</w:t>
      </w:r>
    </w:p>
    <w:p>
      <w:pPr>
        <w:pStyle w:val="11"/>
        <w:spacing w:line="600" w:lineRule="exact"/>
        <w:ind w:firstLineChars="200"/>
        <w:rPr>
          <w:rFonts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lang w:val="en-US" w:eastAsia="zh-CN"/>
        </w:rPr>
        <w:t>1</w:t>
      </w:r>
      <w:r>
        <w:rPr>
          <w:rFonts w:hint="eastAsia" w:ascii="Times New Roman" w:hAnsi="Times New Roman" w:eastAsia="仿宋_GB2312" w:cs="仿宋_GB2312"/>
          <w:bCs/>
          <w:kern w:val="0"/>
          <w:sz w:val="32"/>
          <w:szCs w:val="32"/>
        </w:rPr>
        <w:t>、运行成本方面。</w:t>
      </w:r>
    </w:p>
    <w:p>
      <w:pPr>
        <w:pStyle w:val="11"/>
        <w:spacing w:line="600" w:lineRule="exact"/>
        <w:ind w:firstLineChars="200"/>
        <w:rPr>
          <w:rFonts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（1）202</w:t>
      </w:r>
      <w:r>
        <w:rPr>
          <w:rFonts w:hint="eastAsia" w:ascii="Times New Roman" w:hAnsi="Times New Roman" w:eastAsia="仿宋_GB2312" w:cs="仿宋_GB2312"/>
          <w:bCs/>
          <w:kern w:val="0"/>
          <w:sz w:val="32"/>
          <w:szCs w:val="32"/>
          <w:lang w:val="en-US" w:eastAsia="zh-CN"/>
        </w:rPr>
        <w:t>3</w:t>
      </w:r>
      <w:r>
        <w:rPr>
          <w:rFonts w:hint="eastAsia" w:ascii="Times New Roman" w:hAnsi="Times New Roman" w:eastAsia="仿宋_GB2312" w:cs="仿宋_GB2312"/>
          <w:bCs/>
          <w:kern w:val="0"/>
          <w:sz w:val="32"/>
          <w:szCs w:val="32"/>
        </w:rPr>
        <w:t>年我单位进一步规范</w:t>
      </w:r>
      <w:r>
        <w:rPr>
          <w:rFonts w:hint="eastAsia" w:ascii="Times New Roman" w:hAnsi="Times New Roman" w:eastAsia="仿宋_GB2312" w:cs="仿宋_GB2312"/>
          <w:bCs/>
          <w:kern w:val="0"/>
          <w:sz w:val="32"/>
          <w:szCs w:val="32"/>
          <w:lang w:eastAsia="zh-CN"/>
        </w:rPr>
        <w:t>内部</w:t>
      </w:r>
      <w:r>
        <w:rPr>
          <w:rFonts w:hint="eastAsia" w:ascii="Times New Roman" w:hAnsi="Times New Roman" w:eastAsia="仿宋_GB2312" w:cs="仿宋_GB2312"/>
          <w:bCs/>
          <w:kern w:val="0"/>
          <w:sz w:val="32"/>
          <w:szCs w:val="32"/>
        </w:rPr>
        <w:t>管理，</w:t>
      </w:r>
      <w:r>
        <w:rPr>
          <w:rFonts w:hint="eastAsia" w:ascii="Times New Roman" w:hAnsi="Times New Roman" w:eastAsia="仿宋_GB2312" w:cs="仿宋_GB2312"/>
          <w:bCs/>
          <w:kern w:val="0"/>
          <w:sz w:val="32"/>
          <w:szCs w:val="32"/>
          <w:lang w:eastAsia="zh-CN"/>
        </w:rPr>
        <w:t>在财务管理、资产管理等方面，严格遵守相关内控制度，进一步加强制度执行力度，各项经济活动合规按流程操作，各项</w:t>
      </w:r>
      <w:r>
        <w:rPr>
          <w:rFonts w:hint="eastAsia" w:ascii="Times New Roman" w:hAnsi="Times New Roman" w:eastAsia="仿宋_GB2312" w:cs="仿宋_GB2312"/>
          <w:bCs/>
          <w:kern w:val="0"/>
          <w:sz w:val="32"/>
          <w:szCs w:val="32"/>
        </w:rPr>
        <w:t>工作均在制度的管控范围内有序开展</w:t>
      </w:r>
      <w:r>
        <w:rPr>
          <w:rFonts w:hint="eastAsia" w:ascii="Times New Roman" w:hAnsi="Times New Roman" w:eastAsia="仿宋_GB2312" w:cs="仿宋_GB2312"/>
          <w:bCs/>
          <w:kern w:val="0"/>
          <w:sz w:val="32"/>
          <w:szCs w:val="32"/>
          <w:lang w:eastAsia="zh-CN"/>
        </w:rPr>
        <w:t>、</w:t>
      </w:r>
      <w:r>
        <w:rPr>
          <w:rFonts w:hint="eastAsia" w:ascii="Times New Roman" w:hAnsi="Times New Roman" w:eastAsia="仿宋_GB2312" w:cs="仿宋_GB2312"/>
          <w:bCs/>
          <w:kern w:val="0"/>
          <w:sz w:val="32"/>
          <w:szCs w:val="32"/>
        </w:rPr>
        <w:t>高效进行。同时积极响应政府过“紧日子”的号召，严控费用</w:t>
      </w:r>
      <w:r>
        <w:rPr>
          <w:rFonts w:hint="eastAsia" w:ascii="Times New Roman" w:hAnsi="Times New Roman" w:eastAsia="仿宋_GB2312" w:cs="仿宋_GB2312"/>
          <w:bCs/>
          <w:kern w:val="0"/>
          <w:sz w:val="32"/>
          <w:szCs w:val="32"/>
          <w:lang w:eastAsia="zh-CN"/>
        </w:rPr>
        <w:t>开支标准和范围</w:t>
      </w:r>
      <w:r>
        <w:rPr>
          <w:rFonts w:hint="eastAsia" w:ascii="Times New Roman" w:hAnsi="Times New Roman" w:eastAsia="仿宋_GB2312" w:cs="仿宋_GB2312"/>
          <w:bCs/>
          <w:kern w:val="0"/>
          <w:sz w:val="32"/>
          <w:szCs w:val="32"/>
        </w:rPr>
        <w:t>，减少不必要的支出。</w:t>
      </w:r>
    </w:p>
    <w:p>
      <w:pPr>
        <w:pStyle w:val="11"/>
        <w:spacing w:line="600" w:lineRule="exact"/>
        <w:ind w:firstLineChars="200"/>
        <w:rPr>
          <w:rFonts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（2）202</w:t>
      </w:r>
      <w:r>
        <w:rPr>
          <w:rFonts w:hint="eastAsia" w:ascii="Times New Roman" w:hAnsi="Times New Roman" w:eastAsia="仿宋_GB2312" w:cs="仿宋_GB2312"/>
          <w:bCs/>
          <w:kern w:val="0"/>
          <w:sz w:val="32"/>
          <w:szCs w:val="32"/>
          <w:lang w:val="en-US" w:eastAsia="zh-CN"/>
        </w:rPr>
        <w:t>3</w:t>
      </w:r>
      <w:r>
        <w:rPr>
          <w:rFonts w:hint="eastAsia" w:ascii="Times New Roman" w:hAnsi="Times New Roman" w:eastAsia="仿宋_GB2312" w:cs="仿宋_GB2312"/>
          <w:bCs/>
          <w:kern w:val="0"/>
          <w:sz w:val="32"/>
          <w:szCs w:val="32"/>
        </w:rPr>
        <w:t>年</w:t>
      </w:r>
      <w:r>
        <w:rPr>
          <w:rFonts w:hint="eastAsia" w:ascii="Times New Roman" w:hAnsi="Times New Roman" w:eastAsia="仿宋_GB2312" w:cs="仿宋_GB2312"/>
          <w:bCs/>
          <w:kern w:val="0"/>
          <w:sz w:val="32"/>
          <w:szCs w:val="32"/>
          <w:lang w:eastAsia="zh-CN"/>
        </w:rPr>
        <w:t>，本单位</w:t>
      </w:r>
      <w:r>
        <w:rPr>
          <w:rFonts w:hint="eastAsia" w:ascii="Times New Roman" w:hAnsi="Times New Roman" w:eastAsia="仿宋_GB2312" w:cs="仿宋_GB2312"/>
          <w:bCs/>
          <w:kern w:val="0"/>
          <w:sz w:val="32"/>
          <w:szCs w:val="32"/>
        </w:rPr>
        <w:t>公用经费支出</w:t>
      </w:r>
      <w:r>
        <w:rPr>
          <w:rFonts w:hint="eastAsia" w:ascii="Times New Roman" w:hAnsi="Times New Roman" w:eastAsia="仿宋_GB2312" w:cs="仿宋_GB2312"/>
          <w:bCs/>
          <w:kern w:val="0"/>
          <w:sz w:val="32"/>
          <w:szCs w:val="32"/>
          <w:lang w:val="en-US" w:eastAsia="zh-CN"/>
        </w:rPr>
        <w:t>93.62</w:t>
      </w:r>
      <w:r>
        <w:rPr>
          <w:rFonts w:hint="eastAsia" w:ascii="Times New Roman" w:hAnsi="Times New Roman" w:eastAsia="仿宋_GB2312" w:cs="仿宋_GB2312"/>
          <w:bCs/>
          <w:kern w:val="0"/>
          <w:sz w:val="32"/>
          <w:szCs w:val="32"/>
        </w:rPr>
        <w:t>万元，公用经费控制率为</w:t>
      </w:r>
      <w:r>
        <w:rPr>
          <w:rFonts w:hint="eastAsia" w:ascii="Times New Roman" w:hAnsi="Times New Roman" w:eastAsia="仿宋_GB2312" w:cs="仿宋_GB2312"/>
          <w:bCs/>
          <w:kern w:val="0"/>
          <w:sz w:val="32"/>
          <w:szCs w:val="32"/>
          <w:lang w:val="en-US" w:eastAsia="zh-CN"/>
        </w:rPr>
        <w:t>99.88</w:t>
      </w:r>
      <w:r>
        <w:rPr>
          <w:rFonts w:hint="eastAsia" w:ascii="Times New Roman" w:hAnsi="Times New Roman" w:eastAsia="仿宋_GB2312" w:cs="仿宋_GB2312"/>
          <w:bCs/>
          <w:kern w:val="0"/>
          <w:sz w:val="32"/>
          <w:szCs w:val="32"/>
        </w:rPr>
        <w:t>%；“三公”经费全年预算安排10.</w:t>
      </w:r>
      <w:r>
        <w:rPr>
          <w:rFonts w:hint="eastAsia" w:ascii="Times New Roman" w:hAnsi="Times New Roman" w:eastAsia="仿宋_GB2312" w:cs="仿宋_GB2312"/>
          <w:bCs/>
          <w:kern w:val="0"/>
          <w:sz w:val="32"/>
          <w:szCs w:val="32"/>
          <w:lang w:val="en-US" w:eastAsia="zh-CN"/>
        </w:rPr>
        <w:t>6</w:t>
      </w:r>
      <w:r>
        <w:rPr>
          <w:rFonts w:hint="eastAsia" w:ascii="Times New Roman" w:hAnsi="Times New Roman" w:eastAsia="仿宋_GB2312" w:cs="仿宋_GB2312"/>
          <w:bCs/>
          <w:kern w:val="0"/>
          <w:sz w:val="32"/>
          <w:szCs w:val="32"/>
        </w:rPr>
        <w:t>0万元，实际支出10.</w:t>
      </w:r>
      <w:r>
        <w:rPr>
          <w:rFonts w:hint="eastAsia" w:ascii="Times New Roman" w:hAnsi="Times New Roman" w:eastAsia="仿宋_GB2312" w:cs="仿宋_GB2312"/>
          <w:bCs/>
          <w:kern w:val="0"/>
          <w:sz w:val="32"/>
          <w:szCs w:val="32"/>
          <w:lang w:val="en-US" w:eastAsia="zh-CN"/>
        </w:rPr>
        <w:t>49</w:t>
      </w:r>
      <w:r>
        <w:rPr>
          <w:rFonts w:hint="eastAsia" w:ascii="Times New Roman" w:hAnsi="Times New Roman" w:eastAsia="仿宋_GB2312" w:cs="仿宋_GB2312"/>
          <w:bCs/>
          <w:kern w:val="0"/>
          <w:sz w:val="32"/>
          <w:szCs w:val="32"/>
        </w:rPr>
        <w:t>万元，支出控制率为</w:t>
      </w:r>
      <w:r>
        <w:rPr>
          <w:rFonts w:hint="eastAsia" w:ascii="Times New Roman" w:hAnsi="Times New Roman" w:eastAsia="仿宋_GB2312" w:cs="仿宋_GB2312"/>
          <w:bCs/>
          <w:kern w:val="0"/>
          <w:sz w:val="32"/>
          <w:szCs w:val="32"/>
          <w:lang w:val="en-US" w:eastAsia="zh-CN"/>
        </w:rPr>
        <w:t>98.96</w:t>
      </w:r>
      <w:r>
        <w:rPr>
          <w:rFonts w:hint="eastAsia" w:ascii="Times New Roman" w:hAnsi="Times New Roman" w:eastAsia="仿宋_GB2312" w:cs="仿宋_GB2312"/>
          <w:bCs/>
          <w:kern w:val="0"/>
          <w:sz w:val="32"/>
          <w:szCs w:val="32"/>
        </w:rPr>
        <w:t>%，比预算减少支出0.</w:t>
      </w:r>
      <w:r>
        <w:rPr>
          <w:rFonts w:hint="eastAsia" w:ascii="Times New Roman" w:hAnsi="Times New Roman" w:eastAsia="仿宋_GB2312" w:cs="仿宋_GB2312"/>
          <w:bCs/>
          <w:kern w:val="0"/>
          <w:sz w:val="32"/>
          <w:szCs w:val="32"/>
          <w:lang w:val="en-US" w:eastAsia="zh-CN"/>
        </w:rPr>
        <w:t>11</w:t>
      </w:r>
      <w:r>
        <w:rPr>
          <w:rFonts w:hint="eastAsia" w:ascii="Times New Roman" w:hAnsi="Times New Roman" w:eastAsia="仿宋_GB2312" w:cs="仿宋_GB2312"/>
          <w:bCs/>
          <w:kern w:val="0"/>
          <w:sz w:val="32"/>
          <w:szCs w:val="32"/>
        </w:rPr>
        <w:t>万元。</w:t>
      </w:r>
    </w:p>
    <w:p>
      <w:pPr>
        <w:pStyle w:val="11"/>
        <w:numPr>
          <w:ilvl w:val="0"/>
          <w:numId w:val="0"/>
        </w:numPr>
        <w:spacing w:line="600" w:lineRule="exact"/>
        <w:ind w:firstLine="1280" w:firstLineChars="400"/>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lang w:val="en-US" w:eastAsia="zh-CN"/>
        </w:rPr>
        <w:t>2、</w:t>
      </w:r>
      <w:r>
        <w:rPr>
          <w:rFonts w:hint="eastAsia" w:ascii="Times New Roman" w:hAnsi="Times New Roman" w:eastAsia="仿宋_GB2312" w:cs="仿宋_GB2312"/>
          <w:bCs/>
          <w:kern w:val="0"/>
          <w:sz w:val="32"/>
          <w:szCs w:val="32"/>
        </w:rPr>
        <w:t>管理效率方面。</w:t>
      </w:r>
    </w:p>
    <w:p>
      <w:pPr>
        <w:pStyle w:val="11"/>
        <w:numPr>
          <w:ilvl w:val="0"/>
          <w:numId w:val="0"/>
        </w:numPr>
        <w:spacing w:line="600" w:lineRule="exact"/>
        <w:ind w:firstLine="640" w:firstLineChars="200"/>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202</w:t>
      </w:r>
      <w:r>
        <w:rPr>
          <w:rFonts w:hint="eastAsia" w:ascii="Times New Roman" w:hAnsi="Times New Roman" w:eastAsia="仿宋_GB2312" w:cs="仿宋_GB2312"/>
          <w:bCs/>
          <w:kern w:val="0"/>
          <w:sz w:val="32"/>
          <w:szCs w:val="32"/>
          <w:lang w:val="en-US" w:eastAsia="zh-CN"/>
        </w:rPr>
        <w:t>3</w:t>
      </w:r>
      <w:r>
        <w:rPr>
          <w:rFonts w:hint="eastAsia" w:ascii="Times New Roman" w:hAnsi="Times New Roman" w:eastAsia="仿宋_GB2312" w:cs="仿宋_GB2312"/>
          <w:bCs/>
          <w:kern w:val="0"/>
          <w:sz w:val="32"/>
          <w:szCs w:val="32"/>
        </w:rPr>
        <w:t>年</w:t>
      </w:r>
      <w:r>
        <w:rPr>
          <w:rFonts w:hint="eastAsia" w:ascii="Times New Roman" w:hAnsi="Times New Roman" w:eastAsia="仿宋_GB2312" w:cs="仿宋_GB2312"/>
          <w:bCs/>
          <w:kern w:val="0"/>
          <w:sz w:val="32"/>
          <w:szCs w:val="32"/>
          <w:lang w:eastAsia="zh-CN"/>
        </w:rPr>
        <w:t>，本单位</w:t>
      </w:r>
      <w:r>
        <w:rPr>
          <w:rFonts w:hint="eastAsia" w:ascii="Times New Roman" w:hAnsi="Times New Roman" w:eastAsia="仿宋_GB2312" w:cs="仿宋_GB2312"/>
          <w:bCs/>
          <w:kern w:val="0"/>
          <w:sz w:val="32"/>
          <w:szCs w:val="32"/>
        </w:rPr>
        <w:t>财政拨款收入</w:t>
      </w:r>
      <w:r>
        <w:rPr>
          <w:rFonts w:hint="eastAsia" w:ascii="Times New Roman" w:hAnsi="Times New Roman" w:eastAsia="仿宋_GB2312" w:cs="仿宋_GB2312"/>
          <w:bCs/>
          <w:kern w:val="0"/>
          <w:sz w:val="32"/>
          <w:szCs w:val="32"/>
          <w:lang w:val="en-US" w:eastAsia="zh-CN"/>
        </w:rPr>
        <w:t>1763.77</w:t>
      </w:r>
      <w:r>
        <w:rPr>
          <w:rFonts w:hint="eastAsia" w:ascii="Times New Roman" w:hAnsi="Times New Roman" w:eastAsia="仿宋_GB2312" w:cs="仿宋_GB2312"/>
          <w:bCs/>
          <w:kern w:val="0"/>
          <w:sz w:val="32"/>
          <w:szCs w:val="32"/>
        </w:rPr>
        <w:t>万元，其中：基本支出</w:t>
      </w:r>
      <w:r>
        <w:rPr>
          <w:rFonts w:hint="eastAsia" w:ascii="Times New Roman" w:hAnsi="Times New Roman" w:eastAsia="仿宋_GB2312" w:cs="仿宋_GB2312"/>
          <w:bCs/>
          <w:kern w:val="0"/>
          <w:sz w:val="32"/>
          <w:szCs w:val="32"/>
          <w:lang w:val="en-US" w:eastAsia="zh-CN"/>
        </w:rPr>
        <w:t>776.61</w:t>
      </w:r>
      <w:r>
        <w:rPr>
          <w:rFonts w:hint="eastAsia" w:ascii="Times New Roman" w:hAnsi="Times New Roman" w:eastAsia="仿宋_GB2312" w:cs="仿宋_GB2312"/>
          <w:bCs/>
          <w:kern w:val="0"/>
          <w:sz w:val="32"/>
          <w:szCs w:val="32"/>
        </w:rPr>
        <w:t>万元，占预算总额的</w:t>
      </w:r>
      <w:r>
        <w:rPr>
          <w:rFonts w:hint="eastAsia" w:ascii="Times New Roman" w:hAnsi="Times New Roman" w:eastAsia="仿宋_GB2312" w:cs="仿宋_GB2312"/>
          <w:bCs/>
          <w:kern w:val="0"/>
          <w:sz w:val="32"/>
          <w:szCs w:val="32"/>
          <w:lang w:val="en-US" w:eastAsia="zh-CN"/>
        </w:rPr>
        <w:t>44.03</w:t>
      </w:r>
      <w:r>
        <w:rPr>
          <w:rFonts w:hint="eastAsia" w:ascii="Times New Roman" w:hAnsi="Times New Roman" w:eastAsia="仿宋_GB2312" w:cs="仿宋_GB2312"/>
          <w:bCs/>
          <w:kern w:val="0"/>
          <w:sz w:val="32"/>
          <w:szCs w:val="32"/>
        </w:rPr>
        <w:t>%；项目支出</w:t>
      </w:r>
      <w:r>
        <w:rPr>
          <w:rFonts w:hint="eastAsia" w:ascii="Times New Roman" w:hAnsi="Times New Roman" w:eastAsia="仿宋_GB2312" w:cs="仿宋_GB2312"/>
          <w:bCs/>
          <w:kern w:val="0"/>
          <w:sz w:val="32"/>
          <w:szCs w:val="32"/>
          <w:lang w:val="en-US" w:eastAsia="zh-CN"/>
        </w:rPr>
        <w:t>987.16</w:t>
      </w:r>
      <w:r>
        <w:rPr>
          <w:rFonts w:hint="eastAsia" w:ascii="Times New Roman" w:hAnsi="Times New Roman" w:eastAsia="仿宋_GB2312" w:cs="仿宋_GB2312"/>
          <w:bCs/>
          <w:kern w:val="0"/>
          <w:sz w:val="32"/>
          <w:szCs w:val="32"/>
        </w:rPr>
        <w:t>万元，占预算总额的</w:t>
      </w:r>
      <w:r>
        <w:rPr>
          <w:rFonts w:hint="eastAsia" w:ascii="Times New Roman" w:hAnsi="Times New Roman" w:eastAsia="仿宋_GB2312" w:cs="仿宋_GB2312"/>
          <w:bCs/>
          <w:kern w:val="0"/>
          <w:sz w:val="32"/>
          <w:szCs w:val="32"/>
          <w:lang w:val="en-US" w:eastAsia="zh-CN"/>
        </w:rPr>
        <w:t>55.97</w:t>
      </w:r>
      <w:r>
        <w:rPr>
          <w:rFonts w:hint="eastAsia" w:ascii="Times New Roman" w:hAnsi="Times New Roman" w:eastAsia="仿宋_GB2312" w:cs="仿宋_GB2312"/>
          <w:bCs/>
          <w:kern w:val="0"/>
          <w:sz w:val="32"/>
          <w:szCs w:val="32"/>
        </w:rPr>
        <w:t>%。</w:t>
      </w:r>
    </w:p>
    <w:p>
      <w:pPr>
        <w:pStyle w:val="11"/>
        <w:spacing w:line="600" w:lineRule="exact"/>
        <w:ind w:left="0" w:leftChars="0" w:firstLine="640" w:firstLineChars="200"/>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lang w:val="en-US" w:eastAsia="zh-CN"/>
        </w:rPr>
        <w:t>2023年，本单位</w:t>
      </w:r>
      <w:r>
        <w:rPr>
          <w:rFonts w:hint="eastAsia" w:ascii="Times New Roman" w:hAnsi="Times New Roman" w:eastAsia="仿宋_GB2312" w:cs="仿宋_GB2312"/>
          <w:bCs/>
          <w:kern w:val="0"/>
          <w:sz w:val="32"/>
          <w:szCs w:val="32"/>
        </w:rPr>
        <w:t>事业支出</w:t>
      </w:r>
      <w:r>
        <w:rPr>
          <w:rFonts w:hint="eastAsia" w:ascii="Times New Roman" w:hAnsi="Times New Roman" w:eastAsia="仿宋_GB2312" w:cs="仿宋_GB2312"/>
          <w:bCs/>
          <w:kern w:val="0"/>
          <w:sz w:val="32"/>
          <w:szCs w:val="32"/>
          <w:lang w:eastAsia="zh-CN"/>
        </w:rPr>
        <w:t>总额</w:t>
      </w:r>
      <w:r>
        <w:rPr>
          <w:rFonts w:hint="eastAsia" w:ascii="Times New Roman" w:hAnsi="Times New Roman" w:eastAsia="仿宋_GB2312" w:cs="仿宋_GB2312"/>
          <w:bCs/>
          <w:kern w:val="0"/>
          <w:sz w:val="32"/>
          <w:szCs w:val="32"/>
          <w:lang w:val="en-US" w:eastAsia="zh-CN"/>
        </w:rPr>
        <w:t>1875.53</w:t>
      </w:r>
      <w:r>
        <w:rPr>
          <w:rFonts w:hint="eastAsia" w:ascii="Times New Roman" w:hAnsi="Times New Roman" w:eastAsia="仿宋_GB2312" w:cs="仿宋_GB2312"/>
          <w:bCs/>
          <w:kern w:val="0"/>
          <w:sz w:val="32"/>
          <w:szCs w:val="32"/>
        </w:rPr>
        <w:t>万元，</w:t>
      </w:r>
      <w:r>
        <w:rPr>
          <w:rFonts w:hint="eastAsia" w:ascii="Times New Roman" w:hAnsi="Times New Roman" w:eastAsia="仿宋_GB2312" w:cs="仿宋_GB2312"/>
          <w:bCs/>
          <w:kern w:val="0"/>
          <w:sz w:val="32"/>
          <w:szCs w:val="32"/>
          <w:lang w:eastAsia="zh-CN"/>
        </w:rPr>
        <w:t>总预算执行率为</w:t>
      </w:r>
      <w:r>
        <w:rPr>
          <w:rFonts w:hint="eastAsia" w:ascii="Times New Roman" w:hAnsi="Times New Roman" w:eastAsia="仿宋_GB2312" w:cs="仿宋_GB2312"/>
          <w:bCs/>
          <w:kern w:val="0"/>
          <w:sz w:val="32"/>
          <w:szCs w:val="32"/>
          <w:lang w:val="en-US" w:eastAsia="zh-CN"/>
        </w:rPr>
        <w:t>94.78%，</w:t>
      </w:r>
      <w:r>
        <w:rPr>
          <w:rFonts w:hint="eastAsia" w:ascii="Times New Roman" w:hAnsi="Times New Roman" w:eastAsia="仿宋_GB2312" w:cs="仿宋_GB2312"/>
          <w:bCs/>
          <w:kern w:val="0"/>
          <w:sz w:val="32"/>
          <w:szCs w:val="32"/>
        </w:rPr>
        <w:t>其中：基本支出</w:t>
      </w:r>
      <w:r>
        <w:rPr>
          <w:rFonts w:hint="eastAsia" w:ascii="Times New Roman" w:hAnsi="Times New Roman" w:eastAsia="仿宋_GB2312" w:cs="仿宋_GB2312"/>
          <w:bCs/>
          <w:kern w:val="0"/>
          <w:sz w:val="32"/>
          <w:szCs w:val="32"/>
          <w:lang w:val="en-US" w:eastAsia="zh-CN"/>
        </w:rPr>
        <w:t>700.52</w:t>
      </w:r>
      <w:r>
        <w:rPr>
          <w:rFonts w:hint="eastAsia" w:ascii="Times New Roman" w:hAnsi="Times New Roman" w:eastAsia="仿宋_GB2312" w:cs="仿宋_GB2312"/>
          <w:bCs/>
          <w:kern w:val="0"/>
          <w:sz w:val="32"/>
          <w:szCs w:val="32"/>
        </w:rPr>
        <w:t>万元，</w:t>
      </w:r>
      <w:r>
        <w:rPr>
          <w:rFonts w:hint="eastAsia" w:ascii="Times New Roman" w:hAnsi="Times New Roman" w:eastAsia="仿宋_GB2312" w:cs="仿宋_GB2312"/>
          <w:bCs/>
          <w:kern w:val="0"/>
          <w:sz w:val="32"/>
          <w:szCs w:val="32"/>
          <w:lang w:eastAsia="zh-CN"/>
        </w:rPr>
        <w:t>该项目类别</w:t>
      </w:r>
      <w:r>
        <w:rPr>
          <w:rFonts w:hint="eastAsia" w:ascii="Times New Roman" w:hAnsi="Times New Roman" w:eastAsia="仿宋_GB2312" w:cs="仿宋_GB2312"/>
          <w:bCs/>
          <w:kern w:val="0"/>
          <w:sz w:val="32"/>
          <w:szCs w:val="32"/>
        </w:rPr>
        <w:t>预算执行率为</w:t>
      </w:r>
      <w:r>
        <w:rPr>
          <w:rFonts w:hint="eastAsia" w:ascii="Times New Roman" w:hAnsi="Times New Roman" w:eastAsia="仿宋_GB2312" w:cs="仿宋_GB2312"/>
          <w:bCs/>
          <w:kern w:val="0"/>
          <w:sz w:val="32"/>
          <w:szCs w:val="32"/>
          <w:lang w:val="en-US" w:eastAsia="zh-CN"/>
        </w:rPr>
        <w:t>90.20%</w:t>
      </w:r>
      <w:r>
        <w:rPr>
          <w:rFonts w:hint="eastAsia" w:ascii="Times New Roman" w:hAnsi="Times New Roman" w:eastAsia="仿宋_GB2312" w:cs="仿宋_GB2312"/>
          <w:bCs/>
          <w:kern w:val="0"/>
          <w:sz w:val="32"/>
          <w:szCs w:val="32"/>
        </w:rPr>
        <w:t>；项目支出</w:t>
      </w:r>
      <w:r>
        <w:rPr>
          <w:rFonts w:hint="eastAsia" w:ascii="Times New Roman" w:hAnsi="Times New Roman" w:eastAsia="仿宋_GB2312" w:cs="仿宋_GB2312"/>
          <w:bCs/>
          <w:kern w:val="0"/>
          <w:sz w:val="32"/>
          <w:szCs w:val="32"/>
          <w:lang w:val="en-US" w:eastAsia="zh-CN"/>
        </w:rPr>
        <w:t>1175.01</w:t>
      </w:r>
      <w:r>
        <w:rPr>
          <w:rFonts w:hint="eastAsia" w:ascii="Times New Roman" w:hAnsi="Times New Roman" w:eastAsia="仿宋_GB2312" w:cs="仿宋_GB2312"/>
          <w:bCs/>
          <w:kern w:val="0"/>
          <w:sz w:val="32"/>
          <w:szCs w:val="32"/>
        </w:rPr>
        <w:t>万元，</w:t>
      </w:r>
      <w:r>
        <w:rPr>
          <w:rFonts w:hint="eastAsia" w:ascii="Times New Roman" w:hAnsi="Times New Roman" w:eastAsia="仿宋_GB2312" w:cs="仿宋_GB2312"/>
          <w:bCs/>
          <w:kern w:val="0"/>
          <w:sz w:val="32"/>
          <w:szCs w:val="32"/>
          <w:lang w:eastAsia="zh-CN"/>
        </w:rPr>
        <w:t>该项目类别</w:t>
      </w:r>
      <w:r>
        <w:rPr>
          <w:rFonts w:hint="eastAsia" w:ascii="Times New Roman" w:hAnsi="Times New Roman" w:eastAsia="仿宋_GB2312" w:cs="仿宋_GB2312"/>
          <w:bCs/>
          <w:kern w:val="0"/>
          <w:sz w:val="32"/>
          <w:szCs w:val="32"/>
        </w:rPr>
        <w:t>预算执行率为</w:t>
      </w:r>
      <w:r>
        <w:rPr>
          <w:rFonts w:hint="eastAsia" w:ascii="Times New Roman" w:hAnsi="Times New Roman" w:eastAsia="仿宋_GB2312" w:cs="仿宋_GB2312"/>
          <w:bCs/>
          <w:kern w:val="0"/>
          <w:sz w:val="32"/>
          <w:szCs w:val="32"/>
          <w:lang w:val="en-US" w:eastAsia="zh-CN"/>
        </w:rPr>
        <w:t>119.03</w:t>
      </w:r>
      <w:r>
        <w:rPr>
          <w:rFonts w:hint="eastAsia" w:ascii="Times New Roman" w:hAnsi="Times New Roman" w:eastAsia="仿宋_GB2312" w:cs="仿宋_GB2312"/>
          <w:bCs/>
          <w:kern w:val="0"/>
          <w:sz w:val="32"/>
          <w:szCs w:val="32"/>
        </w:rPr>
        <w:t>%。</w:t>
      </w:r>
    </w:p>
    <w:p>
      <w:pPr>
        <w:pStyle w:val="11"/>
        <w:widowControl/>
        <w:spacing w:line="600" w:lineRule="exact"/>
        <w:ind w:left="0" w:leftChars="0" w:firstLine="640" w:firstLineChars="200"/>
        <w:jc w:val="left"/>
        <w:rPr>
          <w:rFonts w:hint="eastAsia" w:ascii="仿宋_GB2312" w:hAnsi="仿宋_GB2312" w:eastAsia="仿宋_GB2312" w:cs="仿宋_GB2312"/>
          <w:sz w:val="32"/>
          <w:szCs w:val="32"/>
        </w:rPr>
      </w:pPr>
      <w:r>
        <w:rPr>
          <w:rFonts w:hint="eastAsia" w:ascii="Times New Roman" w:hAnsi="Times New Roman" w:eastAsia="仿宋_GB2312" w:cs="仿宋_GB2312"/>
          <w:bCs/>
          <w:kern w:val="0"/>
          <w:sz w:val="32"/>
          <w:szCs w:val="32"/>
          <w:lang w:val="en-US" w:eastAsia="zh-CN"/>
        </w:rPr>
        <w:t>3</w:t>
      </w:r>
      <w:r>
        <w:rPr>
          <w:rFonts w:hint="eastAsia" w:ascii="Times New Roman" w:hAnsi="Times New Roman" w:eastAsia="仿宋_GB2312" w:cs="仿宋_GB2312"/>
          <w:bCs/>
          <w:kern w:val="0"/>
          <w:sz w:val="32"/>
          <w:szCs w:val="32"/>
        </w:rPr>
        <w:t>、履职效能和社会效应等方面。</w:t>
      </w:r>
    </w:p>
    <w:p>
      <w:pPr>
        <w:pStyle w:val="6"/>
        <w:spacing w:line="580" w:lineRule="exact"/>
        <w:ind w:firstLine="645"/>
        <w:rPr>
          <w:rFonts w:ascii="Times New Roman" w:hAnsi="Times New Roman" w:eastAsia="仿宋_GB2312"/>
          <w:color w:val="000000" w:themeColor="text1"/>
          <w:sz w:val="32"/>
          <w:szCs w:val="32"/>
          <w14:textFill>
            <w14:solidFill>
              <w14:schemeClr w14:val="tx1"/>
            </w14:solidFill>
          </w14:textFill>
        </w:rPr>
      </w:pPr>
      <w:r>
        <w:rPr>
          <w:rFonts w:hint="eastAsia" w:ascii="Times New Roman" w:hAnsi="Times New Roman" w:eastAsia="仿宋_GB2312"/>
          <w:color w:val="000000" w:themeColor="text1"/>
          <w:sz w:val="32"/>
          <w:szCs w:val="32"/>
          <w:lang w:val="en-US" w:eastAsia="zh-CN"/>
          <w14:textFill>
            <w14:solidFill>
              <w14:schemeClr w14:val="tx1"/>
            </w14:solidFill>
          </w14:textFill>
        </w:rPr>
        <w:t>2023年，</w:t>
      </w:r>
      <w:r>
        <w:rPr>
          <w:rFonts w:hint="eastAsia" w:ascii="Times New Roman" w:hAnsi="Times New Roman" w:eastAsia="仿宋_GB2312"/>
          <w:color w:val="000000" w:themeColor="text1"/>
          <w:sz w:val="32"/>
          <w:szCs w:val="32"/>
          <w14:textFill>
            <w14:solidFill>
              <w14:schemeClr w14:val="tx1"/>
            </w14:solidFill>
          </w14:textFill>
        </w:rPr>
        <w:t>在厅党组的坚强领导和兄弟处室单位的大力支持下，我</w:t>
      </w:r>
      <w:r>
        <w:rPr>
          <w:rFonts w:hint="eastAsia" w:ascii="Times New Roman" w:hAnsi="Times New Roman" w:eastAsia="仿宋_GB2312"/>
          <w:color w:val="000000" w:themeColor="text1"/>
          <w:sz w:val="32"/>
          <w:szCs w:val="32"/>
          <w:lang w:eastAsia="zh-CN"/>
          <w14:textFill>
            <w14:solidFill>
              <w14:schemeClr w14:val="tx1"/>
            </w14:solidFill>
          </w14:textFill>
        </w:rPr>
        <w:t>单位</w:t>
      </w:r>
      <w:r>
        <w:rPr>
          <w:rFonts w:hint="eastAsia" w:ascii="Times New Roman" w:hAnsi="Times New Roman" w:eastAsia="仿宋_GB2312"/>
          <w:color w:val="000000" w:themeColor="text1"/>
          <w:sz w:val="32"/>
          <w:szCs w:val="32"/>
          <w14:textFill>
            <w14:solidFill>
              <w14:schemeClr w14:val="tx1"/>
            </w14:solidFill>
          </w14:textFill>
        </w:rPr>
        <w:t>以深入开展学习贯彻习近平新时代中国特色社会主义思想主题教育为契机，坚持党建引领，全面推进主责主业，各项工作有序推进，</w:t>
      </w:r>
      <w:bookmarkStart w:id="12" w:name="OLE_LINK12"/>
      <w:r>
        <w:rPr>
          <w:rFonts w:hint="eastAsia" w:ascii="Times New Roman" w:hAnsi="Times New Roman" w:eastAsia="仿宋_GB2312"/>
          <w:color w:val="000000" w:themeColor="text1"/>
          <w:sz w:val="32"/>
          <w:szCs w:val="32"/>
          <w14:textFill>
            <w14:solidFill>
              <w14:schemeClr w14:val="tx1"/>
            </w14:solidFill>
          </w14:textFill>
        </w:rPr>
        <w:t>全面完成</w:t>
      </w:r>
      <w:bookmarkEnd w:id="12"/>
      <w:r>
        <w:rPr>
          <w:rFonts w:hint="eastAsia" w:ascii="Times New Roman" w:hAnsi="Times New Roman" w:eastAsia="仿宋_GB2312"/>
          <w:color w:val="000000" w:themeColor="text1"/>
          <w:sz w:val="32"/>
          <w:szCs w:val="32"/>
          <w14:textFill>
            <w14:solidFill>
              <w14:schemeClr w14:val="tx1"/>
            </w14:solidFill>
          </w14:textFill>
        </w:rPr>
        <w:t>年度工作任务，有效确保了全省重大动物疫病和人</w:t>
      </w:r>
      <w:r>
        <w:rPr>
          <w:rFonts w:hint="eastAsia" w:ascii="Times New Roman" w:hAnsi="Times New Roman" w:eastAsia="仿宋_GB2312"/>
          <w:color w:val="000000" w:themeColor="text1"/>
          <w:sz w:val="32"/>
          <w:szCs w:val="32"/>
          <w:lang w:eastAsia="zh-CN"/>
          <w14:textFill>
            <w14:solidFill>
              <w14:schemeClr w14:val="tx1"/>
            </w14:solidFill>
          </w14:textFill>
        </w:rPr>
        <w:t>畜</w:t>
      </w:r>
      <w:r>
        <w:rPr>
          <w:rFonts w:hint="eastAsia" w:ascii="Times New Roman" w:hAnsi="Times New Roman" w:eastAsia="仿宋_GB2312"/>
          <w:color w:val="000000" w:themeColor="text1"/>
          <w:sz w:val="32"/>
          <w:szCs w:val="32"/>
          <w14:textFill>
            <w14:solidFill>
              <w14:schemeClr w14:val="tx1"/>
            </w14:solidFill>
          </w14:textFill>
        </w:rPr>
        <w:t>共患病疫情的总体平稳，切实维护了畜产品稳产保供和公共卫生安全。在全国省级兽医实验室检测能力比对中连续</w:t>
      </w:r>
      <w:r>
        <w:rPr>
          <w:rFonts w:ascii="Times New Roman" w:hAnsi="Times New Roman" w:eastAsia="仿宋_GB2312"/>
          <w:color w:val="000000" w:themeColor="text1"/>
          <w:sz w:val="32"/>
          <w:szCs w:val="32"/>
          <w14:textFill>
            <w14:solidFill>
              <w14:schemeClr w14:val="tx1"/>
            </w14:solidFill>
          </w14:textFill>
        </w:rPr>
        <w:t>13</w:t>
      </w:r>
      <w:r>
        <w:rPr>
          <w:rFonts w:hint="eastAsia" w:ascii="Times New Roman" w:hAnsi="Times New Roman" w:eastAsia="仿宋_GB2312"/>
          <w:color w:val="000000" w:themeColor="text1"/>
          <w:sz w:val="32"/>
          <w:szCs w:val="32"/>
          <w14:textFill>
            <w14:solidFill>
              <w14:schemeClr w14:val="tx1"/>
            </w14:solidFill>
          </w14:textFill>
        </w:rPr>
        <w:t>年结果全部正确，获农业农村部畜牧兽医局通报表扬；我省动物疫病监测报告工作</w:t>
      </w:r>
      <w:r>
        <w:rPr>
          <w:rFonts w:hint="eastAsia" w:ascii="Times New Roman" w:hAnsi="Times New Roman" w:eastAsia="仿宋_GB2312"/>
          <w:color w:val="000000" w:themeColor="text1"/>
          <w:sz w:val="32"/>
          <w:szCs w:val="32"/>
          <w:lang w:eastAsia="zh-CN"/>
          <w14:textFill>
            <w14:solidFill>
              <w14:schemeClr w14:val="tx1"/>
            </w14:solidFill>
          </w14:textFill>
        </w:rPr>
        <w:t>得到</w:t>
      </w:r>
      <w:r>
        <w:rPr>
          <w:rFonts w:hint="eastAsia" w:ascii="Times New Roman" w:hAnsi="Times New Roman" w:eastAsia="仿宋_GB2312"/>
          <w:color w:val="000000" w:themeColor="text1"/>
          <w:sz w:val="32"/>
          <w:szCs w:val="32"/>
          <w14:textFill>
            <w14:solidFill>
              <w14:schemeClr w14:val="tx1"/>
            </w14:solidFill>
          </w14:textFill>
        </w:rPr>
        <w:t>中国动物疫病预防控制中心</w:t>
      </w:r>
      <w:r>
        <w:rPr>
          <w:rFonts w:hint="eastAsia" w:ascii="Times New Roman" w:hAnsi="Times New Roman" w:eastAsia="仿宋_GB2312"/>
          <w:color w:val="000000" w:themeColor="text1"/>
          <w:sz w:val="32"/>
          <w:szCs w:val="32"/>
          <w:lang w:val="en-US" w:eastAsia="zh-CN"/>
          <w14:textFill>
            <w14:solidFill>
              <w14:schemeClr w14:val="tx1"/>
            </w14:solidFill>
          </w14:textFill>
        </w:rPr>
        <w:t>10次</w:t>
      </w:r>
      <w:r>
        <w:rPr>
          <w:rFonts w:hint="eastAsia" w:ascii="Times New Roman" w:hAnsi="Times New Roman" w:eastAsia="仿宋_GB2312"/>
          <w:color w:val="000000" w:themeColor="text1"/>
          <w:sz w:val="32"/>
          <w:szCs w:val="32"/>
          <w14:textFill>
            <w14:solidFill>
              <w14:schemeClr w14:val="tx1"/>
            </w14:solidFill>
          </w14:textFill>
        </w:rPr>
        <w:t>通报表扬；同时科研工作成效显著，完成申报湖南省科技进步二等奖</w:t>
      </w:r>
      <w:r>
        <w:rPr>
          <w:rFonts w:ascii="Times New Roman" w:hAnsi="Times New Roman" w:eastAsia="仿宋_GB2312"/>
          <w:color w:val="000000" w:themeColor="text1"/>
          <w:sz w:val="32"/>
          <w:szCs w:val="32"/>
          <w14:textFill>
            <w14:solidFill>
              <w14:schemeClr w14:val="tx1"/>
            </w14:solidFill>
          </w14:textFill>
        </w:rPr>
        <w:t>1个，参加并成功立项2023年湖南省科技重点研发计划项目1个，</w:t>
      </w:r>
      <w:r>
        <w:rPr>
          <w:rFonts w:hint="eastAsia" w:ascii="Times New Roman" w:hAnsi="Times New Roman" w:eastAsia="仿宋_GB2312"/>
          <w:color w:val="000000" w:themeColor="text1"/>
          <w:sz w:val="32"/>
          <w:szCs w:val="32"/>
          <w:lang w:eastAsia="zh-CN"/>
          <w14:textFill>
            <w14:solidFill>
              <w14:schemeClr w14:val="tx1"/>
            </w14:solidFill>
          </w14:textFill>
        </w:rPr>
        <w:t>联合</w:t>
      </w:r>
      <w:r>
        <w:rPr>
          <w:rFonts w:hint="eastAsia" w:ascii="Times New Roman" w:hAnsi="Times New Roman" w:eastAsia="仿宋_GB2312"/>
          <w:color w:val="000000" w:themeColor="text1"/>
          <w:sz w:val="32"/>
          <w:szCs w:val="32"/>
          <w14:textFill>
            <w14:solidFill>
              <w14:schemeClr w14:val="tx1"/>
            </w14:solidFill>
          </w14:textFill>
        </w:rPr>
        <w:t>组建了省科学技术厅授牌的“湖南省生猪养殖生物安全与疫病净化工程技术研究中心”。</w:t>
      </w:r>
    </w:p>
    <w:p>
      <w:pPr>
        <w:pStyle w:val="19"/>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（三）</w:t>
      </w:r>
      <w:r>
        <w:rPr>
          <w:rFonts w:hint="eastAsia" w:ascii="楷体" w:hAnsi="楷体" w:eastAsia="楷体" w:cs="楷体"/>
          <w:b/>
          <w:bCs/>
          <w:sz w:val="32"/>
          <w:szCs w:val="32"/>
        </w:rPr>
        <w:t>存在的问题及原因分析</w:t>
      </w:r>
    </w:p>
    <w:p>
      <w:pPr>
        <w:spacing w:line="580" w:lineRule="exact"/>
        <w:ind w:firstLine="640" w:firstLineChars="200"/>
        <w:rPr>
          <w:rFonts w:ascii="Times New Roman" w:hAnsi="Times New Roman" w:eastAsia="仿宋_GB2312"/>
          <w:color w:val="000000" w:themeColor="text1"/>
          <w:sz w:val="32"/>
          <w:szCs w:val="32"/>
          <w14:textFill>
            <w14:solidFill>
              <w14:schemeClr w14:val="tx1"/>
            </w14:solidFill>
          </w14:textFill>
        </w:rPr>
      </w:pPr>
      <w:r>
        <w:rPr>
          <w:rFonts w:ascii="Times New Roman" w:hAnsi="Times New Roman" w:eastAsia="仿宋_GB2312"/>
          <w:color w:val="000000" w:themeColor="text1"/>
          <w:sz w:val="32"/>
          <w:szCs w:val="32"/>
          <w14:textFill>
            <w14:solidFill>
              <w14:schemeClr w14:val="tx1"/>
            </w14:solidFill>
          </w14:textFill>
        </w:rPr>
        <w:t>1.</w:t>
      </w:r>
      <w:r>
        <w:rPr>
          <w:rFonts w:hint="eastAsia" w:ascii="Times New Roman" w:hAnsi="Times New Roman" w:eastAsia="仿宋_GB2312"/>
          <w:color w:val="000000" w:themeColor="text1"/>
          <w:sz w:val="32"/>
          <w:szCs w:val="32"/>
          <w14:textFill>
            <w14:solidFill>
              <w14:schemeClr w14:val="tx1"/>
            </w14:solidFill>
          </w14:textFill>
        </w:rPr>
        <w:t xml:space="preserve"> 人员紧张。根据中国动物疫控中心调研，全国省级疫控中心人员平均</w:t>
      </w:r>
      <w:r>
        <w:rPr>
          <w:rFonts w:ascii="Times New Roman" w:hAnsi="Times New Roman" w:eastAsia="仿宋_GB2312"/>
          <w:color w:val="000000" w:themeColor="text1"/>
          <w:sz w:val="32"/>
          <w:szCs w:val="32"/>
          <w14:textFill>
            <w14:solidFill>
              <w14:schemeClr w14:val="tx1"/>
            </w14:solidFill>
          </w14:textFill>
        </w:rPr>
        <w:t>31人，但</w:t>
      </w:r>
      <w:r>
        <w:rPr>
          <w:rFonts w:hint="eastAsia" w:ascii="Times New Roman" w:hAnsi="Times New Roman" w:eastAsia="仿宋_GB2312"/>
          <w:color w:val="000000" w:themeColor="text1"/>
          <w:sz w:val="32"/>
          <w:szCs w:val="32"/>
          <w14:textFill>
            <w14:solidFill>
              <w14:schemeClr w14:val="tx1"/>
            </w14:solidFill>
          </w14:textFill>
        </w:rPr>
        <w:t>我省作为畜牧业大省和全国生猪主产区，我中心现有编制</w:t>
      </w:r>
      <w:r>
        <w:rPr>
          <w:rFonts w:ascii="Times New Roman" w:hAnsi="Times New Roman" w:eastAsia="仿宋_GB2312"/>
          <w:color w:val="000000" w:themeColor="text1"/>
          <w:sz w:val="32"/>
          <w:szCs w:val="32"/>
          <w14:textFill>
            <w14:solidFill>
              <w14:schemeClr w14:val="tx1"/>
            </w14:solidFill>
          </w14:textFill>
        </w:rPr>
        <w:t>25人，</w:t>
      </w:r>
      <w:r>
        <w:rPr>
          <w:rFonts w:hint="eastAsia" w:ascii="Times New Roman" w:hAnsi="Times New Roman" w:eastAsia="仿宋_GB2312"/>
          <w:color w:val="000000" w:themeColor="text1"/>
          <w:sz w:val="32"/>
          <w:szCs w:val="32"/>
          <w14:textFill>
            <w14:solidFill>
              <w14:schemeClr w14:val="tx1"/>
            </w14:solidFill>
          </w14:textFill>
        </w:rPr>
        <w:t>目前在岗</w:t>
      </w:r>
      <w:r>
        <w:rPr>
          <w:rFonts w:ascii="Times New Roman" w:hAnsi="Times New Roman" w:eastAsia="仿宋_GB2312"/>
          <w:color w:val="000000" w:themeColor="text1"/>
          <w:sz w:val="32"/>
          <w:szCs w:val="32"/>
          <w14:textFill>
            <w14:solidFill>
              <w14:schemeClr w14:val="tx1"/>
            </w14:solidFill>
          </w14:textFill>
        </w:rPr>
        <w:t>2</w:t>
      </w:r>
      <w:r>
        <w:rPr>
          <w:rFonts w:hint="eastAsia" w:ascii="Times New Roman" w:hAnsi="Times New Roman" w:eastAsia="仿宋_GB2312"/>
          <w:color w:val="000000" w:themeColor="text1"/>
          <w:sz w:val="32"/>
          <w:szCs w:val="32"/>
          <w:lang w:val="en-US" w:eastAsia="zh-CN"/>
          <w14:textFill>
            <w14:solidFill>
              <w14:schemeClr w14:val="tx1"/>
            </w14:solidFill>
          </w14:textFill>
        </w:rPr>
        <w:t>1</w:t>
      </w:r>
      <w:r>
        <w:rPr>
          <w:rFonts w:ascii="Times New Roman" w:hAnsi="Times New Roman" w:eastAsia="仿宋_GB2312"/>
          <w:color w:val="000000" w:themeColor="text1"/>
          <w:sz w:val="32"/>
          <w:szCs w:val="32"/>
          <w14:textFill>
            <w14:solidFill>
              <w14:schemeClr w14:val="tx1"/>
            </w14:solidFill>
          </w14:textFill>
        </w:rPr>
        <w:t>人，</w:t>
      </w:r>
      <w:r>
        <w:rPr>
          <w:rFonts w:hint="eastAsia" w:ascii="Times New Roman" w:hAnsi="Times New Roman" w:eastAsia="仿宋_GB2312"/>
          <w:color w:val="000000" w:themeColor="text1"/>
          <w:sz w:val="32"/>
          <w:szCs w:val="32"/>
          <w14:textFill>
            <w14:solidFill>
              <w14:schemeClr w14:val="tx1"/>
            </w14:solidFill>
          </w14:textFill>
        </w:rPr>
        <w:t>人员紧缺，常年加班加点，导致在规划推动重大动物疫情应急监测、人畜共患病防控等工作的整体性、科学性和深度上还存在不足</w:t>
      </w:r>
      <w:r>
        <w:rPr>
          <w:rFonts w:hint="eastAsia" w:ascii="Times New Roman" w:hAnsi="Times New Roman" w:eastAsia="仿宋_GB2312"/>
          <w:color w:val="000000" w:themeColor="text1"/>
          <w:sz w:val="32"/>
          <w:szCs w:val="32"/>
          <w:lang w:eastAsia="zh-CN"/>
          <w14:textFill>
            <w14:solidFill>
              <w14:schemeClr w14:val="tx1"/>
            </w14:solidFill>
          </w14:textFill>
        </w:rPr>
        <w:t>，不利于业务经费预算安排科学性及资金高效使用</w:t>
      </w:r>
      <w:r>
        <w:rPr>
          <w:rFonts w:hint="eastAsia" w:ascii="Times New Roman" w:hAnsi="Times New Roman" w:eastAsia="仿宋_GB2312"/>
          <w:color w:val="000000" w:themeColor="text1"/>
          <w:sz w:val="32"/>
          <w:szCs w:val="32"/>
          <w14:textFill>
            <w14:solidFill>
              <w14:schemeClr w14:val="tx1"/>
            </w14:solidFill>
          </w14:textFill>
        </w:rPr>
        <w:t>。</w:t>
      </w:r>
    </w:p>
    <w:p>
      <w:pPr>
        <w:spacing w:line="580" w:lineRule="exact"/>
        <w:ind w:firstLine="640" w:firstLineChars="200"/>
        <w:rPr>
          <w:rFonts w:hint="eastAsia" w:ascii="Times New Roman" w:hAnsi="Times New Roman" w:eastAsia="仿宋_GB2312"/>
          <w:color w:val="000000" w:themeColor="text1"/>
          <w:sz w:val="32"/>
          <w:szCs w:val="32"/>
          <w:lang w:eastAsia="zh-CN"/>
          <w14:textFill>
            <w14:solidFill>
              <w14:schemeClr w14:val="tx1"/>
            </w14:solidFill>
          </w14:textFill>
        </w:rPr>
      </w:pPr>
      <w:r>
        <w:rPr>
          <w:rFonts w:ascii="Times New Roman" w:hAnsi="Times New Roman" w:eastAsia="仿宋_GB2312"/>
          <w:color w:val="000000" w:themeColor="text1"/>
          <w:sz w:val="32"/>
          <w:szCs w:val="32"/>
          <w14:textFill>
            <w14:solidFill>
              <w14:schemeClr w14:val="tx1"/>
            </w14:solidFill>
          </w14:textFill>
        </w:rPr>
        <w:t>2.</w:t>
      </w:r>
      <w:r>
        <w:rPr>
          <w:rFonts w:hint="eastAsia" w:ascii="Times New Roman" w:hAnsi="Times New Roman" w:eastAsia="仿宋_GB2312"/>
          <w:color w:val="000000" w:themeColor="text1"/>
          <w:sz w:val="32"/>
          <w:szCs w:val="32"/>
          <w14:textFill>
            <w14:solidFill>
              <w14:schemeClr w14:val="tx1"/>
            </w14:solidFill>
          </w14:textFill>
        </w:rPr>
        <w:t xml:space="preserve">  三级生物安全实验室未能有效发挥作用。目前我中心生物安全三级（</w:t>
      </w:r>
      <w:r>
        <w:rPr>
          <w:rFonts w:ascii="Times New Roman" w:hAnsi="Times New Roman" w:eastAsia="仿宋_GB2312"/>
          <w:color w:val="000000" w:themeColor="text1"/>
          <w:sz w:val="32"/>
          <w:szCs w:val="32"/>
          <w14:textFill>
            <w14:solidFill>
              <w14:schemeClr w14:val="tx1"/>
            </w14:solidFill>
          </w14:textFill>
        </w:rPr>
        <w:t>P3）实验室是我省唯一通过</w:t>
      </w:r>
      <w:r>
        <w:rPr>
          <w:rFonts w:hint="eastAsia" w:ascii="Times New Roman" w:hAnsi="Times New Roman" w:eastAsia="仿宋_GB2312"/>
          <w:color w:val="000000" w:themeColor="text1"/>
          <w:sz w:val="32"/>
          <w:szCs w:val="32"/>
          <w14:textFill>
            <w14:solidFill>
              <w14:schemeClr w14:val="tx1"/>
            </w14:solidFill>
          </w14:textFill>
        </w:rPr>
        <w:t>国家发改委和农业部立项、科技部建设设计审查、环保部备案的高等级</w:t>
      </w:r>
      <w:r>
        <w:rPr>
          <w:rFonts w:hint="eastAsia" w:ascii="Times New Roman" w:hAnsi="Times New Roman" w:eastAsia="仿宋_GB2312"/>
          <w:color w:val="000000" w:themeColor="text1"/>
          <w:sz w:val="32"/>
          <w:szCs w:val="32"/>
          <w:lang w:eastAsia="zh-CN"/>
          <w14:textFill>
            <w14:solidFill>
              <w14:schemeClr w14:val="tx1"/>
            </w14:solidFill>
          </w14:textFill>
        </w:rPr>
        <w:t>动物</w:t>
      </w:r>
      <w:r>
        <w:rPr>
          <w:rFonts w:hint="eastAsia" w:ascii="Times New Roman" w:hAnsi="Times New Roman" w:eastAsia="仿宋_GB2312"/>
          <w:color w:val="000000" w:themeColor="text1"/>
          <w:sz w:val="32"/>
          <w:szCs w:val="32"/>
          <w14:textFill>
            <w14:solidFill>
              <w14:schemeClr w14:val="tx1"/>
            </w14:solidFill>
          </w14:textFill>
        </w:rPr>
        <w:t>病原微生物实验室，省政府《关于加强传染病防治人员安全防护的实施意见》（湘政办发</w:t>
      </w:r>
      <w:r>
        <w:rPr>
          <w:rFonts w:ascii="Times New Roman" w:hAnsi="Times New Roman" w:eastAsia="仿宋_GB2312"/>
          <w:color w:val="000000" w:themeColor="text1"/>
          <w:sz w:val="32"/>
          <w:szCs w:val="32"/>
          <w14:textFill>
            <w14:solidFill>
              <w14:schemeClr w14:val="tx1"/>
            </w14:solidFill>
          </w14:textFill>
        </w:rPr>
        <w:t>[2015]94号）文件中也明确规定要保障生物安全三级（P3）实验室的建设和运行经费，但受限于技术人员少、无稳定专项经费，自建设完成</w:t>
      </w:r>
      <w:r>
        <w:rPr>
          <w:rFonts w:hint="eastAsia" w:ascii="Times New Roman" w:hAnsi="Times New Roman" w:eastAsia="仿宋_GB2312"/>
          <w:color w:val="000000" w:themeColor="text1"/>
          <w:sz w:val="32"/>
          <w:szCs w:val="32"/>
          <w14:textFill>
            <w14:solidFill>
              <w14:schemeClr w14:val="tx1"/>
            </w14:solidFill>
          </w14:textFill>
        </w:rPr>
        <w:t>以来未能有效运转</w:t>
      </w:r>
      <w:r>
        <w:rPr>
          <w:rFonts w:hint="eastAsia" w:ascii="Times New Roman" w:hAnsi="Times New Roman" w:eastAsia="仿宋_GB2312"/>
          <w:color w:val="000000" w:themeColor="text1"/>
          <w:sz w:val="32"/>
          <w:szCs w:val="32"/>
          <w:lang w:eastAsia="zh-CN"/>
          <w14:textFill>
            <w14:solidFill>
              <w14:schemeClr w14:val="tx1"/>
            </w14:solidFill>
          </w14:textFill>
        </w:rPr>
        <w:t>。</w:t>
      </w:r>
    </w:p>
    <w:p>
      <w:pPr>
        <w:pStyle w:val="11"/>
        <w:spacing w:line="600" w:lineRule="exact"/>
        <w:ind w:left="0" w:leftChars="0" w:firstLine="640" w:firstLineChars="200"/>
        <w:rPr>
          <w:rStyle w:val="25"/>
          <w:rFonts w:hint="eastAsia" w:eastAsia="仿宋_GB2312" w:cs="仿宋_GB2312"/>
          <w:sz w:val="32"/>
          <w:szCs w:val="32"/>
          <w:lang w:val="en-US" w:eastAsia="zh-CN"/>
        </w:rPr>
      </w:pPr>
      <w:r>
        <w:rPr>
          <w:rStyle w:val="25"/>
          <w:rFonts w:hint="eastAsia" w:eastAsia="仿宋_GB2312" w:cs="仿宋_GB2312"/>
          <w:sz w:val="32"/>
          <w:szCs w:val="32"/>
        </w:rPr>
        <w:t>下一步改进措施：一是</w:t>
      </w:r>
      <w:r>
        <w:rPr>
          <w:rStyle w:val="25"/>
          <w:rFonts w:hint="eastAsia" w:eastAsia="仿宋_GB2312" w:cs="仿宋_GB2312"/>
          <w:sz w:val="32"/>
          <w:szCs w:val="32"/>
          <w:lang w:eastAsia="zh-CN"/>
        </w:rPr>
        <w:t>各业务科室应进一步加强业务工作计划性，</w:t>
      </w:r>
      <w:r>
        <w:rPr>
          <w:rStyle w:val="25"/>
          <w:rFonts w:hint="eastAsia" w:eastAsia="仿宋_GB2312" w:cs="仿宋_GB2312"/>
          <w:sz w:val="32"/>
          <w:szCs w:val="32"/>
        </w:rPr>
        <w:t>计财科定期做好预算执行情况跟踪分析，</w:t>
      </w:r>
      <w:r>
        <w:rPr>
          <w:rStyle w:val="25"/>
          <w:rFonts w:hint="eastAsia" w:eastAsia="仿宋_GB2312" w:cs="仿宋_GB2312"/>
          <w:sz w:val="32"/>
          <w:szCs w:val="32"/>
          <w:lang w:eastAsia="zh-CN"/>
        </w:rPr>
        <w:t>促进单位预算编制的科学性和合理性，有利于</w:t>
      </w:r>
      <w:r>
        <w:rPr>
          <w:rStyle w:val="25"/>
          <w:rFonts w:hint="eastAsia" w:eastAsia="仿宋_GB2312" w:cs="仿宋_GB2312"/>
          <w:sz w:val="32"/>
          <w:szCs w:val="32"/>
        </w:rPr>
        <w:t>提高</w:t>
      </w:r>
      <w:r>
        <w:rPr>
          <w:rStyle w:val="25"/>
          <w:rFonts w:hint="eastAsia" w:eastAsia="仿宋_GB2312" w:cs="仿宋_GB2312"/>
          <w:sz w:val="32"/>
          <w:szCs w:val="32"/>
          <w:lang w:eastAsia="zh-CN"/>
        </w:rPr>
        <w:t>资金使用效率</w:t>
      </w:r>
      <w:r>
        <w:rPr>
          <w:rStyle w:val="25"/>
          <w:rFonts w:hint="eastAsia" w:eastAsia="仿宋_GB2312" w:cs="仿宋_GB2312"/>
          <w:sz w:val="32"/>
          <w:szCs w:val="32"/>
        </w:rPr>
        <w:t>。</w:t>
      </w:r>
      <w:r>
        <w:rPr>
          <w:rStyle w:val="25"/>
          <w:rFonts w:hint="eastAsia" w:eastAsia="仿宋_GB2312" w:cs="仿宋_GB2312"/>
          <w:sz w:val="32"/>
          <w:szCs w:val="32"/>
          <w:lang w:val="en-US" w:eastAsia="zh-CN"/>
        </w:rPr>
        <w:t xml:space="preserve">    </w:t>
      </w:r>
    </w:p>
    <w:p>
      <w:pPr>
        <w:pStyle w:val="11"/>
        <w:spacing w:line="600" w:lineRule="exact"/>
        <w:ind w:left="0" w:leftChars="0" w:firstLine="640" w:firstLineChars="200"/>
        <w:rPr>
          <w:rStyle w:val="25"/>
          <w:rFonts w:eastAsia="仿宋_GB2312" w:cs="仿宋_GB2312"/>
          <w:sz w:val="32"/>
          <w:szCs w:val="32"/>
        </w:rPr>
      </w:pPr>
      <w:r>
        <w:rPr>
          <w:rStyle w:val="25"/>
          <w:rFonts w:hint="eastAsia" w:eastAsia="仿宋_GB2312" w:cs="仿宋_GB2312"/>
          <w:sz w:val="32"/>
          <w:szCs w:val="32"/>
        </w:rPr>
        <w:t>二是</w:t>
      </w:r>
      <w:r>
        <w:rPr>
          <w:rStyle w:val="25"/>
          <w:rFonts w:hint="eastAsia" w:eastAsia="仿宋_GB2312" w:cs="仿宋_GB2312"/>
          <w:sz w:val="32"/>
          <w:szCs w:val="32"/>
          <w:lang w:eastAsia="zh-CN"/>
        </w:rPr>
        <w:t>争取加大</w:t>
      </w:r>
      <w:r>
        <w:rPr>
          <w:rStyle w:val="25"/>
          <w:rFonts w:hint="eastAsia" w:eastAsia="仿宋_GB2312" w:cs="仿宋_GB2312"/>
          <w:sz w:val="32"/>
          <w:szCs w:val="32"/>
          <w:lang w:val="en-US" w:eastAsia="zh-CN"/>
        </w:rPr>
        <w:t>在人员和专项资金方面的政策扶持力度，</w:t>
      </w:r>
      <w:r>
        <w:rPr>
          <w:rStyle w:val="25"/>
          <w:rFonts w:hint="eastAsia" w:eastAsia="仿宋_GB2312" w:cs="仿宋_GB2312"/>
          <w:sz w:val="32"/>
          <w:szCs w:val="32"/>
          <w:lang w:eastAsia="zh-CN"/>
        </w:rPr>
        <w:t>加快推动</w:t>
      </w:r>
      <w:r>
        <w:rPr>
          <w:rStyle w:val="25"/>
          <w:rFonts w:hint="eastAsia" w:eastAsia="仿宋_GB2312" w:cs="仿宋_GB2312"/>
          <w:sz w:val="32"/>
          <w:szCs w:val="32"/>
          <w:lang w:val="en-US" w:eastAsia="zh-CN"/>
        </w:rPr>
        <w:t>P3实验室运行进度，提高国有资产使用效率，进一步提升我省疫病监测能力的质效。</w:t>
      </w:r>
    </w:p>
    <w:p>
      <w:pPr>
        <w:spacing w:line="580" w:lineRule="exact"/>
        <w:ind w:firstLine="640" w:firstLineChars="200"/>
        <w:rPr>
          <w:rFonts w:hint="eastAsia" w:ascii="Times New Roman" w:hAnsi="Times New Roman" w:eastAsia="仿宋_GB2312"/>
          <w:color w:val="000000" w:themeColor="text1"/>
          <w:sz w:val="32"/>
          <w:szCs w:val="32"/>
          <w:lang w:eastAsia="zh-CN"/>
          <w14:textFill>
            <w14:solidFill>
              <w14:schemeClr w14:val="tx1"/>
            </w14:solidFill>
          </w14:textFill>
        </w:rPr>
      </w:pPr>
    </w:p>
    <w:p>
      <w:pPr>
        <w:pStyle w:val="19"/>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sz w:val="32"/>
          <w:szCs w:val="32"/>
        </w:rPr>
      </w:pPr>
    </w:p>
    <w:p>
      <w:pPr>
        <w:pStyle w:val="19"/>
        <w:jc w:val="both"/>
        <w:rPr>
          <w:sz w:val="72"/>
          <w:szCs w:val="72"/>
        </w:rPr>
      </w:pPr>
    </w:p>
    <w:p>
      <w:pPr>
        <w:pStyle w:val="19"/>
        <w:jc w:val="center"/>
        <w:rPr>
          <w:sz w:val="72"/>
          <w:szCs w:val="72"/>
        </w:rPr>
      </w:pPr>
    </w:p>
    <w:p>
      <w:pPr>
        <w:pStyle w:val="19"/>
        <w:jc w:val="center"/>
        <w:rPr>
          <w:sz w:val="72"/>
          <w:szCs w:val="72"/>
        </w:rPr>
      </w:pPr>
    </w:p>
    <w:p>
      <w:pPr>
        <w:pStyle w:val="19"/>
        <w:jc w:val="center"/>
        <w:rPr>
          <w:rFonts w:hint="eastAsia" w:ascii="方正小标宋_GBK" w:hAnsi="方正小标宋_GBK" w:eastAsia="方正小标宋_GBK" w:cs="方正小标宋_GBK"/>
          <w:sz w:val="72"/>
          <w:szCs w:val="72"/>
        </w:rPr>
      </w:pPr>
    </w:p>
    <w:p>
      <w:pPr>
        <w:pStyle w:val="19"/>
        <w:ind w:firstLine="2880" w:firstLineChars="400"/>
        <w:jc w:val="both"/>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pPr>
        <w:jc w:val="center"/>
        <w:rPr>
          <w:rFonts w:hint="eastAsia" w:ascii="方正小标宋_GBK" w:hAnsi="方正小标宋_GBK" w:eastAsia="方正小标宋_GBK" w:cs="方正小标宋_GBK"/>
          <w:color w:val="000000"/>
          <w:kern w:val="0"/>
          <w:sz w:val="70"/>
          <w:szCs w:val="70"/>
        </w:rPr>
      </w:pPr>
    </w:p>
    <w:p>
      <w:pPr>
        <w:jc w:val="center"/>
        <w:rPr>
          <w:rFonts w:hint="eastAsia" w:ascii="方正小标宋_GBK" w:hAnsi="方正小标宋_GBK" w:eastAsia="方正小标宋_GBK" w:cs="方正小标宋_GBK"/>
          <w:color w:val="000000"/>
          <w:kern w:val="0"/>
          <w:sz w:val="70"/>
          <w:szCs w:val="70"/>
        </w:rPr>
      </w:pPr>
      <w:r>
        <w:rPr>
          <w:rFonts w:hint="eastAsia" w:ascii="方正小标宋_GBK" w:hAnsi="方正小标宋_GBK" w:eastAsia="方正小标宋_GBK" w:cs="方正小标宋_GBK"/>
          <w:color w:val="000000"/>
          <w:kern w:val="0"/>
          <w:sz w:val="70"/>
          <w:szCs w:val="70"/>
          <w:lang w:val="en-US" w:eastAsia="zh-CN"/>
        </w:rPr>
        <w:t xml:space="preserve"> </w:t>
      </w:r>
      <w:r>
        <w:rPr>
          <w:rFonts w:hint="eastAsia" w:ascii="方正小标宋_GBK" w:hAnsi="方正小标宋_GBK" w:eastAsia="方正小标宋_GBK" w:cs="方正小标宋_GBK"/>
          <w:color w:val="000000"/>
          <w:kern w:val="0"/>
          <w:sz w:val="70"/>
          <w:szCs w:val="70"/>
        </w:rPr>
        <w:t>名词解释</w:t>
      </w:r>
    </w:p>
    <w:p>
      <w:pPr>
        <w:widowControl/>
        <w:jc w:val="center"/>
        <w:rPr>
          <w:rFonts w:cs="黑体" w:asciiTheme="minorEastAsia" w:hAnsiTheme="minorEastAsia"/>
          <w:color w:val="000000"/>
          <w:kern w:val="0"/>
          <w:sz w:val="32"/>
          <w:szCs w:val="32"/>
        </w:rPr>
      </w:pPr>
      <w:r>
        <w:rPr>
          <w:rFonts w:hint="eastAsia" w:ascii="方正小标宋_GBK" w:hAnsi="方正小标宋_GBK" w:eastAsia="方正小标宋_GBK" w:cs="方正小标宋_GBK"/>
          <w:color w:val="000000"/>
          <w:kern w:val="0"/>
          <w:sz w:val="70"/>
          <w:szCs w:val="70"/>
        </w:rPr>
        <w:br w:type="page"/>
      </w:r>
    </w:p>
    <w:p>
      <w:pPr>
        <w:widowControl/>
        <w:numPr>
          <w:ilvl w:val="0"/>
          <w:numId w:val="0"/>
        </w:num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eastAsia="zh-CN"/>
        </w:rPr>
        <w:t>一、</w:t>
      </w:r>
      <w:r>
        <w:rPr>
          <w:rFonts w:hint="eastAsia" w:ascii="仿宋_GB2312" w:hAnsi="仿宋_GB2312" w:eastAsia="仿宋_GB2312" w:cs="仿宋_GB2312"/>
          <w:color w:val="000000"/>
          <w:kern w:val="0"/>
          <w:sz w:val="32"/>
          <w:szCs w:val="32"/>
        </w:rPr>
        <w:t>基本支出：指为保障单位正常运转、完成日常工</w:t>
      </w:r>
    </w:p>
    <w:p>
      <w:pPr>
        <w:widowControl/>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作任务而发生的各项支出，包括人员支出和公用支出。</w:t>
      </w:r>
    </w:p>
    <w:p>
      <w:pPr>
        <w:widowControl/>
        <w:numPr>
          <w:ilvl w:val="0"/>
          <w:numId w:val="0"/>
        </w:numPr>
        <w:ind w:left="700" w:leftChars="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eastAsia="zh-CN"/>
        </w:rPr>
        <w:t>二、</w:t>
      </w:r>
      <w:r>
        <w:rPr>
          <w:rFonts w:hint="eastAsia" w:ascii="仿宋_GB2312" w:hAnsi="仿宋_GB2312" w:eastAsia="仿宋_GB2312" w:cs="仿宋_GB2312"/>
          <w:color w:val="000000"/>
          <w:kern w:val="0"/>
          <w:sz w:val="32"/>
          <w:szCs w:val="32"/>
        </w:rPr>
        <w:t>项目支出：指基本支出以外为完成相关行政任务</w:t>
      </w:r>
    </w:p>
    <w:p>
      <w:pPr>
        <w:widowControl/>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和事业发展目标所发生的各项支出。</w:t>
      </w:r>
    </w:p>
    <w:p>
      <w:pPr>
        <w:widowControl/>
        <w:ind w:firstLine="640" w:firstLineChars="200"/>
        <w:jc w:val="left"/>
        <w:rPr>
          <w:rFonts w:hint="eastAsia" w:ascii="仿宋_GB2312" w:hAnsi="仿宋_GB2312" w:eastAsia="仿宋_GB2312" w:cs="仿宋_GB2312"/>
          <w:color w:val="000000"/>
          <w:kern w:val="0"/>
          <w:sz w:val="70"/>
          <w:szCs w:val="70"/>
        </w:rPr>
      </w:pPr>
      <w:r>
        <w:rPr>
          <w:rFonts w:hint="eastAsia" w:ascii="仿宋_GB2312" w:hAnsi="仿宋_GB2312" w:eastAsia="仿宋_GB2312" w:cs="仿宋_GB2312"/>
          <w:color w:val="000000"/>
          <w:kern w:val="0"/>
          <w:sz w:val="32"/>
          <w:szCs w:val="32"/>
        </w:rPr>
        <w:t>三、“三公经费”：指通过财政拨款资金安排的公务接待费、公务用车购置及运行费和因公出国（境）费用支出。其中，公务接待费反映单位按规定开支的的各类公务接待支出；公务用车购置及运行费反映单位公务用车购置支出（含车辆购置税），以及燃油费、维修费、保险费等支出；因公出国（出境）费反映单位公务出国（出境）的国际旅费、国外城市间交通费、食宿费等支出。</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四、一般公用经费：指单位的公用经费。具体包括：办公费、印刷费、办公用房水电费、日常维修维护费、差旅费、邮电费、劳务费、培训费、会议费、一般设备购置费及其他费用等。</w:t>
      </w:r>
    </w:p>
    <w:p>
      <w:pPr>
        <w:pStyle w:val="19"/>
        <w:jc w:val="center"/>
        <w:rPr>
          <w:sz w:val="72"/>
          <w:szCs w:val="72"/>
        </w:rPr>
      </w:pPr>
    </w:p>
    <w:p>
      <w:pPr>
        <w:pStyle w:val="19"/>
        <w:jc w:val="center"/>
        <w:rPr>
          <w:sz w:val="72"/>
          <w:szCs w:val="72"/>
        </w:rPr>
      </w:pPr>
    </w:p>
    <w:p>
      <w:pPr>
        <w:pStyle w:val="19"/>
        <w:jc w:val="center"/>
        <w:rPr>
          <w:sz w:val="72"/>
          <w:szCs w:val="72"/>
        </w:rPr>
      </w:pPr>
    </w:p>
    <w:p>
      <w:pPr>
        <w:pStyle w:val="19"/>
        <w:jc w:val="center"/>
        <w:rPr>
          <w:sz w:val="72"/>
          <w:szCs w:val="72"/>
        </w:rPr>
      </w:pPr>
    </w:p>
    <w:p>
      <w:pPr>
        <w:pStyle w:val="19"/>
        <w:jc w:val="center"/>
        <w:rPr>
          <w:sz w:val="72"/>
          <w:szCs w:val="72"/>
        </w:rPr>
      </w:pPr>
    </w:p>
    <w:p>
      <w:pPr>
        <w:pStyle w:val="19"/>
        <w:jc w:val="center"/>
        <w:rPr>
          <w:sz w:val="72"/>
          <w:szCs w:val="72"/>
        </w:rPr>
      </w:pPr>
    </w:p>
    <w:p>
      <w:pPr>
        <w:ind w:firstLine="2880" w:firstLineChars="400"/>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pPr>
        <w:pStyle w:val="19"/>
        <w:jc w:val="center"/>
        <w:rPr>
          <w:rFonts w:hint="eastAsia" w:ascii="方正小标宋_GBK" w:hAnsi="方正小标宋_GBK" w:eastAsia="方正小标宋_GBK" w:cs="方正小标宋_GBK"/>
          <w:sz w:val="70"/>
          <w:szCs w:val="70"/>
        </w:rPr>
      </w:pPr>
    </w:p>
    <w:p>
      <w:pPr>
        <w:pStyle w:val="19"/>
        <w:jc w:val="center"/>
        <w:rPr>
          <w:rFonts w:hint="eastAsia" w:eastAsia="黑体"/>
          <w:sz w:val="72"/>
          <w:szCs w:val="72"/>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pPr>
        <w:rPr>
          <w:sz w:val="72"/>
          <w:szCs w:val="72"/>
        </w:rPr>
      </w:pPr>
      <w:r>
        <w:rPr>
          <w:sz w:val="72"/>
          <w:szCs w:val="72"/>
        </w:rPr>
        <w:br w:type="page"/>
      </w:r>
    </w:p>
    <w:p>
      <w:pPr>
        <w:pStyle w:val="19"/>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r>
        <w:rPr>
          <w:rFonts w:hint="eastAsia" w:ascii="楷体" w:hAnsi="楷体" w:eastAsia="楷体" w:cs="楷体"/>
          <w:b/>
          <w:bCs/>
          <w:sz w:val="32"/>
          <w:szCs w:val="32"/>
          <w:lang w:eastAsia="zh-CN"/>
        </w:rPr>
        <w:t>一、</w:t>
      </w:r>
      <w:r>
        <w:rPr>
          <w:rFonts w:hint="eastAsia" w:ascii="Times New Roman" w:hAnsi="Times New Roman" w:eastAsia="仿宋_GB2312"/>
          <w:sz w:val="32"/>
          <w:szCs w:val="32"/>
          <w:lang w:val="en-US" w:eastAsia="zh-CN"/>
        </w:rPr>
        <w:t>2023年度单位整体支出绩效自评报告。</w:t>
      </w:r>
    </w:p>
    <w:p>
      <w:pPr>
        <w:pStyle w:val="2"/>
        <w:jc w:val="center"/>
        <w:rPr>
          <w:rFonts w:hint="eastAsia" w:ascii="黑体" w:hAnsi="黑体" w:eastAsia="黑体" w:cs="黑体"/>
          <w:b/>
          <w:bCs w:val="0"/>
          <w:spacing w:val="-8"/>
          <w:lang w:eastAsia="zh-CN"/>
        </w:rPr>
      </w:pPr>
      <w:r>
        <w:rPr>
          <w:rFonts w:hint="eastAsia" w:ascii="黑体" w:hAnsi="黑体" w:eastAsia="黑体" w:cs="黑体"/>
          <w:b/>
          <w:bCs w:val="0"/>
          <w:spacing w:val="-8"/>
          <w:lang w:val="en-US" w:eastAsia="zh-CN"/>
        </w:rPr>
        <w:t>2023</w:t>
      </w:r>
      <w:r>
        <w:rPr>
          <w:rFonts w:hint="eastAsia" w:ascii="黑体" w:hAnsi="黑体" w:eastAsia="黑体" w:cs="黑体"/>
          <w:b/>
          <w:bCs w:val="0"/>
          <w:spacing w:val="-8"/>
        </w:rPr>
        <w:t>年度</w:t>
      </w:r>
      <w:r>
        <w:rPr>
          <w:rFonts w:hint="eastAsia" w:ascii="黑体" w:hAnsi="黑体" w:eastAsia="黑体" w:cs="黑体"/>
          <w:b/>
          <w:bCs w:val="0"/>
          <w:spacing w:val="-8"/>
          <w:lang w:eastAsia="zh-CN"/>
        </w:rPr>
        <w:t>湖南省动物疫病预防控制中心</w:t>
      </w:r>
    </w:p>
    <w:p>
      <w:pPr>
        <w:pStyle w:val="2"/>
        <w:jc w:val="center"/>
        <w:rPr>
          <w:rFonts w:hint="eastAsia" w:ascii="黑体" w:hAnsi="黑体" w:eastAsia="黑体" w:cs="黑体"/>
          <w:b/>
          <w:bCs w:val="0"/>
          <w:spacing w:val="-8"/>
        </w:rPr>
      </w:pPr>
      <w:r>
        <w:rPr>
          <w:rFonts w:hint="eastAsia" w:ascii="黑体" w:hAnsi="黑体" w:eastAsia="黑体" w:cs="黑体"/>
          <w:b/>
          <w:bCs w:val="0"/>
          <w:spacing w:val="-8"/>
        </w:rPr>
        <w:t>整体支出绩效自评报告</w:t>
      </w:r>
    </w:p>
    <w:p>
      <w:pPr>
        <w:pStyle w:val="3"/>
        <w:spacing w:line="560" w:lineRule="atLeast"/>
        <w:ind w:firstLine="640"/>
      </w:pPr>
    </w:p>
    <w:p>
      <w:pPr>
        <w:pStyle w:val="3"/>
        <w:keepNext w:val="0"/>
        <w:keepLines w:val="0"/>
        <w:pageBreakBefore w:val="0"/>
        <w:numPr>
          <w:ilvl w:val="0"/>
          <w:numId w:val="0"/>
        </w:numPr>
        <w:kinsoku/>
        <w:wordWrap/>
        <w:overflowPunct/>
        <w:topLinePunct w:val="0"/>
        <w:autoSpaceDE/>
        <w:autoSpaceDN/>
        <w:bidi w:val="0"/>
        <w:adjustRightInd/>
        <w:snapToGrid/>
        <w:spacing w:line="580" w:lineRule="exact"/>
        <w:ind w:firstLine="640" w:firstLineChars="200"/>
        <w:textAlignment w:val="auto"/>
        <w:rPr>
          <w:rFonts w:ascii="Times New Roman" w:hAnsi="Times New Roman"/>
          <w:sz w:val="32"/>
        </w:rPr>
      </w:pPr>
      <w:r>
        <w:rPr>
          <w:rFonts w:hint="eastAsia"/>
          <w:sz w:val="32"/>
          <w:lang w:val="en-US" w:eastAsia="zh-CN"/>
        </w:rPr>
        <w:t>一</w:t>
      </w:r>
      <w:r>
        <w:rPr>
          <w:rFonts w:ascii="Times New Roman" w:hAnsi="Times New Roman"/>
          <w:sz w:val="32"/>
        </w:rPr>
        <w:t>、单位基本情况</w:t>
      </w:r>
    </w:p>
    <w:p>
      <w:pPr>
        <w:keepNext w:val="0"/>
        <w:keepLines w:val="0"/>
        <w:pageBreakBefore w:val="0"/>
        <w:kinsoku/>
        <w:wordWrap/>
        <w:overflowPunct/>
        <w:topLinePunct w:val="0"/>
        <w:autoSpaceDE/>
        <w:autoSpaceDN/>
        <w:bidi w:val="0"/>
        <w:adjustRightInd/>
        <w:snapToGrid w:val="0"/>
        <w:spacing w:line="580" w:lineRule="exact"/>
        <w:ind w:firstLine="640" w:firstLineChars="200"/>
        <w:textAlignment w:val="auto"/>
        <w:rPr>
          <w:rFonts w:hint="default" w:ascii="仿宋_GB2312" w:hAnsi="仿宋" w:eastAsia="仿宋_GB2312"/>
          <w:sz w:val="32"/>
          <w:szCs w:val="32"/>
          <w:lang w:val="en-US" w:eastAsia="zh-CN"/>
        </w:rPr>
      </w:pPr>
      <w:r>
        <w:rPr>
          <w:rFonts w:eastAsia="楷体_GB2312"/>
          <w:b/>
          <w:sz w:val="32"/>
          <w:szCs w:val="32"/>
        </w:rPr>
        <w:t>（一）职能职责。</w:t>
      </w:r>
      <w:r>
        <w:rPr>
          <w:rFonts w:hint="eastAsia" w:ascii="仿宋_GB2312" w:hAnsi="仿宋_GB2312" w:eastAsia="仿宋_GB2312" w:cs="仿宋_GB2312"/>
          <w:color w:val="000000"/>
          <w:sz w:val="32"/>
          <w:szCs w:val="32"/>
        </w:rPr>
        <w:t>我单位</w:t>
      </w:r>
      <w:r>
        <w:rPr>
          <w:rFonts w:hint="eastAsia" w:ascii="仿宋_GB2312" w:hAnsi="仿宋_GB2312" w:eastAsia="仿宋_GB2312" w:cs="仿宋_GB2312"/>
          <w:sz w:val="32"/>
          <w:szCs w:val="32"/>
        </w:rPr>
        <w:t>是我省实施兽医行政管理、监督执法的技术保障和依托单位，主要承担动物疫情预警和报告、动物新发病疑难病诊断、动物疫病监测、流行病学调查、疫病净化、省级</w:t>
      </w:r>
      <w:r>
        <w:rPr>
          <w:rFonts w:hint="eastAsia" w:ascii="仿宋_GB2312" w:hAnsi="仿宋_GB2312" w:eastAsia="仿宋_GB2312" w:cs="仿宋_GB2312"/>
          <w:sz w:val="32"/>
          <w:szCs w:val="32"/>
          <w:lang w:eastAsia="zh-CN"/>
        </w:rPr>
        <w:t>动物</w:t>
      </w:r>
      <w:r>
        <w:rPr>
          <w:rFonts w:hint="eastAsia" w:ascii="仿宋_GB2312" w:hAnsi="仿宋_GB2312" w:eastAsia="仿宋_GB2312" w:cs="仿宋_GB2312"/>
          <w:sz w:val="32"/>
          <w:szCs w:val="32"/>
        </w:rPr>
        <w:t>防疫</w:t>
      </w:r>
      <w:r>
        <w:rPr>
          <w:rFonts w:hint="eastAsia" w:ascii="仿宋_GB2312" w:hAnsi="仿宋_GB2312" w:eastAsia="仿宋_GB2312" w:cs="仿宋_GB2312"/>
          <w:sz w:val="32"/>
          <w:szCs w:val="32"/>
          <w:lang w:eastAsia="zh-CN"/>
        </w:rPr>
        <w:t>应急</w:t>
      </w:r>
      <w:r>
        <w:rPr>
          <w:rFonts w:hint="eastAsia" w:ascii="仿宋_GB2312" w:hAnsi="仿宋_GB2312" w:eastAsia="仿宋_GB2312" w:cs="仿宋_GB2312"/>
          <w:sz w:val="32"/>
          <w:szCs w:val="32"/>
        </w:rPr>
        <w:t>物资</w:t>
      </w:r>
      <w:r>
        <w:rPr>
          <w:rFonts w:hint="eastAsia" w:ascii="仿宋_GB2312" w:hAnsi="仿宋_GB2312" w:eastAsia="仿宋_GB2312" w:cs="仿宋_GB2312"/>
          <w:sz w:val="32"/>
          <w:szCs w:val="32"/>
          <w:lang w:eastAsia="zh-CN"/>
        </w:rPr>
        <w:t>储备与</w:t>
      </w:r>
      <w:r>
        <w:rPr>
          <w:rFonts w:hint="eastAsia" w:ascii="仿宋_GB2312" w:hAnsi="仿宋_GB2312" w:eastAsia="仿宋_GB2312" w:cs="仿宋_GB2312"/>
          <w:sz w:val="32"/>
          <w:szCs w:val="32"/>
        </w:rPr>
        <w:t>管理、</w:t>
      </w:r>
      <w:r>
        <w:rPr>
          <w:rFonts w:hint="eastAsia" w:ascii="仿宋_GB2312" w:hAnsi="仿宋_GB2312" w:eastAsia="仿宋_GB2312" w:cs="仿宋_GB2312"/>
          <w:sz w:val="32"/>
          <w:szCs w:val="32"/>
          <w:lang w:eastAsia="zh-CN"/>
        </w:rPr>
        <w:t>畜间人畜共患病防控、</w:t>
      </w:r>
      <w:r>
        <w:rPr>
          <w:rFonts w:hint="eastAsia" w:ascii="仿宋_GB2312" w:hAnsi="仿宋_GB2312" w:eastAsia="仿宋_GB2312" w:cs="仿宋_GB2312"/>
          <w:sz w:val="32"/>
          <w:szCs w:val="32"/>
        </w:rPr>
        <w:t>疫情处置技术指导、动物疫病防控技术研究与推广等公益性职能</w:t>
      </w:r>
      <w:r>
        <w:rPr>
          <w:rFonts w:hint="eastAsia" w:ascii="仿宋_GB2312" w:hAnsi="仿宋_GB2312" w:eastAsia="仿宋_GB2312" w:cs="仿宋_GB2312"/>
          <w:sz w:val="32"/>
          <w:szCs w:val="32"/>
          <w:lang w:eastAsia="zh-CN"/>
        </w:rPr>
        <w:t>，在全省动物疫病预防控制体系中发挥着示范引领作用</w:t>
      </w:r>
      <w:r>
        <w:rPr>
          <w:rFonts w:hint="eastAsia" w:ascii="仿宋_GB2312" w:hAnsi="仿宋_GB2312" w:eastAsia="仿宋_GB2312" w:cs="仿宋_GB2312"/>
          <w:sz w:val="32"/>
          <w:szCs w:val="32"/>
        </w:rPr>
        <w:t>。</w:t>
      </w:r>
    </w:p>
    <w:p>
      <w:pPr>
        <w:keepNext w:val="0"/>
        <w:keepLines w:val="0"/>
        <w:pageBreakBefore w:val="0"/>
        <w:widowControl/>
        <w:kinsoku/>
        <w:wordWrap/>
        <w:overflowPunct/>
        <w:topLinePunct w:val="0"/>
        <w:autoSpaceDE/>
        <w:autoSpaceDN/>
        <w:bidi w:val="0"/>
        <w:adjustRightInd/>
        <w:spacing w:line="580" w:lineRule="exact"/>
        <w:ind w:firstLine="627" w:firstLineChars="196"/>
        <w:textAlignment w:val="auto"/>
        <w:rPr>
          <w:rFonts w:hint="eastAsia" w:ascii="仿宋_GB2312" w:hAnsi="仿宋_GB2312" w:eastAsia="仿宋_GB2312" w:cs="仿宋_GB2312"/>
          <w:b/>
          <w:sz w:val="32"/>
          <w:szCs w:val="32"/>
        </w:rPr>
      </w:pPr>
      <w:r>
        <w:rPr>
          <w:rFonts w:eastAsia="楷体_GB2312"/>
          <w:b/>
          <w:sz w:val="32"/>
          <w:szCs w:val="32"/>
        </w:rPr>
        <w:t>（二）机构设置。</w:t>
      </w:r>
      <w:r>
        <w:rPr>
          <w:rFonts w:hint="eastAsia" w:ascii="仿宋_GB2312" w:hAnsi="仿宋_GB2312" w:eastAsia="仿宋_GB2312" w:cs="仿宋_GB2312"/>
          <w:bCs/>
          <w:sz w:val="32"/>
          <w:szCs w:val="32"/>
        </w:rPr>
        <w:t>我单位为省农业农村厅下辖二级全额拨款事业单位，部门预算只有本级，无其他下级单位。内设综合科、防控应急</w:t>
      </w:r>
      <w:r>
        <w:rPr>
          <w:rFonts w:hint="eastAsia" w:ascii="仿宋_GB2312" w:hAnsi="仿宋_GB2312" w:eastAsia="仿宋_GB2312" w:cs="仿宋_GB2312"/>
          <w:bCs/>
          <w:sz w:val="32"/>
          <w:szCs w:val="32"/>
          <w:lang w:eastAsia="zh-CN"/>
        </w:rPr>
        <w:t>科</w:t>
      </w:r>
      <w:r>
        <w:rPr>
          <w:rFonts w:hint="eastAsia" w:ascii="仿宋_GB2312" w:hAnsi="仿宋_GB2312" w:eastAsia="仿宋_GB2312" w:cs="仿宋_GB2312"/>
          <w:bCs/>
          <w:sz w:val="32"/>
          <w:szCs w:val="32"/>
        </w:rPr>
        <w:t>、防疫信息</w:t>
      </w:r>
      <w:r>
        <w:rPr>
          <w:rFonts w:hint="eastAsia" w:ascii="仿宋_GB2312" w:hAnsi="仿宋_GB2312" w:eastAsia="仿宋_GB2312" w:cs="仿宋_GB2312"/>
          <w:bCs/>
          <w:sz w:val="32"/>
          <w:szCs w:val="32"/>
          <w:lang w:eastAsia="zh-CN"/>
        </w:rPr>
        <w:t>科</w:t>
      </w:r>
      <w:r>
        <w:rPr>
          <w:rFonts w:hint="eastAsia" w:ascii="仿宋_GB2312" w:hAnsi="仿宋_GB2312" w:eastAsia="仿宋_GB2312" w:cs="仿宋_GB2312"/>
          <w:bCs/>
          <w:sz w:val="32"/>
          <w:szCs w:val="32"/>
        </w:rPr>
        <w:t>、检验一科、检验二科、计财科、人事科、防疫物资管理科等8个科室。单位人员编制数25人，202</w:t>
      </w:r>
      <w:r>
        <w:rPr>
          <w:rFonts w:hint="eastAsia" w:ascii="仿宋_GB2312" w:hAnsi="仿宋_GB2312" w:eastAsia="仿宋_GB2312" w:cs="仿宋_GB2312"/>
          <w:bCs/>
          <w:sz w:val="32"/>
          <w:szCs w:val="32"/>
          <w:lang w:val="en-US" w:eastAsia="zh-CN"/>
        </w:rPr>
        <w:t>3</w:t>
      </w:r>
      <w:r>
        <w:rPr>
          <w:rFonts w:hint="eastAsia" w:ascii="仿宋_GB2312" w:hAnsi="仿宋_GB2312" w:eastAsia="仿宋_GB2312" w:cs="仿宋_GB2312"/>
          <w:bCs/>
          <w:sz w:val="32"/>
          <w:szCs w:val="32"/>
        </w:rPr>
        <w:t>年底实有在编在职2</w:t>
      </w:r>
      <w:r>
        <w:rPr>
          <w:rFonts w:hint="eastAsia" w:ascii="仿宋_GB2312" w:hAnsi="仿宋_GB2312" w:eastAsia="仿宋_GB2312" w:cs="仿宋_GB2312"/>
          <w:bCs/>
          <w:sz w:val="32"/>
          <w:szCs w:val="32"/>
          <w:lang w:val="en-US" w:eastAsia="zh-CN"/>
        </w:rPr>
        <w:t>0</w:t>
      </w:r>
      <w:r>
        <w:rPr>
          <w:rFonts w:hint="eastAsia" w:ascii="仿宋_GB2312" w:hAnsi="仿宋_GB2312" w:eastAsia="仿宋_GB2312" w:cs="仿宋_GB2312"/>
          <w:bCs/>
          <w:sz w:val="32"/>
          <w:szCs w:val="32"/>
        </w:rPr>
        <w:t>人，退休人员1</w:t>
      </w:r>
      <w:r>
        <w:rPr>
          <w:rFonts w:hint="eastAsia" w:ascii="仿宋_GB2312" w:hAnsi="仿宋_GB2312" w:eastAsia="仿宋_GB2312" w:cs="仿宋_GB2312"/>
          <w:bCs/>
          <w:sz w:val="32"/>
          <w:szCs w:val="32"/>
          <w:lang w:val="en-US" w:eastAsia="zh-CN"/>
        </w:rPr>
        <w:t>4</w:t>
      </w:r>
      <w:r>
        <w:rPr>
          <w:rFonts w:hint="eastAsia" w:ascii="仿宋_GB2312" w:hAnsi="仿宋_GB2312" w:eastAsia="仿宋_GB2312" w:cs="仿宋_GB2312"/>
          <w:bCs/>
          <w:sz w:val="32"/>
          <w:szCs w:val="32"/>
        </w:rPr>
        <w:t>人。</w:t>
      </w:r>
    </w:p>
    <w:p>
      <w:pPr>
        <w:keepNext w:val="0"/>
        <w:keepLines w:val="0"/>
        <w:pageBreakBefore w:val="0"/>
        <w:widowControl/>
        <w:kinsoku/>
        <w:wordWrap/>
        <w:overflowPunct/>
        <w:topLinePunct w:val="0"/>
        <w:autoSpaceDE/>
        <w:autoSpaceDN/>
        <w:bidi w:val="0"/>
        <w:adjustRightInd/>
        <w:snapToGrid/>
        <w:spacing w:line="580" w:lineRule="exact"/>
        <w:ind w:firstLine="627" w:firstLineChars="196"/>
        <w:textAlignment w:val="auto"/>
        <w:rPr>
          <w:rFonts w:hint="eastAsia" w:ascii="Times New Roman" w:hAnsi="Times New Roman" w:eastAsia="楷体_GB2312" w:cs="Times New Roman"/>
          <w:b/>
          <w:sz w:val="32"/>
          <w:szCs w:val="32"/>
        </w:rPr>
      </w:pPr>
      <w:r>
        <w:rPr>
          <w:rFonts w:hint="eastAsia" w:ascii="Times New Roman" w:hAnsi="Times New Roman" w:eastAsia="楷体_GB2312" w:cs="Times New Roman"/>
          <w:b/>
          <w:sz w:val="32"/>
          <w:szCs w:val="32"/>
          <w:lang w:eastAsia="zh-CN"/>
        </w:rPr>
        <w:t>（三）</w:t>
      </w:r>
      <w:r>
        <w:rPr>
          <w:rFonts w:hint="eastAsia" w:ascii="Times New Roman" w:hAnsi="Times New Roman" w:eastAsia="楷体_GB2312" w:cs="Times New Roman"/>
          <w:b/>
          <w:sz w:val="32"/>
          <w:szCs w:val="32"/>
        </w:rPr>
        <w:t>单位收支总体情况</w:t>
      </w:r>
    </w:p>
    <w:p>
      <w:pPr>
        <w:keepNext w:val="0"/>
        <w:keepLines w:val="0"/>
        <w:pageBreakBefore w:val="0"/>
        <w:widowControl/>
        <w:kinsoku/>
        <w:wordWrap/>
        <w:overflowPunct/>
        <w:topLinePunct w:val="0"/>
        <w:autoSpaceDE/>
        <w:autoSpaceDN/>
        <w:bidi w:val="0"/>
        <w:adjustRightInd/>
        <w:snapToGrid/>
        <w:spacing w:line="580" w:lineRule="exact"/>
        <w:ind w:firstLine="627" w:firstLineChars="196"/>
        <w:textAlignment w:val="auto"/>
        <w:rPr>
          <w:rFonts w:hint="eastAsia" w:ascii="仿宋_GB2312" w:hAnsi="仿宋_GB2312" w:eastAsia="仿宋_GB2312" w:cs="仿宋_GB2312"/>
          <w:b/>
          <w:sz w:val="32"/>
          <w:szCs w:val="32"/>
          <w:lang w:val="en-US" w:eastAsia="zh-CN"/>
        </w:rPr>
      </w:pPr>
      <w:r>
        <w:rPr>
          <w:rFonts w:hint="eastAsia" w:ascii="仿宋_GB2312" w:hAnsi="仿宋_GB2312" w:eastAsia="仿宋_GB2312" w:cs="仿宋_GB2312"/>
          <w:b/>
          <w:bCs w:val="0"/>
          <w:sz w:val="32"/>
          <w:szCs w:val="32"/>
          <w:lang w:val="en-US" w:eastAsia="zh-CN"/>
        </w:rPr>
        <w:t xml:space="preserve">1. </w:t>
      </w:r>
      <w:r>
        <w:rPr>
          <w:rFonts w:hint="eastAsia" w:ascii="仿宋_GB2312" w:hAnsi="仿宋_GB2312" w:eastAsia="仿宋_GB2312" w:cs="仿宋_GB2312"/>
          <w:b/>
          <w:bCs w:val="0"/>
          <w:sz w:val="32"/>
          <w:szCs w:val="32"/>
        </w:rPr>
        <w:t>收入预算</w:t>
      </w:r>
      <w:r>
        <w:rPr>
          <w:rFonts w:hint="eastAsia" w:ascii="仿宋_GB2312" w:hAnsi="仿宋_GB2312" w:eastAsia="仿宋_GB2312" w:cs="仿宋_GB2312"/>
          <w:b/>
          <w:bCs w:val="0"/>
          <w:sz w:val="32"/>
          <w:szCs w:val="32"/>
          <w:lang w:eastAsia="zh-CN"/>
        </w:rPr>
        <w:t>。</w:t>
      </w: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年本单位收入预算</w:t>
      </w:r>
      <w:r>
        <w:rPr>
          <w:rFonts w:hint="eastAsia" w:ascii="仿宋_GB2312" w:hAnsi="仿宋_GB2312" w:eastAsia="仿宋_GB2312" w:cs="仿宋_GB2312"/>
          <w:sz w:val="32"/>
          <w:szCs w:val="32"/>
          <w:lang w:val="en-US" w:eastAsia="zh-CN"/>
        </w:rPr>
        <w:t>1978.75</w:t>
      </w:r>
      <w:r>
        <w:rPr>
          <w:rFonts w:hint="eastAsia" w:ascii="仿宋_GB2312" w:hAnsi="仿宋_GB2312" w:eastAsia="仿宋_GB2312" w:cs="仿宋_GB2312"/>
          <w:sz w:val="32"/>
          <w:szCs w:val="32"/>
        </w:rPr>
        <w:t>万元，其中，一般公共预算拨款</w:t>
      </w:r>
      <w:r>
        <w:rPr>
          <w:rFonts w:hint="eastAsia" w:ascii="仿宋_GB2312" w:hAnsi="仿宋_GB2312" w:eastAsia="仿宋_GB2312" w:cs="仿宋_GB2312"/>
          <w:sz w:val="32"/>
          <w:szCs w:val="32"/>
          <w:lang w:eastAsia="zh-CN"/>
        </w:rPr>
        <w:t>部门预算</w:t>
      </w:r>
      <w:r>
        <w:rPr>
          <w:rFonts w:hint="eastAsia" w:ascii="仿宋_GB2312" w:hAnsi="仿宋_GB2312" w:eastAsia="仿宋_GB2312" w:cs="仿宋_GB2312"/>
          <w:sz w:val="32"/>
          <w:szCs w:val="32"/>
          <w:lang w:val="en-US" w:eastAsia="zh-CN"/>
        </w:rPr>
        <w:t>1609.03</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年中追加预算154.74万元，上年结转资金214.98万元。收入较去年增加111.07万元，主要原因是:1、人员经费比上年度增加102.91万元，增加的主要原因是年末省财政拨付2023年年度省直农口事业单位绩效工资补助97.51万元；2、公用经费预算安排比上年减少22.00万元；3、省级专项-湖南省主要动物疫病监测与流行病学调查、实验室运行专项比2022年度增加30.16万元。</w:t>
      </w:r>
    </w:p>
    <w:p>
      <w:pPr>
        <w:keepNext w:val="0"/>
        <w:keepLines w:val="0"/>
        <w:pageBreakBefore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b/>
          <w:sz w:val="32"/>
          <w:szCs w:val="32"/>
          <w:lang w:val="en-US" w:eastAsia="zh-CN"/>
        </w:rPr>
        <w:t xml:space="preserve">2. </w:t>
      </w:r>
      <w:r>
        <w:rPr>
          <w:rFonts w:hint="eastAsia" w:ascii="仿宋_GB2312" w:hAnsi="仿宋_GB2312" w:eastAsia="仿宋_GB2312" w:cs="仿宋_GB2312"/>
          <w:b/>
          <w:sz w:val="32"/>
          <w:szCs w:val="32"/>
        </w:rPr>
        <w:t>支出预算</w:t>
      </w:r>
      <w:r>
        <w:rPr>
          <w:rFonts w:hint="eastAsia" w:ascii="仿宋_GB2312" w:hAnsi="仿宋_GB2312" w:eastAsia="仿宋_GB2312" w:cs="仿宋_GB2312"/>
          <w:b/>
          <w:sz w:val="32"/>
          <w:szCs w:val="32"/>
          <w:lang w:eastAsia="zh-CN"/>
        </w:rPr>
        <w:t>。</w:t>
      </w: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年本单位支出预算</w:t>
      </w:r>
      <w:r>
        <w:rPr>
          <w:rFonts w:hint="eastAsia" w:ascii="仿宋_GB2312" w:hAnsi="仿宋_GB2312" w:eastAsia="仿宋_GB2312" w:cs="仿宋_GB2312"/>
          <w:sz w:val="32"/>
          <w:szCs w:val="32"/>
          <w:lang w:val="en-US" w:eastAsia="zh-CN"/>
        </w:rPr>
        <w:t>1978.75</w:t>
      </w:r>
      <w:r>
        <w:rPr>
          <w:rFonts w:hint="eastAsia" w:ascii="仿宋_GB2312" w:hAnsi="仿宋_GB2312" w:eastAsia="仿宋_GB2312" w:cs="仿宋_GB2312"/>
          <w:sz w:val="32"/>
          <w:szCs w:val="32"/>
        </w:rPr>
        <w:t>万元，其中，一般公共服务</w:t>
      </w:r>
      <w:r>
        <w:rPr>
          <w:rFonts w:hint="eastAsia" w:ascii="仿宋_GB2312" w:hAnsi="仿宋_GB2312" w:eastAsia="仿宋_GB2312" w:cs="仿宋_GB2312"/>
          <w:sz w:val="32"/>
          <w:szCs w:val="32"/>
          <w:lang w:eastAsia="zh-CN"/>
        </w:rPr>
        <w:t>支出</w:t>
      </w:r>
      <w:r>
        <w:rPr>
          <w:rFonts w:hint="eastAsia" w:ascii="仿宋_GB2312" w:hAnsi="仿宋_GB2312" w:eastAsia="仿宋_GB2312" w:cs="仿宋_GB2312"/>
          <w:sz w:val="32"/>
          <w:szCs w:val="32"/>
          <w:lang w:val="en-US" w:eastAsia="zh-CN"/>
        </w:rPr>
        <w:t>6.25</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社会保障和就业支出</w:t>
      </w:r>
      <w:r>
        <w:rPr>
          <w:rFonts w:hint="eastAsia" w:ascii="仿宋_GB2312" w:hAnsi="仿宋_GB2312" w:eastAsia="仿宋_GB2312" w:cs="仿宋_GB2312"/>
          <w:sz w:val="32"/>
          <w:szCs w:val="32"/>
          <w:lang w:val="en-US" w:eastAsia="zh-CN"/>
        </w:rPr>
        <w:t>34.00</w:t>
      </w:r>
      <w:r>
        <w:rPr>
          <w:rFonts w:hint="eastAsia" w:ascii="仿宋_GB2312" w:hAnsi="仿宋_GB2312" w:eastAsia="仿宋_GB2312" w:cs="仿宋_GB2312"/>
          <w:b w:val="0"/>
          <w:bCs w:val="0"/>
          <w:sz w:val="32"/>
          <w:szCs w:val="32"/>
          <w:lang w:val="en-US" w:eastAsia="zh-CN"/>
        </w:rPr>
        <w:t>万元，农林水支出1935.98万元,住房保障支出2.52万元。</w:t>
      </w:r>
      <w:r>
        <w:rPr>
          <w:rFonts w:hint="eastAsia" w:ascii="仿宋_GB2312" w:hAnsi="仿宋_GB2312" w:eastAsia="仿宋_GB2312" w:cs="仿宋_GB2312"/>
          <w:b w:val="0"/>
          <w:bCs w:val="0"/>
          <w:sz w:val="32"/>
          <w:szCs w:val="32"/>
        </w:rPr>
        <w:t>支出较去年</w:t>
      </w:r>
      <w:r>
        <w:rPr>
          <w:rFonts w:hint="eastAsia" w:ascii="仿宋_GB2312" w:hAnsi="仿宋_GB2312" w:eastAsia="仿宋_GB2312" w:cs="仿宋_GB2312"/>
          <w:b w:val="0"/>
          <w:bCs w:val="0"/>
          <w:sz w:val="32"/>
          <w:szCs w:val="32"/>
          <w:lang w:eastAsia="zh-CN"/>
        </w:rPr>
        <w:t>增加</w:t>
      </w:r>
      <w:r>
        <w:rPr>
          <w:rFonts w:hint="eastAsia" w:ascii="仿宋_GB2312" w:hAnsi="仿宋_GB2312" w:eastAsia="仿宋_GB2312" w:cs="仿宋_GB2312"/>
          <w:b w:val="0"/>
          <w:bCs w:val="0"/>
          <w:sz w:val="32"/>
          <w:szCs w:val="32"/>
          <w:lang w:val="en-US" w:eastAsia="zh-CN"/>
        </w:rPr>
        <w:t>111.07</w:t>
      </w:r>
      <w:r>
        <w:rPr>
          <w:rFonts w:hint="eastAsia" w:ascii="仿宋_GB2312" w:hAnsi="仿宋_GB2312" w:eastAsia="仿宋_GB2312" w:cs="仿宋_GB2312"/>
          <w:b w:val="0"/>
          <w:bCs w:val="0"/>
          <w:sz w:val="32"/>
          <w:szCs w:val="32"/>
        </w:rPr>
        <w:t>万元，</w:t>
      </w:r>
      <w:r>
        <w:rPr>
          <w:rFonts w:hint="eastAsia" w:ascii="仿宋_GB2312" w:hAnsi="仿宋_GB2312" w:eastAsia="仿宋_GB2312" w:cs="仿宋_GB2312"/>
          <w:sz w:val="32"/>
          <w:szCs w:val="32"/>
          <w:lang w:val="en-US" w:eastAsia="zh-CN"/>
        </w:rPr>
        <w:t>1、人员经费比上年度增加102.91万元，增加的主要原因是年末省财政拨付2023年年度省直农口事业单位绩效工资补助97.51万元；2、公用经费预算安排比上年减少22.00万元；3、省级专项-湖南省主要动物疫病监测与流行病学调查、实验室运行专项比2022年度增加30.16万元。</w:t>
      </w:r>
    </w:p>
    <w:p>
      <w:pPr>
        <w:pageBreakBefore w:val="0"/>
        <w:numPr>
          <w:ilvl w:val="0"/>
          <w:numId w:val="0"/>
        </w:numPr>
        <w:kinsoku/>
        <w:wordWrap/>
        <w:overflowPunct/>
        <w:topLinePunct w:val="0"/>
        <w:autoSpaceDE/>
        <w:autoSpaceDN/>
        <w:bidi w:val="0"/>
        <w:adjustRightInd/>
        <w:spacing w:line="580" w:lineRule="exact"/>
        <w:textAlignment w:val="auto"/>
        <w:rPr>
          <w:rFonts w:hint="eastAsia" w:eastAsia="宋体"/>
          <w:lang w:eastAsia="zh-CN"/>
        </w:rPr>
      </w:pPr>
    </w:p>
    <w:p>
      <w:pPr>
        <w:pStyle w:val="3"/>
        <w:pageBreakBefore w:val="0"/>
        <w:numPr>
          <w:ilvl w:val="0"/>
          <w:numId w:val="1"/>
        </w:numPr>
        <w:kinsoku/>
        <w:wordWrap/>
        <w:overflowPunct/>
        <w:topLinePunct w:val="0"/>
        <w:autoSpaceDE/>
        <w:autoSpaceDN/>
        <w:bidi w:val="0"/>
        <w:adjustRightInd/>
        <w:snapToGrid/>
        <w:spacing w:line="580" w:lineRule="exact"/>
        <w:ind w:firstLine="640"/>
        <w:textAlignment w:val="auto"/>
        <w:rPr>
          <w:rFonts w:hint="eastAsia" w:ascii="黑体" w:hAnsi="黑体" w:eastAsia="黑体" w:cs="黑体"/>
          <w:sz w:val="32"/>
          <w:szCs w:val="32"/>
        </w:rPr>
      </w:pPr>
      <w:r>
        <w:rPr>
          <w:rFonts w:hint="eastAsia" w:ascii="黑体" w:hAnsi="黑体" w:eastAsia="黑体" w:cs="黑体"/>
          <w:sz w:val="32"/>
          <w:szCs w:val="32"/>
        </w:rPr>
        <w:t>一般公共预算支出情况</w:t>
      </w:r>
    </w:p>
    <w:p>
      <w:pPr>
        <w:keepNext w:val="0"/>
        <w:keepLines w:val="0"/>
        <w:pageBreakBefore w:val="0"/>
        <w:widowControl/>
        <w:kinsoku/>
        <w:wordWrap/>
        <w:overflowPunct/>
        <w:topLinePunct w:val="0"/>
        <w:autoSpaceDE/>
        <w:autoSpaceDN/>
        <w:bidi w:val="0"/>
        <w:adjustRightInd/>
        <w:snapToGrid/>
        <w:spacing w:line="580" w:lineRule="exact"/>
        <w:ind w:firstLine="411" w:firstLineChars="196"/>
        <w:textAlignment w:val="auto"/>
        <w:rPr>
          <w:rFonts w:hint="eastAsia" w:ascii="Times New Roman" w:hAnsi="Times New Roman" w:eastAsia="楷体_GB2312" w:cs="Times New Roman"/>
          <w:b/>
          <w:sz w:val="32"/>
          <w:szCs w:val="32"/>
        </w:rPr>
      </w:pPr>
      <w:r>
        <w:rPr>
          <w:rFonts w:hint="eastAsia"/>
          <w:lang w:val="en-US" w:eastAsia="zh-CN"/>
        </w:rPr>
        <w:t xml:space="preserve">    </w:t>
      </w:r>
      <w:r>
        <w:rPr>
          <w:rFonts w:hint="eastAsia" w:ascii="Times New Roman" w:hAnsi="Times New Roman" w:eastAsia="楷体_GB2312" w:cs="Times New Roman"/>
          <w:b/>
          <w:sz w:val="32"/>
          <w:szCs w:val="32"/>
        </w:rPr>
        <w:t>（一）基本支出情况</w:t>
      </w:r>
    </w:p>
    <w:p>
      <w:pPr>
        <w:pStyle w:val="12"/>
        <w:keepNext w:val="0"/>
        <w:keepLines w:val="0"/>
        <w:pageBreakBefore w:val="0"/>
        <w:widowControl w:val="0"/>
        <w:kinsoku/>
        <w:wordWrap/>
        <w:overflowPunct/>
        <w:topLinePunct w:val="0"/>
        <w:autoSpaceDE/>
        <w:autoSpaceDN/>
        <w:bidi w:val="0"/>
        <w:adjustRightInd/>
        <w:snapToGrid/>
        <w:spacing w:before="0" w:after="0" w:line="580" w:lineRule="exact"/>
        <w:ind w:left="0" w:leftChars="0" w:firstLine="640" w:firstLineChars="200"/>
        <w:jc w:val="both"/>
        <w:textAlignment w:val="auto"/>
        <w:rPr>
          <w:rFonts w:hint="eastAsia" w:ascii="仿宋_GB2312" w:hAnsi="仿宋_GB2312" w:eastAsia="仿宋_GB2312" w:cs="仿宋_GB2312"/>
          <w:b w:val="0"/>
          <w:bCs w:val="0"/>
          <w:sz w:val="32"/>
          <w:lang w:val="en-US" w:eastAsia="zh-CN"/>
        </w:rPr>
      </w:pPr>
      <w:r>
        <w:rPr>
          <w:rFonts w:hint="eastAsia" w:ascii="仿宋_GB2312" w:hAnsi="仿宋_GB2312" w:eastAsia="仿宋_GB2312" w:cs="仿宋_GB2312"/>
          <w:b w:val="0"/>
          <w:bCs w:val="0"/>
          <w:sz w:val="32"/>
          <w:lang w:val="en-US" w:eastAsia="zh-CN"/>
        </w:rPr>
        <w:t>2023年我单位基本支出部门预算776.61万元，其中：人员经费预算682.88万元，公用经费预算93.73万元。本年度基本支出700.52万元，其中：工资及福利支出543.46万元，公用经费支出93.62万元，对个人和家庭的补助支出63.44万元，年末结转基本支出76.09万元。</w:t>
      </w:r>
    </w:p>
    <w:p>
      <w:pPr>
        <w:keepNext w:val="0"/>
        <w:keepLines w:val="0"/>
        <w:pageBreakBefore w:val="0"/>
        <w:widowControl/>
        <w:kinsoku/>
        <w:wordWrap/>
        <w:overflowPunct/>
        <w:topLinePunct w:val="0"/>
        <w:autoSpaceDE/>
        <w:autoSpaceDN/>
        <w:bidi w:val="0"/>
        <w:adjustRightInd/>
        <w:snapToGrid/>
        <w:spacing w:line="580" w:lineRule="exact"/>
        <w:ind w:firstLine="627" w:firstLineChars="196"/>
        <w:textAlignment w:val="auto"/>
        <w:rPr>
          <w:rFonts w:hint="eastAsia" w:ascii="Times New Roman" w:hAnsi="Times New Roman" w:eastAsia="楷体_GB2312" w:cs="Times New Roman"/>
          <w:b/>
          <w:sz w:val="32"/>
          <w:szCs w:val="32"/>
        </w:rPr>
      </w:pPr>
      <w:r>
        <w:rPr>
          <w:rFonts w:hint="eastAsia" w:ascii="Times New Roman" w:hAnsi="Times New Roman" w:eastAsia="楷体_GB2312" w:cs="Times New Roman"/>
          <w:b/>
          <w:sz w:val="32"/>
          <w:szCs w:val="32"/>
        </w:rPr>
        <w:t>（二）项目支出情况</w:t>
      </w:r>
    </w:p>
    <w:p>
      <w:pPr>
        <w:keepNext w:val="0"/>
        <w:keepLines w:val="0"/>
        <w:pageBreakBefore w:val="0"/>
        <w:widowControl w:val="0"/>
        <w:kinsoku/>
        <w:wordWrap/>
        <w:overflowPunct/>
        <w:topLinePunct w:val="0"/>
        <w:autoSpaceDE/>
        <w:autoSpaceDN/>
        <w:bidi w:val="0"/>
        <w:adjustRightInd/>
        <w:snapToGrid/>
        <w:spacing w:line="580" w:lineRule="exact"/>
        <w:ind w:firstLine="640"/>
        <w:textAlignment w:val="auto"/>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2023年度我单位项目支出预算收入1202.14万元，其中年初部门预算收入965万元，年初因上年度非税短收财政按规定收回指标17.84万元，年度中间追加预算40.00万元，上年结转专项支出214.98万元。本年度项目经费支出1175.01万元，年末结转专项经费27.13万元。</w:t>
      </w:r>
    </w:p>
    <w:p>
      <w:pPr>
        <w:pStyle w:val="12"/>
        <w:keepNext w:val="0"/>
        <w:keepLines w:val="0"/>
        <w:pageBreakBefore w:val="0"/>
        <w:widowControl w:val="0"/>
        <w:numPr>
          <w:ilvl w:val="0"/>
          <w:numId w:val="0"/>
        </w:numPr>
        <w:kinsoku/>
        <w:wordWrap/>
        <w:overflowPunct/>
        <w:topLinePunct w:val="0"/>
        <w:autoSpaceDE/>
        <w:autoSpaceDN/>
        <w:bidi w:val="0"/>
        <w:adjustRightInd/>
        <w:snapToGrid/>
        <w:spacing w:before="0" w:after="0" w:line="580" w:lineRule="exact"/>
        <w:ind w:left="0" w:leftChars="0" w:firstLine="640" w:firstLineChars="200"/>
        <w:jc w:val="both"/>
        <w:textAlignment w:val="auto"/>
        <w:rPr>
          <w:rFonts w:hint="eastAsia" w:ascii="仿宋_GB2312" w:hAnsi="仿宋_GB2312" w:eastAsia="仿宋_GB2312" w:cs="仿宋_GB2312"/>
          <w:b/>
          <w:bCs w:val="0"/>
          <w:kern w:val="2"/>
          <w:sz w:val="32"/>
          <w:szCs w:val="32"/>
          <w:lang w:val="en-US" w:eastAsia="zh-CN" w:bidi="ar-SA"/>
        </w:rPr>
      </w:pPr>
      <w:r>
        <w:rPr>
          <w:rFonts w:hint="eastAsia" w:ascii="仿宋_GB2312" w:hAnsi="仿宋_GB2312" w:eastAsia="仿宋_GB2312" w:cs="仿宋_GB2312"/>
          <w:b/>
          <w:bCs w:val="0"/>
          <w:kern w:val="2"/>
          <w:sz w:val="32"/>
          <w:szCs w:val="32"/>
          <w:lang w:val="en-US" w:eastAsia="zh-CN" w:bidi="ar-SA"/>
        </w:rPr>
        <w:t>1. 省级专项资金548.52万元</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iCs/>
          <w:sz w:val="28"/>
          <w:szCs w:val="28"/>
          <w:lang w:val="en-US" w:eastAsia="zh-CN"/>
        </w:rPr>
      </w:pPr>
      <w:r>
        <w:rPr>
          <w:rFonts w:hint="eastAsia" w:ascii="仿宋_GB2312" w:hAnsi="仿宋_GB2312" w:eastAsia="仿宋_GB2312" w:cs="仿宋_GB2312"/>
          <w:b w:val="0"/>
          <w:bCs w:val="0"/>
          <w:sz w:val="32"/>
          <w:lang w:val="en-US" w:eastAsia="zh-CN"/>
        </w:rPr>
        <w:t>1）农业生产发展-2023年度湖南省主要动物疫病监测与流行病学调查专项，金额450.00万元，主要用于：1、对国家级、省级种畜禽核心场和新申报生猪标准化示范场的养殖场开展疫病监测，安排经费100.00万元；2、保证省级实验室正常运行，升级改造实验室信息系统，安排经费230.00万元；3、开展市县兽医实验室考核、能力比对，安排经费40.00万元；4、兽医实验室生物安全管理，安排经费15.00万元；5、人兽共患病防控及动物疫病净化工作，安排经费45.00万元；6、实验室技能大练兵，安排经费20.00万元。</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val="0"/>
          <w:sz w:val="32"/>
          <w:szCs w:val="32"/>
          <w:lang w:val="en-US" w:eastAsia="zh-CN"/>
        </w:rPr>
        <w:t>2023年2月10日，我单位收到省财政下拨的专项资金450.00万元，因2022年度非税收入短收财政扣减7.84万元，实际可用资金442.16万元。截至2023年12月31日，实际</w:t>
      </w:r>
      <w:r>
        <w:rPr>
          <w:rFonts w:hint="eastAsia" w:ascii="仿宋_GB2312" w:hAnsi="仿宋_GB2312" w:eastAsia="仿宋_GB2312" w:cs="仿宋_GB2312"/>
          <w:b w:val="0"/>
          <w:bCs w:val="0"/>
          <w:sz w:val="32"/>
          <w:lang w:val="en-US" w:eastAsia="zh-CN"/>
        </w:rPr>
        <w:t>支出442.16万元。主要用于：</w:t>
      </w:r>
      <w:r>
        <w:rPr>
          <w:rFonts w:hint="eastAsia" w:ascii="仿宋_GB2312" w:hAnsi="仿宋_GB2312" w:eastAsia="仿宋_GB2312" w:cs="仿宋_GB2312"/>
          <w:sz w:val="32"/>
          <w:szCs w:val="32"/>
          <w:lang w:val="en-US" w:eastAsia="zh-CN"/>
        </w:rPr>
        <w:t>1、专用材料费139.00万元；2、劳务费50.00万元；3、培训费15.00万元；4、印刷费：14.00万元；5、专用设备购置费105.00万元；6、电费15.00万元；7、维修（护）费22.16万元；8、差旅费13.00万元；9、其他商品及服务支出69.00万元。</w:t>
      </w:r>
    </w:p>
    <w:p>
      <w:pPr>
        <w:pStyle w:val="4"/>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2）农业生产发展-2022年度动物疫病防控专项，金额</w:t>
      </w:r>
    </w:p>
    <w:p>
      <w:pPr>
        <w:pStyle w:val="4"/>
        <w:pageBreakBefore w:val="0"/>
        <w:widowControl w:val="0"/>
        <w:numPr>
          <w:ilvl w:val="0"/>
          <w:numId w:val="0"/>
        </w:numPr>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60.11万元，为上年结转资金。主要用于我省主要动物疫病监测与流行病学调查等相关工作。</w:t>
      </w:r>
    </w:p>
    <w:p>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截止2023年12月31日，实际支出60.11万元。主要用于：1、专用设备购置费52.85万元；2、差旅费4.76万元；3、劳务费1.68万元；4、其他商品和服务支出0.82万元。</w:t>
      </w:r>
    </w:p>
    <w:p>
      <w:pPr>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3）重要农产品稳产保供（市县）-现代农业产业体系建设与种业核心技术攻关资金，金额40.00万元。主要用于我单位生猪和草食动物疫病防控岗位专家经费支出。</w:t>
      </w:r>
    </w:p>
    <w:p>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截止2023年12月31日，实际支出14.87万元。主要用于：其他商品和服务支出14.87万元，结转25.13万元。</w:t>
      </w:r>
    </w:p>
    <w:p>
      <w:pPr>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4）质量基础-2022年度省级标准化专项资金，金额6.25万元，为上年结转专项。主要用于制定我省动物疫病防控地方标准的支出。</w:t>
      </w:r>
    </w:p>
    <w:p>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截止2023年12月31日，实际支出6.25万元。主要用于：其他商品和服务支出6.25万元。</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b/>
          <w:bCs w:val="0"/>
          <w:kern w:val="2"/>
          <w:sz w:val="32"/>
          <w:szCs w:val="32"/>
          <w:lang w:val="en-US" w:eastAsia="zh-CN" w:bidi="ar-SA"/>
        </w:rPr>
      </w:pPr>
      <w:r>
        <w:rPr>
          <w:rFonts w:hint="eastAsia" w:ascii="仿宋_GB2312" w:hAnsi="仿宋_GB2312" w:eastAsia="仿宋_GB2312" w:cs="仿宋_GB2312"/>
          <w:b/>
          <w:sz w:val="32"/>
          <w:szCs w:val="32"/>
          <w:lang w:val="en-US" w:eastAsia="zh-CN"/>
        </w:rPr>
        <w:t xml:space="preserve">2. </w:t>
      </w:r>
      <w:r>
        <w:rPr>
          <w:rFonts w:hint="eastAsia" w:ascii="仿宋_GB2312" w:hAnsi="仿宋_GB2312" w:eastAsia="仿宋_GB2312" w:cs="仿宋_GB2312"/>
          <w:b/>
          <w:bCs w:val="0"/>
          <w:kern w:val="2"/>
          <w:sz w:val="32"/>
          <w:szCs w:val="32"/>
          <w:lang w:val="en-US" w:eastAsia="zh-CN" w:bidi="ar-SA"/>
        </w:rPr>
        <w:t>其他专项资金653.62万元</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sz w:val="32"/>
          <w:lang w:val="en-US" w:eastAsia="zh-CN"/>
        </w:rPr>
        <w:t>1）中央一般转移性支付动物防疫补助专项-2023年度动物防疫补助专项，金额500.00万元。主要用于：</w:t>
      </w:r>
      <w:r>
        <w:rPr>
          <w:rFonts w:hint="eastAsia" w:ascii="仿宋_GB2312" w:hAnsi="仿宋_GB2312" w:eastAsia="仿宋_GB2312" w:cs="仿宋_GB2312"/>
          <w:kern w:val="0"/>
          <w:sz w:val="32"/>
          <w:szCs w:val="32"/>
        </w:rPr>
        <w:t>1、</w:t>
      </w:r>
      <w:r>
        <w:rPr>
          <w:rFonts w:hint="eastAsia" w:ascii="仿宋_GB2312" w:hAnsi="仿宋_GB2312" w:eastAsia="仿宋_GB2312" w:cs="仿宋_GB2312"/>
          <w:kern w:val="0"/>
          <w:sz w:val="32"/>
          <w:szCs w:val="32"/>
          <w:lang w:eastAsia="zh-CN"/>
        </w:rPr>
        <w:t>省级储备库疫病防控应急物资采购，安排经费</w:t>
      </w:r>
      <w:r>
        <w:rPr>
          <w:rFonts w:hint="eastAsia" w:ascii="仿宋_GB2312" w:hAnsi="仿宋_GB2312" w:eastAsia="仿宋_GB2312" w:cs="仿宋_GB2312"/>
          <w:kern w:val="0"/>
          <w:sz w:val="32"/>
          <w:szCs w:val="32"/>
          <w:lang w:val="en-US" w:eastAsia="zh-CN"/>
        </w:rPr>
        <w:t>300.00万元；2、</w:t>
      </w:r>
      <w:r>
        <w:rPr>
          <w:rFonts w:hint="eastAsia" w:ascii="仿宋_GB2312" w:hAnsi="仿宋_GB2312" w:eastAsia="仿宋_GB2312" w:cs="仿宋_GB2312"/>
          <w:kern w:val="0"/>
          <w:sz w:val="32"/>
          <w:szCs w:val="32"/>
          <w:lang w:eastAsia="zh-CN"/>
        </w:rPr>
        <w:t>开展我省主要重大动物疫病检测与流行病学调查工作等补助经费，安排</w:t>
      </w:r>
      <w:r>
        <w:rPr>
          <w:rFonts w:hint="eastAsia" w:ascii="仿宋_GB2312" w:hAnsi="仿宋_GB2312" w:eastAsia="仿宋_GB2312" w:cs="仿宋_GB2312"/>
          <w:kern w:val="0"/>
          <w:sz w:val="32"/>
          <w:szCs w:val="32"/>
          <w:lang w:val="en-US" w:eastAsia="zh-CN"/>
        </w:rPr>
        <w:t>200.00万元</w:t>
      </w:r>
      <w:r>
        <w:rPr>
          <w:rFonts w:hint="eastAsia" w:ascii="仿宋_GB2312" w:hAnsi="仿宋_GB2312" w:eastAsia="仿宋_GB2312" w:cs="仿宋_GB2312"/>
          <w:kern w:val="0"/>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val="0"/>
          <w:kern w:val="0"/>
          <w:sz w:val="32"/>
          <w:szCs w:val="32"/>
          <w:lang w:eastAsia="zh-CN"/>
        </w:rPr>
        <w:t>截止202</w:t>
      </w:r>
      <w:r>
        <w:rPr>
          <w:rFonts w:hint="eastAsia" w:ascii="仿宋_GB2312" w:hAnsi="仿宋_GB2312" w:eastAsia="仿宋_GB2312" w:cs="仿宋_GB2312"/>
          <w:b w:val="0"/>
          <w:bCs w:val="0"/>
          <w:kern w:val="0"/>
          <w:sz w:val="32"/>
          <w:szCs w:val="32"/>
          <w:lang w:val="en-US" w:eastAsia="zh-CN"/>
        </w:rPr>
        <w:t>3</w:t>
      </w:r>
      <w:r>
        <w:rPr>
          <w:rFonts w:hint="eastAsia" w:ascii="仿宋_GB2312" w:hAnsi="仿宋_GB2312" w:eastAsia="仿宋_GB2312" w:cs="仿宋_GB2312"/>
          <w:b w:val="0"/>
          <w:bCs w:val="0"/>
          <w:kern w:val="0"/>
          <w:sz w:val="32"/>
          <w:szCs w:val="32"/>
          <w:lang w:eastAsia="zh-CN"/>
        </w:rPr>
        <w:t>年</w:t>
      </w:r>
      <w:r>
        <w:rPr>
          <w:rFonts w:hint="eastAsia" w:ascii="仿宋_GB2312" w:hAnsi="仿宋_GB2312" w:eastAsia="仿宋_GB2312" w:cs="仿宋_GB2312"/>
          <w:b w:val="0"/>
          <w:bCs w:val="0"/>
          <w:kern w:val="0"/>
          <w:sz w:val="32"/>
          <w:szCs w:val="32"/>
          <w:lang w:val="en-US" w:eastAsia="zh-CN"/>
        </w:rPr>
        <w:t>12月31日，实际支出：500.00万元，主要用于：</w:t>
      </w:r>
      <w:r>
        <w:rPr>
          <w:rFonts w:hint="eastAsia" w:ascii="仿宋_GB2312" w:hAnsi="仿宋_GB2312" w:eastAsia="仿宋_GB2312" w:cs="仿宋_GB2312"/>
          <w:sz w:val="32"/>
          <w:szCs w:val="32"/>
          <w:lang w:val="en-US" w:eastAsia="zh-CN"/>
        </w:rPr>
        <w:t>1、专用材料费455.00万元；2、差旅费17.00万元；3、电费10.00万元；4、培训费：5.00万元；5、专用设备购置费5.00万元；6、其他商品及服务支出8.00万元。</w:t>
      </w:r>
    </w:p>
    <w:p>
      <w:pPr>
        <w:pStyle w:val="4"/>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2）其他事业发展资金-2022年湖南省主要动物疫病监测与流行病学调查专项，金额122.16万元，为上年结转资金。主要用于疫病监测与流行病学调查、兽医实验室运行、兽医实验室考核和能力比对及生物安全管理。</w:t>
      </w:r>
    </w:p>
    <w:p>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截止2023年12月31日，实际支出120.16万元，结转资金2.00万元。主要用于：1、专用设备购置费104.81万元；2、会议费4.82万元；3、劳务费6.35万元；4、专用材料费1.51万元；5、其他商品和服务支出2.67万元。</w:t>
      </w:r>
    </w:p>
    <w:p>
      <w:pPr>
        <w:pageBreakBefore w:val="0"/>
        <w:widowControl w:val="0"/>
        <w:numPr>
          <w:ilvl w:val="0"/>
          <w:numId w:val="2"/>
        </w:numPr>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其他运转类-P3实验室运行经费，金额5.00万元，为上年结转专项资金。主要用于中心P3实验室运行维护支出。</w:t>
      </w:r>
    </w:p>
    <w:p>
      <w:pPr>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截止2023年12月31日，实际支出5.00万元。主要用于其他商品和服务支出5.00万元。</w:t>
      </w:r>
    </w:p>
    <w:p>
      <w:pPr>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4）其他运转类-实验室运行经费，金额15.00万元，主要用于实验室运行支出。</w:t>
      </w:r>
      <w:r>
        <w:rPr>
          <w:rFonts w:hint="eastAsia" w:ascii="仿宋_GB2312" w:hAnsi="仿宋_GB2312" w:eastAsia="仿宋_GB2312" w:cs="仿宋_GB2312"/>
          <w:b w:val="0"/>
          <w:bCs w:val="0"/>
          <w:sz w:val="32"/>
          <w:szCs w:val="32"/>
          <w:lang w:val="en-US" w:eastAsia="zh-CN"/>
        </w:rPr>
        <w:t>因2022年度非税收入短收财政扣减10.00万元，实际可用资金5.00万元。</w:t>
      </w:r>
    </w:p>
    <w:p>
      <w:pPr>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截止2023年12月31日，实际支出5.00万元。主要用于其他商品和服务支出5.00万元。</w:t>
      </w:r>
    </w:p>
    <w:p>
      <w:pPr>
        <w:pStyle w:val="4"/>
        <w:pageBreakBefore w:val="0"/>
        <w:widowControl w:val="0"/>
        <w:numPr>
          <w:ilvl w:val="0"/>
          <w:numId w:val="3"/>
        </w:numPr>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其他农业农村支出-现代农业产业体系建设，金额21.46万元，为上年结转专项。主要用于生猪及草食动物疫病防控岗位专家专项。</w:t>
      </w:r>
    </w:p>
    <w:p>
      <w:pPr>
        <w:pStyle w:val="4"/>
        <w:pageBreakBefore w:val="0"/>
        <w:widowControl w:val="0"/>
        <w:numPr>
          <w:ilvl w:val="0"/>
          <w:numId w:val="3"/>
        </w:numPr>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截止2023年12月31日，实际支出21.46万元。主要用于其他商品和服务支出21.46万元。</w:t>
      </w:r>
    </w:p>
    <w:p>
      <w:pPr>
        <w:pageBreakBefore w:val="0"/>
        <w:numPr>
          <w:ilvl w:val="0"/>
          <w:numId w:val="0"/>
        </w:numPr>
        <w:kinsoku/>
        <w:wordWrap/>
        <w:overflowPunct/>
        <w:topLinePunct w:val="0"/>
        <w:autoSpaceDE/>
        <w:autoSpaceDN/>
        <w:bidi w:val="0"/>
        <w:adjustRightInd/>
        <w:snapToGrid/>
        <w:spacing w:line="580" w:lineRule="exact"/>
        <w:textAlignment w:val="auto"/>
        <w:rPr>
          <w:rFonts w:hint="default"/>
          <w:lang w:val="en-US" w:eastAsia="zh-CN"/>
        </w:rPr>
      </w:pPr>
      <w:r>
        <w:rPr>
          <w:rFonts w:hint="eastAsia"/>
          <w:lang w:val="en-US" w:eastAsia="zh-CN"/>
        </w:rPr>
        <w:t xml:space="preserve"> </w:t>
      </w:r>
    </w:p>
    <w:p>
      <w:pPr>
        <w:pStyle w:val="3"/>
        <w:pageBreakBefore w:val="0"/>
        <w:numPr>
          <w:ilvl w:val="0"/>
          <w:numId w:val="1"/>
        </w:numPr>
        <w:kinsoku/>
        <w:wordWrap/>
        <w:overflowPunct/>
        <w:topLinePunct w:val="0"/>
        <w:autoSpaceDE/>
        <w:autoSpaceDN/>
        <w:bidi w:val="0"/>
        <w:adjustRightInd/>
        <w:snapToGrid/>
        <w:spacing w:line="580" w:lineRule="exact"/>
        <w:ind w:left="0" w:leftChars="0" w:firstLine="640" w:firstLineChars="0"/>
        <w:textAlignment w:val="auto"/>
        <w:rPr>
          <w:rFonts w:hint="eastAsia" w:ascii="黑体" w:hAnsi="黑体" w:eastAsia="黑体" w:cs="黑体"/>
          <w:sz w:val="32"/>
          <w:szCs w:val="32"/>
        </w:rPr>
      </w:pPr>
      <w:r>
        <w:rPr>
          <w:rFonts w:hint="eastAsia" w:ascii="黑体" w:hAnsi="黑体" w:eastAsia="黑体" w:cs="黑体"/>
          <w:sz w:val="32"/>
          <w:szCs w:val="32"/>
        </w:rPr>
        <w:t>部门整体支出绩效情况</w:t>
      </w:r>
    </w:p>
    <w:p>
      <w:pPr>
        <w:pStyle w:val="6"/>
        <w:keepNext w:val="0"/>
        <w:keepLines w:val="0"/>
        <w:pageBreakBefore w:val="0"/>
        <w:widowControl w:val="0"/>
        <w:kinsoku/>
        <w:wordWrap/>
        <w:overflowPunct/>
        <w:topLinePunct w:val="0"/>
        <w:autoSpaceDE/>
        <w:autoSpaceDN/>
        <w:bidi w:val="0"/>
        <w:adjustRightInd/>
        <w:snapToGrid/>
        <w:spacing w:line="580" w:lineRule="exact"/>
        <w:ind w:firstLine="645"/>
        <w:textAlignment w:val="auto"/>
        <w:rPr>
          <w:rFonts w:ascii="Times New Roman" w:hAnsi="Times New Roman" w:eastAsia="仿宋_GB2312"/>
          <w:color w:val="000000"/>
          <w:sz w:val="32"/>
          <w:szCs w:val="32"/>
        </w:rPr>
      </w:pPr>
      <w:r>
        <w:rPr>
          <w:rFonts w:hint="eastAsia" w:ascii="Times New Roman" w:hAnsi="Times New Roman" w:eastAsia="仿宋_GB2312"/>
          <w:color w:val="000000"/>
          <w:sz w:val="32"/>
          <w:szCs w:val="32"/>
        </w:rPr>
        <w:t>在厅党组的坚强领导和兄弟处室单位的大力支持下，我中心以深入开展学习贯彻习近平新时代中国特色社会主义思想主题教育为契机，坚持党建引领，全面推进主责主业，各项工作有序推进，年度工作任务已全面完成，有效确保了全省重大动物疫病和人兽共患病疫情的总体平稳，切实维护了畜产品稳产保供和公共卫生安全。省疫控中心在全国省级兽医实验室检测能力比对中连续</w:t>
      </w:r>
      <w:r>
        <w:rPr>
          <w:rFonts w:ascii="Times New Roman" w:hAnsi="Times New Roman" w:eastAsia="仿宋_GB2312"/>
          <w:color w:val="000000"/>
          <w:sz w:val="32"/>
          <w:szCs w:val="32"/>
        </w:rPr>
        <w:t>13</w:t>
      </w:r>
      <w:r>
        <w:rPr>
          <w:rFonts w:hint="eastAsia" w:ascii="Times New Roman" w:hAnsi="Times New Roman" w:eastAsia="仿宋_GB2312"/>
          <w:color w:val="000000"/>
          <w:sz w:val="32"/>
          <w:szCs w:val="32"/>
        </w:rPr>
        <w:t>年结果全部正确，获农业农村部畜牧兽医局通报表扬；我省动物疫病监测报告工作12个月连获中国动物疫病预防控制中心通报表扬；同时科研工作成效显著，完成申报湖南省科技进步二等奖</w:t>
      </w:r>
      <w:r>
        <w:rPr>
          <w:rFonts w:ascii="Times New Roman" w:hAnsi="Times New Roman" w:eastAsia="仿宋_GB2312"/>
          <w:color w:val="000000"/>
          <w:sz w:val="32"/>
          <w:szCs w:val="32"/>
        </w:rPr>
        <w:t>1个，参加并成功立项2023年湖南省科技重点研发计划项目1个，</w:t>
      </w:r>
      <w:r>
        <w:rPr>
          <w:rFonts w:hint="eastAsia" w:ascii="Times New Roman" w:hAnsi="Times New Roman" w:eastAsia="仿宋_GB2312"/>
          <w:color w:val="000000"/>
          <w:sz w:val="32"/>
          <w:szCs w:val="32"/>
        </w:rPr>
        <w:t>牵头组建了省科学技术厅授牌的“湖南省生猪养殖生物安全与疫病净化工程技术研究中心”。</w:t>
      </w:r>
    </w:p>
    <w:p>
      <w:pPr>
        <w:pStyle w:val="6"/>
        <w:keepNext w:val="0"/>
        <w:keepLines w:val="0"/>
        <w:pageBreakBefore w:val="0"/>
        <w:widowControl w:val="0"/>
        <w:kinsoku/>
        <w:wordWrap/>
        <w:overflowPunct/>
        <w:topLinePunct w:val="0"/>
        <w:autoSpaceDE/>
        <w:autoSpaceDN/>
        <w:bidi w:val="0"/>
        <w:adjustRightInd/>
        <w:snapToGrid/>
        <w:spacing w:line="580" w:lineRule="exact"/>
        <w:ind w:firstLine="645"/>
        <w:textAlignment w:val="auto"/>
        <w:rPr>
          <w:rFonts w:ascii="Times New Roman" w:hAnsi="Times New Roman" w:eastAsia="仿宋_GB2312"/>
          <w:color w:val="000000"/>
          <w:sz w:val="32"/>
          <w:szCs w:val="32"/>
        </w:rPr>
      </w:pPr>
      <w:r>
        <w:rPr>
          <w:rFonts w:hint="eastAsia" w:ascii="楷体_GB2312" w:hAnsi="楷体_GB2312" w:eastAsia="楷体_GB2312" w:cs="楷体_GB2312"/>
          <w:b/>
          <w:bCs/>
          <w:color w:val="000000"/>
          <w:sz w:val="32"/>
          <w:szCs w:val="32"/>
        </w:rPr>
        <w:t>（一）聚焦党建引领，筑牢思想根基。</w:t>
      </w:r>
      <w:r>
        <w:rPr>
          <w:rFonts w:hint="eastAsia" w:ascii="仿宋_GB2312" w:hAnsi="仿宋_GB2312" w:eastAsia="仿宋_GB2312" w:cs="仿宋_GB2312"/>
          <w:b/>
          <w:bCs/>
          <w:color w:val="000000"/>
          <w:sz w:val="32"/>
          <w:szCs w:val="32"/>
        </w:rPr>
        <w:t>一是加强思想建设。</w:t>
      </w:r>
      <w:r>
        <w:rPr>
          <w:rFonts w:hint="eastAsia" w:ascii="Times New Roman" w:hAnsi="Times New Roman" w:eastAsia="仿宋_GB2312"/>
          <w:color w:val="000000"/>
          <w:sz w:val="32"/>
          <w:szCs w:val="32"/>
        </w:rPr>
        <w:t>深入开展学习贯彻习近平新时代中国特色社会主义思想主题教育，坚持以党的最新理论武装头脑，严格落实“第一议题”制度和“一月一课一片一实践”主题党日活动，有效筑牢主题教育思想根基。全年召开支委会20次，开展集中学习39次，赴红色教育基地开展党性教育3次，开展组织生活会3次，赴基层开展调查研究和“三送三解三优”行动6次，提交调研报告1份。二</w:t>
      </w:r>
      <w:r>
        <w:rPr>
          <w:rFonts w:hint="eastAsia" w:ascii="Times New Roman" w:hAnsi="Times New Roman" w:eastAsia="仿宋_GB2312"/>
          <w:b/>
          <w:bCs/>
          <w:color w:val="000000"/>
          <w:sz w:val="32"/>
          <w:szCs w:val="32"/>
        </w:rPr>
        <w:t>是加强廉政建设</w:t>
      </w:r>
      <w:r>
        <w:rPr>
          <w:rFonts w:hint="eastAsia" w:ascii="Times New Roman" w:hAnsi="Times New Roman" w:eastAsia="仿宋_GB2312"/>
          <w:color w:val="000000"/>
          <w:sz w:val="32"/>
          <w:szCs w:val="32"/>
        </w:rPr>
        <w:t>。组织观看警示教育片，持续强化廉政警示教育和谈心谈话，扎实推进涉农项目资金审批分配问题整治、以案促改等专项整治，进一步筑牢党员干部的思想和规矩防线。全年共开展廉政提醒谈心谈话</w:t>
      </w:r>
      <w:r>
        <w:rPr>
          <w:rFonts w:ascii="Times New Roman" w:hAnsi="Times New Roman" w:eastAsia="仿宋_GB2312"/>
          <w:color w:val="000000"/>
          <w:sz w:val="32"/>
          <w:szCs w:val="32"/>
        </w:rPr>
        <w:t>7</w:t>
      </w:r>
      <w:r>
        <w:rPr>
          <w:rFonts w:hint="eastAsia" w:ascii="Times New Roman" w:hAnsi="Times New Roman" w:eastAsia="仿宋_GB2312"/>
          <w:color w:val="000000"/>
          <w:sz w:val="32"/>
          <w:szCs w:val="32"/>
        </w:rPr>
        <w:t>2人次，赴法院旁听受贿案公开审判1次。</w:t>
      </w:r>
      <w:r>
        <w:rPr>
          <w:rFonts w:hint="eastAsia" w:ascii="Times New Roman" w:hAnsi="Times New Roman" w:eastAsia="仿宋_GB2312"/>
          <w:b/>
          <w:color w:val="000000"/>
          <w:sz w:val="32"/>
          <w:szCs w:val="32"/>
        </w:rPr>
        <w:t>三</w:t>
      </w:r>
      <w:r>
        <w:rPr>
          <w:rFonts w:hint="eastAsia" w:ascii="Times New Roman" w:hAnsi="Times New Roman" w:eastAsia="仿宋_GB2312"/>
          <w:b/>
          <w:color w:val="000000"/>
          <w:spacing w:val="5"/>
          <w:sz w:val="32"/>
          <w:szCs w:val="32"/>
        </w:rPr>
        <w:t>是加强干部队伍建设</w:t>
      </w:r>
      <w:r>
        <w:rPr>
          <w:rStyle w:val="15"/>
          <w:rFonts w:hint="eastAsia" w:ascii="Times New Roman" w:hAnsi="Times New Roman" w:eastAsia="仿宋_GB2312"/>
          <w:b w:val="0"/>
          <w:color w:val="000000"/>
          <w:sz w:val="32"/>
          <w:szCs w:val="32"/>
        </w:rPr>
        <w:t>。</w:t>
      </w:r>
      <w:r>
        <w:rPr>
          <w:rFonts w:hint="eastAsia" w:ascii="Times New Roman" w:hAnsi="Times New Roman" w:eastAsia="仿宋_GB2312"/>
          <w:color w:val="000000"/>
          <w:sz w:val="32"/>
          <w:szCs w:val="32"/>
        </w:rPr>
        <w:t>召开年轻干部座谈会</w:t>
      </w:r>
      <w:r>
        <w:rPr>
          <w:rFonts w:hint="eastAsia" w:ascii="Times New Roman" w:hAnsi="Times New Roman" w:eastAsia="仿宋_GB2312"/>
          <w:b/>
          <w:color w:val="000000"/>
          <w:sz w:val="32"/>
          <w:szCs w:val="32"/>
        </w:rPr>
        <w:t>，</w:t>
      </w:r>
      <w:r>
        <w:rPr>
          <w:rFonts w:hint="eastAsia" w:ascii="Times New Roman" w:hAnsi="Times New Roman" w:eastAsia="仿宋_GB2312"/>
          <w:color w:val="000000"/>
          <w:sz w:val="32"/>
          <w:szCs w:val="32"/>
        </w:rPr>
        <w:t>定期开展职工分享，调动干部的积极性和创造性；建立工作任务清单和定期调度制度，年度调度工作12次，确保各项工作目标有序完成。</w:t>
      </w:r>
    </w:p>
    <w:p>
      <w:pPr>
        <w:pStyle w:val="6"/>
        <w:keepNext w:val="0"/>
        <w:keepLines w:val="0"/>
        <w:pageBreakBefore w:val="0"/>
        <w:widowControl w:val="0"/>
        <w:kinsoku/>
        <w:wordWrap/>
        <w:overflowPunct/>
        <w:topLinePunct w:val="0"/>
        <w:autoSpaceDE/>
        <w:autoSpaceDN/>
        <w:bidi w:val="0"/>
        <w:adjustRightInd/>
        <w:snapToGrid/>
        <w:spacing w:line="580" w:lineRule="exact"/>
        <w:ind w:firstLine="645"/>
        <w:textAlignment w:val="auto"/>
        <w:rPr>
          <w:rFonts w:hint="eastAsia" w:ascii="仿宋_GB2312" w:hAnsi="仿宋_GB2312" w:eastAsia="仿宋_GB2312" w:cs="仿宋_GB2312"/>
          <w:bCs/>
          <w:color w:val="000000"/>
          <w:sz w:val="32"/>
          <w:szCs w:val="32"/>
        </w:rPr>
      </w:pPr>
      <w:r>
        <w:rPr>
          <w:rFonts w:hint="eastAsia" w:ascii="楷体_GB2312" w:hAnsi="楷体_GB2312" w:eastAsia="楷体_GB2312" w:cs="楷体_GB2312"/>
          <w:b/>
          <w:bCs/>
          <w:color w:val="000000"/>
          <w:sz w:val="32"/>
          <w:szCs w:val="32"/>
        </w:rPr>
        <w:t>（二）聚焦疫情动向，精准严防严控。</w:t>
      </w:r>
      <w:r>
        <w:rPr>
          <w:rFonts w:hint="eastAsia" w:ascii="仿宋_GB2312" w:hAnsi="仿宋_GB2312" w:eastAsia="仿宋_GB2312" w:cs="仿宋_GB2312"/>
          <w:b/>
          <w:color w:val="000000"/>
          <w:sz w:val="32"/>
          <w:szCs w:val="32"/>
        </w:rPr>
        <w:t>一是积极开展专项监测，切实提升预警预报能力</w:t>
      </w:r>
      <w:r>
        <w:rPr>
          <w:rFonts w:hint="eastAsia" w:ascii="仿宋_GB2312" w:hAnsi="仿宋_GB2312" w:eastAsia="仿宋_GB2312" w:cs="仿宋_GB2312"/>
          <w:color w:val="000000"/>
          <w:sz w:val="32"/>
          <w:szCs w:val="32"/>
        </w:rPr>
        <w:t>。紧盯国内外高致病性禽流感、非洲猪瘟等疫情动态变化，以坚决跑在疫情前面的韧劲，聚焦畜禽交易、屠宰、无害化处理等高风险环节，及时开展禽流感、生猪主要疫病等专项监测4次，召开疫情形势分析会商2次，根据监测和形势会商结果，向省防指提交预警分析报告6个，下发工作提示函1个、防治技术要点2个，支撑作用有效发挥。</w:t>
      </w:r>
      <w:r>
        <w:rPr>
          <w:rFonts w:hint="eastAsia" w:ascii="仿宋_GB2312" w:hAnsi="仿宋_GB2312" w:eastAsia="仿宋_GB2312" w:cs="仿宋_GB2312"/>
          <w:b/>
          <w:color w:val="000000"/>
          <w:sz w:val="32"/>
          <w:szCs w:val="32"/>
        </w:rPr>
        <w:t>二是抓实关口前移，推进源头防控</w:t>
      </w:r>
      <w:r>
        <w:rPr>
          <w:rFonts w:hint="eastAsia" w:ascii="仿宋_GB2312" w:hAnsi="仿宋_GB2312" w:eastAsia="仿宋_GB2312" w:cs="仿宋_GB2312"/>
          <w:color w:val="000000"/>
          <w:sz w:val="32"/>
          <w:szCs w:val="32"/>
        </w:rPr>
        <w:t>。坚决践行习近平总书记强调的“人病兽防、关口前移”重要指示精神，以健康宣教为切入点，开展了全省布病等防控知识集中宣教活动</w:t>
      </w:r>
      <w:r>
        <w:rPr>
          <w:rFonts w:hint="eastAsia" w:ascii="仿宋_GB2312" w:hAnsi="仿宋_GB2312" w:eastAsia="仿宋_GB2312" w:cs="仿宋_GB2312"/>
          <w:color w:val="000000"/>
          <w:spacing w:val="-4"/>
          <w:sz w:val="32"/>
          <w:szCs w:val="32"/>
        </w:rPr>
        <w:t>，制作融知识性和趣味性于一体的布病宣传小视频</w:t>
      </w:r>
      <w:r>
        <w:rPr>
          <w:rFonts w:hint="eastAsia" w:ascii="仿宋_GB2312" w:hAnsi="仿宋_GB2312" w:eastAsia="仿宋_GB2312" w:cs="仿宋_GB2312"/>
          <w:color w:val="000000"/>
          <w:sz w:val="32"/>
          <w:szCs w:val="32"/>
        </w:rPr>
        <w:t>，发放布病防控干预包和宣传资料，培训技术骨干及养殖从业人员近5000人</w:t>
      </w:r>
      <w:r>
        <w:rPr>
          <w:rFonts w:hint="eastAsia" w:ascii="仿宋_GB2312" w:hAnsi="仿宋_GB2312" w:eastAsia="仿宋_GB2312" w:cs="仿宋_GB2312"/>
          <w:color w:val="000000"/>
          <w:spacing w:val="-4"/>
          <w:sz w:val="32"/>
          <w:szCs w:val="32"/>
        </w:rPr>
        <w:t>；</w:t>
      </w:r>
      <w:r>
        <w:rPr>
          <w:rFonts w:hint="eastAsia" w:ascii="仿宋_GB2312" w:hAnsi="仿宋_GB2312" w:eastAsia="仿宋_GB2312" w:cs="仿宋_GB2312"/>
          <w:color w:val="000000"/>
          <w:sz w:val="32"/>
          <w:szCs w:val="32"/>
        </w:rPr>
        <w:t>强化“牧运通”检疫监管数据的耦合分析运用，创新开展跨省调运、继续饲养牛羊的布病风险监测，排查疫情传入风险；完成畜间布病监测13.87万份，监测量同比增加20.35%，阳性率同比下降0.32个百分点，畜间布病疫情形势出现向好转变。同时，主动服务优质湘猪工程和种业振兴战略，有序推进57家省级以上核心育种场和保种场净化病种的专项监测，指导43家企业开展净化创建，成功创建国家（省）级动物疫病净化场35家。</w:t>
      </w:r>
      <w:r>
        <w:rPr>
          <w:rFonts w:hint="eastAsia" w:ascii="仿宋_GB2312" w:hAnsi="仿宋_GB2312" w:eastAsia="仿宋_GB2312" w:cs="仿宋_GB2312"/>
          <w:b/>
          <w:color w:val="000000"/>
          <w:sz w:val="32"/>
          <w:szCs w:val="32"/>
        </w:rPr>
        <w:t>三是突出抓好常规监测，提升全链条监测水平</w:t>
      </w:r>
      <w:r>
        <w:rPr>
          <w:rFonts w:hint="eastAsia" w:ascii="仿宋_GB2312" w:hAnsi="仿宋_GB2312" w:eastAsia="仿宋_GB2312" w:cs="仿宋_GB2312"/>
          <w:color w:val="000000"/>
          <w:sz w:val="32"/>
          <w:szCs w:val="32"/>
        </w:rPr>
        <w:t>。认真组织实施监测流调方案，全省设立非洲猪瘟等生猪疫病监测点42个，设立家禽及牛、羊疫病监测点54个，实现养殖、屠宰、无害化处理和市场等全环节覆盖。积极发挥疫情测报站测报效能，18个疫情测报站累计完成样品采送任务3672份，完成监测125739份次，为全省主要动物疫病疫情信息分析评估提供了有力支撑。有序</w:t>
      </w:r>
      <w:r>
        <w:rPr>
          <w:rFonts w:hint="eastAsia" w:ascii="仿宋_GB2312" w:hAnsi="仿宋_GB2312" w:eastAsia="仿宋_GB2312" w:cs="仿宋_GB2312"/>
          <w:color w:val="000000"/>
          <w:spacing w:val="-4"/>
          <w:sz w:val="32"/>
          <w:szCs w:val="32"/>
        </w:rPr>
        <w:t>推进全省春季、秋季强制免疫效果评价，省市结果均显示我省</w:t>
      </w:r>
      <w:r>
        <w:rPr>
          <w:rFonts w:hint="eastAsia" w:ascii="仿宋_GB2312" w:hAnsi="仿宋_GB2312" w:eastAsia="仿宋_GB2312" w:cs="仿宋_GB2312"/>
          <w:bCs/>
          <w:color w:val="000000"/>
          <w:sz w:val="32"/>
          <w:szCs w:val="32"/>
        </w:rPr>
        <w:t>口蹄疫、高致病性禽流感、小反刍兽疫等强制免疫病种的抗体合格率均在80%以上，高于农业农村部明确的群体免疫抗体合格率</w:t>
      </w:r>
      <w:r>
        <w:rPr>
          <w:rFonts w:hint="eastAsia" w:ascii="仿宋_GB2312" w:hAnsi="仿宋_GB2312" w:eastAsia="仿宋_GB2312" w:cs="仿宋_GB2312"/>
          <w:color w:val="000000"/>
          <w:sz w:val="32"/>
          <w:szCs w:val="32"/>
        </w:rPr>
        <w:t>不低于</w:t>
      </w:r>
      <w:r>
        <w:rPr>
          <w:rFonts w:hint="eastAsia" w:ascii="仿宋_GB2312" w:hAnsi="仿宋_GB2312" w:eastAsia="仿宋_GB2312" w:cs="仿宋_GB2312"/>
          <w:bCs/>
          <w:color w:val="000000"/>
          <w:sz w:val="32"/>
          <w:szCs w:val="32"/>
        </w:rPr>
        <w:t>70%的标准。</w:t>
      </w:r>
      <w:r>
        <w:rPr>
          <w:rFonts w:hint="eastAsia" w:ascii="仿宋_GB2312" w:hAnsi="仿宋_GB2312" w:eastAsia="仿宋_GB2312" w:cs="仿宋_GB2312"/>
          <w:b/>
          <w:color w:val="000000"/>
          <w:sz w:val="32"/>
          <w:szCs w:val="32"/>
        </w:rPr>
        <w:t>四是强化应急值守，规范疫情举报核查和物资管理。</w:t>
      </w:r>
      <w:r>
        <w:rPr>
          <w:rFonts w:hint="eastAsia" w:ascii="仿宋_GB2312" w:hAnsi="仿宋_GB2312" w:eastAsia="仿宋_GB2312" w:cs="仿宋_GB2312"/>
          <w:color w:val="000000"/>
          <w:spacing w:val="-4"/>
          <w:sz w:val="32"/>
          <w:szCs w:val="32"/>
        </w:rPr>
        <w:t>坚持24小时动物疫情举报电话值守和领导带班制度。强化储备物资管理，规范完成530万元省级应急储备物资</w:t>
      </w:r>
      <w:r>
        <w:rPr>
          <w:rFonts w:hint="eastAsia" w:ascii="仿宋_GB2312" w:hAnsi="仿宋_GB2312" w:eastAsia="仿宋_GB2312" w:cs="仿宋_GB2312"/>
          <w:color w:val="000000"/>
          <w:sz w:val="32"/>
          <w:szCs w:val="32"/>
        </w:rPr>
        <w:t>采购及434万元防疫物资轮库，省级应急物资储备量和规范化管理水平得到全国春防秋防检查组的充分肯定。</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000000"/>
          <w:sz w:val="32"/>
          <w:szCs w:val="32"/>
        </w:rPr>
      </w:pPr>
      <w:r>
        <w:rPr>
          <w:rFonts w:hint="eastAsia" w:ascii="楷体_GB2312" w:hAnsi="楷体_GB2312" w:eastAsia="楷体_GB2312" w:cs="楷体_GB2312"/>
          <w:b/>
          <w:bCs/>
          <w:color w:val="000000"/>
          <w:sz w:val="32"/>
          <w:szCs w:val="32"/>
        </w:rPr>
        <w:t>（三）聚焦能力建设，夯实防控支撑基础。</w:t>
      </w:r>
      <w:r>
        <w:rPr>
          <w:rFonts w:hint="eastAsia" w:ascii="仿宋_GB2312" w:hAnsi="仿宋_GB2312" w:eastAsia="仿宋_GB2312" w:cs="仿宋_GB2312"/>
          <w:b/>
          <w:color w:val="000000"/>
          <w:sz w:val="32"/>
          <w:szCs w:val="32"/>
        </w:rPr>
        <w:t>一是以能力比对和能力验证为抓手，提高检测能力水平</w:t>
      </w:r>
      <w:r>
        <w:rPr>
          <w:rFonts w:hint="eastAsia" w:ascii="仿宋_GB2312" w:hAnsi="仿宋_GB2312" w:eastAsia="仿宋_GB2312" w:cs="仿宋_GB2312"/>
          <w:color w:val="000000"/>
          <w:sz w:val="32"/>
          <w:szCs w:val="32"/>
        </w:rPr>
        <w:t>。强化兽医实验室规范建设与考核管理，全省112个兽医系统实验室的考核通过率达98.2%，居全国前列。有序组织疫控系统、第三方及养殖屠宰企业共414个兽医实验室开展全省兽医实验室检测能力比对与非洲猪瘟检测实验室能力验证，参加数同比增加84个</w:t>
      </w:r>
      <w:r>
        <w:rPr>
          <w:rFonts w:hint="eastAsia" w:ascii="仿宋_GB2312" w:hAnsi="仿宋_GB2312" w:eastAsia="仿宋_GB2312" w:cs="仿宋_GB2312"/>
          <w:color w:val="000000"/>
          <w:kern w:val="0"/>
          <w:sz w:val="32"/>
          <w:szCs w:val="32"/>
        </w:rPr>
        <w:t>，实验室检测水平不断提升</w:t>
      </w:r>
      <w:r>
        <w:rPr>
          <w:rFonts w:hint="eastAsia" w:ascii="仿宋_GB2312" w:hAnsi="仿宋_GB2312" w:eastAsia="仿宋_GB2312" w:cs="仿宋_GB2312"/>
          <w:color w:val="000000"/>
          <w:sz w:val="32"/>
          <w:szCs w:val="32"/>
        </w:rPr>
        <w:t>。省</w:t>
      </w:r>
      <w:r>
        <w:rPr>
          <w:rFonts w:hint="eastAsia" w:ascii="仿宋_GB2312" w:hAnsi="仿宋_GB2312" w:eastAsia="仿宋_GB2312" w:cs="仿宋_GB2312"/>
          <w:color w:val="000000"/>
          <w:kern w:val="0"/>
          <w:sz w:val="32"/>
          <w:szCs w:val="32"/>
        </w:rPr>
        <w:t>中心实验室连续13年在全国检测能力比对中检测结果全部正确，检测能力居全国前列。</w:t>
      </w:r>
      <w:r>
        <w:rPr>
          <w:rFonts w:hint="eastAsia" w:ascii="仿宋_GB2312" w:hAnsi="仿宋_GB2312" w:eastAsia="仿宋_GB2312" w:cs="仿宋_GB2312"/>
          <w:b/>
          <w:color w:val="000000"/>
          <w:sz w:val="32"/>
          <w:szCs w:val="32"/>
        </w:rPr>
        <w:t>二是以业务培训和技能练兵为载体，提升专业人员素养</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kern w:val="0"/>
          <w:sz w:val="32"/>
          <w:szCs w:val="32"/>
        </w:rPr>
        <w:t>推行“市县提需求、省级请师资”的菜单式培训，聚焦防控工作的热点难点问题，先后邀请13位不同领域的全国知名专家授课，培训市县专业人员500余人次。首次开展为期3个月的全省兽医化验员</w:t>
      </w:r>
      <w:r>
        <w:rPr>
          <w:rFonts w:hint="eastAsia" w:ascii="仿宋_GB2312" w:hAnsi="仿宋_GB2312" w:eastAsia="仿宋_GB2312" w:cs="仿宋_GB2312"/>
          <w:color w:val="000000"/>
          <w:sz w:val="32"/>
          <w:szCs w:val="32"/>
        </w:rPr>
        <w:t>技能大练兵，进一步激发一线技术人员精研技术、爱岗敬业的工作热情，</w:t>
      </w:r>
      <w:r>
        <w:rPr>
          <w:rFonts w:hint="eastAsia" w:ascii="仿宋_GB2312" w:hAnsi="仿宋_GB2312" w:eastAsia="仿宋_GB2312" w:cs="仿宋_GB2312"/>
          <w:color w:val="000000"/>
          <w:kern w:val="0"/>
          <w:sz w:val="32"/>
          <w:szCs w:val="32"/>
        </w:rPr>
        <w:t>以赛促练提升专业队伍素质。</w:t>
      </w:r>
      <w:r>
        <w:rPr>
          <w:rFonts w:hint="eastAsia" w:ascii="仿宋_GB2312" w:hAnsi="仿宋_GB2312" w:eastAsia="仿宋_GB2312" w:cs="仿宋_GB2312"/>
          <w:b/>
          <w:color w:val="000000"/>
          <w:sz w:val="32"/>
          <w:szCs w:val="32"/>
        </w:rPr>
        <w:t>三是以理念创新和数字赋能为突破，提升监测工作质效</w:t>
      </w:r>
      <w:r>
        <w:rPr>
          <w:rFonts w:hint="eastAsia" w:ascii="仿宋_GB2312" w:hAnsi="仿宋_GB2312" w:eastAsia="仿宋_GB2312" w:cs="仿宋_GB2312"/>
          <w:color w:val="000000"/>
          <w:sz w:val="32"/>
          <w:szCs w:val="32"/>
        </w:rPr>
        <w:t>。结合《湖南省实施〈中华人民共和国动物防疫法〉办法》出台契机，制订《湖南省兽医实验室管理办法》《湖南省动物疫情测报网点管理办法》等指导性文件，推进工作规范开展。采购高端精密仪器第三代基因测序仪，着力构建高通量基因测序这一尖端技术在防控工作的应用，同时正整合推进从田间采样到检测数据统计分析的全流程的省级实验室信息管理系统建设，疫病检测能力和信息化管理水平将显著提升。</w:t>
      </w:r>
    </w:p>
    <w:p>
      <w:pPr>
        <w:pStyle w:val="3"/>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黑体" w:hAnsi="黑体" w:eastAsia="黑体" w:cs="黑体"/>
          <w:sz w:val="32"/>
          <w:szCs w:val="32"/>
        </w:rPr>
      </w:pPr>
      <w:r>
        <w:rPr>
          <w:rFonts w:hint="eastAsia" w:ascii="黑体" w:hAnsi="黑体" w:cs="黑体"/>
          <w:sz w:val="32"/>
          <w:szCs w:val="32"/>
          <w:lang w:eastAsia="zh-CN"/>
        </w:rPr>
        <w:t>四、</w:t>
      </w:r>
      <w:r>
        <w:rPr>
          <w:rFonts w:hint="eastAsia" w:ascii="黑体" w:hAnsi="黑体" w:eastAsia="黑体" w:cs="黑体"/>
          <w:sz w:val="32"/>
          <w:szCs w:val="32"/>
        </w:rPr>
        <w:t>存在的问题及原因分析</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000000"/>
          <w:sz w:val="32"/>
          <w:szCs w:val="32"/>
        </w:rPr>
      </w:pPr>
      <w:r>
        <w:rPr>
          <w:rFonts w:hint="eastAsia" w:ascii="楷体_GB2312" w:hAnsi="楷体_GB2312" w:eastAsia="楷体_GB2312" w:cs="楷体_GB2312"/>
          <w:b/>
          <w:bCs/>
          <w:color w:val="000000"/>
          <w:sz w:val="32"/>
          <w:szCs w:val="32"/>
          <w:lang w:eastAsia="zh-CN"/>
        </w:rPr>
        <w:t>一）</w:t>
      </w:r>
      <w:r>
        <w:rPr>
          <w:rFonts w:hint="eastAsia" w:ascii="楷体_GB2312" w:hAnsi="楷体_GB2312" w:eastAsia="楷体_GB2312" w:cs="楷体_GB2312"/>
          <w:b/>
          <w:bCs/>
          <w:color w:val="000000"/>
          <w:sz w:val="32"/>
          <w:szCs w:val="32"/>
        </w:rPr>
        <w:t>人员紧张。</w:t>
      </w:r>
      <w:r>
        <w:rPr>
          <w:rFonts w:hint="eastAsia" w:ascii="仿宋_GB2312" w:hAnsi="仿宋_GB2312" w:eastAsia="仿宋_GB2312" w:cs="仿宋_GB2312"/>
          <w:color w:val="000000"/>
          <w:sz w:val="32"/>
          <w:szCs w:val="32"/>
        </w:rPr>
        <w:t>根据中国动物疫控中心调研，全国省级疫控中心人员平均31人，但我省作为畜牧业大省和全国生猪主产区，我中心现有编制25人，目前在岗20人，人员紧缺，常年加班加点，导致在规划推动重大动物疫情应急监测、人畜共患病防控等工作的整体性、科学性和深度上还存在不足。</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b/>
          <w:color w:val="000000"/>
          <w:kern w:val="32"/>
          <w:sz w:val="32"/>
          <w:szCs w:val="32"/>
        </w:rPr>
      </w:pPr>
      <w:r>
        <w:rPr>
          <w:rFonts w:hint="eastAsia" w:ascii="楷体_GB2312" w:hAnsi="楷体_GB2312" w:eastAsia="楷体_GB2312" w:cs="楷体_GB2312"/>
          <w:b/>
          <w:bCs/>
          <w:color w:val="000000"/>
          <w:sz w:val="32"/>
          <w:szCs w:val="32"/>
          <w:lang w:val="en-US" w:eastAsia="zh-CN"/>
        </w:rPr>
        <w:t>二）</w:t>
      </w:r>
      <w:r>
        <w:rPr>
          <w:rFonts w:hint="eastAsia" w:ascii="楷体_GB2312" w:hAnsi="楷体_GB2312" w:eastAsia="楷体_GB2312" w:cs="楷体_GB2312"/>
          <w:b/>
          <w:bCs/>
          <w:color w:val="000000"/>
          <w:sz w:val="32"/>
          <w:szCs w:val="32"/>
        </w:rPr>
        <w:t xml:space="preserve"> 三级生物安全实验室未能有效发挥作用</w:t>
      </w:r>
      <w:r>
        <w:rPr>
          <w:rFonts w:hint="eastAsia" w:ascii="Times New Roman" w:hAnsi="Times New Roman" w:eastAsia="仿宋_GB2312"/>
          <w:color w:val="000000"/>
          <w:sz w:val="32"/>
          <w:szCs w:val="32"/>
        </w:rPr>
        <w:t>。</w:t>
      </w:r>
      <w:r>
        <w:rPr>
          <w:rFonts w:hint="eastAsia" w:ascii="仿宋_GB2312" w:hAnsi="仿宋_GB2312" w:eastAsia="仿宋_GB2312" w:cs="仿宋_GB2312"/>
          <w:color w:val="000000"/>
          <w:sz w:val="32"/>
          <w:szCs w:val="32"/>
        </w:rPr>
        <w:t>目前我中心生物安全三级（P3）实验室是我省唯一通过国家发改委和农业部立项、科技部建设设计审查、环保部备案的高等级病原微生物实验室，省政府《关于加强传染病防治人员安全防护的实施意见》（湘政办发[2015]94号）文件中也明确规定要保障生物安全三级（P3）实验室的建设和运行经费，但受限于我中心技术人员少、无稳定专项经费，自建设完成以来未能有效运转。</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640" w:leftChars="0"/>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80" w:lineRule="exact"/>
        <w:textAlignment w:val="auto"/>
      </w:pPr>
    </w:p>
    <w:p>
      <w:pPr>
        <w:keepNext w:val="0"/>
        <w:keepLines w:val="0"/>
        <w:pageBreakBefore w:val="0"/>
        <w:widowControl w:val="0"/>
        <w:kinsoku/>
        <w:wordWrap/>
        <w:overflowPunct/>
        <w:topLinePunct w:val="0"/>
        <w:autoSpaceDE/>
        <w:autoSpaceDN/>
        <w:bidi w:val="0"/>
        <w:adjustRightInd/>
        <w:snapToGrid/>
        <w:spacing w:line="580" w:lineRule="exact"/>
        <w:textAlignment w:val="auto"/>
      </w:pPr>
    </w:p>
    <w:p>
      <w:pPr>
        <w:keepNext w:val="0"/>
        <w:keepLines w:val="0"/>
        <w:pageBreakBefore w:val="0"/>
        <w:widowControl w:val="0"/>
        <w:kinsoku/>
        <w:wordWrap/>
        <w:overflowPunct/>
        <w:topLinePunct w:val="0"/>
        <w:autoSpaceDE/>
        <w:autoSpaceDN/>
        <w:bidi w:val="0"/>
        <w:adjustRightInd/>
        <w:snapToGrid/>
        <w:spacing w:line="580" w:lineRule="exact"/>
        <w:textAlignment w:val="auto"/>
      </w:pPr>
    </w:p>
    <w:p>
      <w:pPr>
        <w:keepNext w:val="0"/>
        <w:keepLines w:val="0"/>
        <w:pageBreakBefore w:val="0"/>
        <w:widowControl w:val="0"/>
        <w:kinsoku/>
        <w:wordWrap/>
        <w:overflowPunct/>
        <w:topLinePunct w:val="0"/>
        <w:autoSpaceDE/>
        <w:autoSpaceDN/>
        <w:bidi w:val="0"/>
        <w:adjustRightInd/>
        <w:snapToGrid/>
        <w:spacing w:line="580" w:lineRule="exact"/>
        <w:textAlignment w:val="auto"/>
      </w:pPr>
    </w:p>
    <w:p>
      <w:pPr>
        <w:keepNext w:val="0"/>
        <w:keepLines w:val="0"/>
        <w:pageBreakBefore w:val="0"/>
        <w:widowControl w:val="0"/>
        <w:kinsoku/>
        <w:wordWrap/>
        <w:overflowPunct/>
        <w:topLinePunct w:val="0"/>
        <w:autoSpaceDE/>
        <w:autoSpaceDN/>
        <w:bidi w:val="0"/>
        <w:adjustRightInd/>
        <w:snapToGrid/>
        <w:spacing w:line="580" w:lineRule="exact"/>
        <w:textAlignment w:val="auto"/>
      </w:pPr>
    </w:p>
    <w:p>
      <w:pPr>
        <w:keepNext w:val="0"/>
        <w:keepLines w:val="0"/>
        <w:pageBreakBefore w:val="0"/>
        <w:widowControl w:val="0"/>
        <w:kinsoku/>
        <w:wordWrap/>
        <w:overflowPunct/>
        <w:topLinePunct w:val="0"/>
        <w:autoSpaceDE/>
        <w:autoSpaceDN/>
        <w:bidi w:val="0"/>
        <w:adjustRightInd/>
        <w:snapToGrid/>
        <w:spacing w:line="580" w:lineRule="exact"/>
        <w:textAlignment w:val="auto"/>
      </w:pP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lang w:eastAsia="zh-CN"/>
        </w:rPr>
      </w:pP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lang w:eastAsia="zh-CN"/>
        </w:rPr>
      </w:pP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lang w:eastAsia="zh-CN"/>
        </w:rPr>
      </w:pPr>
    </w:p>
    <w:p>
      <w:pPr>
        <w:spacing w:after="120" w:afterLines="50" w:line="600" w:lineRule="exact"/>
        <w:rPr>
          <w:rFonts w:hint="default" w:ascii="Times New Roman" w:hAnsi="Times New Roman" w:eastAsia="黑体" w:cs="Times New Roman"/>
          <w:sz w:val="32"/>
          <w:szCs w:val="32"/>
        </w:rPr>
      </w:pPr>
    </w:p>
    <w:p>
      <w:pPr>
        <w:spacing w:after="120" w:afterLines="50" w:line="600" w:lineRule="exact"/>
        <w:jc w:val="center"/>
        <w:rPr>
          <w:rFonts w:hint="default" w:ascii="Times New Roman" w:hAnsi="Times New Roman" w:eastAsia="仿宋_GB2312" w:cs="Times New Roman"/>
          <w:sz w:val="24"/>
        </w:rPr>
      </w:pPr>
      <w:r>
        <w:rPr>
          <w:rFonts w:hint="default" w:ascii="Times New Roman" w:hAnsi="Times New Roman" w:eastAsia="方正小标宋_GBK" w:cs="Times New Roman"/>
          <w:sz w:val="36"/>
          <w:szCs w:val="36"/>
        </w:rPr>
        <w:t>202</w:t>
      </w:r>
      <w:r>
        <w:rPr>
          <w:rFonts w:hint="eastAsia" w:ascii="Times New Roman" w:hAnsi="Times New Roman" w:eastAsia="方正小标宋_GBK" w:cs="Times New Roman"/>
          <w:sz w:val="36"/>
          <w:szCs w:val="36"/>
          <w:lang w:val="en-US" w:eastAsia="zh-CN"/>
        </w:rPr>
        <w:t>3</w:t>
      </w:r>
      <w:r>
        <w:rPr>
          <w:rFonts w:hint="default" w:ascii="Times New Roman" w:hAnsi="Times New Roman" w:eastAsia="方正小标宋_GBK" w:cs="Times New Roman"/>
          <w:sz w:val="36"/>
          <w:szCs w:val="36"/>
        </w:rPr>
        <w:t>年</w:t>
      </w:r>
      <w:r>
        <w:rPr>
          <w:rFonts w:hint="eastAsia" w:ascii="Times New Roman" w:hAnsi="Times New Roman" w:eastAsia="方正小标宋_GBK" w:cs="Times New Roman"/>
          <w:sz w:val="36"/>
          <w:szCs w:val="36"/>
          <w:lang w:eastAsia="zh-CN"/>
        </w:rPr>
        <w:t>度</w:t>
      </w:r>
      <w:r>
        <w:rPr>
          <w:rFonts w:hint="default" w:ascii="Times New Roman" w:hAnsi="Times New Roman" w:eastAsia="方正小标宋_GBK" w:cs="Times New Roman"/>
          <w:sz w:val="36"/>
          <w:szCs w:val="36"/>
        </w:rPr>
        <w:t>部门整体支出绩效评价基础数据表</w:t>
      </w:r>
    </w:p>
    <w:tbl>
      <w:tblPr>
        <w:tblStyle w:val="13"/>
        <w:tblW w:w="9067" w:type="dxa"/>
        <w:jc w:val="center"/>
        <w:tblInd w:w="0" w:type="dxa"/>
        <w:tblLayout w:type="fixed"/>
        <w:tblCellMar>
          <w:top w:w="0" w:type="dxa"/>
          <w:left w:w="108" w:type="dxa"/>
          <w:bottom w:w="0" w:type="dxa"/>
          <w:right w:w="108" w:type="dxa"/>
        </w:tblCellMar>
      </w:tblPr>
      <w:tblGrid>
        <w:gridCol w:w="3062"/>
        <w:gridCol w:w="824"/>
        <w:gridCol w:w="914"/>
        <w:gridCol w:w="900"/>
        <w:gridCol w:w="1099"/>
        <w:gridCol w:w="1078"/>
        <w:gridCol w:w="1190"/>
      </w:tblGrid>
      <w:tr>
        <w:tblPrEx>
          <w:tblLayout w:type="fixed"/>
          <w:tblCellMar>
            <w:top w:w="0" w:type="dxa"/>
            <w:left w:w="108" w:type="dxa"/>
            <w:bottom w:w="0" w:type="dxa"/>
            <w:right w:w="108" w:type="dxa"/>
          </w:tblCellMar>
        </w:tblPrEx>
        <w:trPr>
          <w:trHeight w:val="427" w:hRule="atLeast"/>
          <w:jc w:val="center"/>
        </w:trPr>
        <w:tc>
          <w:tcPr>
            <w:tcW w:w="3062"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财政供养人员情况（人）</w:t>
            </w:r>
          </w:p>
        </w:tc>
        <w:tc>
          <w:tcPr>
            <w:tcW w:w="1738"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
                <w:bCs/>
                <w:sz w:val="21"/>
                <w:szCs w:val="21"/>
              </w:rPr>
            </w:pPr>
            <w:r>
              <w:rPr>
                <w:rFonts w:hint="default" w:ascii="Times New Roman" w:hAnsi="Times New Roman" w:eastAsia="仿宋_GB2312" w:cs="Times New Roman"/>
                <w:b/>
                <w:bCs/>
                <w:sz w:val="21"/>
                <w:szCs w:val="21"/>
              </w:rPr>
              <w:t>编制数</w:t>
            </w:r>
          </w:p>
        </w:tc>
        <w:tc>
          <w:tcPr>
            <w:tcW w:w="1999"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
                <w:bCs/>
                <w:sz w:val="21"/>
                <w:szCs w:val="21"/>
              </w:rPr>
            </w:pPr>
            <w:r>
              <w:rPr>
                <w:rFonts w:hint="default" w:ascii="Times New Roman" w:hAnsi="Times New Roman" w:eastAsia="仿宋_GB2312" w:cs="Times New Roman"/>
                <w:b/>
                <w:bCs/>
                <w:sz w:val="21"/>
                <w:szCs w:val="21"/>
              </w:rPr>
              <w:t>202</w:t>
            </w:r>
            <w:r>
              <w:rPr>
                <w:rFonts w:hint="eastAsia" w:ascii="Times New Roman" w:hAnsi="Times New Roman" w:eastAsia="仿宋_GB2312" w:cs="Times New Roman"/>
                <w:b/>
                <w:bCs/>
                <w:sz w:val="21"/>
                <w:szCs w:val="21"/>
                <w:lang w:val="en-US" w:eastAsia="zh-CN"/>
              </w:rPr>
              <w:t>3</w:t>
            </w:r>
            <w:r>
              <w:rPr>
                <w:rFonts w:hint="default" w:ascii="Times New Roman" w:hAnsi="Times New Roman" w:eastAsia="仿宋_GB2312" w:cs="Times New Roman"/>
                <w:b/>
                <w:bCs/>
                <w:sz w:val="21"/>
                <w:szCs w:val="21"/>
              </w:rPr>
              <w:t>年实际在职人数</w:t>
            </w:r>
          </w:p>
        </w:tc>
        <w:tc>
          <w:tcPr>
            <w:tcW w:w="2268"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
                <w:bCs/>
                <w:sz w:val="21"/>
                <w:szCs w:val="21"/>
              </w:rPr>
            </w:pPr>
            <w:r>
              <w:rPr>
                <w:rFonts w:hint="default" w:ascii="Times New Roman" w:hAnsi="Times New Roman" w:eastAsia="仿宋_GB2312" w:cs="Times New Roman"/>
                <w:b/>
                <w:bCs/>
                <w:sz w:val="21"/>
                <w:szCs w:val="21"/>
              </w:rPr>
              <w:t>控制率</w:t>
            </w:r>
          </w:p>
        </w:tc>
      </w:tr>
      <w:tr>
        <w:tblPrEx>
          <w:tblLayout w:type="fixed"/>
          <w:tblCellMar>
            <w:top w:w="0" w:type="dxa"/>
            <w:left w:w="108" w:type="dxa"/>
            <w:bottom w:w="0" w:type="dxa"/>
            <w:right w:w="108" w:type="dxa"/>
          </w:tblCellMar>
        </w:tblPrEx>
        <w:trPr>
          <w:trHeight w:val="227" w:hRule="atLeast"/>
          <w:jc w:val="center"/>
        </w:trPr>
        <w:tc>
          <w:tcPr>
            <w:tcW w:w="306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1"/>
                <w:szCs w:val="21"/>
              </w:rPr>
            </w:pPr>
          </w:p>
        </w:tc>
        <w:tc>
          <w:tcPr>
            <w:tcW w:w="1738"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sz w:val="21"/>
                <w:szCs w:val="21"/>
              </w:rPr>
            </w:pPr>
            <w:r>
              <w:rPr>
                <w:rFonts w:hint="eastAsia" w:ascii="Times New Roman" w:hAnsi="Times New Roman" w:eastAsia="仿宋_GB2312" w:cs="Times New Roman"/>
                <w:sz w:val="21"/>
                <w:szCs w:val="21"/>
                <w:lang w:val="en-US" w:eastAsia="zh-CN"/>
              </w:rPr>
              <w:t>25</w:t>
            </w:r>
            <w:r>
              <w:rPr>
                <w:rFonts w:hint="default" w:ascii="Times New Roman" w:hAnsi="Times New Roman" w:eastAsia="仿宋_GB2312" w:cs="Times New Roman"/>
                <w:sz w:val="21"/>
                <w:szCs w:val="21"/>
              </w:rPr>
              <w:t>　</w:t>
            </w:r>
          </w:p>
        </w:tc>
        <w:tc>
          <w:tcPr>
            <w:tcW w:w="1999"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sz w:val="21"/>
                <w:szCs w:val="21"/>
              </w:rPr>
            </w:pPr>
            <w:r>
              <w:rPr>
                <w:rFonts w:hint="eastAsia" w:ascii="Times New Roman" w:hAnsi="Times New Roman" w:eastAsia="仿宋_GB2312" w:cs="Times New Roman"/>
                <w:sz w:val="21"/>
                <w:szCs w:val="21"/>
                <w:lang w:val="en-US" w:eastAsia="zh-CN"/>
              </w:rPr>
              <w:t>20</w:t>
            </w:r>
            <w:r>
              <w:rPr>
                <w:rFonts w:hint="default" w:ascii="Times New Roman" w:hAnsi="Times New Roman" w:eastAsia="仿宋_GB2312" w:cs="Times New Roman"/>
                <w:sz w:val="21"/>
                <w:szCs w:val="21"/>
              </w:rPr>
              <w:t>　</w:t>
            </w:r>
          </w:p>
        </w:tc>
        <w:tc>
          <w:tcPr>
            <w:tcW w:w="2268"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sz w:val="21"/>
                <w:szCs w:val="21"/>
              </w:rPr>
            </w:pPr>
            <w:r>
              <w:rPr>
                <w:rFonts w:hint="eastAsia" w:ascii="Times New Roman" w:hAnsi="Times New Roman" w:eastAsia="仿宋_GB2312" w:cs="Times New Roman"/>
                <w:sz w:val="21"/>
                <w:szCs w:val="21"/>
                <w:lang w:val="en-US" w:eastAsia="zh-CN"/>
              </w:rPr>
              <w:t>100%</w:t>
            </w:r>
            <w:r>
              <w:rPr>
                <w:rFonts w:hint="default" w:ascii="Times New Roman" w:hAnsi="Times New Roman" w:eastAsia="仿宋_GB2312" w:cs="Times New Roman"/>
                <w:sz w:val="21"/>
                <w:szCs w:val="21"/>
              </w:rPr>
              <w:t>　</w:t>
            </w:r>
          </w:p>
        </w:tc>
      </w:tr>
      <w:tr>
        <w:tblPrEx>
          <w:tblLayout w:type="fixed"/>
          <w:tblCellMar>
            <w:top w:w="0" w:type="dxa"/>
            <w:left w:w="108" w:type="dxa"/>
            <w:bottom w:w="0" w:type="dxa"/>
            <w:right w:w="108" w:type="dxa"/>
          </w:tblCellMar>
        </w:tblPrEx>
        <w:trPr>
          <w:trHeight w:val="23" w:hRule="atLeast"/>
          <w:jc w:val="center"/>
        </w:trPr>
        <w:tc>
          <w:tcPr>
            <w:tcW w:w="3062" w:type="dxa"/>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经费控制情况（万元）</w:t>
            </w:r>
          </w:p>
        </w:tc>
        <w:tc>
          <w:tcPr>
            <w:tcW w:w="17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b/>
                <w:bCs/>
                <w:sz w:val="21"/>
                <w:szCs w:val="21"/>
              </w:rPr>
            </w:pPr>
            <w:r>
              <w:rPr>
                <w:rFonts w:hint="default" w:ascii="Times New Roman" w:hAnsi="Times New Roman" w:eastAsia="仿宋_GB2312" w:cs="Times New Roman"/>
                <w:b/>
                <w:bCs/>
                <w:sz w:val="21"/>
                <w:szCs w:val="21"/>
              </w:rPr>
              <w:t>202</w:t>
            </w:r>
            <w:r>
              <w:rPr>
                <w:rFonts w:hint="eastAsia" w:ascii="Times New Roman" w:hAnsi="Times New Roman" w:eastAsia="仿宋_GB2312" w:cs="Times New Roman"/>
                <w:b/>
                <w:bCs/>
                <w:sz w:val="21"/>
                <w:szCs w:val="21"/>
                <w:lang w:val="en-US" w:eastAsia="zh-CN"/>
              </w:rPr>
              <w:t>2</w:t>
            </w:r>
            <w:r>
              <w:rPr>
                <w:rFonts w:hint="default" w:ascii="Times New Roman" w:hAnsi="Times New Roman" w:eastAsia="仿宋_GB2312" w:cs="Times New Roman"/>
                <w:b/>
                <w:bCs/>
                <w:sz w:val="21"/>
                <w:szCs w:val="21"/>
              </w:rPr>
              <w:t>年决算数</w:t>
            </w:r>
          </w:p>
        </w:tc>
        <w:tc>
          <w:tcPr>
            <w:tcW w:w="1999"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b/>
                <w:bCs/>
                <w:sz w:val="21"/>
                <w:szCs w:val="21"/>
              </w:rPr>
            </w:pPr>
            <w:r>
              <w:rPr>
                <w:rFonts w:hint="default" w:ascii="Times New Roman" w:hAnsi="Times New Roman" w:eastAsia="仿宋_GB2312" w:cs="Times New Roman"/>
                <w:b/>
                <w:bCs/>
                <w:sz w:val="21"/>
                <w:szCs w:val="21"/>
              </w:rPr>
              <w:t>202</w:t>
            </w:r>
            <w:r>
              <w:rPr>
                <w:rFonts w:hint="eastAsia" w:ascii="Times New Roman" w:hAnsi="Times New Roman" w:eastAsia="仿宋_GB2312" w:cs="Times New Roman"/>
                <w:b/>
                <w:bCs/>
                <w:sz w:val="21"/>
                <w:szCs w:val="21"/>
                <w:lang w:val="en-US" w:eastAsia="zh-CN"/>
              </w:rPr>
              <w:t>3</w:t>
            </w:r>
            <w:r>
              <w:rPr>
                <w:rFonts w:hint="default" w:ascii="Times New Roman" w:hAnsi="Times New Roman" w:eastAsia="仿宋_GB2312" w:cs="Times New Roman"/>
                <w:b/>
                <w:bCs/>
                <w:sz w:val="21"/>
                <w:szCs w:val="21"/>
              </w:rPr>
              <w:t>年预算数</w:t>
            </w:r>
          </w:p>
        </w:tc>
        <w:tc>
          <w:tcPr>
            <w:tcW w:w="226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b/>
                <w:bCs/>
                <w:sz w:val="21"/>
                <w:szCs w:val="21"/>
              </w:rPr>
            </w:pPr>
            <w:r>
              <w:rPr>
                <w:rFonts w:hint="default" w:ascii="Times New Roman" w:hAnsi="Times New Roman" w:eastAsia="仿宋_GB2312" w:cs="Times New Roman"/>
                <w:b/>
                <w:bCs/>
                <w:sz w:val="21"/>
                <w:szCs w:val="21"/>
              </w:rPr>
              <w:t>202</w:t>
            </w:r>
            <w:r>
              <w:rPr>
                <w:rFonts w:hint="eastAsia" w:ascii="Times New Roman" w:hAnsi="Times New Roman" w:eastAsia="仿宋_GB2312" w:cs="Times New Roman"/>
                <w:b/>
                <w:bCs/>
                <w:sz w:val="21"/>
                <w:szCs w:val="21"/>
                <w:lang w:val="en-US" w:eastAsia="zh-CN"/>
              </w:rPr>
              <w:t>3</w:t>
            </w:r>
            <w:r>
              <w:rPr>
                <w:rFonts w:hint="default" w:ascii="Times New Roman" w:hAnsi="Times New Roman" w:eastAsia="仿宋_GB2312" w:cs="Times New Roman"/>
                <w:b/>
                <w:bCs/>
                <w:sz w:val="21"/>
                <w:szCs w:val="21"/>
              </w:rPr>
              <w:t>年决算数</w:t>
            </w:r>
          </w:p>
        </w:tc>
      </w:tr>
      <w:tr>
        <w:tblPrEx>
          <w:tblLayout w:type="fixed"/>
          <w:tblCellMar>
            <w:top w:w="0" w:type="dxa"/>
            <w:left w:w="108" w:type="dxa"/>
            <w:bottom w:w="0" w:type="dxa"/>
            <w:right w:w="108" w:type="dxa"/>
          </w:tblCellMar>
        </w:tblPrEx>
        <w:trPr>
          <w:trHeight w:val="23" w:hRule="atLeast"/>
          <w:jc w:val="center"/>
        </w:trPr>
        <w:tc>
          <w:tcPr>
            <w:tcW w:w="3062"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Times New Roman" w:hAnsi="Times New Roman" w:eastAsia="仿宋_GB2312" w:cs="Times New Roman"/>
                <w:sz w:val="21"/>
                <w:szCs w:val="21"/>
                <w:lang w:val="en-US" w:eastAsia="zh-CN"/>
              </w:rPr>
            </w:pPr>
            <w:r>
              <w:rPr>
                <w:rFonts w:hint="default" w:ascii="Times New Roman" w:hAnsi="Times New Roman" w:eastAsia="仿宋_GB2312" w:cs="Times New Roman"/>
                <w:sz w:val="21"/>
                <w:szCs w:val="21"/>
              </w:rPr>
              <w:t>三公经费</w:t>
            </w:r>
            <w:r>
              <w:rPr>
                <w:rFonts w:hint="eastAsia" w:ascii="Times New Roman" w:hAnsi="Times New Roman" w:eastAsia="仿宋_GB2312" w:cs="Times New Roman"/>
                <w:sz w:val="21"/>
                <w:szCs w:val="21"/>
                <w:lang w:val="en-US" w:eastAsia="zh-CN"/>
              </w:rPr>
              <w:t>:</w:t>
            </w:r>
          </w:p>
        </w:tc>
        <w:tc>
          <w:tcPr>
            <w:tcW w:w="17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1"/>
                <w:szCs w:val="21"/>
              </w:rPr>
            </w:pPr>
            <w:r>
              <w:rPr>
                <w:rFonts w:hint="eastAsia" w:ascii="Times New Roman" w:hAnsi="Times New Roman" w:eastAsia="仿宋_GB2312" w:cs="Times New Roman"/>
                <w:sz w:val="21"/>
                <w:szCs w:val="21"/>
                <w:lang w:val="en-US" w:eastAsia="zh-CN"/>
              </w:rPr>
              <w:t>10.15</w:t>
            </w:r>
            <w:r>
              <w:rPr>
                <w:rFonts w:hint="default" w:ascii="Times New Roman" w:hAnsi="Times New Roman" w:eastAsia="仿宋_GB2312" w:cs="Times New Roman"/>
                <w:sz w:val="21"/>
                <w:szCs w:val="21"/>
              </w:rPr>
              <w:t>　</w:t>
            </w:r>
          </w:p>
        </w:tc>
        <w:tc>
          <w:tcPr>
            <w:tcW w:w="1999"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1"/>
                <w:szCs w:val="21"/>
              </w:rPr>
            </w:pPr>
            <w:r>
              <w:rPr>
                <w:rFonts w:hint="eastAsia" w:ascii="Times New Roman" w:hAnsi="Times New Roman" w:eastAsia="仿宋_GB2312" w:cs="Times New Roman"/>
                <w:sz w:val="21"/>
                <w:szCs w:val="21"/>
                <w:lang w:val="en-US" w:eastAsia="zh-CN"/>
              </w:rPr>
              <w:t>10.60</w:t>
            </w:r>
            <w:r>
              <w:rPr>
                <w:rFonts w:hint="default" w:ascii="Times New Roman" w:hAnsi="Times New Roman" w:eastAsia="仿宋_GB2312" w:cs="Times New Roman"/>
                <w:sz w:val="21"/>
                <w:szCs w:val="21"/>
              </w:rPr>
              <w:t>　</w:t>
            </w:r>
          </w:p>
        </w:tc>
        <w:tc>
          <w:tcPr>
            <w:tcW w:w="226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1"/>
                <w:szCs w:val="21"/>
              </w:rPr>
            </w:pPr>
            <w:r>
              <w:rPr>
                <w:rFonts w:hint="eastAsia" w:ascii="Times New Roman" w:hAnsi="Times New Roman" w:eastAsia="仿宋_GB2312" w:cs="Times New Roman"/>
                <w:sz w:val="21"/>
                <w:szCs w:val="21"/>
                <w:lang w:val="en-US" w:eastAsia="zh-CN"/>
              </w:rPr>
              <w:t>10.49</w:t>
            </w:r>
            <w:r>
              <w:rPr>
                <w:rFonts w:hint="default" w:ascii="Times New Roman" w:hAnsi="Times New Roman" w:eastAsia="仿宋_GB2312" w:cs="Times New Roman"/>
                <w:sz w:val="21"/>
                <w:szCs w:val="21"/>
              </w:rPr>
              <w:t>　</w:t>
            </w:r>
          </w:p>
        </w:tc>
      </w:tr>
      <w:tr>
        <w:tblPrEx>
          <w:tblLayout w:type="fixed"/>
          <w:tblCellMar>
            <w:top w:w="0" w:type="dxa"/>
            <w:left w:w="108" w:type="dxa"/>
            <w:bottom w:w="0" w:type="dxa"/>
            <w:right w:w="108" w:type="dxa"/>
          </w:tblCellMar>
        </w:tblPrEx>
        <w:trPr>
          <w:trHeight w:val="23" w:hRule="atLeast"/>
          <w:jc w:val="center"/>
        </w:trPr>
        <w:tc>
          <w:tcPr>
            <w:tcW w:w="3062"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 xml:space="preserve">   1、公务用车购置和维护经费</w:t>
            </w:r>
          </w:p>
        </w:tc>
        <w:tc>
          <w:tcPr>
            <w:tcW w:w="17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　</w:t>
            </w:r>
          </w:p>
        </w:tc>
        <w:tc>
          <w:tcPr>
            <w:tcW w:w="1999"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　</w:t>
            </w:r>
          </w:p>
        </w:tc>
        <w:tc>
          <w:tcPr>
            <w:tcW w:w="226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　</w:t>
            </w:r>
          </w:p>
        </w:tc>
      </w:tr>
      <w:tr>
        <w:tblPrEx>
          <w:tblLayout w:type="fixed"/>
          <w:tblCellMar>
            <w:top w:w="0" w:type="dxa"/>
            <w:left w:w="108" w:type="dxa"/>
            <w:bottom w:w="0" w:type="dxa"/>
            <w:right w:w="108" w:type="dxa"/>
          </w:tblCellMar>
        </w:tblPrEx>
        <w:trPr>
          <w:trHeight w:val="23" w:hRule="atLeast"/>
          <w:jc w:val="center"/>
        </w:trPr>
        <w:tc>
          <w:tcPr>
            <w:tcW w:w="3062"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 xml:space="preserve">       其中：公车购置</w:t>
            </w:r>
          </w:p>
        </w:tc>
        <w:tc>
          <w:tcPr>
            <w:tcW w:w="17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　</w:t>
            </w:r>
          </w:p>
        </w:tc>
        <w:tc>
          <w:tcPr>
            <w:tcW w:w="1999"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　</w:t>
            </w:r>
          </w:p>
        </w:tc>
        <w:tc>
          <w:tcPr>
            <w:tcW w:w="226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　</w:t>
            </w:r>
          </w:p>
        </w:tc>
      </w:tr>
      <w:tr>
        <w:tblPrEx>
          <w:tblLayout w:type="fixed"/>
          <w:tblCellMar>
            <w:top w:w="0" w:type="dxa"/>
            <w:left w:w="108" w:type="dxa"/>
            <w:bottom w:w="0" w:type="dxa"/>
            <w:right w:w="108" w:type="dxa"/>
          </w:tblCellMar>
        </w:tblPrEx>
        <w:trPr>
          <w:trHeight w:val="23" w:hRule="atLeast"/>
          <w:jc w:val="center"/>
        </w:trPr>
        <w:tc>
          <w:tcPr>
            <w:tcW w:w="3062"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 xml:space="preserve">             公车运行维护</w:t>
            </w:r>
          </w:p>
        </w:tc>
        <w:tc>
          <w:tcPr>
            <w:tcW w:w="17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1"/>
                <w:szCs w:val="21"/>
              </w:rPr>
            </w:pPr>
            <w:r>
              <w:rPr>
                <w:rFonts w:hint="eastAsia" w:ascii="Times New Roman" w:hAnsi="Times New Roman" w:eastAsia="仿宋_GB2312" w:cs="Times New Roman"/>
                <w:sz w:val="21"/>
                <w:szCs w:val="21"/>
                <w:lang w:val="en-US" w:eastAsia="zh-CN"/>
              </w:rPr>
              <w:t>9.30</w:t>
            </w:r>
            <w:r>
              <w:rPr>
                <w:rFonts w:hint="default" w:ascii="Times New Roman" w:hAnsi="Times New Roman" w:eastAsia="仿宋_GB2312" w:cs="Times New Roman"/>
                <w:sz w:val="21"/>
                <w:szCs w:val="21"/>
              </w:rPr>
              <w:t>　</w:t>
            </w:r>
          </w:p>
        </w:tc>
        <w:tc>
          <w:tcPr>
            <w:tcW w:w="1999"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1"/>
                <w:szCs w:val="21"/>
                <w:lang w:val="en-US" w:eastAsia="zh-CN"/>
              </w:rPr>
            </w:pPr>
            <w:r>
              <w:rPr>
                <w:rFonts w:hint="default" w:ascii="Times New Roman" w:hAnsi="Times New Roman" w:eastAsia="仿宋_GB2312" w:cs="Times New Roman"/>
                <w:sz w:val="21"/>
                <w:szCs w:val="21"/>
              </w:rPr>
              <w:t>　</w:t>
            </w:r>
            <w:r>
              <w:rPr>
                <w:rFonts w:hint="eastAsia" w:ascii="Times New Roman" w:hAnsi="Times New Roman" w:eastAsia="仿宋_GB2312" w:cs="Times New Roman"/>
                <w:sz w:val="21"/>
                <w:szCs w:val="21"/>
                <w:lang w:val="en-US" w:eastAsia="zh-CN"/>
              </w:rPr>
              <w:t>9.20</w:t>
            </w:r>
          </w:p>
        </w:tc>
        <w:tc>
          <w:tcPr>
            <w:tcW w:w="226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1"/>
                <w:szCs w:val="21"/>
              </w:rPr>
            </w:pPr>
            <w:r>
              <w:rPr>
                <w:rFonts w:hint="eastAsia" w:ascii="Times New Roman" w:hAnsi="Times New Roman" w:eastAsia="仿宋_GB2312" w:cs="Times New Roman"/>
                <w:sz w:val="21"/>
                <w:szCs w:val="21"/>
                <w:lang w:val="en-US" w:eastAsia="zh-CN"/>
              </w:rPr>
              <w:t>9.20</w:t>
            </w:r>
            <w:r>
              <w:rPr>
                <w:rFonts w:hint="default" w:ascii="Times New Roman" w:hAnsi="Times New Roman" w:eastAsia="仿宋_GB2312" w:cs="Times New Roman"/>
                <w:sz w:val="21"/>
                <w:szCs w:val="21"/>
              </w:rPr>
              <w:t>　</w:t>
            </w:r>
          </w:p>
        </w:tc>
      </w:tr>
      <w:tr>
        <w:tblPrEx>
          <w:tblLayout w:type="fixed"/>
          <w:tblCellMar>
            <w:top w:w="0" w:type="dxa"/>
            <w:left w:w="108" w:type="dxa"/>
            <w:bottom w:w="0" w:type="dxa"/>
            <w:right w:w="108" w:type="dxa"/>
          </w:tblCellMar>
        </w:tblPrEx>
        <w:trPr>
          <w:trHeight w:val="23" w:hRule="atLeast"/>
          <w:jc w:val="center"/>
        </w:trPr>
        <w:tc>
          <w:tcPr>
            <w:tcW w:w="3062"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 xml:space="preserve">   2、出国经费</w:t>
            </w:r>
          </w:p>
        </w:tc>
        <w:tc>
          <w:tcPr>
            <w:tcW w:w="17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1"/>
                <w:szCs w:val="21"/>
              </w:rPr>
            </w:pPr>
            <w:r>
              <w:rPr>
                <w:rFonts w:hint="eastAsia" w:ascii="Times New Roman" w:hAnsi="Times New Roman" w:eastAsia="仿宋_GB2312" w:cs="Times New Roman"/>
                <w:sz w:val="21"/>
                <w:szCs w:val="21"/>
                <w:lang w:val="en-US" w:eastAsia="zh-CN"/>
              </w:rPr>
              <w:t>0.00</w:t>
            </w:r>
            <w:r>
              <w:rPr>
                <w:rFonts w:hint="default" w:ascii="Times New Roman" w:hAnsi="Times New Roman" w:eastAsia="仿宋_GB2312" w:cs="Times New Roman"/>
                <w:sz w:val="21"/>
                <w:szCs w:val="21"/>
              </w:rPr>
              <w:t>　</w:t>
            </w:r>
          </w:p>
        </w:tc>
        <w:tc>
          <w:tcPr>
            <w:tcW w:w="1999"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1"/>
                <w:szCs w:val="21"/>
                <w:lang w:val="en-US" w:eastAsia="zh-CN"/>
              </w:rPr>
            </w:pPr>
            <w:r>
              <w:rPr>
                <w:rFonts w:hint="default" w:ascii="Times New Roman" w:hAnsi="Times New Roman" w:eastAsia="仿宋_GB2312" w:cs="Times New Roman"/>
                <w:sz w:val="21"/>
                <w:szCs w:val="21"/>
              </w:rPr>
              <w:t>　</w:t>
            </w:r>
            <w:r>
              <w:rPr>
                <w:rFonts w:hint="eastAsia" w:ascii="Times New Roman" w:hAnsi="Times New Roman" w:eastAsia="仿宋_GB2312" w:cs="Times New Roman"/>
                <w:sz w:val="21"/>
                <w:szCs w:val="21"/>
                <w:lang w:val="en-US" w:eastAsia="zh-CN"/>
              </w:rPr>
              <w:t>0.00</w:t>
            </w:r>
          </w:p>
        </w:tc>
        <w:tc>
          <w:tcPr>
            <w:tcW w:w="226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1"/>
                <w:szCs w:val="21"/>
              </w:rPr>
            </w:pPr>
            <w:r>
              <w:rPr>
                <w:rFonts w:hint="eastAsia" w:ascii="Times New Roman" w:hAnsi="Times New Roman" w:eastAsia="仿宋_GB2312" w:cs="Times New Roman"/>
                <w:sz w:val="21"/>
                <w:szCs w:val="21"/>
                <w:lang w:val="en-US" w:eastAsia="zh-CN"/>
              </w:rPr>
              <w:t>0.00</w:t>
            </w:r>
            <w:r>
              <w:rPr>
                <w:rFonts w:hint="default" w:ascii="Times New Roman" w:hAnsi="Times New Roman" w:eastAsia="仿宋_GB2312" w:cs="Times New Roman"/>
                <w:sz w:val="21"/>
                <w:szCs w:val="21"/>
              </w:rPr>
              <w:t>　</w:t>
            </w:r>
          </w:p>
        </w:tc>
      </w:tr>
      <w:tr>
        <w:tblPrEx>
          <w:tblLayout w:type="fixed"/>
          <w:tblCellMar>
            <w:top w:w="0" w:type="dxa"/>
            <w:left w:w="108" w:type="dxa"/>
            <w:bottom w:w="0" w:type="dxa"/>
            <w:right w:w="108" w:type="dxa"/>
          </w:tblCellMar>
        </w:tblPrEx>
        <w:trPr>
          <w:trHeight w:val="23" w:hRule="atLeast"/>
          <w:jc w:val="center"/>
        </w:trPr>
        <w:tc>
          <w:tcPr>
            <w:tcW w:w="3062"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 xml:space="preserve">   3、公务接待</w:t>
            </w:r>
          </w:p>
        </w:tc>
        <w:tc>
          <w:tcPr>
            <w:tcW w:w="17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1"/>
                <w:szCs w:val="21"/>
              </w:rPr>
            </w:pPr>
            <w:r>
              <w:rPr>
                <w:rFonts w:hint="eastAsia" w:ascii="Times New Roman" w:hAnsi="Times New Roman" w:eastAsia="仿宋_GB2312" w:cs="Times New Roman"/>
                <w:sz w:val="21"/>
                <w:szCs w:val="21"/>
                <w:lang w:val="en-US" w:eastAsia="zh-CN"/>
              </w:rPr>
              <w:t>0.85</w:t>
            </w:r>
            <w:r>
              <w:rPr>
                <w:rFonts w:hint="default" w:ascii="Times New Roman" w:hAnsi="Times New Roman" w:eastAsia="仿宋_GB2312" w:cs="Times New Roman"/>
                <w:sz w:val="21"/>
                <w:szCs w:val="21"/>
              </w:rPr>
              <w:t>　</w:t>
            </w:r>
          </w:p>
        </w:tc>
        <w:tc>
          <w:tcPr>
            <w:tcW w:w="1999"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1"/>
                <w:szCs w:val="21"/>
              </w:rPr>
            </w:pPr>
            <w:r>
              <w:rPr>
                <w:rFonts w:hint="eastAsia" w:ascii="Times New Roman" w:hAnsi="Times New Roman" w:eastAsia="仿宋_GB2312" w:cs="Times New Roman"/>
                <w:sz w:val="21"/>
                <w:szCs w:val="21"/>
                <w:lang w:val="en-US" w:eastAsia="zh-CN"/>
              </w:rPr>
              <w:t>1.40</w:t>
            </w:r>
            <w:r>
              <w:rPr>
                <w:rFonts w:hint="default" w:ascii="Times New Roman" w:hAnsi="Times New Roman" w:eastAsia="仿宋_GB2312" w:cs="Times New Roman"/>
                <w:sz w:val="21"/>
                <w:szCs w:val="21"/>
              </w:rPr>
              <w:t>　</w:t>
            </w:r>
          </w:p>
        </w:tc>
        <w:tc>
          <w:tcPr>
            <w:tcW w:w="226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1"/>
                <w:szCs w:val="21"/>
                <w:lang w:val="en-US" w:eastAsia="zh-CN"/>
              </w:rPr>
            </w:pPr>
            <w:r>
              <w:rPr>
                <w:rFonts w:hint="default" w:ascii="Times New Roman" w:hAnsi="Times New Roman" w:eastAsia="仿宋_GB2312" w:cs="Times New Roman"/>
                <w:sz w:val="21"/>
                <w:szCs w:val="21"/>
              </w:rPr>
              <w:t>　</w:t>
            </w:r>
            <w:r>
              <w:rPr>
                <w:rFonts w:hint="eastAsia" w:ascii="Times New Roman" w:hAnsi="Times New Roman" w:eastAsia="仿宋_GB2312" w:cs="Times New Roman"/>
                <w:sz w:val="21"/>
                <w:szCs w:val="21"/>
                <w:lang w:val="en-US" w:eastAsia="zh-CN"/>
              </w:rPr>
              <w:t>1.29</w:t>
            </w:r>
          </w:p>
        </w:tc>
      </w:tr>
      <w:tr>
        <w:tblPrEx>
          <w:tblLayout w:type="fixed"/>
          <w:tblCellMar>
            <w:top w:w="0" w:type="dxa"/>
            <w:left w:w="108" w:type="dxa"/>
            <w:bottom w:w="0" w:type="dxa"/>
            <w:right w:w="108" w:type="dxa"/>
          </w:tblCellMar>
        </w:tblPrEx>
        <w:trPr>
          <w:trHeight w:val="23" w:hRule="atLeast"/>
          <w:jc w:val="center"/>
        </w:trPr>
        <w:tc>
          <w:tcPr>
            <w:tcW w:w="3062"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项目支出：</w:t>
            </w:r>
          </w:p>
        </w:tc>
        <w:tc>
          <w:tcPr>
            <w:tcW w:w="17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1"/>
                <w:szCs w:val="21"/>
              </w:rPr>
            </w:pPr>
            <w:r>
              <w:rPr>
                <w:rFonts w:hint="eastAsia" w:ascii="Times New Roman" w:hAnsi="Times New Roman" w:eastAsia="仿宋_GB2312" w:cs="Times New Roman"/>
                <w:sz w:val="21"/>
                <w:szCs w:val="21"/>
                <w:lang w:val="en-US" w:eastAsia="zh-CN"/>
              </w:rPr>
              <w:t>890.02</w:t>
            </w:r>
            <w:r>
              <w:rPr>
                <w:rFonts w:hint="default" w:ascii="Times New Roman" w:hAnsi="Times New Roman" w:eastAsia="仿宋_GB2312" w:cs="Times New Roman"/>
                <w:sz w:val="21"/>
                <w:szCs w:val="21"/>
              </w:rPr>
              <w:t>　</w:t>
            </w:r>
          </w:p>
        </w:tc>
        <w:tc>
          <w:tcPr>
            <w:tcW w:w="1999"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1"/>
                <w:szCs w:val="21"/>
              </w:rPr>
            </w:pPr>
            <w:r>
              <w:rPr>
                <w:rFonts w:hint="eastAsia" w:ascii="Times New Roman" w:hAnsi="Times New Roman" w:eastAsia="仿宋_GB2312" w:cs="Times New Roman"/>
                <w:sz w:val="21"/>
                <w:szCs w:val="21"/>
                <w:lang w:val="en-US" w:eastAsia="zh-CN"/>
              </w:rPr>
              <w:t>995.00</w:t>
            </w:r>
            <w:r>
              <w:rPr>
                <w:rFonts w:hint="default" w:ascii="Times New Roman" w:hAnsi="Times New Roman" w:eastAsia="仿宋_GB2312" w:cs="Times New Roman"/>
                <w:sz w:val="21"/>
                <w:szCs w:val="21"/>
              </w:rPr>
              <w:t>　</w:t>
            </w:r>
          </w:p>
        </w:tc>
        <w:tc>
          <w:tcPr>
            <w:tcW w:w="226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1"/>
                <w:szCs w:val="21"/>
              </w:rPr>
            </w:pPr>
            <w:r>
              <w:rPr>
                <w:rFonts w:hint="eastAsia" w:ascii="Times New Roman" w:hAnsi="Times New Roman" w:eastAsia="仿宋_GB2312" w:cs="Times New Roman"/>
                <w:sz w:val="21"/>
                <w:szCs w:val="21"/>
                <w:lang w:val="en-US" w:eastAsia="zh-CN"/>
              </w:rPr>
              <w:t>1175.01</w:t>
            </w:r>
            <w:r>
              <w:rPr>
                <w:rFonts w:hint="default" w:ascii="Times New Roman" w:hAnsi="Times New Roman" w:eastAsia="仿宋_GB2312" w:cs="Times New Roman"/>
                <w:sz w:val="21"/>
                <w:szCs w:val="21"/>
              </w:rPr>
              <w:t>　</w:t>
            </w:r>
          </w:p>
        </w:tc>
      </w:tr>
      <w:tr>
        <w:tblPrEx>
          <w:tblLayout w:type="fixed"/>
          <w:tblCellMar>
            <w:top w:w="0" w:type="dxa"/>
            <w:left w:w="108" w:type="dxa"/>
            <w:bottom w:w="0" w:type="dxa"/>
            <w:right w:w="108" w:type="dxa"/>
          </w:tblCellMar>
        </w:tblPrEx>
        <w:trPr>
          <w:trHeight w:val="23" w:hRule="atLeast"/>
          <w:jc w:val="center"/>
        </w:trPr>
        <w:tc>
          <w:tcPr>
            <w:tcW w:w="3062"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 xml:space="preserve">    1、业务工作经费</w:t>
            </w:r>
          </w:p>
        </w:tc>
        <w:tc>
          <w:tcPr>
            <w:tcW w:w="17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1"/>
                <w:szCs w:val="21"/>
              </w:rPr>
            </w:pPr>
            <w:r>
              <w:rPr>
                <w:rFonts w:hint="eastAsia" w:ascii="Times New Roman" w:hAnsi="Times New Roman" w:eastAsia="仿宋_GB2312" w:cs="Times New Roman"/>
                <w:sz w:val="21"/>
                <w:szCs w:val="21"/>
                <w:lang w:val="en-US" w:eastAsia="zh-CN"/>
              </w:rPr>
              <w:t>439.89</w:t>
            </w:r>
            <w:r>
              <w:rPr>
                <w:rFonts w:hint="default" w:ascii="Times New Roman" w:hAnsi="Times New Roman" w:eastAsia="仿宋_GB2312" w:cs="Times New Roman"/>
                <w:sz w:val="21"/>
                <w:szCs w:val="21"/>
              </w:rPr>
              <w:t>　</w:t>
            </w:r>
          </w:p>
        </w:tc>
        <w:tc>
          <w:tcPr>
            <w:tcW w:w="1999"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1"/>
                <w:szCs w:val="21"/>
              </w:rPr>
            </w:pPr>
            <w:r>
              <w:rPr>
                <w:rFonts w:hint="eastAsia" w:ascii="Times New Roman" w:hAnsi="Times New Roman" w:eastAsia="仿宋_GB2312" w:cs="Times New Roman"/>
                <w:sz w:val="21"/>
                <w:szCs w:val="21"/>
                <w:lang w:val="en-US" w:eastAsia="zh-CN"/>
              </w:rPr>
              <w:t>500.00</w:t>
            </w:r>
            <w:r>
              <w:rPr>
                <w:rFonts w:hint="default" w:ascii="Times New Roman" w:hAnsi="Times New Roman" w:eastAsia="仿宋_GB2312" w:cs="Times New Roman"/>
                <w:sz w:val="21"/>
                <w:szCs w:val="21"/>
              </w:rPr>
              <w:t>　</w:t>
            </w:r>
          </w:p>
        </w:tc>
        <w:tc>
          <w:tcPr>
            <w:tcW w:w="226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1"/>
                <w:szCs w:val="21"/>
                <w:lang w:val="en-US"/>
              </w:rPr>
            </w:pPr>
            <w:r>
              <w:rPr>
                <w:rFonts w:hint="eastAsia" w:ascii="Times New Roman" w:hAnsi="Times New Roman" w:eastAsia="仿宋_GB2312" w:cs="Times New Roman"/>
                <w:sz w:val="21"/>
                <w:szCs w:val="21"/>
                <w:lang w:val="en-US" w:eastAsia="zh-CN"/>
              </w:rPr>
              <w:t>560.11</w:t>
            </w:r>
          </w:p>
        </w:tc>
      </w:tr>
      <w:tr>
        <w:tblPrEx>
          <w:tblLayout w:type="fixed"/>
          <w:tblCellMar>
            <w:top w:w="0" w:type="dxa"/>
            <w:left w:w="108" w:type="dxa"/>
            <w:bottom w:w="0" w:type="dxa"/>
            <w:right w:w="108" w:type="dxa"/>
          </w:tblCellMar>
        </w:tblPrEx>
        <w:trPr>
          <w:trHeight w:val="23" w:hRule="atLeast"/>
          <w:jc w:val="center"/>
        </w:trPr>
        <w:tc>
          <w:tcPr>
            <w:tcW w:w="3062"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 xml:space="preserve">    2、运行维护经费</w:t>
            </w:r>
          </w:p>
        </w:tc>
        <w:tc>
          <w:tcPr>
            <w:tcW w:w="17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1"/>
                <w:szCs w:val="21"/>
                <w:lang w:val="en-US"/>
              </w:rPr>
            </w:pPr>
            <w:r>
              <w:rPr>
                <w:rFonts w:hint="eastAsia" w:ascii="Times New Roman" w:hAnsi="Times New Roman" w:eastAsia="仿宋_GB2312" w:cs="Times New Roman"/>
                <w:sz w:val="21"/>
                <w:szCs w:val="21"/>
                <w:lang w:val="en-US" w:eastAsia="zh-CN"/>
              </w:rPr>
              <w:t>4.00</w:t>
            </w:r>
          </w:p>
        </w:tc>
        <w:tc>
          <w:tcPr>
            <w:tcW w:w="1999"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1"/>
                <w:szCs w:val="21"/>
              </w:rPr>
            </w:pPr>
            <w:r>
              <w:rPr>
                <w:rFonts w:hint="eastAsia" w:ascii="Times New Roman" w:hAnsi="Times New Roman" w:eastAsia="仿宋_GB2312" w:cs="Times New Roman"/>
                <w:sz w:val="21"/>
                <w:szCs w:val="21"/>
                <w:lang w:val="en-US" w:eastAsia="zh-CN"/>
              </w:rPr>
              <w:t>5.00</w:t>
            </w:r>
            <w:r>
              <w:rPr>
                <w:rFonts w:hint="default" w:ascii="Times New Roman" w:hAnsi="Times New Roman" w:eastAsia="仿宋_GB2312" w:cs="Times New Roman"/>
                <w:sz w:val="21"/>
                <w:szCs w:val="21"/>
              </w:rPr>
              <w:t>　</w:t>
            </w:r>
          </w:p>
        </w:tc>
        <w:tc>
          <w:tcPr>
            <w:tcW w:w="226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1"/>
                <w:szCs w:val="21"/>
              </w:rPr>
            </w:pPr>
            <w:r>
              <w:rPr>
                <w:rFonts w:hint="eastAsia" w:ascii="Times New Roman" w:hAnsi="Times New Roman" w:eastAsia="仿宋_GB2312" w:cs="Times New Roman"/>
                <w:sz w:val="21"/>
                <w:szCs w:val="21"/>
                <w:lang w:val="en-US" w:eastAsia="zh-CN"/>
              </w:rPr>
              <w:t>10.00</w:t>
            </w:r>
            <w:r>
              <w:rPr>
                <w:rFonts w:hint="default" w:ascii="Times New Roman" w:hAnsi="Times New Roman" w:eastAsia="仿宋_GB2312" w:cs="Times New Roman"/>
                <w:sz w:val="21"/>
                <w:szCs w:val="21"/>
              </w:rPr>
              <w:t>　</w:t>
            </w:r>
          </w:p>
        </w:tc>
      </w:tr>
      <w:tr>
        <w:tblPrEx>
          <w:tblLayout w:type="fixed"/>
          <w:tblCellMar>
            <w:top w:w="0" w:type="dxa"/>
            <w:left w:w="108" w:type="dxa"/>
            <w:bottom w:w="0" w:type="dxa"/>
            <w:right w:w="108" w:type="dxa"/>
          </w:tblCellMar>
        </w:tblPrEx>
        <w:trPr>
          <w:trHeight w:val="23" w:hRule="atLeast"/>
          <w:jc w:val="center"/>
        </w:trPr>
        <w:tc>
          <w:tcPr>
            <w:tcW w:w="3062"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3、省级专项资金</w:t>
            </w:r>
          </w:p>
        </w:tc>
        <w:tc>
          <w:tcPr>
            <w:tcW w:w="17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1"/>
                <w:szCs w:val="21"/>
                <w:lang w:val="en-US" w:eastAsia="zh-CN"/>
              </w:rPr>
            </w:pPr>
            <w:r>
              <w:rPr>
                <w:rFonts w:hint="eastAsia" w:ascii="Times New Roman" w:hAnsi="Times New Roman" w:eastAsia="仿宋_GB2312" w:cs="Times New Roman"/>
                <w:sz w:val="21"/>
                <w:szCs w:val="21"/>
                <w:lang w:val="en-US" w:eastAsia="zh-CN"/>
              </w:rPr>
              <w:t>446.13</w:t>
            </w:r>
          </w:p>
        </w:tc>
        <w:tc>
          <w:tcPr>
            <w:tcW w:w="1999"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1"/>
                <w:szCs w:val="21"/>
                <w:lang w:val="en-US" w:eastAsia="zh-CN"/>
              </w:rPr>
            </w:pPr>
            <w:r>
              <w:rPr>
                <w:rFonts w:hint="eastAsia" w:ascii="Times New Roman" w:hAnsi="Times New Roman" w:eastAsia="仿宋_GB2312" w:cs="Times New Roman"/>
                <w:sz w:val="21"/>
                <w:szCs w:val="21"/>
                <w:lang w:val="en-US" w:eastAsia="zh-CN"/>
              </w:rPr>
              <w:t>490.00</w:t>
            </w:r>
          </w:p>
        </w:tc>
        <w:tc>
          <w:tcPr>
            <w:tcW w:w="226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1"/>
                <w:szCs w:val="21"/>
                <w:lang w:val="en-US" w:eastAsia="zh-CN"/>
              </w:rPr>
            </w:pPr>
            <w:r>
              <w:rPr>
                <w:rFonts w:hint="eastAsia" w:ascii="Times New Roman" w:hAnsi="Times New Roman" w:eastAsia="仿宋_GB2312" w:cs="Times New Roman"/>
                <w:sz w:val="21"/>
                <w:szCs w:val="21"/>
                <w:lang w:val="en-US" w:eastAsia="zh-CN"/>
              </w:rPr>
              <w:t>604.90</w:t>
            </w:r>
          </w:p>
        </w:tc>
      </w:tr>
      <w:tr>
        <w:tblPrEx>
          <w:tblLayout w:type="fixed"/>
          <w:tblCellMar>
            <w:top w:w="0" w:type="dxa"/>
            <w:left w:w="108" w:type="dxa"/>
            <w:bottom w:w="0" w:type="dxa"/>
            <w:right w:w="108" w:type="dxa"/>
          </w:tblCellMar>
        </w:tblPrEx>
        <w:trPr>
          <w:trHeight w:val="23" w:hRule="atLeast"/>
          <w:jc w:val="center"/>
        </w:trPr>
        <w:tc>
          <w:tcPr>
            <w:tcW w:w="3062" w:type="dxa"/>
            <w:tcBorders>
              <w:top w:val="nil"/>
              <w:left w:val="single" w:color="auto" w:sz="4" w:space="0"/>
              <w:bottom w:val="single" w:color="auto" w:sz="4" w:space="0"/>
              <w:right w:val="single" w:color="auto" w:sz="4" w:space="0"/>
            </w:tcBorders>
            <w:noWrap w:val="0"/>
            <w:vAlign w:val="center"/>
          </w:tcPr>
          <w:p>
            <w:pPr>
              <w:widowControl/>
              <w:spacing w:line="360" w:lineRule="exact"/>
              <w:jc w:val="both"/>
              <w:rPr>
                <w:rFonts w:hint="eastAsia" w:ascii="Times New Roman" w:hAnsi="Times New Roman" w:eastAsia="仿宋_GB2312" w:cs="Times New Roman"/>
                <w:sz w:val="21"/>
                <w:szCs w:val="21"/>
                <w:lang w:val="en-US" w:eastAsia="zh-CN"/>
              </w:rPr>
            </w:pPr>
            <w:r>
              <w:rPr>
                <w:rFonts w:hint="eastAsia" w:ascii="Times New Roman" w:hAnsi="Times New Roman" w:eastAsia="仿宋_GB2312" w:cs="Times New Roman"/>
                <w:sz w:val="21"/>
                <w:szCs w:val="21"/>
                <w:lang w:val="en-US" w:eastAsia="zh-CN"/>
              </w:rPr>
              <w:t xml:space="preserve">    2022年省级标准化专项</w:t>
            </w:r>
          </w:p>
        </w:tc>
        <w:tc>
          <w:tcPr>
            <w:tcW w:w="17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1"/>
                <w:szCs w:val="21"/>
                <w:lang w:val="en-US" w:eastAsia="zh-CN"/>
              </w:rPr>
            </w:pPr>
            <w:r>
              <w:rPr>
                <w:rFonts w:hint="eastAsia" w:ascii="Times New Roman" w:hAnsi="Times New Roman" w:eastAsia="仿宋_GB2312" w:cs="Times New Roman"/>
                <w:sz w:val="21"/>
                <w:szCs w:val="21"/>
                <w:lang w:val="en-US" w:eastAsia="zh-CN"/>
              </w:rPr>
              <w:t>0.75</w:t>
            </w:r>
          </w:p>
        </w:tc>
        <w:tc>
          <w:tcPr>
            <w:tcW w:w="1999"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1"/>
                <w:szCs w:val="21"/>
              </w:rPr>
            </w:pPr>
          </w:p>
        </w:tc>
        <w:tc>
          <w:tcPr>
            <w:tcW w:w="226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1"/>
                <w:szCs w:val="21"/>
                <w:lang w:val="en-US" w:eastAsia="zh-CN"/>
              </w:rPr>
            </w:pPr>
            <w:r>
              <w:rPr>
                <w:rFonts w:hint="eastAsia" w:ascii="Times New Roman" w:hAnsi="Times New Roman" w:eastAsia="仿宋_GB2312" w:cs="Times New Roman"/>
                <w:sz w:val="21"/>
                <w:szCs w:val="21"/>
                <w:lang w:val="en-US" w:eastAsia="zh-CN"/>
              </w:rPr>
              <w:t>6.25</w:t>
            </w:r>
          </w:p>
        </w:tc>
      </w:tr>
      <w:tr>
        <w:tblPrEx>
          <w:tblLayout w:type="fixed"/>
          <w:tblCellMar>
            <w:top w:w="0" w:type="dxa"/>
            <w:left w:w="108" w:type="dxa"/>
            <w:bottom w:w="0" w:type="dxa"/>
            <w:right w:w="108" w:type="dxa"/>
          </w:tblCellMar>
        </w:tblPrEx>
        <w:trPr>
          <w:trHeight w:val="23" w:hRule="atLeast"/>
          <w:jc w:val="center"/>
        </w:trPr>
        <w:tc>
          <w:tcPr>
            <w:tcW w:w="3062" w:type="dxa"/>
            <w:tcBorders>
              <w:top w:val="nil"/>
              <w:left w:val="single" w:color="auto" w:sz="4" w:space="0"/>
              <w:bottom w:val="single" w:color="auto" w:sz="4" w:space="0"/>
              <w:right w:val="single" w:color="auto" w:sz="4" w:space="0"/>
            </w:tcBorders>
            <w:noWrap w:val="0"/>
            <w:vAlign w:val="center"/>
          </w:tcPr>
          <w:p>
            <w:pPr>
              <w:widowControl/>
              <w:spacing w:line="360" w:lineRule="exact"/>
              <w:jc w:val="both"/>
              <w:rPr>
                <w:rFonts w:hint="default" w:ascii="Times New Roman" w:hAnsi="Times New Roman" w:eastAsia="仿宋_GB2312" w:cs="Times New Roman"/>
                <w:sz w:val="21"/>
                <w:szCs w:val="21"/>
                <w:lang w:val="en-US" w:eastAsia="zh-CN"/>
              </w:rPr>
            </w:pPr>
            <w:r>
              <w:rPr>
                <w:rFonts w:hint="eastAsia" w:ascii="Times New Roman" w:hAnsi="Times New Roman" w:eastAsia="仿宋_GB2312" w:cs="Times New Roman"/>
                <w:sz w:val="21"/>
                <w:szCs w:val="21"/>
                <w:lang w:val="en-US" w:eastAsia="zh-CN"/>
              </w:rPr>
              <w:t xml:space="preserve">    重要农产品稳产保供</w:t>
            </w:r>
          </w:p>
        </w:tc>
        <w:tc>
          <w:tcPr>
            <w:tcW w:w="17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1"/>
                <w:szCs w:val="21"/>
              </w:rPr>
            </w:pPr>
          </w:p>
        </w:tc>
        <w:tc>
          <w:tcPr>
            <w:tcW w:w="1999"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1"/>
                <w:szCs w:val="21"/>
                <w:lang w:val="en-US" w:eastAsia="zh-CN"/>
              </w:rPr>
            </w:pPr>
            <w:r>
              <w:rPr>
                <w:rFonts w:hint="eastAsia" w:ascii="Times New Roman" w:hAnsi="Times New Roman" w:eastAsia="仿宋_GB2312" w:cs="Times New Roman"/>
                <w:sz w:val="21"/>
                <w:szCs w:val="21"/>
                <w:lang w:val="en-US" w:eastAsia="zh-CN"/>
              </w:rPr>
              <w:t>40.00</w:t>
            </w:r>
          </w:p>
        </w:tc>
        <w:tc>
          <w:tcPr>
            <w:tcW w:w="226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1"/>
                <w:szCs w:val="21"/>
                <w:lang w:val="en-US" w:eastAsia="zh-CN"/>
              </w:rPr>
            </w:pPr>
            <w:r>
              <w:rPr>
                <w:rFonts w:hint="eastAsia" w:ascii="Times New Roman" w:hAnsi="Times New Roman" w:eastAsia="仿宋_GB2312" w:cs="Times New Roman"/>
                <w:sz w:val="21"/>
                <w:szCs w:val="21"/>
                <w:lang w:val="en-US" w:eastAsia="zh-CN"/>
              </w:rPr>
              <w:t>14.87</w:t>
            </w:r>
          </w:p>
        </w:tc>
      </w:tr>
      <w:tr>
        <w:tblPrEx>
          <w:tblLayout w:type="fixed"/>
          <w:tblCellMar>
            <w:top w:w="0" w:type="dxa"/>
            <w:left w:w="108" w:type="dxa"/>
            <w:bottom w:w="0" w:type="dxa"/>
            <w:right w:w="108" w:type="dxa"/>
          </w:tblCellMar>
        </w:tblPrEx>
        <w:trPr>
          <w:trHeight w:val="23" w:hRule="atLeast"/>
          <w:jc w:val="center"/>
        </w:trPr>
        <w:tc>
          <w:tcPr>
            <w:tcW w:w="3062" w:type="dxa"/>
            <w:tcBorders>
              <w:top w:val="nil"/>
              <w:left w:val="single" w:color="auto" w:sz="4" w:space="0"/>
              <w:bottom w:val="single" w:color="auto" w:sz="4" w:space="0"/>
              <w:right w:val="single" w:color="auto" w:sz="4" w:space="0"/>
            </w:tcBorders>
            <w:noWrap w:val="0"/>
            <w:vAlign w:val="center"/>
          </w:tcPr>
          <w:p>
            <w:pPr>
              <w:widowControl/>
              <w:spacing w:line="360" w:lineRule="exact"/>
              <w:jc w:val="both"/>
              <w:rPr>
                <w:rFonts w:hint="default" w:ascii="Times New Roman" w:hAnsi="Times New Roman" w:eastAsia="仿宋_GB2312" w:cs="Times New Roman"/>
                <w:sz w:val="21"/>
                <w:szCs w:val="21"/>
                <w:lang w:val="en-US" w:eastAsia="zh-CN"/>
              </w:rPr>
            </w:pPr>
            <w:r>
              <w:rPr>
                <w:rFonts w:hint="eastAsia" w:ascii="Times New Roman" w:hAnsi="Times New Roman" w:eastAsia="仿宋_GB2312" w:cs="Times New Roman"/>
                <w:sz w:val="21"/>
                <w:szCs w:val="21"/>
                <w:lang w:val="en-US" w:eastAsia="zh-CN"/>
              </w:rPr>
              <w:t xml:space="preserve">    省级监测与流调专项</w:t>
            </w:r>
          </w:p>
        </w:tc>
        <w:tc>
          <w:tcPr>
            <w:tcW w:w="17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1"/>
                <w:szCs w:val="21"/>
                <w:lang w:val="en-US" w:eastAsia="zh-CN"/>
              </w:rPr>
            </w:pPr>
            <w:r>
              <w:rPr>
                <w:rFonts w:hint="eastAsia" w:ascii="Times New Roman" w:hAnsi="Times New Roman" w:eastAsia="仿宋_GB2312" w:cs="Times New Roman"/>
                <w:sz w:val="21"/>
                <w:szCs w:val="21"/>
                <w:lang w:val="en-US" w:eastAsia="zh-CN"/>
              </w:rPr>
              <w:t>393.83</w:t>
            </w:r>
          </w:p>
        </w:tc>
        <w:tc>
          <w:tcPr>
            <w:tcW w:w="1999"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1"/>
                <w:szCs w:val="21"/>
                <w:lang w:val="en-US" w:eastAsia="zh-CN"/>
              </w:rPr>
            </w:pPr>
            <w:r>
              <w:rPr>
                <w:rFonts w:hint="eastAsia" w:ascii="Times New Roman" w:hAnsi="Times New Roman" w:eastAsia="仿宋_GB2312" w:cs="Times New Roman"/>
                <w:sz w:val="21"/>
                <w:szCs w:val="21"/>
                <w:lang w:val="en-US" w:eastAsia="zh-CN"/>
              </w:rPr>
              <w:t>450.00</w:t>
            </w:r>
          </w:p>
        </w:tc>
        <w:tc>
          <w:tcPr>
            <w:tcW w:w="226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1"/>
                <w:szCs w:val="21"/>
                <w:lang w:val="en-US" w:eastAsia="zh-CN"/>
              </w:rPr>
            </w:pPr>
            <w:r>
              <w:rPr>
                <w:rFonts w:hint="eastAsia" w:ascii="Times New Roman" w:hAnsi="Times New Roman" w:eastAsia="仿宋_GB2312" w:cs="Times New Roman"/>
                <w:sz w:val="21"/>
                <w:szCs w:val="21"/>
                <w:lang w:val="en-US" w:eastAsia="zh-CN"/>
              </w:rPr>
              <w:t>562.32</w:t>
            </w:r>
          </w:p>
        </w:tc>
      </w:tr>
      <w:tr>
        <w:tblPrEx>
          <w:tblLayout w:type="fixed"/>
          <w:tblCellMar>
            <w:top w:w="0" w:type="dxa"/>
            <w:left w:w="108" w:type="dxa"/>
            <w:bottom w:w="0" w:type="dxa"/>
            <w:right w:w="108" w:type="dxa"/>
          </w:tblCellMar>
        </w:tblPrEx>
        <w:trPr>
          <w:trHeight w:val="23" w:hRule="atLeast"/>
          <w:jc w:val="center"/>
        </w:trPr>
        <w:tc>
          <w:tcPr>
            <w:tcW w:w="3062" w:type="dxa"/>
            <w:tcBorders>
              <w:top w:val="nil"/>
              <w:left w:val="single" w:color="auto" w:sz="4" w:space="0"/>
              <w:bottom w:val="single" w:color="auto" w:sz="4" w:space="0"/>
              <w:right w:val="single" w:color="auto" w:sz="4" w:space="0"/>
            </w:tcBorders>
            <w:noWrap w:val="0"/>
            <w:vAlign w:val="center"/>
          </w:tcPr>
          <w:p>
            <w:pPr>
              <w:widowControl/>
              <w:spacing w:line="360" w:lineRule="exact"/>
              <w:jc w:val="both"/>
              <w:rPr>
                <w:rFonts w:hint="default" w:ascii="Times New Roman" w:hAnsi="Times New Roman" w:eastAsia="仿宋_GB2312" w:cs="Times New Roman"/>
                <w:sz w:val="21"/>
                <w:szCs w:val="21"/>
                <w:lang w:val="en-US" w:eastAsia="zh-CN"/>
              </w:rPr>
            </w:pPr>
            <w:r>
              <w:rPr>
                <w:rFonts w:hint="eastAsia" w:ascii="Times New Roman" w:hAnsi="Times New Roman" w:eastAsia="仿宋_GB2312" w:cs="Times New Roman"/>
                <w:sz w:val="21"/>
                <w:szCs w:val="21"/>
                <w:lang w:val="en-US" w:eastAsia="zh-CN"/>
              </w:rPr>
              <w:t xml:space="preserve">    现代农业产业体系建设</w:t>
            </w:r>
          </w:p>
        </w:tc>
        <w:tc>
          <w:tcPr>
            <w:tcW w:w="17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1"/>
                <w:szCs w:val="21"/>
                <w:lang w:val="en-US" w:eastAsia="zh-CN"/>
              </w:rPr>
            </w:pPr>
            <w:r>
              <w:rPr>
                <w:rFonts w:hint="eastAsia" w:ascii="Times New Roman" w:hAnsi="Times New Roman" w:eastAsia="仿宋_GB2312" w:cs="Times New Roman"/>
                <w:sz w:val="21"/>
                <w:szCs w:val="21"/>
                <w:lang w:val="en-US" w:eastAsia="zh-CN"/>
              </w:rPr>
              <w:t>40.33</w:t>
            </w:r>
          </w:p>
        </w:tc>
        <w:tc>
          <w:tcPr>
            <w:tcW w:w="1999"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Times New Roman" w:hAnsi="Times New Roman" w:eastAsia="仿宋_GB2312" w:cs="Times New Roman"/>
                <w:sz w:val="21"/>
                <w:szCs w:val="21"/>
                <w:lang w:val="en-US" w:eastAsia="zh-CN"/>
              </w:rPr>
            </w:pPr>
          </w:p>
        </w:tc>
        <w:tc>
          <w:tcPr>
            <w:tcW w:w="226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1"/>
                <w:szCs w:val="21"/>
                <w:lang w:val="en-US" w:eastAsia="zh-CN"/>
              </w:rPr>
            </w:pPr>
            <w:r>
              <w:rPr>
                <w:rFonts w:hint="eastAsia" w:ascii="Times New Roman" w:hAnsi="Times New Roman" w:eastAsia="仿宋_GB2312" w:cs="Times New Roman"/>
                <w:sz w:val="21"/>
                <w:szCs w:val="21"/>
                <w:lang w:val="en-US" w:eastAsia="zh-CN"/>
              </w:rPr>
              <w:t>21.46</w:t>
            </w:r>
          </w:p>
        </w:tc>
      </w:tr>
      <w:tr>
        <w:tblPrEx>
          <w:tblLayout w:type="fixed"/>
          <w:tblCellMar>
            <w:top w:w="0" w:type="dxa"/>
            <w:left w:w="108" w:type="dxa"/>
            <w:bottom w:w="0" w:type="dxa"/>
            <w:right w:w="108" w:type="dxa"/>
          </w:tblCellMar>
        </w:tblPrEx>
        <w:trPr>
          <w:trHeight w:val="23" w:hRule="atLeast"/>
          <w:jc w:val="center"/>
        </w:trPr>
        <w:tc>
          <w:tcPr>
            <w:tcW w:w="3062" w:type="dxa"/>
            <w:tcBorders>
              <w:top w:val="nil"/>
              <w:left w:val="single" w:color="auto" w:sz="4" w:space="0"/>
              <w:bottom w:val="single" w:color="auto" w:sz="4" w:space="0"/>
              <w:right w:val="single" w:color="auto" w:sz="4" w:space="0"/>
            </w:tcBorders>
            <w:noWrap w:val="0"/>
            <w:vAlign w:val="center"/>
          </w:tcPr>
          <w:p>
            <w:pPr>
              <w:widowControl/>
              <w:spacing w:line="360" w:lineRule="exact"/>
              <w:jc w:val="both"/>
              <w:rPr>
                <w:rFonts w:hint="default" w:ascii="Times New Roman" w:hAnsi="Times New Roman" w:eastAsia="仿宋_GB2312" w:cs="Times New Roman"/>
                <w:sz w:val="21"/>
                <w:szCs w:val="21"/>
                <w:lang w:val="en-US" w:eastAsia="zh-CN"/>
              </w:rPr>
            </w:pPr>
            <w:r>
              <w:rPr>
                <w:rFonts w:hint="eastAsia" w:ascii="Times New Roman" w:hAnsi="Times New Roman" w:eastAsia="仿宋_GB2312" w:cs="Times New Roman"/>
                <w:sz w:val="21"/>
                <w:szCs w:val="21"/>
                <w:lang w:val="en-US" w:eastAsia="zh-CN"/>
              </w:rPr>
              <w:t xml:space="preserve">    创新型省份建设专项</w:t>
            </w:r>
          </w:p>
        </w:tc>
        <w:tc>
          <w:tcPr>
            <w:tcW w:w="17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1"/>
                <w:szCs w:val="21"/>
                <w:lang w:val="en-US" w:eastAsia="zh-CN"/>
              </w:rPr>
            </w:pPr>
            <w:r>
              <w:rPr>
                <w:rFonts w:hint="eastAsia" w:ascii="Times New Roman" w:hAnsi="Times New Roman" w:eastAsia="仿宋_GB2312" w:cs="Times New Roman"/>
                <w:sz w:val="21"/>
                <w:szCs w:val="21"/>
                <w:lang w:val="en-US" w:eastAsia="zh-CN"/>
              </w:rPr>
              <w:t>11.22</w:t>
            </w:r>
          </w:p>
        </w:tc>
        <w:tc>
          <w:tcPr>
            <w:tcW w:w="1999"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Times New Roman" w:hAnsi="Times New Roman" w:eastAsia="仿宋_GB2312" w:cs="Times New Roman"/>
                <w:sz w:val="21"/>
                <w:szCs w:val="21"/>
                <w:lang w:val="en-US" w:eastAsia="zh-CN"/>
              </w:rPr>
            </w:pPr>
          </w:p>
        </w:tc>
        <w:tc>
          <w:tcPr>
            <w:tcW w:w="226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Times New Roman" w:hAnsi="Times New Roman" w:eastAsia="仿宋_GB2312" w:cs="Times New Roman"/>
                <w:sz w:val="21"/>
                <w:szCs w:val="21"/>
                <w:lang w:val="en-US" w:eastAsia="zh-CN"/>
              </w:rPr>
            </w:pPr>
          </w:p>
        </w:tc>
      </w:tr>
      <w:tr>
        <w:tblPrEx>
          <w:tblLayout w:type="fixed"/>
          <w:tblCellMar>
            <w:top w:w="0" w:type="dxa"/>
            <w:left w:w="108" w:type="dxa"/>
            <w:bottom w:w="0" w:type="dxa"/>
            <w:right w:w="108" w:type="dxa"/>
          </w:tblCellMar>
        </w:tblPrEx>
        <w:trPr>
          <w:trHeight w:val="23" w:hRule="atLeast"/>
          <w:jc w:val="center"/>
        </w:trPr>
        <w:tc>
          <w:tcPr>
            <w:tcW w:w="3062"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公用经费</w:t>
            </w:r>
          </w:p>
        </w:tc>
        <w:tc>
          <w:tcPr>
            <w:tcW w:w="17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　</w:t>
            </w:r>
          </w:p>
        </w:tc>
        <w:tc>
          <w:tcPr>
            <w:tcW w:w="1999"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　</w:t>
            </w:r>
          </w:p>
        </w:tc>
        <w:tc>
          <w:tcPr>
            <w:tcW w:w="226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　</w:t>
            </w:r>
          </w:p>
        </w:tc>
      </w:tr>
      <w:tr>
        <w:tblPrEx>
          <w:tblLayout w:type="fixed"/>
          <w:tblCellMar>
            <w:top w:w="0" w:type="dxa"/>
            <w:left w:w="108" w:type="dxa"/>
            <w:bottom w:w="0" w:type="dxa"/>
            <w:right w:w="108" w:type="dxa"/>
          </w:tblCellMar>
        </w:tblPrEx>
        <w:trPr>
          <w:trHeight w:val="23" w:hRule="atLeast"/>
          <w:jc w:val="center"/>
        </w:trPr>
        <w:tc>
          <w:tcPr>
            <w:tcW w:w="3062"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 xml:space="preserve">    其中：办公经费</w:t>
            </w:r>
          </w:p>
        </w:tc>
        <w:tc>
          <w:tcPr>
            <w:tcW w:w="17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1"/>
                <w:szCs w:val="21"/>
              </w:rPr>
            </w:pPr>
            <w:r>
              <w:rPr>
                <w:rFonts w:hint="eastAsia" w:ascii="Times New Roman" w:hAnsi="Times New Roman" w:eastAsia="仿宋_GB2312" w:cs="Times New Roman"/>
                <w:color w:val="auto"/>
                <w:sz w:val="21"/>
                <w:szCs w:val="21"/>
                <w:lang w:val="en-US" w:eastAsia="zh-CN"/>
              </w:rPr>
              <w:t>1.55</w:t>
            </w:r>
            <w:r>
              <w:rPr>
                <w:rFonts w:hint="default" w:ascii="Times New Roman" w:hAnsi="Times New Roman" w:eastAsia="仿宋_GB2312" w:cs="Times New Roman"/>
                <w:color w:val="auto"/>
                <w:sz w:val="21"/>
                <w:szCs w:val="21"/>
              </w:rPr>
              <w:t>　</w:t>
            </w:r>
          </w:p>
        </w:tc>
        <w:tc>
          <w:tcPr>
            <w:tcW w:w="1999"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1"/>
                <w:szCs w:val="21"/>
              </w:rPr>
            </w:pPr>
            <w:r>
              <w:rPr>
                <w:rFonts w:hint="eastAsia" w:ascii="Times New Roman" w:hAnsi="Times New Roman" w:eastAsia="仿宋_GB2312" w:cs="Times New Roman"/>
                <w:color w:val="auto"/>
                <w:sz w:val="21"/>
                <w:szCs w:val="21"/>
                <w:lang w:val="en-US" w:eastAsia="zh-CN"/>
              </w:rPr>
              <w:t>2.00</w:t>
            </w:r>
            <w:r>
              <w:rPr>
                <w:rFonts w:hint="default" w:ascii="Times New Roman" w:hAnsi="Times New Roman" w:eastAsia="仿宋_GB2312" w:cs="Times New Roman"/>
                <w:color w:val="auto"/>
                <w:sz w:val="21"/>
                <w:szCs w:val="21"/>
              </w:rPr>
              <w:t>　</w:t>
            </w:r>
          </w:p>
        </w:tc>
        <w:tc>
          <w:tcPr>
            <w:tcW w:w="226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1"/>
                <w:szCs w:val="21"/>
                <w:lang w:val="en-US" w:eastAsia="zh-CN"/>
              </w:rPr>
            </w:pPr>
            <w:r>
              <w:rPr>
                <w:rFonts w:hint="eastAsia" w:ascii="Times New Roman" w:hAnsi="Times New Roman" w:eastAsia="仿宋_GB2312" w:cs="Times New Roman"/>
                <w:color w:val="auto"/>
                <w:sz w:val="21"/>
                <w:szCs w:val="21"/>
                <w:lang w:val="en-US" w:eastAsia="zh-CN"/>
              </w:rPr>
              <w:t>2.00</w:t>
            </w:r>
          </w:p>
        </w:tc>
      </w:tr>
      <w:tr>
        <w:tblPrEx>
          <w:tblLayout w:type="fixed"/>
          <w:tblCellMar>
            <w:top w:w="0" w:type="dxa"/>
            <w:left w:w="108" w:type="dxa"/>
            <w:bottom w:w="0" w:type="dxa"/>
            <w:right w:w="108" w:type="dxa"/>
          </w:tblCellMar>
        </w:tblPrEx>
        <w:trPr>
          <w:trHeight w:val="23" w:hRule="atLeast"/>
          <w:jc w:val="center"/>
        </w:trPr>
        <w:tc>
          <w:tcPr>
            <w:tcW w:w="3062"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 xml:space="preserve">          水费、电费、差旅费</w:t>
            </w:r>
          </w:p>
        </w:tc>
        <w:tc>
          <w:tcPr>
            <w:tcW w:w="17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1"/>
                <w:szCs w:val="21"/>
              </w:rPr>
            </w:pPr>
            <w:r>
              <w:rPr>
                <w:rFonts w:hint="eastAsia" w:ascii="Times New Roman" w:hAnsi="Times New Roman" w:eastAsia="仿宋_GB2312" w:cs="Times New Roman"/>
                <w:color w:val="auto"/>
                <w:sz w:val="21"/>
                <w:szCs w:val="21"/>
                <w:lang w:val="en-US" w:eastAsia="zh-CN"/>
              </w:rPr>
              <w:t>10.63</w:t>
            </w:r>
            <w:r>
              <w:rPr>
                <w:rFonts w:hint="default" w:ascii="Times New Roman" w:hAnsi="Times New Roman" w:eastAsia="仿宋_GB2312" w:cs="Times New Roman"/>
                <w:color w:val="auto"/>
                <w:sz w:val="21"/>
                <w:szCs w:val="21"/>
              </w:rPr>
              <w:t>　</w:t>
            </w:r>
          </w:p>
        </w:tc>
        <w:tc>
          <w:tcPr>
            <w:tcW w:w="1999"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1"/>
                <w:szCs w:val="21"/>
                <w:lang w:val="en-US" w:eastAsia="zh-CN"/>
              </w:rPr>
            </w:pPr>
            <w:r>
              <w:rPr>
                <w:rFonts w:hint="eastAsia" w:ascii="Times New Roman" w:hAnsi="Times New Roman" w:eastAsia="仿宋_GB2312" w:cs="Times New Roman"/>
                <w:color w:val="auto"/>
                <w:sz w:val="21"/>
                <w:szCs w:val="21"/>
                <w:lang w:val="en-US" w:eastAsia="zh-CN"/>
              </w:rPr>
              <w:t>9.00</w:t>
            </w:r>
          </w:p>
        </w:tc>
        <w:tc>
          <w:tcPr>
            <w:tcW w:w="226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1"/>
                <w:szCs w:val="21"/>
              </w:rPr>
            </w:pPr>
            <w:r>
              <w:rPr>
                <w:rFonts w:hint="eastAsia" w:ascii="Times New Roman" w:hAnsi="Times New Roman" w:eastAsia="仿宋_GB2312" w:cs="Times New Roman"/>
                <w:color w:val="auto"/>
                <w:sz w:val="21"/>
                <w:szCs w:val="21"/>
                <w:lang w:val="en-US" w:eastAsia="zh-CN"/>
              </w:rPr>
              <w:t>7.72</w:t>
            </w:r>
            <w:r>
              <w:rPr>
                <w:rFonts w:hint="default" w:ascii="Times New Roman" w:hAnsi="Times New Roman" w:eastAsia="仿宋_GB2312" w:cs="Times New Roman"/>
                <w:color w:val="auto"/>
                <w:sz w:val="21"/>
                <w:szCs w:val="21"/>
              </w:rPr>
              <w:t>　</w:t>
            </w:r>
          </w:p>
        </w:tc>
      </w:tr>
      <w:tr>
        <w:tblPrEx>
          <w:tblLayout w:type="fixed"/>
          <w:tblCellMar>
            <w:top w:w="0" w:type="dxa"/>
            <w:left w:w="108" w:type="dxa"/>
            <w:bottom w:w="0" w:type="dxa"/>
            <w:right w:w="108" w:type="dxa"/>
          </w:tblCellMar>
        </w:tblPrEx>
        <w:trPr>
          <w:trHeight w:val="23" w:hRule="atLeast"/>
          <w:jc w:val="center"/>
        </w:trPr>
        <w:tc>
          <w:tcPr>
            <w:tcW w:w="3062"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 xml:space="preserve">          会议费、培训费</w:t>
            </w:r>
          </w:p>
        </w:tc>
        <w:tc>
          <w:tcPr>
            <w:tcW w:w="17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1"/>
                <w:szCs w:val="21"/>
                <w:lang w:val="en-US" w:eastAsia="zh-CN"/>
              </w:rPr>
            </w:pPr>
            <w:r>
              <w:rPr>
                <w:rFonts w:hint="default" w:ascii="Times New Roman" w:hAnsi="Times New Roman" w:eastAsia="仿宋_GB2312" w:cs="Times New Roman"/>
                <w:color w:val="auto"/>
                <w:sz w:val="21"/>
                <w:szCs w:val="21"/>
              </w:rPr>
              <w:t>　</w:t>
            </w:r>
            <w:r>
              <w:rPr>
                <w:rFonts w:hint="eastAsia" w:ascii="Times New Roman" w:hAnsi="Times New Roman" w:eastAsia="仿宋_GB2312" w:cs="Times New Roman"/>
                <w:color w:val="auto"/>
                <w:sz w:val="21"/>
                <w:szCs w:val="21"/>
                <w:lang w:val="en-US" w:eastAsia="zh-CN"/>
              </w:rPr>
              <w:t>0.00</w:t>
            </w:r>
          </w:p>
        </w:tc>
        <w:tc>
          <w:tcPr>
            <w:tcW w:w="1999"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1"/>
                <w:szCs w:val="21"/>
              </w:rPr>
            </w:pPr>
            <w:r>
              <w:rPr>
                <w:rFonts w:hint="eastAsia" w:ascii="Times New Roman" w:hAnsi="Times New Roman" w:eastAsia="仿宋_GB2312" w:cs="Times New Roman"/>
                <w:color w:val="auto"/>
                <w:sz w:val="21"/>
                <w:szCs w:val="21"/>
                <w:lang w:val="en-US" w:eastAsia="zh-CN"/>
              </w:rPr>
              <w:t>0.00</w:t>
            </w:r>
            <w:r>
              <w:rPr>
                <w:rFonts w:hint="default" w:ascii="Times New Roman" w:hAnsi="Times New Roman" w:eastAsia="仿宋_GB2312" w:cs="Times New Roman"/>
                <w:color w:val="auto"/>
                <w:sz w:val="21"/>
                <w:szCs w:val="21"/>
              </w:rPr>
              <w:t>　</w:t>
            </w:r>
          </w:p>
        </w:tc>
        <w:tc>
          <w:tcPr>
            <w:tcW w:w="226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1"/>
                <w:szCs w:val="21"/>
              </w:rPr>
            </w:pPr>
            <w:r>
              <w:rPr>
                <w:rFonts w:hint="eastAsia" w:ascii="Times New Roman" w:hAnsi="Times New Roman" w:eastAsia="仿宋_GB2312" w:cs="Times New Roman"/>
                <w:color w:val="auto"/>
                <w:sz w:val="21"/>
                <w:szCs w:val="21"/>
                <w:lang w:val="en-US" w:eastAsia="zh-CN"/>
              </w:rPr>
              <w:t>0.00</w:t>
            </w:r>
            <w:r>
              <w:rPr>
                <w:rFonts w:hint="default" w:ascii="Times New Roman" w:hAnsi="Times New Roman" w:eastAsia="仿宋_GB2312" w:cs="Times New Roman"/>
                <w:color w:val="auto"/>
                <w:sz w:val="21"/>
                <w:szCs w:val="21"/>
              </w:rPr>
              <w:t>　</w:t>
            </w:r>
          </w:p>
        </w:tc>
      </w:tr>
      <w:tr>
        <w:tblPrEx>
          <w:tblLayout w:type="fixed"/>
          <w:tblCellMar>
            <w:top w:w="0" w:type="dxa"/>
            <w:left w:w="108" w:type="dxa"/>
            <w:bottom w:w="0" w:type="dxa"/>
            <w:right w:w="108" w:type="dxa"/>
          </w:tblCellMar>
        </w:tblPrEx>
        <w:trPr>
          <w:trHeight w:val="23" w:hRule="atLeast"/>
          <w:jc w:val="center"/>
        </w:trPr>
        <w:tc>
          <w:tcPr>
            <w:tcW w:w="3062"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政府采购金额</w:t>
            </w:r>
          </w:p>
        </w:tc>
        <w:tc>
          <w:tcPr>
            <w:tcW w:w="17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w:t>
            </w:r>
          </w:p>
        </w:tc>
        <w:tc>
          <w:tcPr>
            <w:tcW w:w="1999"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1"/>
                <w:szCs w:val="21"/>
              </w:rPr>
            </w:pPr>
            <w:r>
              <w:rPr>
                <w:rFonts w:hint="eastAsia" w:ascii="Times New Roman" w:hAnsi="Times New Roman" w:eastAsia="仿宋_GB2312" w:cs="Times New Roman"/>
                <w:sz w:val="21"/>
                <w:szCs w:val="21"/>
                <w:lang w:val="en-US" w:eastAsia="zh-CN"/>
              </w:rPr>
              <w:t>890.00</w:t>
            </w:r>
            <w:r>
              <w:rPr>
                <w:rFonts w:hint="default" w:ascii="Times New Roman" w:hAnsi="Times New Roman" w:eastAsia="仿宋_GB2312" w:cs="Times New Roman"/>
                <w:sz w:val="21"/>
                <w:szCs w:val="21"/>
              </w:rPr>
              <w:t>　</w:t>
            </w:r>
          </w:p>
        </w:tc>
        <w:tc>
          <w:tcPr>
            <w:tcW w:w="226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1"/>
                <w:szCs w:val="21"/>
              </w:rPr>
            </w:pPr>
            <w:r>
              <w:rPr>
                <w:rFonts w:hint="eastAsia" w:ascii="Times New Roman" w:hAnsi="Times New Roman" w:eastAsia="仿宋_GB2312" w:cs="Times New Roman"/>
                <w:sz w:val="21"/>
                <w:szCs w:val="21"/>
                <w:lang w:val="en-US" w:eastAsia="zh-CN"/>
              </w:rPr>
              <w:t>881.47</w:t>
            </w:r>
            <w:r>
              <w:rPr>
                <w:rFonts w:hint="default" w:ascii="Times New Roman" w:hAnsi="Times New Roman" w:eastAsia="仿宋_GB2312" w:cs="Times New Roman"/>
                <w:sz w:val="21"/>
                <w:szCs w:val="21"/>
              </w:rPr>
              <w:t>　</w:t>
            </w:r>
          </w:p>
        </w:tc>
      </w:tr>
      <w:tr>
        <w:tblPrEx>
          <w:tblLayout w:type="fixed"/>
          <w:tblCellMar>
            <w:top w:w="0" w:type="dxa"/>
            <w:left w:w="108" w:type="dxa"/>
            <w:bottom w:w="0" w:type="dxa"/>
            <w:right w:w="108" w:type="dxa"/>
          </w:tblCellMar>
        </w:tblPrEx>
        <w:trPr>
          <w:trHeight w:val="23" w:hRule="atLeast"/>
          <w:jc w:val="center"/>
        </w:trPr>
        <w:tc>
          <w:tcPr>
            <w:tcW w:w="3062"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 xml:space="preserve">部门基本支出预算调整 </w:t>
            </w:r>
          </w:p>
        </w:tc>
        <w:tc>
          <w:tcPr>
            <w:tcW w:w="17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w:t>
            </w:r>
          </w:p>
        </w:tc>
        <w:tc>
          <w:tcPr>
            <w:tcW w:w="1999"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1"/>
                <w:szCs w:val="21"/>
              </w:rPr>
            </w:pPr>
            <w:r>
              <w:rPr>
                <w:rFonts w:hint="eastAsia" w:ascii="Times New Roman" w:hAnsi="Times New Roman" w:eastAsia="仿宋_GB2312" w:cs="Times New Roman"/>
                <w:sz w:val="21"/>
                <w:szCs w:val="21"/>
                <w:lang w:val="en-US" w:eastAsia="zh-CN"/>
              </w:rPr>
              <w:t>659.92</w:t>
            </w:r>
            <w:r>
              <w:rPr>
                <w:rFonts w:hint="default" w:ascii="Times New Roman" w:hAnsi="Times New Roman" w:eastAsia="仿宋_GB2312" w:cs="Times New Roman"/>
                <w:sz w:val="21"/>
                <w:szCs w:val="21"/>
              </w:rPr>
              <w:t>　</w:t>
            </w:r>
          </w:p>
        </w:tc>
        <w:tc>
          <w:tcPr>
            <w:tcW w:w="226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1"/>
                <w:szCs w:val="21"/>
              </w:rPr>
            </w:pPr>
            <w:r>
              <w:rPr>
                <w:rFonts w:hint="eastAsia" w:ascii="Times New Roman" w:hAnsi="Times New Roman" w:eastAsia="仿宋_GB2312" w:cs="Times New Roman"/>
                <w:sz w:val="21"/>
                <w:szCs w:val="21"/>
                <w:lang w:val="en-US" w:eastAsia="zh-CN"/>
              </w:rPr>
              <w:t>669.92</w:t>
            </w:r>
            <w:r>
              <w:rPr>
                <w:rFonts w:hint="default" w:ascii="Times New Roman" w:hAnsi="Times New Roman" w:eastAsia="仿宋_GB2312" w:cs="Times New Roman"/>
                <w:sz w:val="21"/>
                <w:szCs w:val="21"/>
              </w:rPr>
              <w:t>　</w:t>
            </w:r>
          </w:p>
        </w:tc>
      </w:tr>
      <w:tr>
        <w:tblPrEx>
          <w:tblLayout w:type="fixed"/>
          <w:tblCellMar>
            <w:top w:w="0" w:type="dxa"/>
            <w:left w:w="108" w:type="dxa"/>
            <w:bottom w:w="0" w:type="dxa"/>
            <w:right w:w="108" w:type="dxa"/>
          </w:tblCellMar>
        </w:tblPrEx>
        <w:trPr>
          <w:trHeight w:val="1126" w:hRule="atLeast"/>
          <w:jc w:val="center"/>
        </w:trPr>
        <w:tc>
          <w:tcPr>
            <w:tcW w:w="3062" w:type="dxa"/>
            <w:vMerge w:val="restart"/>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hint="eastAsia" w:ascii="Times New Roman" w:hAnsi="Times New Roman" w:eastAsia="仿宋_GB2312" w:cs="Times New Roman"/>
                <w:sz w:val="21"/>
                <w:szCs w:val="21"/>
                <w:lang w:eastAsia="zh-CN"/>
              </w:rPr>
            </w:pPr>
            <w:r>
              <w:rPr>
                <w:rFonts w:hint="default" w:ascii="Times New Roman" w:hAnsi="Times New Roman" w:eastAsia="仿宋_GB2312" w:cs="Times New Roman"/>
                <w:sz w:val="21"/>
                <w:szCs w:val="21"/>
              </w:rPr>
              <w:t>楼堂馆所控制情况</w:t>
            </w:r>
          </w:p>
          <w:p>
            <w:pPr>
              <w:widowControl/>
              <w:spacing w:line="360" w:lineRule="exact"/>
              <w:jc w:val="center"/>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（202</w:t>
            </w:r>
            <w:r>
              <w:rPr>
                <w:rFonts w:hint="eastAsia" w:ascii="Times New Roman" w:hAnsi="Times New Roman" w:eastAsia="仿宋_GB2312" w:cs="Times New Roman"/>
                <w:sz w:val="21"/>
                <w:szCs w:val="21"/>
                <w:lang w:val="en-US" w:eastAsia="zh-CN"/>
              </w:rPr>
              <w:t>3</w:t>
            </w:r>
            <w:r>
              <w:rPr>
                <w:rFonts w:hint="default" w:ascii="Times New Roman" w:hAnsi="Times New Roman" w:eastAsia="仿宋_GB2312" w:cs="Times New Roman"/>
                <w:sz w:val="21"/>
                <w:szCs w:val="21"/>
              </w:rPr>
              <w:t>年完工项目）</w:t>
            </w:r>
          </w:p>
        </w:tc>
        <w:tc>
          <w:tcPr>
            <w:tcW w:w="824" w:type="dxa"/>
            <w:tcBorders>
              <w:top w:val="nil"/>
              <w:left w:val="nil"/>
              <w:bottom w:val="single" w:color="auto" w:sz="4" w:space="0"/>
              <w:right w:val="single" w:color="auto" w:sz="4" w:space="0"/>
            </w:tcBorders>
            <w:noWrap w:val="0"/>
            <w:vAlign w:val="center"/>
          </w:tcPr>
          <w:p>
            <w:pPr>
              <w:widowControl/>
              <w:spacing w:line="360" w:lineRule="exact"/>
              <w:jc w:val="center"/>
              <w:rPr>
                <w:rFonts w:hint="eastAsia" w:ascii="Times New Roman" w:hAnsi="Times New Roman" w:eastAsia="仿宋_GB2312" w:cs="Times New Roman"/>
                <w:bCs/>
                <w:sz w:val="21"/>
                <w:szCs w:val="21"/>
                <w:lang w:eastAsia="zh-CN"/>
              </w:rPr>
            </w:pPr>
            <w:r>
              <w:rPr>
                <w:rFonts w:hint="default" w:ascii="Times New Roman" w:hAnsi="Times New Roman" w:eastAsia="仿宋_GB2312" w:cs="Times New Roman"/>
                <w:bCs/>
                <w:sz w:val="21"/>
                <w:szCs w:val="21"/>
              </w:rPr>
              <w:t>批复规模</w:t>
            </w:r>
          </w:p>
          <w:p>
            <w:pPr>
              <w:widowControl/>
              <w:spacing w:line="360" w:lineRule="exact"/>
              <w:jc w:val="center"/>
              <w:rPr>
                <w:rFonts w:hint="default" w:ascii="Times New Roman" w:hAnsi="Times New Roman" w:eastAsia="仿宋_GB2312" w:cs="Times New Roman"/>
                <w:bCs/>
                <w:sz w:val="21"/>
                <w:szCs w:val="21"/>
              </w:rPr>
            </w:pPr>
            <w:r>
              <w:rPr>
                <w:rFonts w:hint="default" w:ascii="Times New Roman" w:hAnsi="Times New Roman" w:eastAsia="仿宋_GB2312" w:cs="Times New Roman"/>
                <w:bCs/>
                <w:sz w:val="21"/>
                <w:szCs w:val="21"/>
              </w:rPr>
              <w:t>（</w:t>
            </w:r>
            <w:r>
              <w:rPr>
                <w:rFonts w:hint="default" w:ascii="Times New Roman" w:hAnsi="Times New Roman" w:cs="Times New Roman"/>
                <w:bCs/>
                <w:sz w:val="21"/>
                <w:szCs w:val="21"/>
              </w:rPr>
              <w:t>㎡</w:t>
            </w:r>
            <w:r>
              <w:rPr>
                <w:rFonts w:hint="default" w:ascii="Times New Roman" w:hAnsi="Times New Roman" w:eastAsia="仿宋_GB2312" w:cs="Times New Roman"/>
                <w:bCs/>
                <w:sz w:val="21"/>
                <w:szCs w:val="21"/>
              </w:rPr>
              <w:t>）</w:t>
            </w:r>
          </w:p>
        </w:tc>
        <w:tc>
          <w:tcPr>
            <w:tcW w:w="914" w:type="dxa"/>
            <w:tcBorders>
              <w:top w:val="nil"/>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Cs/>
                <w:sz w:val="21"/>
                <w:szCs w:val="21"/>
              </w:rPr>
            </w:pPr>
            <w:r>
              <w:rPr>
                <w:rFonts w:hint="default" w:ascii="Times New Roman" w:hAnsi="Times New Roman" w:eastAsia="仿宋_GB2312" w:cs="Times New Roman"/>
                <w:bCs/>
                <w:sz w:val="21"/>
                <w:szCs w:val="21"/>
              </w:rPr>
              <w:t>实际规模（</w:t>
            </w:r>
            <w:r>
              <w:rPr>
                <w:rFonts w:hint="default" w:ascii="Times New Roman" w:hAnsi="Times New Roman" w:cs="Times New Roman"/>
                <w:bCs/>
                <w:sz w:val="21"/>
                <w:szCs w:val="21"/>
              </w:rPr>
              <w:t>㎡</w:t>
            </w:r>
            <w:r>
              <w:rPr>
                <w:rFonts w:hint="default" w:ascii="Times New Roman" w:hAnsi="Times New Roman" w:eastAsia="仿宋_GB2312" w:cs="Times New Roman"/>
                <w:bCs/>
                <w:sz w:val="21"/>
                <w:szCs w:val="21"/>
              </w:rPr>
              <w:t>）</w:t>
            </w:r>
          </w:p>
        </w:tc>
        <w:tc>
          <w:tcPr>
            <w:tcW w:w="900" w:type="dxa"/>
            <w:tcBorders>
              <w:top w:val="nil"/>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Cs/>
                <w:sz w:val="21"/>
                <w:szCs w:val="21"/>
              </w:rPr>
            </w:pPr>
            <w:r>
              <w:rPr>
                <w:rFonts w:hint="default" w:ascii="Times New Roman" w:hAnsi="Times New Roman" w:eastAsia="仿宋_GB2312" w:cs="Times New Roman"/>
                <w:bCs/>
                <w:sz w:val="21"/>
                <w:szCs w:val="21"/>
              </w:rPr>
              <w:t>规模控制率</w:t>
            </w:r>
          </w:p>
        </w:tc>
        <w:tc>
          <w:tcPr>
            <w:tcW w:w="1099" w:type="dxa"/>
            <w:tcBorders>
              <w:top w:val="nil"/>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Cs/>
                <w:sz w:val="21"/>
                <w:szCs w:val="21"/>
              </w:rPr>
            </w:pPr>
            <w:r>
              <w:rPr>
                <w:rFonts w:hint="default" w:ascii="Times New Roman" w:hAnsi="Times New Roman" w:eastAsia="仿宋_GB2312" w:cs="Times New Roman"/>
                <w:bCs/>
                <w:sz w:val="21"/>
                <w:szCs w:val="21"/>
              </w:rPr>
              <w:t>预算投资（万元）</w:t>
            </w:r>
          </w:p>
        </w:tc>
        <w:tc>
          <w:tcPr>
            <w:tcW w:w="1078" w:type="dxa"/>
            <w:tcBorders>
              <w:top w:val="nil"/>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Cs/>
                <w:sz w:val="21"/>
                <w:szCs w:val="21"/>
              </w:rPr>
            </w:pPr>
            <w:r>
              <w:rPr>
                <w:rFonts w:hint="default" w:ascii="Times New Roman" w:hAnsi="Times New Roman" w:eastAsia="仿宋_GB2312" w:cs="Times New Roman"/>
                <w:bCs/>
                <w:sz w:val="21"/>
                <w:szCs w:val="21"/>
              </w:rPr>
              <w:t>实际投资（万元）</w:t>
            </w:r>
          </w:p>
        </w:tc>
        <w:tc>
          <w:tcPr>
            <w:tcW w:w="1190" w:type="dxa"/>
            <w:tcBorders>
              <w:top w:val="nil"/>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Cs/>
                <w:sz w:val="21"/>
                <w:szCs w:val="21"/>
              </w:rPr>
            </w:pPr>
            <w:r>
              <w:rPr>
                <w:rFonts w:hint="default" w:ascii="Times New Roman" w:hAnsi="Times New Roman" w:eastAsia="仿宋_GB2312" w:cs="Times New Roman"/>
                <w:bCs/>
                <w:sz w:val="21"/>
                <w:szCs w:val="21"/>
              </w:rPr>
              <w:t>投资概算控制率</w:t>
            </w:r>
          </w:p>
        </w:tc>
      </w:tr>
      <w:tr>
        <w:tblPrEx>
          <w:tblLayout w:type="fixed"/>
          <w:tblCellMar>
            <w:top w:w="0" w:type="dxa"/>
            <w:left w:w="108" w:type="dxa"/>
            <w:bottom w:w="0" w:type="dxa"/>
            <w:right w:w="108" w:type="dxa"/>
          </w:tblCellMar>
        </w:tblPrEx>
        <w:trPr>
          <w:trHeight w:val="292" w:hRule="atLeast"/>
          <w:jc w:val="center"/>
        </w:trPr>
        <w:tc>
          <w:tcPr>
            <w:tcW w:w="3062" w:type="dxa"/>
            <w:vMerge w:val="continue"/>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1"/>
                <w:szCs w:val="21"/>
              </w:rPr>
            </w:pPr>
          </w:p>
        </w:tc>
        <w:tc>
          <w:tcPr>
            <w:tcW w:w="824" w:type="dxa"/>
            <w:tcBorders>
              <w:top w:val="nil"/>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　</w:t>
            </w:r>
          </w:p>
        </w:tc>
        <w:tc>
          <w:tcPr>
            <w:tcW w:w="914" w:type="dxa"/>
            <w:tcBorders>
              <w:top w:val="nil"/>
              <w:left w:val="nil"/>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　</w:t>
            </w:r>
          </w:p>
        </w:tc>
        <w:tc>
          <w:tcPr>
            <w:tcW w:w="900" w:type="dxa"/>
            <w:tcBorders>
              <w:top w:val="nil"/>
              <w:left w:val="nil"/>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　</w:t>
            </w:r>
          </w:p>
        </w:tc>
        <w:tc>
          <w:tcPr>
            <w:tcW w:w="1099" w:type="dxa"/>
            <w:tcBorders>
              <w:top w:val="nil"/>
              <w:left w:val="nil"/>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　</w:t>
            </w:r>
          </w:p>
        </w:tc>
        <w:tc>
          <w:tcPr>
            <w:tcW w:w="1078" w:type="dxa"/>
            <w:tcBorders>
              <w:top w:val="nil"/>
              <w:left w:val="nil"/>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　</w:t>
            </w:r>
          </w:p>
        </w:tc>
        <w:tc>
          <w:tcPr>
            <w:tcW w:w="1190" w:type="dxa"/>
            <w:tcBorders>
              <w:top w:val="nil"/>
              <w:left w:val="nil"/>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　</w:t>
            </w:r>
          </w:p>
        </w:tc>
      </w:tr>
      <w:tr>
        <w:tblPrEx>
          <w:tblLayout w:type="fixed"/>
          <w:tblCellMar>
            <w:top w:w="0" w:type="dxa"/>
            <w:left w:w="108" w:type="dxa"/>
            <w:bottom w:w="0" w:type="dxa"/>
            <w:right w:w="108" w:type="dxa"/>
          </w:tblCellMar>
        </w:tblPrEx>
        <w:trPr>
          <w:trHeight w:val="23" w:hRule="atLeast"/>
          <w:jc w:val="center"/>
        </w:trPr>
        <w:tc>
          <w:tcPr>
            <w:tcW w:w="3062" w:type="dxa"/>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厉行节约保障措施</w:t>
            </w:r>
          </w:p>
        </w:tc>
        <w:tc>
          <w:tcPr>
            <w:tcW w:w="6005" w:type="dxa"/>
            <w:gridSpan w:val="6"/>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　</w:t>
            </w:r>
          </w:p>
        </w:tc>
      </w:tr>
    </w:tbl>
    <w:p>
      <w:pPr>
        <w:widowControl/>
        <w:spacing w:afterLines="0" w:line="400" w:lineRule="exact"/>
        <w:jc w:val="left"/>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说明：“项目支出”需要填报基本支出以外的所有项目支出情况，“公用经费”填报基本支出中的一般商品和服务支出。</w:t>
      </w:r>
    </w:p>
    <w:p>
      <w:pPr>
        <w:widowControl/>
        <w:spacing w:after="0" w:afterLines="0" w:line="400" w:lineRule="exact"/>
        <w:ind w:firstLine="0" w:firstLineChars="0"/>
        <w:jc w:val="left"/>
        <w:rPr>
          <w:rFonts w:hint="default" w:ascii="Times New Roman" w:hAnsi="Times New Roman" w:eastAsia="仿宋_GB2312" w:cs="Times New Roman"/>
          <w:sz w:val="22"/>
        </w:rPr>
      </w:pPr>
      <w:r>
        <w:rPr>
          <w:rFonts w:hint="default" w:ascii="Times New Roman" w:hAnsi="Times New Roman" w:eastAsia="仿宋_GB2312" w:cs="Times New Roman"/>
          <w:sz w:val="22"/>
        </w:rPr>
        <w:br w:type="page"/>
      </w:r>
    </w:p>
    <w:p>
      <w:pPr>
        <w:widowControl/>
        <w:spacing w:after="120" w:afterLines="50"/>
        <w:jc w:val="center"/>
        <w:rPr>
          <w:rFonts w:hint="default" w:ascii="Times New Roman" w:hAnsi="Times New Roman" w:eastAsia="方正小标宋_GBK" w:cs="Times New Roman"/>
          <w:color w:val="000000"/>
          <w:sz w:val="36"/>
          <w:szCs w:val="36"/>
        </w:rPr>
      </w:pPr>
      <w:r>
        <w:rPr>
          <w:rFonts w:hint="default" w:ascii="Times New Roman" w:hAnsi="Times New Roman" w:eastAsia="方正小标宋_GBK" w:cs="Times New Roman"/>
          <w:color w:val="000000"/>
          <w:sz w:val="36"/>
          <w:szCs w:val="36"/>
        </w:rPr>
        <w:t>202</w:t>
      </w:r>
      <w:r>
        <w:rPr>
          <w:rFonts w:hint="eastAsia" w:ascii="Times New Roman" w:hAnsi="Times New Roman" w:eastAsia="方正小标宋_GBK" w:cs="Times New Roman"/>
          <w:color w:val="000000"/>
          <w:sz w:val="36"/>
          <w:szCs w:val="36"/>
          <w:lang w:val="en-US" w:eastAsia="zh-CN"/>
        </w:rPr>
        <w:t>3</w:t>
      </w:r>
      <w:r>
        <w:rPr>
          <w:rFonts w:hint="default" w:ascii="Times New Roman" w:hAnsi="Times New Roman" w:eastAsia="方正小标宋_GBK" w:cs="Times New Roman"/>
          <w:color w:val="000000"/>
          <w:sz w:val="36"/>
          <w:szCs w:val="36"/>
        </w:rPr>
        <w:t>年</w:t>
      </w:r>
      <w:r>
        <w:rPr>
          <w:rFonts w:hint="eastAsia" w:ascii="Times New Roman" w:hAnsi="Times New Roman" w:eastAsia="方正小标宋_GBK" w:cs="Times New Roman"/>
          <w:color w:val="000000"/>
          <w:sz w:val="36"/>
          <w:szCs w:val="36"/>
          <w:lang w:eastAsia="zh-CN"/>
        </w:rPr>
        <w:t>度</w:t>
      </w:r>
      <w:r>
        <w:rPr>
          <w:rFonts w:hint="default" w:ascii="Times New Roman" w:hAnsi="Times New Roman" w:eastAsia="方正小标宋_GBK" w:cs="Times New Roman"/>
          <w:color w:val="000000"/>
          <w:sz w:val="36"/>
          <w:szCs w:val="36"/>
        </w:rPr>
        <w:t>部门整体支出绩效自评表</w:t>
      </w:r>
    </w:p>
    <w:tbl>
      <w:tblPr>
        <w:tblStyle w:val="13"/>
        <w:tblpPr w:leftFromText="180" w:rightFromText="180" w:vertAnchor="text" w:horzAnchor="page" w:tblpX="948" w:tblpY="83"/>
        <w:tblOverlap w:val="never"/>
        <w:tblW w:w="10050" w:type="dxa"/>
        <w:tblInd w:w="0" w:type="dxa"/>
        <w:tblLayout w:type="fixed"/>
        <w:tblCellMar>
          <w:top w:w="0" w:type="dxa"/>
          <w:left w:w="108" w:type="dxa"/>
          <w:bottom w:w="0" w:type="dxa"/>
          <w:right w:w="108" w:type="dxa"/>
        </w:tblCellMar>
      </w:tblPr>
      <w:tblGrid>
        <w:gridCol w:w="750"/>
        <w:gridCol w:w="846"/>
        <w:gridCol w:w="987"/>
        <w:gridCol w:w="2050"/>
        <w:gridCol w:w="938"/>
        <w:gridCol w:w="1075"/>
        <w:gridCol w:w="879"/>
        <w:gridCol w:w="956"/>
        <w:gridCol w:w="1569"/>
      </w:tblGrid>
      <w:tr>
        <w:tblPrEx>
          <w:tblLayout w:type="fixed"/>
          <w:tblCellMar>
            <w:top w:w="0" w:type="dxa"/>
            <w:left w:w="108" w:type="dxa"/>
            <w:bottom w:w="0" w:type="dxa"/>
            <w:right w:w="108" w:type="dxa"/>
          </w:tblCellMar>
        </w:tblPrEx>
        <w:trPr>
          <w:trHeight w:val="227" w:hRule="atLeast"/>
        </w:trPr>
        <w:tc>
          <w:tcPr>
            <w:tcW w:w="2583"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8"/>
                <w:szCs w:val="18"/>
              </w:rPr>
            </w:pPr>
            <w:r>
              <w:rPr>
                <w:rFonts w:hint="default" w:ascii="Times New Roman" w:hAnsi="Times New Roman" w:eastAsia="仿宋_GB2312" w:cs="Times New Roman"/>
                <w:color w:val="000000"/>
                <w:sz w:val="18"/>
                <w:szCs w:val="18"/>
              </w:rPr>
              <w:t>省级预算部门</w:t>
            </w:r>
            <w:r>
              <w:rPr>
                <w:rFonts w:hint="eastAsia" w:ascii="Times New Roman" w:hAnsi="Times New Roman" w:eastAsia="仿宋_GB2312" w:cs="Times New Roman"/>
                <w:color w:val="000000"/>
                <w:sz w:val="18"/>
                <w:szCs w:val="18"/>
                <w:lang w:eastAsia="zh-CN"/>
              </w:rPr>
              <w:t>、单位</w:t>
            </w:r>
            <w:r>
              <w:rPr>
                <w:rFonts w:hint="default" w:ascii="Times New Roman" w:hAnsi="Times New Roman" w:eastAsia="仿宋_GB2312" w:cs="Times New Roman"/>
                <w:color w:val="000000"/>
                <w:sz w:val="18"/>
                <w:szCs w:val="18"/>
              </w:rPr>
              <w:t>名称</w:t>
            </w:r>
          </w:p>
        </w:tc>
        <w:tc>
          <w:tcPr>
            <w:tcW w:w="7467"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8"/>
                <w:szCs w:val="18"/>
              </w:rPr>
            </w:pPr>
            <w:r>
              <w:rPr>
                <w:rFonts w:hint="eastAsia" w:ascii="Times New Roman" w:hAnsi="Times New Roman" w:eastAsia="仿宋_GB2312" w:cs="Times New Roman"/>
                <w:color w:val="000000"/>
                <w:sz w:val="18"/>
                <w:szCs w:val="18"/>
                <w:lang w:eastAsia="zh-CN"/>
              </w:rPr>
              <w:t>湖南省动物疫病预防控制中心</w:t>
            </w:r>
            <w:r>
              <w:rPr>
                <w:rFonts w:hint="default" w:ascii="Times New Roman" w:hAnsi="Times New Roman" w:eastAsia="仿宋_GB2312" w:cs="Times New Roman"/>
                <w:color w:val="000000"/>
                <w:sz w:val="18"/>
                <w:szCs w:val="18"/>
              </w:rPr>
              <w:t>　</w:t>
            </w:r>
          </w:p>
        </w:tc>
      </w:tr>
      <w:tr>
        <w:tblPrEx>
          <w:tblLayout w:type="fixed"/>
          <w:tblCellMar>
            <w:top w:w="0" w:type="dxa"/>
            <w:left w:w="108" w:type="dxa"/>
            <w:bottom w:w="0" w:type="dxa"/>
            <w:right w:w="108" w:type="dxa"/>
          </w:tblCellMar>
        </w:tblPrEx>
        <w:trPr>
          <w:trHeight w:val="227" w:hRule="atLeast"/>
        </w:trPr>
        <w:tc>
          <w:tcPr>
            <w:tcW w:w="750" w:type="dxa"/>
            <w:vMerge w:val="restart"/>
            <w:tcBorders>
              <w:top w:val="nil"/>
              <w:left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8"/>
                <w:szCs w:val="18"/>
              </w:rPr>
            </w:pPr>
            <w:r>
              <w:rPr>
                <w:rFonts w:hint="default" w:ascii="Times New Roman" w:hAnsi="Times New Roman" w:eastAsia="仿宋_GB2312" w:cs="Times New Roman"/>
                <w:color w:val="000000"/>
                <w:sz w:val="18"/>
                <w:szCs w:val="18"/>
              </w:rPr>
              <w:t>年度预</w:t>
            </w:r>
          </w:p>
          <w:p>
            <w:pPr>
              <w:widowControl/>
              <w:spacing w:line="240" w:lineRule="exact"/>
              <w:jc w:val="center"/>
              <w:rPr>
                <w:rFonts w:hint="eastAsia" w:ascii="Times New Roman" w:hAnsi="Times New Roman" w:eastAsia="仿宋_GB2312" w:cs="Times New Roman"/>
                <w:color w:val="000000"/>
                <w:sz w:val="18"/>
                <w:szCs w:val="18"/>
                <w:lang w:eastAsia="zh-CN"/>
              </w:rPr>
            </w:pPr>
            <w:r>
              <w:rPr>
                <w:rFonts w:hint="default" w:ascii="Times New Roman" w:hAnsi="Times New Roman" w:eastAsia="仿宋_GB2312" w:cs="Times New Roman"/>
                <w:color w:val="000000"/>
                <w:sz w:val="18"/>
                <w:szCs w:val="18"/>
              </w:rPr>
              <w:t>算申请</w:t>
            </w:r>
          </w:p>
          <w:p>
            <w:pPr>
              <w:widowControl/>
              <w:spacing w:line="240" w:lineRule="exact"/>
              <w:jc w:val="center"/>
              <w:rPr>
                <w:rFonts w:hint="default" w:ascii="Times New Roman" w:hAnsi="Times New Roman" w:eastAsia="仿宋_GB2312" w:cs="Times New Roman"/>
                <w:color w:val="000000"/>
                <w:sz w:val="18"/>
                <w:szCs w:val="18"/>
              </w:rPr>
            </w:pPr>
            <w:r>
              <w:rPr>
                <w:rFonts w:hint="default" w:ascii="Times New Roman" w:hAnsi="Times New Roman" w:eastAsia="仿宋_GB2312" w:cs="Times New Roman"/>
                <w:color w:val="000000"/>
                <w:sz w:val="18"/>
                <w:szCs w:val="18"/>
              </w:rPr>
              <w:t>（万元）</w:t>
            </w:r>
          </w:p>
        </w:tc>
        <w:tc>
          <w:tcPr>
            <w:tcW w:w="1833" w:type="dxa"/>
            <w:gridSpan w:val="2"/>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18"/>
                <w:szCs w:val="18"/>
              </w:rPr>
            </w:pPr>
          </w:p>
        </w:tc>
        <w:tc>
          <w:tcPr>
            <w:tcW w:w="2050"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年初预算数</w:t>
            </w:r>
          </w:p>
        </w:tc>
        <w:tc>
          <w:tcPr>
            <w:tcW w:w="938"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全年预算数</w:t>
            </w:r>
          </w:p>
        </w:tc>
        <w:tc>
          <w:tcPr>
            <w:tcW w:w="1075"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全年执行数</w:t>
            </w:r>
          </w:p>
        </w:tc>
        <w:tc>
          <w:tcPr>
            <w:tcW w:w="879"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分值</w:t>
            </w:r>
          </w:p>
        </w:tc>
        <w:tc>
          <w:tcPr>
            <w:tcW w:w="956"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执行率</w:t>
            </w:r>
          </w:p>
        </w:tc>
        <w:tc>
          <w:tcPr>
            <w:tcW w:w="1569"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18"/>
                <w:szCs w:val="18"/>
              </w:rPr>
            </w:pPr>
            <w:r>
              <w:rPr>
                <w:rFonts w:hint="eastAsia" w:ascii="Times New Roman" w:hAnsi="Times New Roman" w:eastAsia="仿宋_GB2312" w:cs="Times New Roman"/>
                <w:sz w:val="18"/>
                <w:szCs w:val="18"/>
                <w:lang w:eastAsia="zh-CN"/>
              </w:rPr>
              <w:t>自评</w:t>
            </w:r>
            <w:r>
              <w:rPr>
                <w:rFonts w:hint="default" w:ascii="Times New Roman" w:hAnsi="Times New Roman" w:eastAsia="仿宋_GB2312" w:cs="Times New Roman"/>
                <w:sz w:val="18"/>
                <w:szCs w:val="18"/>
              </w:rPr>
              <w:t>得分</w:t>
            </w:r>
          </w:p>
        </w:tc>
      </w:tr>
      <w:tr>
        <w:tblPrEx>
          <w:tblLayout w:type="fixed"/>
          <w:tblCellMar>
            <w:top w:w="0" w:type="dxa"/>
            <w:left w:w="108" w:type="dxa"/>
            <w:bottom w:w="0" w:type="dxa"/>
            <w:right w:w="108" w:type="dxa"/>
          </w:tblCellMar>
        </w:tblPrEx>
        <w:trPr>
          <w:trHeight w:val="227" w:hRule="atLeast"/>
        </w:trPr>
        <w:tc>
          <w:tcPr>
            <w:tcW w:w="750" w:type="dxa"/>
            <w:vMerge w:val="continue"/>
            <w:tcBorders>
              <w:top w:val="nil"/>
              <w:left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8"/>
                <w:szCs w:val="18"/>
              </w:rPr>
            </w:pPr>
          </w:p>
        </w:tc>
        <w:tc>
          <w:tcPr>
            <w:tcW w:w="1833" w:type="dxa"/>
            <w:gridSpan w:val="2"/>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color w:val="000000"/>
                <w:sz w:val="18"/>
                <w:szCs w:val="18"/>
              </w:rPr>
              <w:t>年度资金总额</w:t>
            </w:r>
          </w:p>
        </w:tc>
        <w:tc>
          <w:tcPr>
            <w:tcW w:w="2050"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18"/>
                <w:szCs w:val="18"/>
                <w:lang w:val="en-US" w:eastAsia="zh-CN"/>
              </w:rPr>
            </w:pPr>
            <w:r>
              <w:rPr>
                <w:rFonts w:hint="eastAsia" w:ascii="Times New Roman" w:hAnsi="Times New Roman" w:eastAsia="仿宋_GB2312" w:cs="Times New Roman"/>
                <w:sz w:val="18"/>
                <w:szCs w:val="18"/>
                <w:lang w:val="en-US" w:eastAsia="zh-CN"/>
              </w:rPr>
              <w:t>1609.03</w:t>
            </w:r>
          </w:p>
        </w:tc>
        <w:tc>
          <w:tcPr>
            <w:tcW w:w="938"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18"/>
                <w:szCs w:val="18"/>
                <w:lang w:val="en-US" w:eastAsia="zh-CN"/>
              </w:rPr>
            </w:pPr>
            <w:r>
              <w:rPr>
                <w:rFonts w:hint="eastAsia" w:ascii="Times New Roman" w:hAnsi="Times New Roman" w:eastAsia="仿宋_GB2312" w:cs="Times New Roman"/>
                <w:sz w:val="18"/>
                <w:szCs w:val="18"/>
                <w:lang w:val="en-US" w:eastAsia="zh-CN"/>
              </w:rPr>
              <w:t>1978.75</w:t>
            </w:r>
          </w:p>
        </w:tc>
        <w:tc>
          <w:tcPr>
            <w:tcW w:w="1075"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18"/>
                <w:szCs w:val="18"/>
                <w:lang w:val="en-US" w:eastAsia="zh-CN"/>
              </w:rPr>
            </w:pPr>
            <w:r>
              <w:rPr>
                <w:rFonts w:hint="eastAsia" w:ascii="Times New Roman" w:hAnsi="Times New Roman" w:eastAsia="仿宋_GB2312" w:cs="Times New Roman"/>
                <w:sz w:val="18"/>
                <w:szCs w:val="18"/>
                <w:lang w:val="en-US" w:eastAsia="zh-CN"/>
              </w:rPr>
              <w:t>1875.53</w:t>
            </w:r>
          </w:p>
        </w:tc>
        <w:tc>
          <w:tcPr>
            <w:tcW w:w="879"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b/>
                <w:bCs/>
                <w:sz w:val="18"/>
                <w:szCs w:val="18"/>
              </w:rPr>
              <w:t>10</w:t>
            </w:r>
          </w:p>
        </w:tc>
        <w:tc>
          <w:tcPr>
            <w:tcW w:w="956"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18"/>
                <w:szCs w:val="18"/>
                <w:lang w:val="en-US" w:eastAsia="zh-CN"/>
              </w:rPr>
            </w:pPr>
            <w:r>
              <w:rPr>
                <w:rFonts w:hint="eastAsia" w:ascii="Times New Roman" w:hAnsi="Times New Roman" w:eastAsia="仿宋_GB2312" w:cs="Times New Roman"/>
                <w:sz w:val="18"/>
                <w:szCs w:val="18"/>
                <w:lang w:val="en-US" w:eastAsia="zh-CN"/>
              </w:rPr>
              <w:t>94.78%</w:t>
            </w:r>
          </w:p>
        </w:tc>
        <w:tc>
          <w:tcPr>
            <w:tcW w:w="1569"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18"/>
                <w:szCs w:val="18"/>
                <w:lang w:val="en-US" w:eastAsia="zh-CN"/>
              </w:rPr>
            </w:pPr>
            <w:r>
              <w:rPr>
                <w:rFonts w:hint="eastAsia" w:ascii="Times New Roman" w:hAnsi="Times New Roman" w:eastAsia="仿宋_GB2312" w:cs="Times New Roman"/>
                <w:sz w:val="18"/>
                <w:szCs w:val="18"/>
                <w:lang w:val="en-US" w:eastAsia="zh-CN"/>
              </w:rPr>
              <w:t>9</w:t>
            </w:r>
          </w:p>
        </w:tc>
      </w:tr>
      <w:tr>
        <w:tblPrEx>
          <w:tblLayout w:type="fixed"/>
          <w:tblCellMar>
            <w:top w:w="0" w:type="dxa"/>
            <w:left w:w="108" w:type="dxa"/>
            <w:bottom w:w="0" w:type="dxa"/>
            <w:right w:w="108" w:type="dxa"/>
          </w:tblCellMar>
        </w:tblPrEx>
        <w:trPr>
          <w:trHeight w:val="227" w:hRule="atLeast"/>
        </w:trPr>
        <w:tc>
          <w:tcPr>
            <w:tcW w:w="750" w:type="dxa"/>
            <w:vMerge w:val="continue"/>
            <w:tcBorders>
              <w:left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8"/>
                <w:szCs w:val="18"/>
              </w:rPr>
            </w:pPr>
          </w:p>
        </w:tc>
        <w:tc>
          <w:tcPr>
            <w:tcW w:w="4821"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8"/>
                <w:szCs w:val="18"/>
              </w:rPr>
            </w:pPr>
            <w:r>
              <w:rPr>
                <w:rFonts w:hint="default" w:ascii="Times New Roman" w:hAnsi="Times New Roman" w:eastAsia="仿宋_GB2312" w:cs="Times New Roman"/>
                <w:color w:val="000000"/>
                <w:sz w:val="18"/>
                <w:szCs w:val="18"/>
              </w:rPr>
              <w:t>按收入性质分：</w:t>
            </w:r>
          </w:p>
        </w:tc>
        <w:tc>
          <w:tcPr>
            <w:tcW w:w="4479"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8"/>
                <w:szCs w:val="18"/>
              </w:rPr>
            </w:pPr>
            <w:r>
              <w:rPr>
                <w:rFonts w:hint="default" w:ascii="Times New Roman" w:hAnsi="Times New Roman" w:eastAsia="仿宋_GB2312" w:cs="Times New Roman"/>
                <w:color w:val="000000"/>
                <w:sz w:val="18"/>
                <w:szCs w:val="18"/>
              </w:rPr>
              <w:t>按支出性质分：</w:t>
            </w:r>
          </w:p>
        </w:tc>
      </w:tr>
      <w:tr>
        <w:tblPrEx>
          <w:tblLayout w:type="fixed"/>
          <w:tblCellMar>
            <w:top w:w="0" w:type="dxa"/>
            <w:left w:w="108" w:type="dxa"/>
            <w:bottom w:w="0" w:type="dxa"/>
            <w:right w:w="108" w:type="dxa"/>
          </w:tblCellMar>
        </w:tblPrEx>
        <w:trPr>
          <w:trHeight w:val="227" w:hRule="atLeast"/>
        </w:trPr>
        <w:tc>
          <w:tcPr>
            <w:tcW w:w="750" w:type="dxa"/>
            <w:vMerge w:val="continue"/>
            <w:tcBorders>
              <w:left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8"/>
                <w:szCs w:val="18"/>
              </w:rPr>
            </w:pPr>
          </w:p>
        </w:tc>
        <w:tc>
          <w:tcPr>
            <w:tcW w:w="4821"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8"/>
                <w:szCs w:val="18"/>
                <w:lang w:val="en-US" w:eastAsia="zh-CN"/>
              </w:rPr>
            </w:pPr>
            <w:r>
              <w:rPr>
                <w:rFonts w:hint="default" w:ascii="Times New Roman" w:hAnsi="Times New Roman" w:eastAsia="仿宋_GB2312" w:cs="Times New Roman"/>
                <w:color w:val="000000"/>
                <w:sz w:val="18"/>
                <w:szCs w:val="18"/>
              </w:rPr>
              <w:t xml:space="preserve">  其中：  一般公共预算：</w:t>
            </w:r>
            <w:r>
              <w:rPr>
                <w:rFonts w:hint="eastAsia" w:ascii="Times New Roman" w:hAnsi="Times New Roman" w:eastAsia="仿宋_GB2312" w:cs="Times New Roman"/>
                <w:color w:val="000000"/>
                <w:sz w:val="18"/>
                <w:szCs w:val="18"/>
                <w:lang w:val="en-US" w:eastAsia="zh-CN"/>
              </w:rPr>
              <w:t>1978.75</w:t>
            </w:r>
          </w:p>
        </w:tc>
        <w:tc>
          <w:tcPr>
            <w:tcW w:w="4479"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8"/>
                <w:szCs w:val="18"/>
                <w:lang w:val="en-US" w:eastAsia="zh-CN"/>
              </w:rPr>
            </w:pPr>
            <w:r>
              <w:rPr>
                <w:rFonts w:hint="default" w:ascii="Times New Roman" w:hAnsi="Times New Roman" w:eastAsia="仿宋_GB2312" w:cs="Times New Roman"/>
                <w:color w:val="000000"/>
                <w:sz w:val="18"/>
                <w:szCs w:val="18"/>
              </w:rPr>
              <w:t>其中：基本支出：</w:t>
            </w:r>
            <w:r>
              <w:rPr>
                <w:rFonts w:hint="eastAsia" w:ascii="Times New Roman" w:hAnsi="Times New Roman" w:eastAsia="仿宋_GB2312" w:cs="Times New Roman"/>
                <w:color w:val="000000"/>
                <w:sz w:val="18"/>
                <w:szCs w:val="18"/>
                <w:lang w:val="en-US" w:eastAsia="zh-CN"/>
              </w:rPr>
              <w:t>776.61</w:t>
            </w:r>
          </w:p>
        </w:tc>
      </w:tr>
      <w:tr>
        <w:tblPrEx>
          <w:tblLayout w:type="fixed"/>
          <w:tblCellMar>
            <w:top w:w="0" w:type="dxa"/>
            <w:left w:w="108" w:type="dxa"/>
            <w:bottom w:w="0" w:type="dxa"/>
            <w:right w:w="108" w:type="dxa"/>
          </w:tblCellMar>
        </w:tblPrEx>
        <w:trPr>
          <w:trHeight w:val="227" w:hRule="atLeast"/>
        </w:trPr>
        <w:tc>
          <w:tcPr>
            <w:tcW w:w="750" w:type="dxa"/>
            <w:vMerge w:val="continue"/>
            <w:tcBorders>
              <w:left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8"/>
                <w:szCs w:val="18"/>
              </w:rPr>
            </w:pPr>
          </w:p>
        </w:tc>
        <w:tc>
          <w:tcPr>
            <w:tcW w:w="4821" w:type="dxa"/>
            <w:gridSpan w:val="4"/>
            <w:tcBorders>
              <w:top w:val="nil"/>
              <w:left w:val="nil"/>
              <w:bottom w:val="single" w:color="auto" w:sz="4" w:space="0"/>
              <w:right w:val="single" w:color="auto" w:sz="4" w:space="0"/>
            </w:tcBorders>
            <w:noWrap w:val="0"/>
            <w:vAlign w:val="center"/>
          </w:tcPr>
          <w:p>
            <w:pPr>
              <w:widowControl/>
              <w:spacing w:line="240" w:lineRule="exact"/>
              <w:ind w:firstLine="720" w:firstLineChars="400"/>
              <w:jc w:val="left"/>
              <w:rPr>
                <w:rFonts w:hint="default" w:ascii="Times New Roman" w:hAnsi="Times New Roman" w:eastAsia="仿宋_GB2312" w:cs="Times New Roman"/>
                <w:color w:val="000000"/>
                <w:sz w:val="18"/>
                <w:szCs w:val="18"/>
              </w:rPr>
            </w:pPr>
            <w:r>
              <w:rPr>
                <w:rFonts w:hint="default" w:ascii="Times New Roman" w:hAnsi="Times New Roman" w:eastAsia="仿宋_GB2312" w:cs="Times New Roman"/>
                <w:color w:val="000000"/>
                <w:sz w:val="18"/>
                <w:szCs w:val="18"/>
              </w:rPr>
              <w:t>政府性基金拨款：</w:t>
            </w:r>
          </w:p>
        </w:tc>
        <w:tc>
          <w:tcPr>
            <w:tcW w:w="4479" w:type="dxa"/>
            <w:gridSpan w:val="4"/>
            <w:tcBorders>
              <w:top w:val="nil"/>
              <w:left w:val="nil"/>
              <w:bottom w:val="single" w:color="auto" w:sz="4" w:space="0"/>
              <w:right w:val="single" w:color="auto" w:sz="4" w:space="0"/>
            </w:tcBorders>
            <w:noWrap w:val="0"/>
            <w:vAlign w:val="center"/>
          </w:tcPr>
          <w:p>
            <w:pPr>
              <w:widowControl/>
              <w:spacing w:line="240" w:lineRule="exact"/>
              <w:ind w:firstLine="540" w:firstLineChars="300"/>
              <w:jc w:val="left"/>
              <w:rPr>
                <w:rFonts w:hint="default" w:ascii="Times New Roman" w:hAnsi="Times New Roman" w:eastAsia="仿宋_GB2312" w:cs="Times New Roman"/>
                <w:color w:val="000000"/>
                <w:sz w:val="18"/>
                <w:szCs w:val="18"/>
                <w:lang w:val="en-US" w:eastAsia="zh-CN"/>
              </w:rPr>
            </w:pPr>
            <w:r>
              <w:rPr>
                <w:rFonts w:hint="default" w:ascii="Times New Roman" w:hAnsi="Times New Roman" w:eastAsia="仿宋_GB2312" w:cs="Times New Roman"/>
                <w:color w:val="000000"/>
                <w:sz w:val="18"/>
                <w:szCs w:val="18"/>
              </w:rPr>
              <w:t>项目支出：</w:t>
            </w:r>
            <w:r>
              <w:rPr>
                <w:rFonts w:hint="eastAsia" w:ascii="Times New Roman" w:hAnsi="Times New Roman" w:eastAsia="仿宋_GB2312" w:cs="Times New Roman"/>
                <w:color w:val="000000"/>
                <w:sz w:val="18"/>
                <w:szCs w:val="18"/>
                <w:lang w:val="en-US" w:eastAsia="zh-CN"/>
              </w:rPr>
              <w:t>1202.14</w:t>
            </w:r>
          </w:p>
        </w:tc>
      </w:tr>
      <w:tr>
        <w:tblPrEx>
          <w:tblLayout w:type="fixed"/>
          <w:tblCellMar>
            <w:top w:w="0" w:type="dxa"/>
            <w:left w:w="108" w:type="dxa"/>
            <w:bottom w:w="0" w:type="dxa"/>
            <w:right w:w="108" w:type="dxa"/>
          </w:tblCellMar>
        </w:tblPrEx>
        <w:trPr>
          <w:trHeight w:val="227" w:hRule="atLeast"/>
        </w:trPr>
        <w:tc>
          <w:tcPr>
            <w:tcW w:w="750" w:type="dxa"/>
            <w:vMerge w:val="continue"/>
            <w:tcBorders>
              <w:left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8"/>
                <w:szCs w:val="18"/>
              </w:rPr>
            </w:pPr>
          </w:p>
        </w:tc>
        <w:tc>
          <w:tcPr>
            <w:tcW w:w="4821"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8"/>
                <w:szCs w:val="18"/>
              </w:rPr>
            </w:pPr>
            <w:r>
              <w:rPr>
                <w:rFonts w:hint="default" w:ascii="Times New Roman" w:hAnsi="Times New Roman" w:eastAsia="仿宋_GB2312" w:cs="Times New Roman"/>
                <w:color w:val="000000"/>
                <w:sz w:val="18"/>
                <w:szCs w:val="18"/>
              </w:rPr>
              <w:t>纳入专户管理的非税收入拨款：</w:t>
            </w:r>
          </w:p>
        </w:tc>
        <w:tc>
          <w:tcPr>
            <w:tcW w:w="4479"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8"/>
                <w:szCs w:val="18"/>
              </w:rPr>
            </w:pPr>
          </w:p>
        </w:tc>
      </w:tr>
      <w:tr>
        <w:tblPrEx>
          <w:tblLayout w:type="fixed"/>
          <w:tblCellMar>
            <w:top w:w="0" w:type="dxa"/>
            <w:left w:w="108" w:type="dxa"/>
            <w:bottom w:w="0" w:type="dxa"/>
            <w:right w:w="108" w:type="dxa"/>
          </w:tblCellMar>
        </w:tblPrEx>
        <w:trPr>
          <w:trHeight w:val="227" w:hRule="atLeast"/>
        </w:trPr>
        <w:tc>
          <w:tcPr>
            <w:tcW w:w="750" w:type="dxa"/>
            <w:vMerge w:val="continue"/>
            <w:tcBorders>
              <w:left w:val="single" w:color="auto" w:sz="4" w:space="0"/>
              <w:bottom w:val="single" w:color="000000"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8"/>
                <w:szCs w:val="18"/>
              </w:rPr>
            </w:pPr>
          </w:p>
        </w:tc>
        <w:tc>
          <w:tcPr>
            <w:tcW w:w="4821" w:type="dxa"/>
            <w:gridSpan w:val="4"/>
            <w:tcBorders>
              <w:top w:val="nil"/>
              <w:left w:val="nil"/>
              <w:bottom w:val="single" w:color="auto" w:sz="4" w:space="0"/>
              <w:right w:val="single" w:color="auto" w:sz="4" w:space="0"/>
            </w:tcBorders>
            <w:noWrap w:val="0"/>
            <w:vAlign w:val="center"/>
          </w:tcPr>
          <w:p>
            <w:pPr>
              <w:widowControl/>
              <w:spacing w:line="240" w:lineRule="exact"/>
              <w:ind w:firstLine="1260" w:firstLineChars="700"/>
              <w:jc w:val="left"/>
              <w:rPr>
                <w:rFonts w:hint="default" w:ascii="Times New Roman" w:hAnsi="Times New Roman" w:eastAsia="仿宋_GB2312" w:cs="Times New Roman"/>
                <w:color w:val="000000"/>
                <w:sz w:val="18"/>
                <w:szCs w:val="18"/>
              </w:rPr>
            </w:pPr>
            <w:r>
              <w:rPr>
                <w:rFonts w:hint="default" w:ascii="Times New Roman" w:hAnsi="Times New Roman" w:eastAsia="仿宋_GB2312" w:cs="Times New Roman"/>
                <w:color w:val="000000"/>
                <w:sz w:val="18"/>
                <w:szCs w:val="18"/>
              </w:rPr>
              <w:t>其他资金：</w:t>
            </w:r>
          </w:p>
        </w:tc>
        <w:tc>
          <w:tcPr>
            <w:tcW w:w="4479"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8"/>
                <w:szCs w:val="18"/>
              </w:rPr>
            </w:pPr>
          </w:p>
        </w:tc>
      </w:tr>
      <w:tr>
        <w:tblPrEx>
          <w:tblLayout w:type="fixed"/>
          <w:tblCellMar>
            <w:top w:w="0" w:type="dxa"/>
            <w:left w:w="108" w:type="dxa"/>
            <w:bottom w:w="0" w:type="dxa"/>
            <w:right w:w="108" w:type="dxa"/>
          </w:tblCellMar>
        </w:tblPrEx>
        <w:trPr>
          <w:trHeight w:val="227" w:hRule="atLeast"/>
        </w:trPr>
        <w:tc>
          <w:tcPr>
            <w:tcW w:w="750"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8"/>
                <w:szCs w:val="18"/>
              </w:rPr>
            </w:pPr>
            <w:r>
              <w:rPr>
                <w:rFonts w:hint="default" w:ascii="Times New Roman" w:hAnsi="Times New Roman" w:eastAsia="仿宋_GB2312" w:cs="Times New Roman"/>
                <w:color w:val="000000"/>
                <w:sz w:val="18"/>
                <w:szCs w:val="18"/>
              </w:rPr>
              <w:t>年度总体目标</w:t>
            </w:r>
          </w:p>
        </w:tc>
        <w:tc>
          <w:tcPr>
            <w:tcW w:w="4821" w:type="dxa"/>
            <w:gridSpan w:val="4"/>
            <w:tcBorders>
              <w:top w:val="single" w:color="auto" w:sz="4" w:space="0"/>
              <w:left w:val="nil"/>
              <w:bottom w:val="single" w:color="auto" w:sz="4" w:space="0"/>
              <w:right w:val="single" w:color="000000" w:sz="4" w:space="0"/>
            </w:tcBorders>
            <w:noWrap w:val="0"/>
            <w:vAlign w:val="center"/>
          </w:tcPr>
          <w:p>
            <w:pPr>
              <w:widowControl/>
              <w:spacing w:line="240" w:lineRule="exact"/>
              <w:jc w:val="center"/>
              <w:rPr>
                <w:rFonts w:hint="default" w:ascii="Times New Roman" w:hAnsi="Times New Roman" w:eastAsia="仿宋_GB2312" w:cs="Times New Roman"/>
                <w:color w:val="000000"/>
                <w:sz w:val="18"/>
                <w:szCs w:val="18"/>
              </w:rPr>
            </w:pPr>
            <w:r>
              <w:rPr>
                <w:rFonts w:hint="default" w:ascii="Times New Roman" w:hAnsi="Times New Roman" w:eastAsia="仿宋_GB2312" w:cs="Times New Roman"/>
                <w:color w:val="000000"/>
                <w:sz w:val="18"/>
                <w:szCs w:val="18"/>
              </w:rPr>
              <w:t>预期目标</w:t>
            </w:r>
          </w:p>
        </w:tc>
        <w:tc>
          <w:tcPr>
            <w:tcW w:w="4479" w:type="dxa"/>
            <w:gridSpan w:val="4"/>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8"/>
                <w:szCs w:val="18"/>
              </w:rPr>
            </w:pPr>
            <w:r>
              <w:rPr>
                <w:rFonts w:hint="default" w:ascii="Times New Roman" w:hAnsi="Times New Roman" w:eastAsia="仿宋_GB2312" w:cs="Times New Roman"/>
                <w:color w:val="000000"/>
                <w:sz w:val="18"/>
                <w:szCs w:val="18"/>
              </w:rPr>
              <w:t>实际完成情况　</w:t>
            </w:r>
          </w:p>
        </w:tc>
      </w:tr>
      <w:tr>
        <w:tblPrEx>
          <w:tblLayout w:type="fixed"/>
          <w:tblCellMar>
            <w:top w:w="0" w:type="dxa"/>
            <w:left w:w="108" w:type="dxa"/>
            <w:bottom w:w="0" w:type="dxa"/>
            <w:right w:w="108" w:type="dxa"/>
          </w:tblCellMar>
        </w:tblPrEx>
        <w:trPr>
          <w:trHeight w:val="2489" w:hRule="atLeast"/>
        </w:trPr>
        <w:tc>
          <w:tcPr>
            <w:tcW w:w="750"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8"/>
                <w:szCs w:val="18"/>
              </w:rPr>
            </w:pPr>
          </w:p>
        </w:tc>
        <w:tc>
          <w:tcPr>
            <w:tcW w:w="4821" w:type="dxa"/>
            <w:gridSpan w:val="4"/>
            <w:tcBorders>
              <w:top w:val="single" w:color="auto" w:sz="4" w:space="0"/>
              <w:left w:val="nil"/>
              <w:bottom w:val="single" w:color="auto" w:sz="4" w:space="0"/>
              <w:right w:val="single" w:color="000000" w:sz="4" w:space="0"/>
            </w:tcBorders>
            <w:noWrap w:val="0"/>
            <w:vAlign w:val="center"/>
          </w:tcPr>
          <w:p>
            <w:pPr>
              <w:widowControl/>
              <w:spacing w:line="240" w:lineRule="exact"/>
              <w:jc w:val="both"/>
              <w:rPr>
                <w:rFonts w:hint="default" w:ascii="Times New Roman" w:hAnsi="Times New Roman" w:eastAsia="仿宋_GB2312" w:cs="Times New Roman"/>
                <w:color w:val="000000"/>
                <w:sz w:val="18"/>
                <w:szCs w:val="18"/>
              </w:rPr>
            </w:pPr>
            <w:r>
              <w:rPr>
                <w:rFonts w:hint="default" w:ascii="Times New Roman" w:hAnsi="Times New Roman" w:eastAsia="仿宋_GB2312" w:cs="Times New Roman"/>
                <w:color w:val="000000"/>
                <w:sz w:val="18"/>
                <w:szCs w:val="18"/>
              </w:rPr>
              <w:t>　　1、起草制定和组织实施全省动物疫病和人畜共患病监测和流行病学调查</w:t>
            </w:r>
            <w:r>
              <w:rPr>
                <w:rFonts w:hint="eastAsia" w:ascii="Times New Roman" w:hAnsi="Times New Roman" w:eastAsia="仿宋_GB2312" w:cs="Times New Roman"/>
                <w:color w:val="000000"/>
                <w:sz w:val="18"/>
                <w:szCs w:val="18"/>
                <w:lang w:eastAsia="zh-CN"/>
              </w:rPr>
              <w:t>方案</w:t>
            </w:r>
            <w:r>
              <w:rPr>
                <w:rFonts w:hint="default" w:ascii="Times New Roman" w:hAnsi="Times New Roman" w:eastAsia="仿宋_GB2312" w:cs="Times New Roman"/>
                <w:color w:val="000000"/>
                <w:sz w:val="18"/>
                <w:szCs w:val="18"/>
              </w:rPr>
              <w:t>，通过开展主要动物疫病和人畜共患病监测与流行病学调查等，及时掌握动物疫情情况，主动研判疫病流行趋势，依此为科学制定防疫政策提供依据，指导各地落实各项防控措施、科学防控，全面增强动物疫病防控能力，促进畜牧业高质量发展，从源头维护公共卫生安全。2、省本级实验室安全稳定运转；3、及时开展重大动物疫病诊断和送检，按相关要求开展紧急流调和信息上报；4、保障全省突发动物疫病以及公共卫生事件等应急处置物资供应，支持各地</w:t>
            </w:r>
            <w:r>
              <w:rPr>
                <w:rFonts w:hint="eastAsia" w:ascii="Times New Roman" w:hAnsi="Times New Roman" w:eastAsia="仿宋_GB2312" w:cs="Times New Roman"/>
                <w:color w:val="000000"/>
                <w:sz w:val="18"/>
                <w:szCs w:val="18"/>
                <w:lang w:eastAsia="zh-CN"/>
              </w:rPr>
              <w:t>应急处置工作</w:t>
            </w:r>
            <w:r>
              <w:rPr>
                <w:rFonts w:hint="default" w:ascii="Times New Roman" w:hAnsi="Times New Roman" w:eastAsia="仿宋_GB2312" w:cs="Times New Roman"/>
                <w:color w:val="000000"/>
                <w:sz w:val="18"/>
                <w:szCs w:val="18"/>
              </w:rPr>
              <w:t>；5、完成领导交办的任务。</w:t>
            </w:r>
          </w:p>
        </w:tc>
        <w:tc>
          <w:tcPr>
            <w:tcW w:w="4479" w:type="dxa"/>
            <w:gridSpan w:val="4"/>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8"/>
                <w:szCs w:val="18"/>
              </w:rPr>
            </w:pPr>
            <w:r>
              <w:rPr>
                <w:rFonts w:hint="default" w:ascii="Times New Roman" w:hAnsi="Times New Roman" w:eastAsia="仿宋_GB2312" w:cs="Times New Roman"/>
                <w:color w:val="000000"/>
                <w:sz w:val="18"/>
                <w:szCs w:val="18"/>
              </w:rPr>
              <w:t>　　1、</w:t>
            </w:r>
            <w:r>
              <w:rPr>
                <w:rFonts w:hint="eastAsia" w:ascii="Times New Roman" w:hAnsi="Times New Roman" w:eastAsia="仿宋_GB2312" w:cs="Times New Roman"/>
                <w:color w:val="000000"/>
                <w:sz w:val="18"/>
                <w:szCs w:val="18"/>
                <w:lang w:eastAsia="zh-CN"/>
              </w:rPr>
              <w:t>完成</w:t>
            </w:r>
            <w:r>
              <w:rPr>
                <w:rFonts w:hint="default" w:ascii="Times New Roman" w:hAnsi="Times New Roman" w:eastAsia="仿宋_GB2312" w:cs="Times New Roman"/>
                <w:color w:val="000000"/>
                <w:sz w:val="18"/>
                <w:szCs w:val="18"/>
              </w:rPr>
              <w:t>全省动物疫病和人畜共患病监测和流行病学调查</w:t>
            </w:r>
            <w:r>
              <w:rPr>
                <w:rFonts w:hint="eastAsia" w:ascii="Times New Roman" w:hAnsi="Times New Roman" w:eastAsia="仿宋_GB2312" w:cs="Times New Roman"/>
                <w:color w:val="000000"/>
                <w:sz w:val="18"/>
                <w:szCs w:val="18"/>
                <w:lang w:eastAsia="zh-CN"/>
              </w:rPr>
              <w:t>实施方案既定的目标任务，并</w:t>
            </w:r>
            <w:r>
              <w:rPr>
                <w:rFonts w:hint="default" w:ascii="Times New Roman" w:hAnsi="Times New Roman" w:eastAsia="仿宋_GB2312" w:cs="Times New Roman"/>
                <w:color w:val="000000"/>
                <w:sz w:val="18"/>
                <w:szCs w:val="18"/>
              </w:rPr>
              <w:t>指导各地落实各项防控措施、科学防控，全面增强动物疫病防控能力，</w:t>
            </w:r>
            <w:r>
              <w:rPr>
                <w:rFonts w:hint="eastAsia" w:ascii="Times New Roman" w:hAnsi="Times New Roman" w:eastAsia="仿宋_GB2312" w:cs="Times New Roman"/>
                <w:color w:val="000000"/>
                <w:sz w:val="18"/>
                <w:szCs w:val="18"/>
                <w:lang w:eastAsia="zh-CN"/>
              </w:rPr>
              <w:t>维护了全省动物疫情总体平稳，</w:t>
            </w:r>
            <w:r>
              <w:rPr>
                <w:rFonts w:hint="default" w:ascii="Times New Roman" w:hAnsi="Times New Roman" w:eastAsia="仿宋_GB2312" w:cs="Times New Roman"/>
                <w:color w:val="000000"/>
                <w:sz w:val="18"/>
                <w:szCs w:val="18"/>
              </w:rPr>
              <w:t>促进</w:t>
            </w:r>
            <w:r>
              <w:rPr>
                <w:rFonts w:hint="eastAsia" w:ascii="Times New Roman" w:hAnsi="Times New Roman" w:eastAsia="仿宋_GB2312" w:cs="Times New Roman"/>
                <w:color w:val="000000"/>
                <w:sz w:val="18"/>
                <w:szCs w:val="18"/>
                <w:lang w:eastAsia="zh-CN"/>
              </w:rPr>
              <w:t>了</w:t>
            </w:r>
            <w:r>
              <w:rPr>
                <w:rFonts w:hint="default" w:ascii="Times New Roman" w:hAnsi="Times New Roman" w:eastAsia="仿宋_GB2312" w:cs="Times New Roman"/>
                <w:color w:val="000000"/>
                <w:sz w:val="18"/>
                <w:szCs w:val="18"/>
              </w:rPr>
              <w:t>畜牧业高质量发展，从源头维护公共卫生安全。2、</w:t>
            </w:r>
            <w:r>
              <w:rPr>
                <w:rFonts w:hint="eastAsia" w:ascii="Times New Roman" w:hAnsi="Times New Roman" w:eastAsia="仿宋_GB2312" w:cs="Times New Roman"/>
                <w:color w:val="000000"/>
                <w:sz w:val="18"/>
                <w:szCs w:val="18"/>
                <w:lang w:eastAsia="zh-CN"/>
              </w:rPr>
              <w:t>保障</w:t>
            </w:r>
            <w:r>
              <w:rPr>
                <w:rFonts w:hint="default" w:ascii="Times New Roman" w:hAnsi="Times New Roman" w:eastAsia="仿宋_GB2312" w:cs="Times New Roman"/>
                <w:color w:val="000000"/>
                <w:sz w:val="18"/>
                <w:szCs w:val="18"/>
              </w:rPr>
              <w:t>省本级实验室</w:t>
            </w:r>
            <w:r>
              <w:rPr>
                <w:rFonts w:hint="eastAsia" w:ascii="Times New Roman" w:hAnsi="Times New Roman" w:eastAsia="仿宋_GB2312" w:cs="Times New Roman"/>
                <w:color w:val="000000"/>
                <w:sz w:val="18"/>
                <w:szCs w:val="18"/>
                <w:lang w:eastAsia="zh-CN"/>
              </w:rPr>
              <w:t>全年</w:t>
            </w:r>
            <w:r>
              <w:rPr>
                <w:rFonts w:hint="default" w:ascii="Times New Roman" w:hAnsi="Times New Roman" w:eastAsia="仿宋_GB2312" w:cs="Times New Roman"/>
                <w:color w:val="000000"/>
                <w:sz w:val="18"/>
                <w:szCs w:val="18"/>
              </w:rPr>
              <w:t>安全稳定运转</w:t>
            </w:r>
            <w:r>
              <w:rPr>
                <w:rFonts w:hint="eastAsia" w:ascii="Times New Roman" w:hAnsi="Times New Roman" w:eastAsia="仿宋_GB2312" w:cs="Times New Roman"/>
                <w:color w:val="000000"/>
                <w:sz w:val="18"/>
                <w:szCs w:val="18"/>
                <w:lang w:eastAsia="zh-CN"/>
              </w:rPr>
              <w:t>，无质量和生物安全事故</w:t>
            </w:r>
            <w:r>
              <w:rPr>
                <w:rFonts w:hint="default" w:ascii="Times New Roman" w:hAnsi="Times New Roman" w:eastAsia="仿宋_GB2312" w:cs="Times New Roman"/>
                <w:color w:val="000000"/>
                <w:sz w:val="18"/>
                <w:szCs w:val="18"/>
              </w:rPr>
              <w:t>；3、</w:t>
            </w:r>
            <w:r>
              <w:rPr>
                <w:rFonts w:hint="eastAsia" w:ascii="Times New Roman" w:hAnsi="Times New Roman" w:eastAsia="仿宋_GB2312" w:cs="Times New Roman"/>
                <w:color w:val="000000"/>
                <w:sz w:val="18"/>
                <w:szCs w:val="18"/>
                <w:lang w:eastAsia="zh-CN"/>
              </w:rPr>
              <w:t>完成</w:t>
            </w:r>
            <w:r>
              <w:rPr>
                <w:rFonts w:hint="default" w:ascii="Times New Roman" w:hAnsi="Times New Roman" w:eastAsia="仿宋_GB2312" w:cs="Times New Roman"/>
                <w:color w:val="000000"/>
                <w:sz w:val="18"/>
                <w:szCs w:val="18"/>
              </w:rPr>
              <w:t>重大动物疫病诊断和送检，按相关要求开展紧急流调和信息上报；4、</w:t>
            </w:r>
            <w:r>
              <w:rPr>
                <w:rFonts w:hint="eastAsia" w:ascii="Times New Roman" w:hAnsi="Times New Roman" w:eastAsia="仿宋_GB2312" w:cs="Times New Roman"/>
                <w:color w:val="000000"/>
                <w:sz w:val="18"/>
                <w:szCs w:val="18"/>
                <w:lang w:eastAsia="zh-CN"/>
              </w:rPr>
              <w:t>完成了</w:t>
            </w:r>
            <w:r>
              <w:rPr>
                <w:rFonts w:hint="default" w:ascii="Times New Roman" w:hAnsi="Times New Roman" w:eastAsia="仿宋_GB2312" w:cs="Times New Roman"/>
                <w:color w:val="000000"/>
                <w:sz w:val="18"/>
                <w:szCs w:val="18"/>
              </w:rPr>
              <w:t>全省突发动物疫病以及公共卫生事件等应急处置物资</w:t>
            </w:r>
            <w:r>
              <w:rPr>
                <w:rFonts w:hint="eastAsia" w:ascii="Times New Roman" w:hAnsi="Times New Roman" w:eastAsia="仿宋_GB2312" w:cs="Times New Roman"/>
                <w:color w:val="000000"/>
                <w:sz w:val="18"/>
                <w:szCs w:val="18"/>
                <w:lang w:eastAsia="zh-CN"/>
              </w:rPr>
              <w:t>及时采购</w:t>
            </w:r>
            <w:r>
              <w:rPr>
                <w:rFonts w:hint="default" w:ascii="Times New Roman" w:hAnsi="Times New Roman" w:eastAsia="仿宋_GB2312" w:cs="Times New Roman"/>
                <w:color w:val="000000"/>
                <w:sz w:val="18"/>
                <w:szCs w:val="18"/>
              </w:rPr>
              <w:t>供应，支持各地</w:t>
            </w:r>
            <w:r>
              <w:rPr>
                <w:rFonts w:hint="eastAsia" w:ascii="Times New Roman" w:hAnsi="Times New Roman" w:eastAsia="仿宋_GB2312" w:cs="Times New Roman"/>
                <w:color w:val="000000"/>
                <w:sz w:val="18"/>
                <w:szCs w:val="18"/>
                <w:lang w:eastAsia="zh-CN"/>
              </w:rPr>
              <w:t>应急处置工作</w:t>
            </w:r>
            <w:r>
              <w:rPr>
                <w:rFonts w:hint="default" w:ascii="Times New Roman" w:hAnsi="Times New Roman" w:eastAsia="仿宋_GB2312" w:cs="Times New Roman"/>
                <w:color w:val="000000"/>
                <w:sz w:val="18"/>
                <w:szCs w:val="18"/>
              </w:rPr>
              <w:t>；5、完成领导交办的</w:t>
            </w:r>
            <w:r>
              <w:rPr>
                <w:rFonts w:hint="eastAsia" w:ascii="Times New Roman" w:hAnsi="Times New Roman" w:eastAsia="仿宋_GB2312" w:cs="Times New Roman"/>
                <w:color w:val="000000"/>
                <w:sz w:val="18"/>
                <w:szCs w:val="18"/>
                <w:lang w:eastAsia="zh-CN"/>
              </w:rPr>
              <w:t>其他</w:t>
            </w:r>
            <w:r>
              <w:rPr>
                <w:rFonts w:hint="default" w:ascii="Times New Roman" w:hAnsi="Times New Roman" w:eastAsia="仿宋_GB2312" w:cs="Times New Roman"/>
                <w:color w:val="000000"/>
                <w:sz w:val="18"/>
                <w:szCs w:val="18"/>
              </w:rPr>
              <w:t>任务。</w:t>
            </w:r>
          </w:p>
        </w:tc>
      </w:tr>
      <w:tr>
        <w:tblPrEx>
          <w:tblLayout w:type="fixed"/>
          <w:tblCellMar>
            <w:top w:w="0" w:type="dxa"/>
            <w:left w:w="108" w:type="dxa"/>
            <w:bottom w:w="0" w:type="dxa"/>
            <w:right w:w="108" w:type="dxa"/>
          </w:tblCellMar>
        </w:tblPrEx>
        <w:trPr>
          <w:trHeight w:val="227" w:hRule="atLeast"/>
        </w:trPr>
        <w:tc>
          <w:tcPr>
            <w:tcW w:w="750" w:type="dxa"/>
            <w:vMerge w:val="restart"/>
            <w:tcBorders>
              <w:top w:val="nil"/>
              <w:left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8"/>
                <w:szCs w:val="18"/>
              </w:rPr>
            </w:pPr>
            <w:r>
              <w:rPr>
                <w:rFonts w:hint="default" w:ascii="Times New Roman" w:hAnsi="Times New Roman" w:eastAsia="仿宋_GB2312" w:cs="Times New Roman"/>
                <w:color w:val="000000"/>
                <w:sz w:val="18"/>
                <w:szCs w:val="18"/>
              </w:rPr>
              <w:t>绩</w:t>
            </w:r>
          </w:p>
          <w:p>
            <w:pPr>
              <w:widowControl/>
              <w:spacing w:line="240" w:lineRule="exact"/>
              <w:jc w:val="center"/>
              <w:rPr>
                <w:rFonts w:hint="default" w:ascii="Times New Roman" w:hAnsi="Times New Roman" w:eastAsia="仿宋_GB2312" w:cs="Times New Roman"/>
                <w:color w:val="000000"/>
                <w:sz w:val="18"/>
                <w:szCs w:val="18"/>
              </w:rPr>
            </w:pPr>
            <w:r>
              <w:rPr>
                <w:rFonts w:hint="default" w:ascii="Times New Roman" w:hAnsi="Times New Roman" w:eastAsia="仿宋_GB2312" w:cs="Times New Roman"/>
                <w:color w:val="000000"/>
                <w:sz w:val="18"/>
                <w:szCs w:val="18"/>
              </w:rPr>
              <w:t>效</w:t>
            </w:r>
          </w:p>
          <w:p>
            <w:pPr>
              <w:widowControl/>
              <w:spacing w:line="240" w:lineRule="exact"/>
              <w:jc w:val="center"/>
              <w:rPr>
                <w:rFonts w:hint="default" w:ascii="Times New Roman" w:hAnsi="Times New Roman" w:eastAsia="仿宋_GB2312" w:cs="Times New Roman"/>
                <w:color w:val="000000"/>
                <w:sz w:val="18"/>
                <w:szCs w:val="18"/>
              </w:rPr>
            </w:pPr>
            <w:r>
              <w:rPr>
                <w:rFonts w:hint="default" w:ascii="Times New Roman" w:hAnsi="Times New Roman" w:eastAsia="仿宋_GB2312" w:cs="Times New Roman"/>
                <w:color w:val="000000"/>
                <w:sz w:val="18"/>
                <w:szCs w:val="18"/>
              </w:rPr>
              <w:t>指</w:t>
            </w:r>
          </w:p>
          <w:p>
            <w:pPr>
              <w:widowControl/>
              <w:spacing w:line="240" w:lineRule="exact"/>
              <w:jc w:val="center"/>
              <w:rPr>
                <w:rFonts w:hint="default" w:ascii="Times New Roman" w:hAnsi="Times New Roman" w:eastAsia="仿宋_GB2312" w:cs="Times New Roman"/>
                <w:color w:val="000000"/>
                <w:sz w:val="18"/>
                <w:szCs w:val="18"/>
              </w:rPr>
            </w:pPr>
            <w:r>
              <w:rPr>
                <w:rFonts w:hint="default" w:ascii="Times New Roman" w:hAnsi="Times New Roman" w:eastAsia="仿宋_GB2312" w:cs="Times New Roman"/>
                <w:color w:val="000000"/>
                <w:sz w:val="18"/>
                <w:szCs w:val="18"/>
              </w:rPr>
              <w:t>标</w:t>
            </w:r>
          </w:p>
          <w:p>
            <w:pPr>
              <w:widowControl/>
              <w:spacing w:line="240" w:lineRule="exact"/>
              <w:jc w:val="center"/>
              <w:rPr>
                <w:rFonts w:hint="default" w:ascii="Times New Roman" w:hAnsi="Times New Roman" w:eastAsia="仿宋_GB2312" w:cs="Times New Roman"/>
                <w:color w:val="000000"/>
                <w:sz w:val="18"/>
                <w:szCs w:val="18"/>
              </w:rPr>
            </w:pPr>
          </w:p>
        </w:tc>
        <w:tc>
          <w:tcPr>
            <w:tcW w:w="846"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8"/>
                <w:szCs w:val="18"/>
              </w:rPr>
            </w:pPr>
            <w:r>
              <w:rPr>
                <w:rFonts w:hint="default" w:ascii="Times New Roman" w:hAnsi="Times New Roman" w:eastAsia="仿宋_GB2312" w:cs="Times New Roman"/>
                <w:color w:val="000000"/>
                <w:sz w:val="18"/>
                <w:szCs w:val="18"/>
              </w:rPr>
              <w:t>一级指标</w:t>
            </w:r>
          </w:p>
        </w:tc>
        <w:tc>
          <w:tcPr>
            <w:tcW w:w="987"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8"/>
                <w:szCs w:val="18"/>
              </w:rPr>
            </w:pPr>
            <w:r>
              <w:rPr>
                <w:rFonts w:hint="default" w:ascii="Times New Roman" w:hAnsi="Times New Roman" w:eastAsia="仿宋_GB2312" w:cs="Times New Roman"/>
                <w:color w:val="000000"/>
                <w:sz w:val="18"/>
                <w:szCs w:val="18"/>
              </w:rPr>
              <w:t>二级指标</w:t>
            </w:r>
          </w:p>
        </w:tc>
        <w:tc>
          <w:tcPr>
            <w:tcW w:w="205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8"/>
                <w:szCs w:val="18"/>
              </w:rPr>
            </w:pPr>
            <w:r>
              <w:rPr>
                <w:rFonts w:hint="default" w:ascii="Times New Roman" w:hAnsi="Times New Roman" w:eastAsia="仿宋_GB2312" w:cs="Times New Roman"/>
                <w:color w:val="000000"/>
                <w:sz w:val="18"/>
                <w:szCs w:val="18"/>
              </w:rPr>
              <w:t>三级指标</w:t>
            </w:r>
          </w:p>
        </w:tc>
        <w:tc>
          <w:tcPr>
            <w:tcW w:w="938" w:type="dxa"/>
            <w:tcBorders>
              <w:top w:val="nil"/>
              <w:left w:val="nil"/>
              <w:bottom w:val="single" w:color="auto" w:sz="4" w:space="0"/>
              <w:right w:val="single" w:color="auto" w:sz="4" w:space="0"/>
            </w:tcBorders>
            <w:noWrap w:val="0"/>
            <w:vAlign w:val="center"/>
          </w:tcPr>
          <w:p>
            <w:pPr>
              <w:widowControl/>
              <w:spacing w:line="240" w:lineRule="exact"/>
              <w:jc w:val="both"/>
              <w:rPr>
                <w:rFonts w:hint="default" w:ascii="Times New Roman" w:hAnsi="Times New Roman" w:eastAsia="仿宋_GB2312" w:cs="Times New Roman"/>
                <w:color w:val="000000"/>
                <w:sz w:val="18"/>
                <w:szCs w:val="18"/>
              </w:rPr>
            </w:pPr>
            <w:r>
              <w:rPr>
                <w:rFonts w:hint="default" w:ascii="Times New Roman" w:hAnsi="Times New Roman" w:eastAsia="仿宋_GB2312" w:cs="Times New Roman"/>
                <w:color w:val="000000"/>
                <w:sz w:val="18"/>
                <w:szCs w:val="18"/>
              </w:rPr>
              <w:t>年度指标值</w:t>
            </w:r>
          </w:p>
        </w:tc>
        <w:tc>
          <w:tcPr>
            <w:tcW w:w="1075" w:type="dxa"/>
            <w:tcBorders>
              <w:top w:val="nil"/>
              <w:left w:val="nil"/>
              <w:bottom w:val="single" w:color="auto" w:sz="4" w:space="0"/>
              <w:right w:val="single" w:color="auto" w:sz="4" w:space="0"/>
            </w:tcBorders>
            <w:noWrap w:val="0"/>
            <w:vAlign w:val="center"/>
          </w:tcPr>
          <w:p>
            <w:pPr>
              <w:widowControl/>
              <w:spacing w:line="240" w:lineRule="exact"/>
              <w:rPr>
                <w:rFonts w:hint="default" w:ascii="Times New Roman" w:hAnsi="Times New Roman" w:eastAsia="仿宋_GB2312" w:cs="Times New Roman"/>
                <w:color w:val="000000"/>
                <w:sz w:val="18"/>
                <w:szCs w:val="18"/>
              </w:rPr>
            </w:pPr>
            <w:r>
              <w:rPr>
                <w:rFonts w:hint="default" w:ascii="Times New Roman" w:hAnsi="Times New Roman" w:eastAsia="仿宋_GB2312" w:cs="Times New Roman"/>
                <w:color w:val="000000"/>
                <w:sz w:val="18"/>
                <w:szCs w:val="18"/>
              </w:rPr>
              <w:t>实际完成值</w:t>
            </w:r>
          </w:p>
        </w:tc>
        <w:tc>
          <w:tcPr>
            <w:tcW w:w="879"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8"/>
                <w:szCs w:val="18"/>
              </w:rPr>
            </w:pPr>
            <w:r>
              <w:rPr>
                <w:rFonts w:hint="default" w:ascii="Times New Roman" w:hAnsi="Times New Roman" w:eastAsia="仿宋_GB2312" w:cs="Times New Roman"/>
                <w:color w:val="000000"/>
                <w:sz w:val="18"/>
                <w:szCs w:val="18"/>
              </w:rPr>
              <w:t>分值</w:t>
            </w:r>
          </w:p>
        </w:tc>
        <w:tc>
          <w:tcPr>
            <w:tcW w:w="956"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8"/>
                <w:szCs w:val="18"/>
              </w:rPr>
            </w:pPr>
            <w:r>
              <w:rPr>
                <w:rFonts w:hint="eastAsia" w:ascii="Times New Roman" w:hAnsi="Times New Roman" w:eastAsia="仿宋_GB2312" w:cs="Times New Roman"/>
                <w:color w:val="000000"/>
                <w:sz w:val="18"/>
                <w:szCs w:val="18"/>
                <w:lang w:eastAsia="zh-CN"/>
              </w:rPr>
              <w:t>自评</w:t>
            </w:r>
            <w:r>
              <w:rPr>
                <w:rFonts w:hint="default" w:ascii="Times New Roman" w:hAnsi="Times New Roman" w:eastAsia="仿宋_GB2312" w:cs="Times New Roman"/>
                <w:color w:val="000000"/>
                <w:sz w:val="18"/>
                <w:szCs w:val="18"/>
              </w:rPr>
              <w:t>得分</w:t>
            </w:r>
          </w:p>
        </w:tc>
        <w:tc>
          <w:tcPr>
            <w:tcW w:w="1569" w:type="dxa"/>
            <w:tcBorders>
              <w:top w:val="nil"/>
              <w:left w:val="nil"/>
              <w:bottom w:val="single" w:color="auto" w:sz="4" w:space="0"/>
              <w:right w:val="single" w:color="auto" w:sz="4" w:space="0"/>
            </w:tcBorders>
            <w:noWrap w:val="0"/>
            <w:vAlign w:val="center"/>
          </w:tcPr>
          <w:p>
            <w:pPr>
              <w:widowControl/>
              <w:spacing w:line="240" w:lineRule="exact"/>
              <w:jc w:val="both"/>
              <w:rPr>
                <w:rFonts w:hint="default" w:ascii="Times New Roman" w:hAnsi="Times New Roman" w:eastAsia="仿宋_GB2312" w:cs="Times New Roman"/>
                <w:color w:val="000000"/>
                <w:sz w:val="18"/>
                <w:szCs w:val="18"/>
              </w:rPr>
            </w:pPr>
            <w:r>
              <w:rPr>
                <w:rFonts w:hint="default" w:ascii="Times New Roman" w:hAnsi="Times New Roman" w:eastAsia="仿宋_GB2312" w:cs="Times New Roman"/>
                <w:color w:val="000000"/>
                <w:sz w:val="18"/>
                <w:szCs w:val="18"/>
              </w:rPr>
              <w:t>偏差原因分析及改进措施</w:t>
            </w:r>
          </w:p>
        </w:tc>
      </w:tr>
      <w:tr>
        <w:tblPrEx>
          <w:tblLayout w:type="fixed"/>
          <w:tblCellMar>
            <w:top w:w="0" w:type="dxa"/>
            <w:left w:w="108" w:type="dxa"/>
            <w:bottom w:w="0" w:type="dxa"/>
            <w:right w:w="108" w:type="dxa"/>
          </w:tblCellMar>
        </w:tblPrEx>
        <w:trPr>
          <w:trHeight w:val="465" w:hRule="atLeast"/>
        </w:trPr>
        <w:tc>
          <w:tcPr>
            <w:tcW w:w="75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18"/>
                <w:szCs w:val="18"/>
              </w:rPr>
            </w:pPr>
          </w:p>
        </w:tc>
        <w:tc>
          <w:tcPr>
            <w:tcW w:w="846" w:type="dxa"/>
            <w:vMerge w:val="restart"/>
            <w:tcBorders>
              <w:top w:val="nil"/>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8"/>
                <w:szCs w:val="18"/>
              </w:rPr>
            </w:pPr>
            <w:r>
              <w:rPr>
                <w:rFonts w:hint="default" w:ascii="Times New Roman" w:hAnsi="Times New Roman" w:eastAsia="仿宋_GB2312" w:cs="Times New Roman"/>
                <w:color w:val="000000"/>
                <w:sz w:val="18"/>
                <w:szCs w:val="18"/>
              </w:rPr>
              <w:t>产出指标</w:t>
            </w:r>
          </w:p>
          <w:p>
            <w:pPr>
              <w:widowControl/>
              <w:spacing w:line="240" w:lineRule="exact"/>
              <w:jc w:val="center"/>
              <w:rPr>
                <w:rFonts w:hint="default" w:ascii="Times New Roman" w:hAnsi="Times New Roman" w:eastAsia="仿宋_GB2312" w:cs="Times New Roman"/>
                <w:color w:val="000000"/>
                <w:sz w:val="18"/>
                <w:szCs w:val="18"/>
              </w:rPr>
            </w:pPr>
          </w:p>
          <w:p>
            <w:pPr>
              <w:widowControl/>
              <w:spacing w:line="240" w:lineRule="exact"/>
              <w:jc w:val="center"/>
              <w:rPr>
                <w:rFonts w:hint="default" w:ascii="Times New Roman" w:hAnsi="Times New Roman" w:eastAsia="仿宋_GB2312" w:cs="Times New Roman"/>
                <w:color w:val="000000"/>
                <w:sz w:val="18"/>
                <w:szCs w:val="18"/>
              </w:rPr>
            </w:pPr>
            <w:r>
              <w:rPr>
                <w:rFonts w:hint="default" w:ascii="Times New Roman" w:hAnsi="Times New Roman" w:eastAsia="仿宋_GB2312" w:cs="Times New Roman"/>
                <w:color w:val="000000"/>
                <w:sz w:val="18"/>
                <w:szCs w:val="18"/>
              </w:rPr>
              <w:t>(50分)</w:t>
            </w:r>
          </w:p>
        </w:tc>
        <w:tc>
          <w:tcPr>
            <w:tcW w:w="987" w:type="dxa"/>
            <w:vMerge w:val="restart"/>
            <w:tcBorders>
              <w:top w:val="nil"/>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8"/>
                <w:szCs w:val="18"/>
              </w:rPr>
            </w:pPr>
            <w:r>
              <w:rPr>
                <w:rFonts w:hint="default" w:ascii="Times New Roman" w:hAnsi="Times New Roman" w:eastAsia="仿宋_GB2312" w:cs="Times New Roman"/>
                <w:color w:val="000000"/>
                <w:sz w:val="18"/>
                <w:szCs w:val="18"/>
              </w:rPr>
              <w:t>数量指标</w:t>
            </w:r>
          </w:p>
        </w:tc>
        <w:tc>
          <w:tcPr>
            <w:tcW w:w="2050" w:type="dxa"/>
            <w:tcBorders>
              <w:top w:val="nil"/>
              <w:left w:val="nil"/>
              <w:bottom w:val="single" w:color="auto" w:sz="4" w:space="0"/>
              <w:right w:val="single" w:color="auto" w:sz="4" w:space="0"/>
            </w:tcBorders>
            <w:noWrap w:val="0"/>
            <w:vAlign w:val="center"/>
          </w:tcPr>
          <w:p>
            <w:pPr>
              <w:widowControl/>
              <w:spacing w:line="240" w:lineRule="exact"/>
              <w:jc w:val="both"/>
              <w:rPr>
                <w:rFonts w:hint="eastAsia" w:ascii="Times New Roman" w:hAnsi="Times New Roman" w:eastAsia="仿宋_GB2312" w:cs="Times New Roman"/>
                <w:color w:val="000000"/>
                <w:sz w:val="18"/>
                <w:szCs w:val="18"/>
                <w:lang w:eastAsia="zh-CN"/>
              </w:rPr>
            </w:pPr>
            <w:r>
              <w:rPr>
                <w:rFonts w:hint="eastAsia" w:ascii="Times New Roman" w:hAnsi="Times New Roman" w:eastAsia="仿宋_GB2312" w:cs="Times New Roman"/>
                <w:color w:val="000000"/>
                <w:sz w:val="18"/>
                <w:szCs w:val="18"/>
                <w:lang w:eastAsia="zh-CN"/>
              </w:rPr>
              <w:t>样品检测份数</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8"/>
                <w:szCs w:val="18"/>
                <w:lang w:val="en-US" w:eastAsia="zh-CN"/>
              </w:rPr>
            </w:pPr>
            <w:r>
              <w:rPr>
                <w:rFonts w:hint="eastAsia" w:ascii="Times New Roman" w:hAnsi="Times New Roman" w:eastAsia="仿宋_GB2312" w:cs="Times New Roman"/>
                <w:color w:val="000000"/>
                <w:sz w:val="18"/>
                <w:szCs w:val="18"/>
                <w:lang w:val="en-US" w:eastAsia="zh-CN"/>
              </w:rPr>
              <w:t>48000</w:t>
            </w:r>
          </w:p>
        </w:tc>
        <w:tc>
          <w:tcPr>
            <w:tcW w:w="1075"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8"/>
                <w:szCs w:val="18"/>
                <w:lang w:val="en-US" w:eastAsia="zh-CN"/>
              </w:rPr>
            </w:pPr>
            <w:r>
              <w:rPr>
                <w:rFonts w:hint="eastAsia" w:ascii="Times New Roman" w:hAnsi="Times New Roman" w:eastAsia="仿宋_GB2312" w:cs="Times New Roman"/>
                <w:color w:val="000000"/>
                <w:sz w:val="18"/>
                <w:szCs w:val="18"/>
                <w:lang w:val="en-US" w:eastAsia="zh-CN"/>
              </w:rPr>
              <w:t>138000</w:t>
            </w:r>
          </w:p>
        </w:tc>
        <w:tc>
          <w:tcPr>
            <w:tcW w:w="879"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8"/>
                <w:szCs w:val="18"/>
              </w:rPr>
            </w:pPr>
            <w:r>
              <w:rPr>
                <w:rFonts w:hint="eastAsia" w:ascii="Times New Roman" w:hAnsi="Times New Roman" w:eastAsia="仿宋_GB2312" w:cs="Times New Roman"/>
                <w:color w:val="000000"/>
                <w:sz w:val="18"/>
                <w:szCs w:val="18"/>
                <w:lang w:val="en-US" w:eastAsia="zh-CN"/>
              </w:rPr>
              <w:t>10</w:t>
            </w:r>
          </w:p>
        </w:tc>
        <w:tc>
          <w:tcPr>
            <w:tcW w:w="956"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8"/>
                <w:szCs w:val="18"/>
                <w:lang w:val="en-US" w:eastAsia="zh-CN"/>
              </w:rPr>
            </w:pPr>
            <w:r>
              <w:rPr>
                <w:rFonts w:hint="eastAsia" w:ascii="Times New Roman" w:hAnsi="Times New Roman" w:eastAsia="仿宋_GB2312" w:cs="Times New Roman"/>
                <w:color w:val="000000"/>
                <w:sz w:val="18"/>
                <w:szCs w:val="18"/>
                <w:lang w:val="en-US" w:eastAsia="zh-CN"/>
              </w:rPr>
              <w:t>10</w:t>
            </w:r>
          </w:p>
        </w:tc>
        <w:tc>
          <w:tcPr>
            <w:tcW w:w="156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8"/>
                <w:szCs w:val="18"/>
              </w:rPr>
            </w:pPr>
            <w:r>
              <w:rPr>
                <w:rFonts w:hint="default" w:ascii="Times New Roman" w:hAnsi="Times New Roman" w:eastAsia="仿宋_GB2312" w:cs="Times New Roman"/>
                <w:color w:val="000000"/>
                <w:sz w:val="18"/>
                <w:szCs w:val="18"/>
              </w:rPr>
              <w:t>　</w:t>
            </w:r>
          </w:p>
        </w:tc>
      </w:tr>
      <w:tr>
        <w:tblPrEx>
          <w:tblLayout w:type="fixed"/>
          <w:tblCellMar>
            <w:top w:w="0" w:type="dxa"/>
            <w:left w:w="108" w:type="dxa"/>
            <w:bottom w:w="0" w:type="dxa"/>
            <w:right w:w="108" w:type="dxa"/>
          </w:tblCellMar>
        </w:tblPrEx>
        <w:trPr>
          <w:trHeight w:val="436" w:hRule="atLeast"/>
        </w:trPr>
        <w:tc>
          <w:tcPr>
            <w:tcW w:w="75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18"/>
                <w:szCs w:val="18"/>
              </w:rPr>
            </w:pPr>
          </w:p>
        </w:tc>
        <w:tc>
          <w:tcPr>
            <w:tcW w:w="846"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18"/>
                <w:szCs w:val="18"/>
              </w:rPr>
            </w:pPr>
          </w:p>
        </w:tc>
        <w:tc>
          <w:tcPr>
            <w:tcW w:w="987" w:type="dxa"/>
            <w:vMerge w:val="continue"/>
            <w:tcBorders>
              <w:left w:val="nil"/>
              <w:right w:val="single" w:color="auto" w:sz="4" w:space="0"/>
            </w:tcBorders>
            <w:noWrap w:val="0"/>
            <w:vAlign w:val="center"/>
          </w:tcPr>
          <w:p>
            <w:pPr>
              <w:spacing w:line="240" w:lineRule="exact"/>
              <w:jc w:val="center"/>
              <w:rPr>
                <w:rFonts w:hint="default" w:ascii="Times New Roman" w:hAnsi="Times New Roman" w:eastAsia="仿宋_GB2312" w:cs="Times New Roman"/>
                <w:color w:val="000000"/>
                <w:sz w:val="18"/>
                <w:szCs w:val="18"/>
              </w:rPr>
            </w:pPr>
          </w:p>
        </w:tc>
        <w:tc>
          <w:tcPr>
            <w:tcW w:w="2050" w:type="dxa"/>
            <w:tcBorders>
              <w:top w:val="nil"/>
              <w:left w:val="nil"/>
              <w:bottom w:val="single" w:color="auto" w:sz="4" w:space="0"/>
              <w:right w:val="single" w:color="auto" w:sz="4" w:space="0"/>
            </w:tcBorders>
            <w:noWrap w:val="0"/>
            <w:vAlign w:val="center"/>
          </w:tcPr>
          <w:p>
            <w:pPr>
              <w:widowControl/>
              <w:spacing w:line="240" w:lineRule="exact"/>
              <w:jc w:val="both"/>
              <w:rPr>
                <w:rFonts w:hint="eastAsia" w:ascii="Times New Roman" w:hAnsi="Times New Roman" w:eastAsia="仿宋_GB2312" w:cs="Times New Roman"/>
                <w:color w:val="000000"/>
                <w:sz w:val="18"/>
                <w:szCs w:val="18"/>
                <w:lang w:eastAsia="zh-CN"/>
              </w:rPr>
            </w:pPr>
            <w:r>
              <w:rPr>
                <w:rFonts w:hint="eastAsia" w:ascii="Times New Roman" w:hAnsi="Times New Roman" w:eastAsia="仿宋_GB2312" w:cs="Times New Roman"/>
                <w:color w:val="000000"/>
                <w:sz w:val="18"/>
                <w:szCs w:val="18"/>
                <w:lang w:eastAsia="zh-CN"/>
              </w:rPr>
              <w:t>实验室质量与重大生物安全事故</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仿宋_GB2312" w:cs="Times New Roman"/>
                <w:color w:val="000000"/>
                <w:sz w:val="18"/>
                <w:szCs w:val="18"/>
                <w:lang w:val="en-US" w:eastAsia="zh-CN"/>
              </w:rPr>
            </w:pPr>
            <w:r>
              <w:rPr>
                <w:rFonts w:hint="eastAsia" w:ascii="Times New Roman" w:hAnsi="Times New Roman" w:eastAsia="仿宋_GB2312" w:cs="Times New Roman"/>
                <w:color w:val="000000"/>
                <w:sz w:val="18"/>
                <w:szCs w:val="18"/>
                <w:lang w:val="en-US" w:eastAsia="zh-CN"/>
              </w:rPr>
              <w:t>0</w:t>
            </w:r>
          </w:p>
        </w:tc>
        <w:tc>
          <w:tcPr>
            <w:tcW w:w="1075"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仿宋_GB2312" w:cs="Times New Roman"/>
                <w:color w:val="000000"/>
                <w:sz w:val="18"/>
                <w:szCs w:val="18"/>
                <w:lang w:val="en-US" w:eastAsia="zh-CN"/>
              </w:rPr>
            </w:pPr>
            <w:r>
              <w:rPr>
                <w:rFonts w:hint="eastAsia" w:ascii="Times New Roman" w:hAnsi="Times New Roman" w:eastAsia="仿宋_GB2312" w:cs="Times New Roman"/>
                <w:color w:val="000000"/>
                <w:sz w:val="18"/>
                <w:szCs w:val="18"/>
                <w:lang w:val="en-US" w:eastAsia="zh-CN"/>
              </w:rPr>
              <w:t>0</w:t>
            </w:r>
          </w:p>
        </w:tc>
        <w:tc>
          <w:tcPr>
            <w:tcW w:w="879"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8"/>
                <w:szCs w:val="18"/>
                <w:lang w:val="en-US" w:eastAsia="zh-CN"/>
              </w:rPr>
            </w:pPr>
            <w:r>
              <w:rPr>
                <w:rFonts w:hint="eastAsia" w:ascii="Times New Roman" w:hAnsi="Times New Roman" w:eastAsia="仿宋_GB2312" w:cs="Times New Roman"/>
                <w:color w:val="000000"/>
                <w:sz w:val="18"/>
                <w:szCs w:val="18"/>
                <w:lang w:val="en-US" w:eastAsia="zh-CN"/>
              </w:rPr>
              <w:t>10</w:t>
            </w:r>
          </w:p>
        </w:tc>
        <w:tc>
          <w:tcPr>
            <w:tcW w:w="956"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8"/>
                <w:szCs w:val="18"/>
                <w:lang w:val="en-US" w:eastAsia="zh-CN"/>
              </w:rPr>
            </w:pPr>
            <w:r>
              <w:rPr>
                <w:rFonts w:hint="eastAsia" w:ascii="Times New Roman" w:hAnsi="Times New Roman" w:eastAsia="仿宋_GB2312" w:cs="Times New Roman"/>
                <w:color w:val="000000"/>
                <w:sz w:val="18"/>
                <w:szCs w:val="18"/>
                <w:lang w:val="en-US" w:eastAsia="zh-CN"/>
              </w:rPr>
              <w:t>10</w:t>
            </w:r>
          </w:p>
        </w:tc>
        <w:tc>
          <w:tcPr>
            <w:tcW w:w="156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8"/>
                <w:szCs w:val="18"/>
              </w:rPr>
            </w:pPr>
            <w:r>
              <w:rPr>
                <w:rFonts w:hint="default" w:ascii="Times New Roman" w:hAnsi="Times New Roman" w:eastAsia="仿宋_GB2312" w:cs="Times New Roman"/>
                <w:color w:val="000000"/>
                <w:sz w:val="18"/>
                <w:szCs w:val="18"/>
              </w:rPr>
              <w:t>　</w:t>
            </w:r>
          </w:p>
        </w:tc>
      </w:tr>
      <w:tr>
        <w:tblPrEx>
          <w:tblLayout w:type="fixed"/>
          <w:tblCellMar>
            <w:top w:w="0" w:type="dxa"/>
            <w:left w:w="108" w:type="dxa"/>
            <w:bottom w:w="0" w:type="dxa"/>
            <w:right w:w="108" w:type="dxa"/>
          </w:tblCellMar>
        </w:tblPrEx>
        <w:trPr>
          <w:trHeight w:val="437" w:hRule="atLeast"/>
        </w:trPr>
        <w:tc>
          <w:tcPr>
            <w:tcW w:w="75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18"/>
                <w:szCs w:val="18"/>
              </w:rPr>
            </w:pPr>
          </w:p>
        </w:tc>
        <w:tc>
          <w:tcPr>
            <w:tcW w:w="846"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18"/>
                <w:szCs w:val="18"/>
              </w:rPr>
            </w:pPr>
          </w:p>
        </w:tc>
        <w:tc>
          <w:tcPr>
            <w:tcW w:w="987" w:type="dxa"/>
            <w:vMerge w:val="continue"/>
            <w:tcBorders>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8"/>
                <w:szCs w:val="18"/>
              </w:rPr>
            </w:pPr>
          </w:p>
        </w:tc>
        <w:tc>
          <w:tcPr>
            <w:tcW w:w="2050" w:type="dxa"/>
            <w:tcBorders>
              <w:top w:val="nil"/>
              <w:left w:val="nil"/>
              <w:bottom w:val="single" w:color="auto" w:sz="4" w:space="0"/>
              <w:right w:val="single" w:color="auto" w:sz="4" w:space="0"/>
            </w:tcBorders>
            <w:noWrap w:val="0"/>
            <w:vAlign w:val="center"/>
          </w:tcPr>
          <w:p>
            <w:pPr>
              <w:widowControl/>
              <w:spacing w:line="240" w:lineRule="exact"/>
              <w:jc w:val="both"/>
              <w:rPr>
                <w:rFonts w:hint="eastAsia" w:ascii="Times New Roman" w:hAnsi="Times New Roman" w:eastAsia="仿宋_GB2312" w:cs="Times New Roman"/>
                <w:color w:val="000000"/>
                <w:sz w:val="18"/>
                <w:szCs w:val="18"/>
                <w:lang w:eastAsia="zh-CN"/>
              </w:rPr>
            </w:pPr>
            <w:r>
              <w:rPr>
                <w:rFonts w:hint="eastAsia" w:ascii="Times New Roman" w:hAnsi="Times New Roman" w:eastAsia="仿宋_GB2312" w:cs="Times New Roman"/>
                <w:color w:val="000000"/>
                <w:sz w:val="18"/>
                <w:szCs w:val="18"/>
                <w:lang w:eastAsia="zh-CN"/>
              </w:rPr>
              <w:t>业务培训次数</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仿宋_GB2312" w:cs="Times New Roman"/>
                <w:color w:val="000000"/>
                <w:sz w:val="18"/>
                <w:szCs w:val="18"/>
                <w:lang w:val="en-US" w:eastAsia="zh-CN"/>
              </w:rPr>
            </w:pPr>
            <w:r>
              <w:rPr>
                <w:rFonts w:hint="eastAsia" w:ascii="Times New Roman" w:hAnsi="Times New Roman" w:eastAsia="仿宋_GB2312" w:cs="Times New Roman"/>
                <w:color w:val="000000"/>
                <w:sz w:val="18"/>
                <w:szCs w:val="18"/>
                <w:lang w:val="en-US" w:eastAsia="zh-CN"/>
              </w:rPr>
              <w:t>4次</w:t>
            </w:r>
          </w:p>
        </w:tc>
        <w:tc>
          <w:tcPr>
            <w:tcW w:w="1075"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仿宋_GB2312" w:cs="Times New Roman"/>
                <w:color w:val="000000"/>
                <w:sz w:val="18"/>
                <w:szCs w:val="18"/>
                <w:lang w:val="en-US" w:eastAsia="zh-CN"/>
              </w:rPr>
            </w:pPr>
            <w:r>
              <w:rPr>
                <w:rFonts w:hint="eastAsia" w:ascii="Times New Roman" w:hAnsi="Times New Roman" w:eastAsia="仿宋_GB2312" w:cs="Times New Roman"/>
                <w:color w:val="000000"/>
                <w:sz w:val="18"/>
                <w:szCs w:val="18"/>
                <w:lang w:val="en-US" w:eastAsia="zh-CN"/>
              </w:rPr>
              <w:t>4次</w:t>
            </w:r>
          </w:p>
        </w:tc>
        <w:tc>
          <w:tcPr>
            <w:tcW w:w="879"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8"/>
                <w:szCs w:val="18"/>
                <w:lang w:val="en-US" w:eastAsia="zh-CN"/>
              </w:rPr>
            </w:pPr>
            <w:r>
              <w:rPr>
                <w:rFonts w:hint="eastAsia" w:ascii="Times New Roman" w:hAnsi="Times New Roman" w:eastAsia="仿宋_GB2312" w:cs="Times New Roman"/>
                <w:color w:val="000000"/>
                <w:sz w:val="18"/>
                <w:szCs w:val="18"/>
                <w:lang w:val="en-US" w:eastAsia="zh-CN"/>
              </w:rPr>
              <w:t>10</w:t>
            </w:r>
          </w:p>
        </w:tc>
        <w:tc>
          <w:tcPr>
            <w:tcW w:w="956"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8"/>
                <w:szCs w:val="18"/>
                <w:lang w:val="en-US" w:eastAsia="zh-CN"/>
              </w:rPr>
            </w:pPr>
            <w:r>
              <w:rPr>
                <w:rFonts w:hint="eastAsia" w:ascii="Times New Roman" w:hAnsi="Times New Roman" w:eastAsia="仿宋_GB2312" w:cs="Times New Roman"/>
                <w:color w:val="000000"/>
                <w:sz w:val="18"/>
                <w:szCs w:val="18"/>
                <w:lang w:val="en-US" w:eastAsia="zh-CN"/>
              </w:rPr>
              <w:t>10</w:t>
            </w:r>
          </w:p>
        </w:tc>
        <w:tc>
          <w:tcPr>
            <w:tcW w:w="156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8"/>
                <w:szCs w:val="18"/>
              </w:rPr>
            </w:pPr>
            <w:r>
              <w:rPr>
                <w:rFonts w:hint="default" w:ascii="Times New Roman" w:hAnsi="Times New Roman" w:eastAsia="仿宋_GB2312" w:cs="Times New Roman"/>
                <w:color w:val="000000"/>
                <w:sz w:val="18"/>
                <w:szCs w:val="18"/>
              </w:rPr>
              <w:t>　</w:t>
            </w:r>
          </w:p>
        </w:tc>
      </w:tr>
      <w:tr>
        <w:tblPrEx>
          <w:tblLayout w:type="fixed"/>
          <w:tblCellMar>
            <w:top w:w="0" w:type="dxa"/>
            <w:left w:w="108" w:type="dxa"/>
            <w:bottom w:w="0" w:type="dxa"/>
            <w:right w:w="108" w:type="dxa"/>
          </w:tblCellMar>
        </w:tblPrEx>
        <w:trPr>
          <w:trHeight w:val="227" w:hRule="atLeast"/>
        </w:trPr>
        <w:tc>
          <w:tcPr>
            <w:tcW w:w="75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18"/>
                <w:szCs w:val="18"/>
              </w:rPr>
            </w:pPr>
          </w:p>
        </w:tc>
        <w:tc>
          <w:tcPr>
            <w:tcW w:w="846"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18"/>
                <w:szCs w:val="18"/>
              </w:rPr>
            </w:pPr>
          </w:p>
        </w:tc>
        <w:tc>
          <w:tcPr>
            <w:tcW w:w="98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8"/>
                <w:szCs w:val="18"/>
              </w:rPr>
            </w:pPr>
            <w:r>
              <w:rPr>
                <w:rFonts w:hint="default" w:ascii="Times New Roman" w:hAnsi="Times New Roman" w:eastAsia="仿宋_GB2312" w:cs="Times New Roman"/>
                <w:color w:val="000000"/>
                <w:sz w:val="18"/>
                <w:szCs w:val="18"/>
              </w:rPr>
              <w:t>质量指标</w:t>
            </w:r>
          </w:p>
        </w:tc>
        <w:tc>
          <w:tcPr>
            <w:tcW w:w="2050" w:type="dxa"/>
            <w:tcBorders>
              <w:top w:val="nil"/>
              <w:left w:val="nil"/>
              <w:bottom w:val="single" w:color="auto" w:sz="4" w:space="0"/>
              <w:right w:val="single" w:color="auto" w:sz="4" w:space="0"/>
            </w:tcBorders>
            <w:noWrap w:val="0"/>
            <w:vAlign w:val="center"/>
          </w:tcPr>
          <w:p>
            <w:pPr>
              <w:widowControl/>
              <w:spacing w:line="240" w:lineRule="exact"/>
              <w:jc w:val="both"/>
              <w:rPr>
                <w:rFonts w:hint="eastAsia" w:ascii="Times New Roman" w:hAnsi="Times New Roman" w:eastAsia="仿宋_GB2312" w:cs="Times New Roman"/>
                <w:color w:val="000000"/>
                <w:sz w:val="18"/>
                <w:szCs w:val="18"/>
                <w:lang w:eastAsia="zh-CN"/>
              </w:rPr>
            </w:pPr>
            <w:r>
              <w:rPr>
                <w:rFonts w:hint="eastAsia" w:ascii="Times New Roman" w:hAnsi="Times New Roman" w:eastAsia="仿宋_GB2312" w:cs="Times New Roman"/>
                <w:color w:val="000000"/>
                <w:sz w:val="18"/>
                <w:szCs w:val="18"/>
                <w:lang w:eastAsia="zh-CN"/>
              </w:rPr>
              <w:t>病原学和血清学检测结果准确率</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8"/>
                <w:szCs w:val="18"/>
                <w:lang w:val="en-US" w:eastAsia="zh-CN"/>
              </w:rPr>
            </w:pPr>
            <w:r>
              <w:rPr>
                <w:rFonts w:hint="default" w:ascii="Arial" w:hAnsi="Arial" w:eastAsia="仿宋_GB2312" w:cs="Arial"/>
                <w:color w:val="000000"/>
                <w:sz w:val="18"/>
                <w:szCs w:val="18"/>
              </w:rPr>
              <w:t>≥</w:t>
            </w:r>
            <w:r>
              <w:rPr>
                <w:rFonts w:hint="eastAsia" w:ascii="Times New Roman" w:hAnsi="Times New Roman" w:eastAsia="仿宋_GB2312" w:cs="Times New Roman"/>
                <w:color w:val="000000"/>
                <w:sz w:val="18"/>
                <w:szCs w:val="18"/>
                <w:lang w:val="en-US" w:eastAsia="zh-CN"/>
              </w:rPr>
              <w:t>90%</w:t>
            </w:r>
          </w:p>
        </w:tc>
        <w:tc>
          <w:tcPr>
            <w:tcW w:w="1075"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8"/>
                <w:szCs w:val="18"/>
                <w:lang w:val="en-US" w:eastAsia="zh-CN"/>
              </w:rPr>
            </w:pPr>
            <w:r>
              <w:rPr>
                <w:rFonts w:hint="eastAsia" w:ascii="Times New Roman" w:hAnsi="Times New Roman" w:eastAsia="仿宋_GB2312" w:cs="Times New Roman"/>
                <w:color w:val="000000"/>
                <w:sz w:val="18"/>
                <w:szCs w:val="18"/>
                <w:lang w:val="en-US" w:eastAsia="zh-CN"/>
              </w:rPr>
              <w:t>100%</w:t>
            </w:r>
          </w:p>
        </w:tc>
        <w:tc>
          <w:tcPr>
            <w:tcW w:w="879"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8"/>
                <w:szCs w:val="18"/>
                <w:lang w:val="en-US" w:eastAsia="zh-CN"/>
              </w:rPr>
            </w:pPr>
            <w:r>
              <w:rPr>
                <w:rFonts w:hint="eastAsia" w:ascii="Times New Roman" w:hAnsi="Times New Roman" w:eastAsia="仿宋_GB2312" w:cs="Times New Roman"/>
                <w:color w:val="000000"/>
                <w:sz w:val="18"/>
                <w:szCs w:val="18"/>
                <w:lang w:val="en-US" w:eastAsia="zh-CN"/>
              </w:rPr>
              <w:t>10</w:t>
            </w:r>
          </w:p>
        </w:tc>
        <w:tc>
          <w:tcPr>
            <w:tcW w:w="956"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8"/>
                <w:szCs w:val="18"/>
                <w:lang w:val="en-US" w:eastAsia="zh-CN"/>
              </w:rPr>
            </w:pPr>
            <w:r>
              <w:rPr>
                <w:rFonts w:hint="eastAsia" w:ascii="Times New Roman" w:hAnsi="Times New Roman" w:eastAsia="仿宋_GB2312" w:cs="Times New Roman"/>
                <w:color w:val="000000"/>
                <w:sz w:val="18"/>
                <w:szCs w:val="18"/>
                <w:lang w:val="en-US" w:eastAsia="zh-CN"/>
              </w:rPr>
              <w:t>10</w:t>
            </w:r>
          </w:p>
        </w:tc>
        <w:tc>
          <w:tcPr>
            <w:tcW w:w="156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8"/>
                <w:szCs w:val="18"/>
              </w:rPr>
            </w:pPr>
            <w:r>
              <w:rPr>
                <w:rFonts w:hint="default" w:ascii="Times New Roman" w:hAnsi="Times New Roman" w:eastAsia="仿宋_GB2312" w:cs="Times New Roman"/>
                <w:color w:val="000000"/>
                <w:sz w:val="18"/>
                <w:szCs w:val="18"/>
              </w:rPr>
              <w:t>　</w:t>
            </w:r>
          </w:p>
        </w:tc>
      </w:tr>
      <w:tr>
        <w:tblPrEx>
          <w:tblLayout w:type="fixed"/>
          <w:tblCellMar>
            <w:top w:w="0" w:type="dxa"/>
            <w:left w:w="108" w:type="dxa"/>
            <w:bottom w:w="0" w:type="dxa"/>
            <w:right w:w="108" w:type="dxa"/>
          </w:tblCellMar>
        </w:tblPrEx>
        <w:trPr>
          <w:trHeight w:val="427" w:hRule="atLeast"/>
        </w:trPr>
        <w:tc>
          <w:tcPr>
            <w:tcW w:w="75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18"/>
                <w:szCs w:val="18"/>
              </w:rPr>
            </w:pPr>
          </w:p>
        </w:tc>
        <w:tc>
          <w:tcPr>
            <w:tcW w:w="846"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18"/>
                <w:szCs w:val="18"/>
              </w:rPr>
            </w:pPr>
          </w:p>
        </w:tc>
        <w:tc>
          <w:tcPr>
            <w:tcW w:w="98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8"/>
                <w:szCs w:val="18"/>
              </w:rPr>
            </w:pPr>
            <w:r>
              <w:rPr>
                <w:rFonts w:hint="default" w:ascii="Times New Roman" w:hAnsi="Times New Roman" w:eastAsia="仿宋_GB2312" w:cs="Times New Roman"/>
                <w:color w:val="000000"/>
                <w:sz w:val="18"/>
                <w:szCs w:val="18"/>
              </w:rPr>
              <w:t>时效指标</w:t>
            </w:r>
          </w:p>
        </w:tc>
        <w:tc>
          <w:tcPr>
            <w:tcW w:w="2050" w:type="dxa"/>
            <w:tcBorders>
              <w:top w:val="nil"/>
              <w:left w:val="nil"/>
              <w:bottom w:val="single" w:color="auto" w:sz="4" w:space="0"/>
              <w:right w:val="single" w:color="auto" w:sz="4" w:space="0"/>
            </w:tcBorders>
            <w:noWrap w:val="0"/>
            <w:vAlign w:val="center"/>
          </w:tcPr>
          <w:p>
            <w:pPr>
              <w:widowControl/>
              <w:spacing w:line="240" w:lineRule="exact"/>
              <w:jc w:val="both"/>
              <w:rPr>
                <w:rFonts w:hint="eastAsia" w:ascii="Times New Roman" w:hAnsi="Times New Roman" w:eastAsia="仿宋_GB2312" w:cs="Times New Roman"/>
                <w:color w:val="000000"/>
                <w:sz w:val="18"/>
                <w:szCs w:val="18"/>
                <w:lang w:eastAsia="zh-CN"/>
              </w:rPr>
            </w:pPr>
            <w:r>
              <w:rPr>
                <w:rFonts w:hint="eastAsia" w:ascii="Times New Roman" w:hAnsi="Times New Roman" w:eastAsia="仿宋_GB2312" w:cs="Times New Roman"/>
                <w:color w:val="000000"/>
                <w:sz w:val="18"/>
                <w:szCs w:val="18"/>
                <w:lang w:eastAsia="zh-CN"/>
              </w:rPr>
              <w:t>项目完成时间</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仿宋_GB2312" w:cs="Times New Roman"/>
                <w:color w:val="000000"/>
                <w:sz w:val="18"/>
                <w:szCs w:val="18"/>
                <w:lang w:eastAsia="zh-CN"/>
              </w:rPr>
            </w:pPr>
            <w:r>
              <w:rPr>
                <w:rFonts w:hint="eastAsia" w:ascii="Times New Roman" w:hAnsi="Times New Roman" w:eastAsia="仿宋_GB2312" w:cs="Times New Roman"/>
                <w:color w:val="000000"/>
                <w:sz w:val="18"/>
                <w:szCs w:val="18"/>
                <w:lang w:eastAsia="zh-CN"/>
              </w:rPr>
              <w:t>本年度</w:t>
            </w:r>
          </w:p>
        </w:tc>
        <w:tc>
          <w:tcPr>
            <w:tcW w:w="1075"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仿宋_GB2312" w:cs="Times New Roman"/>
                <w:color w:val="000000"/>
                <w:sz w:val="18"/>
                <w:szCs w:val="18"/>
                <w:lang w:eastAsia="zh-CN"/>
              </w:rPr>
            </w:pPr>
            <w:r>
              <w:rPr>
                <w:rFonts w:hint="eastAsia" w:ascii="Times New Roman" w:hAnsi="Times New Roman" w:eastAsia="仿宋_GB2312" w:cs="Times New Roman"/>
                <w:color w:val="000000"/>
                <w:sz w:val="18"/>
                <w:szCs w:val="18"/>
                <w:lang w:eastAsia="zh-CN"/>
              </w:rPr>
              <w:t>本年度</w:t>
            </w:r>
          </w:p>
        </w:tc>
        <w:tc>
          <w:tcPr>
            <w:tcW w:w="879"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8"/>
                <w:szCs w:val="18"/>
                <w:lang w:val="en-US" w:eastAsia="zh-CN"/>
              </w:rPr>
            </w:pPr>
            <w:r>
              <w:rPr>
                <w:rFonts w:hint="eastAsia" w:ascii="Times New Roman" w:hAnsi="Times New Roman" w:eastAsia="仿宋_GB2312" w:cs="Times New Roman"/>
                <w:color w:val="000000"/>
                <w:sz w:val="18"/>
                <w:szCs w:val="18"/>
                <w:lang w:val="en-US" w:eastAsia="zh-CN"/>
              </w:rPr>
              <w:t>10</w:t>
            </w:r>
          </w:p>
        </w:tc>
        <w:tc>
          <w:tcPr>
            <w:tcW w:w="956"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8"/>
                <w:szCs w:val="18"/>
                <w:lang w:val="en-US" w:eastAsia="zh-CN"/>
              </w:rPr>
            </w:pPr>
            <w:r>
              <w:rPr>
                <w:rFonts w:hint="eastAsia" w:ascii="Times New Roman" w:hAnsi="Times New Roman" w:eastAsia="仿宋_GB2312" w:cs="Times New Roman"/>
                <w:color w:val="000000"/>
                <w:sz w:val="18"/>
                <w:szCs w:val="18"/>
                <w:lang w:val="en-US" w:eastAsia="zh-CN"/>
              </w:rPr>
              <w:t>10</w:t>
            </w:r>
          </w:p>
        </w:tc>
        <w:tc>
          <w:tcPr>
            <w:tcW w:w="156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8"/>
                <w:szCs w:val="18"/>
              </w:rPr>
            </w:pPr>
            <w:r>
              <w:rPr>
                <w:rFonts w:hint="default" w:ascii="Times New Roman" w:hAnsi="Times New Roman" w:eastAsia="仿宋_GB2312" w:cs="Times New Roman"/>
                <w:color w:val="000000"/>
                <w:sz w:val="18"/>
                <w:szCs w:val="18"/>
              </w:rPr>
              <w:t>　</w:t>
            </w:r>
          </w:p>
        </w:tc>
      </w:tr>
      <w:tr>
        <w:tblPrEx>
          <w:tblLayout w:type="fixed"/>
          <w:tblCellMar>
            <w:top w:w="0" w:type="dxa"/>
            <w:left w:w="108" w:type="dxa"/>
            <w:bottom w:w="0" w:type="dxa"/>
            <w:right w:w="108" w:type="dxa"/>
          </w:tblCellMar>
        </w:tblPrEx>
        <w:trPr>
          <w:trHeight w:val="227" w:hRule="atLeast"/>
        </w:trPr>
        <w:tc>
          <w:tcPr>
            <w:tcW w:w="75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18"/>
                <w:szCs w:val="18"/>
              </w:rPr>
            </w:pPr>
          </w:p>
        </w:tc>
        <w:tc>
          <w:tcPr>
            <w:tcW w:w="846"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18"/>
                <w:szCs w:val="18"/>
              </w:rPr>
            </w:pPr>
          </w:p>
        </w:tc>
        <w:tc>
          <w:tcPr>
            <w:tcW w:w="98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8"/>
                <w:szCs w:val="18"/>
              </w:rPr>
            </w:pPr>
            <w:r>
              <w:rPr>
                <w:rFonts w:hint="default" w:ascii="Times New Roman" w:hAnsi="Times New Roman" w:eastAsia="仿宋_GB2312" w:cs="Times New Roman"/>
                <w:color w:val="000000"/>
                <w:sz w:val="18"/>
                <w:szCs w:val="18"/>
              </w:rPr>
              <w:t>成本指标</w:t>
            </w:r>
          </w:p>
        </w:tc>
        <w:tc>
          <w:tcPr>
            <w:tcW w:w="2050" w:type="dxa"/>
            <w:tcBorders>
              <w:top w:val="nil"/>
              <w:left w:val="nil"/>
              <w:bottom w:val="single" w:color="auto" w:sz="4" w:space="0"/>
              <w:right w:val="single" w:color="auto" w:sz="4" w:space="0"/>
            </w:tcBorders>
            <w:noWrap w:val="0"/>
            <w:vAlign w:val="center"/>
          </w:tcPr>
          <w:p>
            <w:pPr>
              <w:widowControl/>
              <w:spacing w:line="240" w:lineRule="exact"/>
              <w:jc w:val="both"/>
              <w:rPr>
                <w:rFonts w:hint="default" w:ascii="Times New Roman" w:hAnsi="Times New Roman" w:eastAsia="仿宋_GB2312" w:cs="Times New Roman"/>
                <w:color w:val="000000"/>
                <w:sz w:val="18"/>
                <w:szCs w:val="18"/>
              </w:rPr>
            </w:pP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8"/>
                <w:szCs w:val="18"/>
              </w:rPr>
            </w:pPr>
          </w:p>
        </w:tc>
        <w:tc>
          <w:tcPr>
            <w:tcW w:w="1075"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8"/>
                <w:szCs w:val="18"/>
              </w:rPr>
            </w:pPr>
          </w:p>
        </w:tc>
        <w:tc>
          <w:tcPr>
            <w:tcW w:w="879"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8"/>
                <w:szCs w:val="18"/>
              </w:rPr>
            </w:pPr>
          </w:p>
        </w:tc>
        <w:tc>
          <w:tcPr>
            <w:tcW w:w="956"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8"/>
                <w:szCs w:val="18"/>
              </w:rPr>
            </w:pPr>
          </w:p>
        </w:tc>
        <w:tc>
          <w:tcPr>
            <w:tcW w:w="156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8"/>
                <w:szCs w:val="18"/>
              </w:rPr>
            </w:pPr>
            <w:r>
              <w:rPr>
                <w:rFonts w:hint="default" w:ascii="Times New Roman" w:hAnsi="Times New Roman" w:eastAsia="仿宋_GB2312" w:cs="Times New Roman"/>
                <w:color w:val="000000"/>
                <w:sz w:val="18"/>
                <w:szCs w:val="18"/>
              </w:rPr>
              <w:t>　</w:t>
            </w:r>
          </w:p>
        </w:tc>
      </w:tr>
      <w:tr>
        <w:tblPrEx>
          <w:tblLayout w:type="fixed"/>
          <w:tblCellMar>
            <w:top w:w="0" w:type="dxa"/>
            <w:left w:w="108" w:type="dxa"/>
            <w:bottom w:w="0" w:type="dxa"/>
            <w:right w:w="108" w:type="dxa"/>
          </w:tblCellMar>
        </w:tblPrEx>
        <w:trPr>
          <w:trHeight w:val="227" w:hRule="atLeast"/>
        </w:trPr>
        <w:tc>
          <w:tcPr>
            <w:tcW w:w="75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18"/>
                <w:szCs w:val="18"/>
              </w:rPr>
            </w:pPr>
          </w:p>
        </w:tc>
        <w:tc>
          <w:tcPr>
            <w:tcW w:w="846" w:type="dxa"/>
            <w:vMerge w:val="restart"/>
            <w:tcBorders>
              <w:top w:val="nil"/>
              <w:left w:val="nil"/>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8"/>
                <w:szCs w:val="18"/>
              </w:rPr>
            </w:pPr>
            <w:r>
              <w:rPr>
                <w:rFonts w:hint="default" w:ascii="Times New Roman" w:hAnsi="Times New Roman" w:eastAsia="仿宋_GB2312" w:cs="Times New Roman"/>
                <w:color w:val="000000"/>
                <w:sz w:val="18"/>
                <w:szCs w:val="18"/>
              </w:rPr>
              <w:t>效益指标</w:t>
            </w:r>
          </w:p>
          <w:p>
            <w:pPr>
              <w:widowControl/>
              <w:spacing w:line="240" w:lineRule="exact"/>
              <w:jc w:val="left"/>
              <w:rPr>
                <w:rFonts w:hint="default" w:ascii="Times New Roman" w:hAnsi="Times New Roman" w:eastAsia="仿宋_GB2312" w:cs="Times New Roman"/>
                <w:color w:val="000000"/>
                <w:sz w:val="18"/>
                <w:szCs w:val="18"/>
              </w:rPr>
            </w:pPr>
          </w:p>
          <w:p>
            <w:pPr>
              <w:widowControl/>
              <w:spacing w:line="240" w:lineRule="exact"/>
              <w:jc w:val="left"/>
              <w:rPr>
                <w:rFonts w:hint="default" w:ascii="Times New Roman" w:hAnsi="Times New Roman" w:eastAsia="仿宋_GB2312" w:cs="Times New Roman"/>
                <w:color w:val="000000"/>
                <w:sz w:val="18"/>
                <w:szCs w:val="18"/>
              </w:rPr>
            </w:pPr>
            <w:r>
              <w:rPr>
                <w:rFonts w:hint="default" w:ascii="Times New Roman" w:hAnsi="Times New Roman" w:eastAsia="仿宋_GB2312" w:cs="Times New Roman"/>
                <w:color w:val="000000"/>
                <w:sz w:val="18"/>
                <w:szCs w:val="18"/>
              </w:rPr>
              <w:t>（30分）</w:t>
            </w:r>
          </w:p>
          <w:p>
            <w:pPr>
              <w:widowControl/>
              <w:spacing w:line="240" w:lineRule="exact"/>
              <w:jc w:val="left"/>
              <w:rPr>
                <w:rFonts w:hint="default" w:ascii="Times New Roman" w:hAnsi="Times New Roman" w:eastAsia="仿宋_GB2312" w:cs="Times New Roman"/>
                <w:color w:val="000000"/>
                <w:sz w:val="18"/>
                <w:szCs w:val="18"/>
              </w:rPr>
            </w:pPr>
            <w:r>
              <w:rPr>
                <w:rFonts w:hint="default" w:ascii="Times New Roman" w:hAnsi="Times New Roman" w:eastAsia="仿宋_GB2312" w:cs="Times New Roman"/>
                <w:color w:val="000000"/>
                <w:sz w:val="18"/>
                <w:szCs w:val="18"/>
              </w:rPr>
              <w:t>　</w:t>
            </w:r>
          </w:p>
        </w:tc>
        <w:tc>
          <w:tcPr>
            <w:tcW w:w="987" w:type="dxa"/>
            <w:vMerge w:val="restart"/>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8"/>
                <w:szCs w:val="18"/>
              </w:rPr>
            </w:pPr>
            <w:r>
              <w:rPr>
                <w:rFonts w:hint="default" w:ascii="Times New Roman" w:hAnsi="Times New Roman" w:eastAsia="仿宋_GB2312" w:cs="Times New Roman"/>
                <w:color w:val="000000"/>
                <w:sz w:val="18"/>
                <w:szCs w:val="18"/>
              </w:rPr>
              <w:t>经济效益指标</w:t>
            </w:r>
          </w:p>
        </w:tc>
        <w:tc>
          <w:tcPr>
            <w:tcW w:w="2050" w:type="dxa"/>
            <w:tcBorders>
              <w:top w:val="nil"/>
              <w:left w:val="nil"/>
              <w:bottom w:val="single" w:color="auto" w:sz="4" w:space="0"/>
              <w:right w:val="single" w:color="auto" w:sz="4" w:space="0"/>
            </w:tcBorders>
            <w:noWrap w:val="0"/>
            <w:vAlign w:val="center"/>
          </w:tcPr>
          <w:p>
            <w:pPr>
              <w:widowControl/>
              <w:spacing w:line="240" w:lineRule="exact"/>
              <w:jc w:val="both"/>
              <w:rPr>
                <w:rFonts w:hint="default" w:ascii="Times New Roman" w:hAnsi="Times New Roman" w:eastAsia="仿宋_GB2312" w:cs="Times New Roman"/>
                <w:color w:val="000000"/>
                <w:sz w:val="18"/>
                <w:szCs w:val="18"/>
              </w:rPr>
            </w:pPr>
            <w:r>
              <w:rPr>
                <w:rFonts w:hint="eastAsia" w:ascii="Times New Roman" w:hAnsi="Times New Roman" w:eastAsia="仿宋_GB2312" w:cs="Times New Roman"/>
                <w:color w:val="000000"/>
                <w:sz w:val="18"/>
                <w:szCs w:val="18"/>
                <w:lang w:eastAsia="zh-CN"/>
              </w:rPr>
              <w:t>疫情监测结果准确率</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8"/>
                <w:szCs w:val="18"/>
              </w:rPr>
            </w:pPr>
            <w:r>
              <w:rPr>
                <w:rFonts w:hint="default" w:ascii="Arial" w:hAnsi="Arial" w:eastAsia="仿宋_GB2312" w:cs="Arial"/>
                <w:color w:val="000000"/>
                <w:sz w:val="18"/>
                <w:szCs w:val="18"/>
              </w:rPr>
              <w:t>≥</w:t>
            </w:r>
            <w:r>
              <w:rPr>
                <w:rFonts w:hint="eastAsia" w:ascii="Times New Roman" w:hAnsi="Times New Roman" w:eastAsia="仿宋_GB2312" w:cs="Times New Roman"/>
                <w:color w:val="000000"/>
                <w:sz w:val="18"/>
                <w:szCs w:val="18"/>
                <w:lang w:val="en-US" w:eastAsia="zh-CN"/>
              </w:rPr>
              <w:t>90%</w:t>
            </w:r>
          </w:p>
        </w:tc>
        <w:tc>
          <w:tcPr>
            <w:tcW w:w="1075"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8"/>
                <w:szCs w:val="18"/>
                <w:lang w:val="en-US" w:eastAsia="zh-CN"/>
              </w:rPr>
            </w:pPr>
            <w:r>
              <w:rPr>
                <w:rFonts w:hint="eastAsia" w:ascii="Times New Roman" w:hAnsi="Times New Roman" w:eastAsia="仿宋_GB2312" w:cs="Times New Roman"/>
                <w:color w:val="000000"/>
                <w:sz w:val="18"/>
                <w:szCs w:val="18"/>
                <w:lang w:val="en-US" w:eastAsia="zh-CN"/>
              </w:rPr>
              <w:t>100%</w:t>
            </w:r>
          </w:p>
        </w:tc>
        <w:tc>
          <w:tcPr>
            <w:tcW w:w="879"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8"/>
                <w:szCs w:val="18"/>
              </w:rPr>
            </w:pPr>
            <w:r>
              <w:rPr>
                <w:rFonts w:hint="eastAsia" w:ascii="Times New Roman" w:hAnsi="Times New Roman" w:eastAsia="仿宋_GB2312" w:cs="Times New Roman"/>
                <w:color w:val="000000"/>
                <w:sz w:val="18"/>
                <w:szCs w:val="18"/>
                <w:lang w:val="en-US" w:eastAsia="zh-CN"/>
              </w:rPr>
              <w:t>15</w:t>
            </w:r>
          </w:p>
        </w:tc>
        <w:tc>
          <w:tcPr>
            <w:tcW w:w="956"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8"/>
                <w:szCs w:val="18"/>
                <w:lang w:val="en-US" w:eastAsia="zh-CN"/>
              </w:rPr>
            </w:pPr>
            <w:r>
              <w:rPr>
                <w:rFonts w:hint="eastAsia" w:ascii="Times New Roman" w:hAnsi="Times New Roman" w:eastAsia="仿宋_GB2312" w:cs="Times New Roman"/>
                <w:color w:val="000000"/>
                <w:sz w:val="18"/>
                <w:szCs w:val="18"/>
                <w:lang w:val="en-US" w:eastAsia="zh-CN"/>
              </w:rPr>
              <w:t>15</w:t>
            </w:r>
          </w:p>
        </w:tc>
        <w:tc>
          <w:tcPr>
            <w:tcW w:w="156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8"/>
                <w:szCs w:val="18"/>
              </w:rPr>
            </w:pPr>
            <w:r>
              <w:rPr>
                <w:rFonts w:hint="default" w:ascii="Times New Roman" w:hAnsi="Times New Roman" w:eastAsia="仿宋_GB2312" w:cs="Times New Roman"/>
                <w:color w:val="000000"/>
                <w:sz w:val="18"/>
                <w:szCs w:val="18"/>
              </w:rPr>
              <w:t>　</w:t>
            </w:r>
          </w:p>
        </w:tc>
      </w:tr>
      <w:tr>
        <w:tblPrEx>
          <w:tblLayout w:type="fixed"/>
          <w:tblCellMar>
            <w:top w:w="0" w:type="dxa"/>
            <w:left w:w="108" w:type="dxa"/>
            <w:bottom w:w="0" w:type="dxa"/>
            <w:right w:w="108" w:type="dxa"/>
          </w:tblCellMar>
        </w:tblPrEx>
        <w:trPr>
          <w:trHeight w:val="227" w:hRule="atLeast"/>
        </w:trPr>
        <w:tc>
          <w:tcPr>
            <w:tcW w:w="75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18"/>
                <w:szCs w:val="18"/>
              </w:rPr>
            </w:pPr>
          </w:p>
        </w:tc>
        <w:tc>
          <w:tcPr>
            <w:tcW w:w="846"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18"/>
                <w:szCs w:val="18"/>
              </w:rPr>
            </w:pPr>
          </w:p>
        </w:tc>
        <w:tc>
          <w:tcPr>
            <w:tcW w:w="987" w:type="dxa"/>
            <w:vMerge w:val="continue"/>
            <w:tcBorders>
              <w:top w:val="single" w:color="auto" w:sz="4" w:space="0"/>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color w:val="000000"/>
                <w:sz w:val="18"/>
                <w:szCs w:val="18"/>
              </w:rPr>
            </w:pPr>
          </w:p>
        </w:tc>
        <w:tc>
          <w:tcPr>
            <w:tcW w:w="2050" w:type="dxa"/>
            <w:tcBorders>
              <w:top w:val="nil"/>
              <w:left w:val="nil"/>
              <w:bottom w:val="single" w:color="auto" w:sz="4" w:space="0"/>
              <w:right w:val="single" w:color="auto" w:sz="4" w:space="0"/>
            </w:tcBorders>
            <w:noWrap w:val="0"/>
            <w:vAlign w:val="center"/>
          </w:tcPr>
          <w:p>
            <w:pPr>
              <w:widowControl/>
              <w:spacing w:line="240" w:lineRule="exact"/>
              <w:jc w:val="both"/>
              <w:rPr>
                <w:rFonts w:hint="default" w:ascii="Times New Roman" w:hAnsi="Times New Roman" w:eastAsia="仿宋_GB2312" w:cs="Times New Roman"/>
                <w:color w:val="000000"/>
                <w:sz w:val="18"/>
                <w:szCs w:val="18"/>
              </w:rPr>
            </w:pPr>
            <w:r>
              <w:rPr>
                <w:rFonts w:hint="eastAsia" w:ascii="Times New Roman" w:hAnsi="Times New Roman" w:eastAsia="仿宋_GB2312" w:cs="Times New Roman"/>
                <w:color w:val="000000"/>
                <w:sz w:val="18"/>
                <w:szCs w:val="18"/>
                <w:lang w:eastAsia="zh-CN"/>
              </w:rPr>
              <w:t>动物疫情现场处置准确率</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8"/>
                <w:szCs w:val="18"/>
              </w:rPr>
            </w:pPr>
            <w:r>
              <w:rPr>
                <w:rFonts w:hint="default" w:ascii="Arial" w:hAnsi="Arial" w:eastAsia="仿宋_GB2312" w:cs="Arial"/>
                <w:color w:val="000000"/>
                <w:sz w:val="18"/>
                <w:szCs w:val="18"/>
              </w:rPr>
              <w:t>≥</w:t>
            </w:r>
            <w:r>
              <w:rPr>
                <w:rFonts w:hint="eastAsia" w:ascii="Times New Roman" w:hAnsi="Times New Roman" w:eastAsia="仿宋_GB2312" w:cs="Times New Roman"/>
                <w:color w:val="000000"/>
                <w:sz w:val="18"/>
                <w:szCs w:val="18"/>
                <w:lang w:val="en-US" w:eastAsia="zh-CN"/>
              </w:rPr>
              <w:t>90%</w:t>
            </w:r>
          </w:p>
        </w:tc>
        <w:tc>
          <w:tcPr>
            <w:tcW w:w="1075"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8"/>
                <w:szCs w:val="18"/>
                <w:lang w:val="en-US" w:eastAsia="zh-CN"/>
              </w:rPr>
            </w:pPr>
            <w:r>
              <w:rPr>
                <w:rFonts w:hint="eastAsia" w:ascii="Times New Roman" w:hAnsi="Times New Roman" w:eastAsia="仿宋_GB2312" w:cs="Times New Roman"/>
                <w:color w:val="000000"/>
                <w:sz w:val="18"/>
                <w:szCs w:val="18"/>
                <w:lang w:val="en-US" w:eastAsia="zh-CN"/>
              </w:rPr>
              <w:t>100%</w:t>
            </w:r>
          </w:p>
        </w:tc>
        <w:tc>
          <w:tcPr>
            <w:tcW w:w="879"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8"/>
                <w:szCs w:val="18"/>
                <w:lang w:val="en-US" w:eastAsia="zh-CN"/>
              </w:rPr>
            </w:pPr>
            <w:r>
              <w:rPr>
                <w:rFonts w:hint="eastAsia" w:ascii="Times New Roman" w:hAnsi="Times New Roman" w:eastAsia="仿宋_GB2312" w:cs="Times New Roman"/>
                <w:color w:val="000000"/>
                <w:sz w:val="18"/>
                <w:szCs w:val="18"/>
                <w:lang w:val="en-US" w:eastAsia="zh-CN"/>
              </w:rPr>
              <w:t>15</w:t>
            </w:r>
          </w:p>
        </w:tc>
        <w:tc>
          <w:tcPr>
            <w:tcW w:w="956"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8"/>
                <w:szCs w:val="18"/>
                <w:lang w:val="en-US" w:eastAsia="zh-CN"/>
              </w:rPr>
            </w:pPr>
            <w:r>
              <w:rPr>
                <w:rFonts w:hint="eastAsia" w:ascii="Times New Roman" w:hAnsi="Times New Roman" w:eastAsia="仿宋_GB2312" w:cs="Times New Roman"/>
                <w:color w:val="000000"/>
                <w:sz w:val="18"/>
                <w:szCs w:val="18"/>
                <w:lang w:val="en-US" w:eastAsia="zh-CN"/>
              </w:rPr>
              <w:t>15</w:t>
            </w:r>
          </w:p>
        </w:tc>
        <w:tc>
          <w:tcPr>
            <w:tcW w:w="156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8"/>
                <w:szCs w:val="18"/>
              </w:rPr>
            </w:pPr>
            <w:r>
              <w:rPr>
                <w:rFonts w:hint="default" w:ascii="Times New Roman" w:hAnsi="Times New Roman" w:eastAsia="仿宋_GB2312" w:cs="Times New Roman"/>
                <w:color w:val="000000"/>
                <w:sz w:val="18"/>
                <w:szCs w:val="18"/>
              </w:rPr>
              <w:t>　</w:t>
            </w:r>
          </w:p>
        </w:tc>
      </w:tr>
      <w:tr>
        <w:tblPrEx>
          <w:tblLayout w:type="fixed"/>
          <w:tblCellMar>
            <w:top w:w="0" w:type="dxa"/>
            <w:left w:w="108" w:type="dxa"/>
            <w:bottom w:w="0" w:type="dxa"/>
            <w:right w:w="108" w:type="dxa"/>
          </w:tblCellMar>
        </w:tblPrEx>
        <w:trPr>
          <w:trHeight w:val="227" w:hRule="atLeast"/>
        </w:trPr>
        <w:tc>
          <w:tcPr>
            <w:tcW w:w="75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18"/>
                <w:szCs w:val="18"/>
              </w:rPr>
            </w:pPr>
          </w:p>
        </w:tc>
        <w:tc>
          <w:tcPr>
            <w:tcW w:w="846"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18"/>
                <w:szCs w:val="18"/>
              </w:rPr>
            </w:pPr>
          </w:p>
        </w:tc>
        <w:tc>
          <w:tcPr>
            <w:tcW w:w="98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8"/>
                <w:szCs w:val="18"/>
              </w:rPr>
            </w:pPr>
            <w:r>
              <w:rPr>
                <w:rFonts w:hint="default" w:ascii="Times New Roman" w:hAnsi="Times New Roman" w:eastAsia="仿宋_GB2312" w:cs="Times New Roman"/>
                <w:color w:val="000000"/>
                <w:sz w:val="18"/>
                <w:szCs w:val="18"/>
              </w:rPr>
              <w:t>社会效益指标</w:t>
            </w:r>
          </w:p>
        </w:tc>
        <w:tc>
          <w:tcPr>
            <w:tcW w:w="2050" w:type="dxa"/>
            <w:tcBorders>
              <w:top w:val="nil"/>
              <w:left w:val="nil"/>
              <w:bottom w:val="single" w:color="auto" w:sz="4" w:space="0"/>
              <w:right w:val="single" w:color="auto" w:sz="4" w:space="0"/>
            </w:tcBorders>
            <w:noWrap w:val="0"/>
            <w:vAlign w:val="center"/>
          </w:tcPr>
          <w:p>
            <w:pPr>
              <w:widowControl/>
              <w:spacing w:line="240" w:lineRule="exact"/>
              <w:jc w:val="both"/>
              <w:rPr>
                <w:rFonts w:hint="default" w:ascii="Times New Roman" w:hAnsi="Times New Roman" w:eastAsia="仿宋_GB2312" w:cs="Times New Roman"/>
                <w:color w:val="000000"/>
                <w:sz w:val="18"/>
                <w:szCs w:val="18"/>
              </w:rPr>
            </w:pP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8"/>
                <w:szCs w:val="18"/>
              </w:rPr>
            </w:pPr>
          </w:p>
        </w:tc>
        <w:tc>
          <w:tcPr>
            <w:tcW w:w="1075"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8"/>
                <w:szCs w:val="18"/>
              </w:rPr>
            </w:pPr>
          </w:p>
        </w:tc>
        <w:tc>
          <w:tcPr>
            <w:tcW w:w="879"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8"/>
                <w:szCs w:val="18"/>
              </w:rPr>
            </w:pPr>
          </w:p>
        </w:tc>
        <w:tc>
          <w:tcPr>
            <w:tcW w:w="956"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8"/>
                <w:szCs w:val="18"/>
              </w:rPr>
            </w:pPr>
          </w:p>
        </w:tc>
        <w:tc>
          <w:tcPr>
            <w:tcW w:w="156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8"/>
                <w:szCs w:val="18"/>
              </w:rPr>
            </w:pPr>
            <w:r>
              <w:rPr>
                <w:rFonts w:hint="default" w:ascii="Times New Roman" w:hAnsi="Times New Roman" w:eastAsia="仿宋_GB2312" w:cs="Times New Roman"/>
                <w:color w:val="000000"/>
                <w:sz w:val="18"/>
                <w:szCs w:val="18"/>
              </w:rPr>
              <w:t>　</w:t>
            </w:r>
          </w:p>
        </w:tc>
      </w:tr>
      <w:tr>
        <w:tblPrEx>
          <w:tblLayout w:type="fixed"/>
          <w:tblCellMar>
            <w:top w:w="0" w:type="dxa"/>
            <w:left w:w="108" w:type="dxa"/>
            <w:bottom w:w="0" w:type="dxa"/>
            <w:right w:w="108" w:type="dxa"/>
          </w:tblCellMar>
        </w:tblPrEx>
        <w:trPr>
          <w:trHeight w:val="227" w:hRule="atLeast"/>
        </w:trPr>
        <w:tc>
          <w:tcPr>
            <w:tcW w:w="75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18"/>
                <w:szCs w:val="18"/>
              </w:rPr>
            </w:pPr>
          </w:p>
        </w:tc>
        <w:tc>
          <w:tcPr>
            <w:tcW w:w="846"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18"/>
                <w:szCs w:val="18"/>
              </w:rPr>
            </w:pPr>
          </w:p>
        </w:tc>
        <w:tc>
          <w:tcPr>
            <w:tcW w:w="98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8"/>
                <w:szCs w:val="18"/>
              </w:rPr>
            </w:pPr>
            <w:r>
              <w:rPr>
                <w:rFonts w:hint="default" w:ascii="Times New Roman" w:hAnsi="Times New Roman" w:eastAsia="仿宋_GB2312" w:cs="Times New Roman"/>
                <w:color w:val="000000"/>
                <w:sz w:val="18"/>
                <w:szCs w:val="18"/>
              </w:rPr>
              <w:t>生态效益指标</w:t>
            </w:r>
          </w:p>
        </w:tc>
        <w:tc>
          <w:tcPr>
            <w:tcW w:w="2050" w:type="dxa"/>
            <w:tcBorders>
              <w:top w:val="nil"/>
              <w:left w:val="nil"/>
              <w:bottom w:val="single" w:color="auto" w:sz="4" w:space="0"/>
              <w:right w:val="single" w:color="auto" w:sz="4" w:space="0"/>
            </w:tcBorders>
            <w:noWrap w:val="0"/>
            <w:vAlign w:val="center"/>
          </w:tcPr>
          <w:p>
            <w:pPr>
              <w:widowControl/>
              <w:spacing w:line="240" w:lineRule="exact"/>
              <w:jc w:val="both"/>
              <w:rPr>
                <w:rFonts w:hint="default" w:ascii="Times New Roman" w:hAnsi="Times New Roman" w:eastAsia="仿宋_GB2312" w:cs="Times New Roman"/>
                <w:color w:val="000000"/>
                <w:sz w:val="18"/>
                <w:szCs w:val="18"/>
              </w:rPr>
            </w:pP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8"/>
                <w:szCs w:val="18"/>
              </w:rPr>
            </w:pPr>
          </w:p>
        </w:tc>
        <w:tc>
          <w:tcPr>
            <w:tcW w:w="1075"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8"/>
                <w:szCs w:val="18"/>
              </w:rPr>
            </w:pPr>
          </w:p>
        </w:tc>
        <w:tc>
          <w:tcPr>
            <w:tcW w:w="879"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8"/>
                <w:szCs w:val="18"/>
              </w:rPr>
            </w:pPr>
          </w:p>
        </w:tc>
        <w:tc>
          <w:tcPr>
            <w:tcW w:w="956"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8"/>
                <w:szCs w:val="18"/>
              </w:rPr>
            </w:pPr>
          </w:p>
        </w:tc>
        <w:tc>
          <w:tcPr>
            <w:tcW w:w="156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8"/>
                <w:szCs w:val="18"/>
              </w:rPr>
            </w:pPr>
            <w:r>
              <w:rPr>
                <w:rFonts w:hint="default" w:ascii="Times New Roman" w:hAnsi="Times New Roman" w:eastAsia="仿宋_GB2312" w:cs="Times New Roman"/>
                <w:color w:val="000000"/>
                <w:sz w:val="18"/>
                <w:szCs w:val="18"/>
              </w:rPr>
              <w:t>　</w:t>
            </w:r>
          </w:p>
        </w:tc>
      </w:tr>
      <w:tr>
        <w:tblPrEx>
          <w:tblLayout w:type="fixed"/>
          <w:tblCellMar>
            <w:top w:w="0" w:type="dxa"/>
            <w:left w:w="108" w:type="dxa"/>
            <w:bottom w:w="0" w:type="dxa"/>
            <w:right w:w="108" w:type="dxa"/>
          </w:tblCellMar>
        </w:tblPrEx>
        <w:trPr>
          <w:trHeight w:val="227" w:hRule="atLeast"/>
        </w:trPr>
        <w:tc>
          <w:tcPr>
            <w:tcW w:w="750" w:type="dxa"/>
            <w:vMerge w:val="continue"/>
            <w:tcBorders>
              <w:left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8"/>
                <w:szCs w:val="18"/>
              </w:rPr>
            </w:pPr>
          </w:p>
        </w:tc>
        <w:tc>
          <w:tcPr>
            <w:tcW w:w="846" w:type="dxa"/>
            <w:vMerge w:val="continue"/>
            <w:tcBorders>
              <w:left w:val="nil"/>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8"/>
                <w:szCs w:val="18"/>
              </w:rPr>
            </w:pPr>
          </w:p>
        </w:tc>
        <w:tc>
          <w:tcPr>
            <w:tcW w:w="98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8"/>
                <w:szCs w:val="18"/>
              </w:rPr>
            </w:pPr>
            <w:r>
              <w:rPr>
                <w:rFonts w:hint="default" w:ascii="Times New Roman" w:hAnsi="Times New Roman" w:eastAsia="仿宋_GB2312" w:cs="Times New Roman"/>
                <w:color w:val="000000"/>
                <w:sz w:val="18"/>
                <w:szCs w:val="18"/>
              </w:rPr>
              <w:t>可持续影响指标</w:t>
            </w:r>
          </w:p>
        </w:tc>
        <w:tc>
          <w:tcPr>
            <w:tcW w:w="205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both"/>
              <w:rPr>
                <w:rFonts w:hint="default" w:ascii="Times New Roman" w:hAnsi="Times New Roman" w:eastAsia="仿宋_GB2312" w:cs="Times New Roman"/>
                <w:color w:val="000000"/>
                <w:sz w:val="18"/>
                <w:szCs w:val="18"/>
              </w:rPr>
            </w:pPr>
          </w:p>
        </w:tc>
        <w:tc>
          <w:tcPr>
            <w:tcW w:w="93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8"/>
                <w:szCs w:val="18"/>
              </w:rPr>
            </w:pPr>
          </w:p>
        </w:tc>
        <w:tc>
          <w:tcPr>
            <w:tcW w:w="107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8"/>
                <w:szCs w:val="18"/>
              </w:rPr>
            </w:pPr>
          </w:p>
        </w:tc>
        <w:tc>
          <w:tcPr>
            <w:tcW w:w="87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8"/>
                <w:szCs w:val="18"/>
              </w:rPr>
            </w:pPr>
          </w:p>
        </w:tc>
        <w:tc>
          <w:tcPr>
            <w:tcW w:w="95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8"/>
                <w:szCs w:val="18"/>
              </w:rPr>
            </w:pPr>
          </w:p>
        </w:tc>
        <w:tc>
          <w:tcPr>
            <w:tcW w:w="156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8"/>
                <w:szCs w:val="18"/>
              </w:rPr>
            </w:pPr>
            <w:r>
              <w:rPr>
                <w:rFonts w:hint="default" w:ascii="Times New Roman" w:hAnsi="Times New Roman" w:eastAsia="仿宋_GB2312" w:cs="Times New Roman"/>
                <w:color w:val="000000"/>
                <w:sz w:val="18"/>
                <w:szCs w:val="18"/>
              </w:rPr>
              <w:t>　</w:t>
            </w:r>
          </w:p>
        </w:tc>
      </w:tr>
      <w:tr>
        <w:tblPrEx>
          <w:tblLayout w:type="fixed"/>
          <w:tblCellMar>
            <w:top w:w="0" w:type="dxa"/>
            <w:left w:w="108" w:type="dxa"/>
            <w:bottom w:w="0" w:type="dxa"/>
            <w:right w:w="108" w:type="dxa"/>
          </w:tblCellMar>
        </w:tblPrEx>
        <w:trPr>
          <w:trHeight w:val="227" w:hRule="atLeast"/>
        </w:trPr>
        <w:tc>
          <w:tcPr>
            <w:tcW w:w="75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18"/>
                <w:szCs w:val="18"/>
              </w:rPr>
            </w:pPr>
          </w:p>
        </w:tc>
        <w:tc>
          <w:tcPr>
            <w:tcW w:w="846" w:type="dxa"/>
            <w:tcBorders>
              <w:top w:val="nil"/>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8"/>
                <w:szCs w:val="18"/>
              </w:rPr>
            </w:pPr>
            <w:r>
              <w:rPr>
                <w:rFonts w:hint="default" w:ascii="Times New Roman" w:hAnsi="Times New Roman" w:eastAsia="仿宋_GB2312" w:cs="Times New Roman"/>
                <w:color w:val="000000"/>
                <w:sz w:val="18"/>
                <w:szCs w:val="18"/>
              </w:rPr>
              <w:t>满意度</w:t>
            </w:r>
          </w:p>
          <w:p>
            <w:pPr>
              <w:widowControl/>
              <w:spacing w:line="240" w:lineRule="exact"/>
              <w:jc w:val="center"/>
              <w:rPr>
                <w:rFonts w:hint="default" w:ascii="Times New Roman" w:hAnsi="Times New Roman" w:eastAsia="仿宋_GB2312" w:cs="Times New Roman"/>
                <w:color w:val="000000"/>
                <w:sz w:val="18"/>
                <w:szCs w:val="18"/>
              </w:rPr>
            </w:pPr>
            <w:r>
              <w:rPr>
                <w:rFonts w:hint="default" w:ascii="Times New Roman" w:hAnsi="Times New Roman" w:eastAsia="仿宋_GB2312" w:cs="Times New Roman"/>
                <w:color w:val="000000"/>
                <w:sz w:val="18"/>
                <w:szCs w:val="18"/>
              </w:rPr>
              <w:t>指标</w:t>
            </w:r>
          </w:p>
          <w:p>
            <w:pPr>
              <w:widowControl/>
              <w:spacing w:line="240" w:lineRule="exact"/>
              <w:jc w:val="center"/>
              <w:rPr>
                <w:rFonts w:hint="default" w:ascii="Times New Roman" w:hAnsi="Times New Roman" w:eastAsia="仿宋_GB2312" w:cs="Times New Roman"/>
                <w:color w:val="000000"/>
                <w:sz w:val="18"/>
                <w:szCs w:val="18"/>
              </w:rPr>
            </w:pPr>
            <w:r>
              <w:rPr>
                <w:rFonts w:hint="default" w:ascii="Times New Roman" w:hAnsi="Times New Roman" w:eastAsia="仿宋_GB2312" w:cs="Times New Roman"/>
                <w:color w:val="000000"/>
                <w:sz w:val="18"/>
                <w:szCs w:val="18"/>
              </w:rPr>
              <w:t>（10分）</w:t>
            </w:r>
          </w:p>
        </w:tc>
        <w:tc>
          <w:tcPr>
            <w:tcW w:w="98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8"/>
                <w:szCs w:val="18"/>
              </w:rPr>
            </w:pPr>
            <w:r>
              <w:rPr>
                <w:rFonts w:hint="default" w:ascii="Times New Roman" w:hAnsi="Times New Roman" w:eastAsia="仿宋_GB2312" w:cs="Times New Roman"/>
                <w:color w:val="000000"/>
                <w:sz w:val="18"/>
                <w:szCs w:val="18"/>
              </w:rPr>
              <w:t>服务对象满意度指标</w:t>
            </w:r>
          </w:p>
        </w:tc>
        <w:tc>
          <w:tcPr>
            <w:tcW w:w="2050" w:type="dxa"/>
            <w:tcBorders>
              <w:top w:val="nil"/>
              <w:left w:val="nil"/>
              <w:bottom w:val="single" w:color="auto" w:sz="4" w:space="0"/>
              <w:right w:val="single" w:color="auto" w:sz="4" w:space="0"/>
            </w:tcBorders>
            <w:noWrap w:val="0"/>
            <w:vAlign w:val="center"/>
          </w:tcPr>
          <w:p>
            <w:pPr>
              <w:widowControl/>
              <w:spacing w:line="240" w:lineRule="exact"/>
              <w:jc w:val="both"/>
              <w:rPr>
                <w:rFonts w:hint="eastAsia" w:ascii="Times New Roman" w:hAnsi="Times New Roman" w:eastAsia="仿宋_GB2312" w:cs="Times New Roman"/>
                <w:color w:val="000000"/>
                <w:sz w:val="18"/>
                <w:szCs w:val="18"/>
                <w:lang w:eastAsia="zh-CN"/>
              </w:rPr>
            </w:pPr>
            <w:r>
              <w:rPr>
                <w:rFonts w:hint="eastAsia" w:ascii="Times New Roman" w:hAnsi="Times New Roman" w:eastAsia="仿宋_GB2312" w:cs="Times New Roman"/>
                <w:color w:val="000000"/>
                <w:sz w:val="18"/>
                <w:szCs w:val="18"/>
                <w:lang w:eastAsia="zh-CN"/>
              </w:rPr>
              <w:t>群众满意度</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8"/>
                <w:szCs w:val="18"/>
              </w:rPr>
            </w:pPr>
          </w:p>
          <w:p>
            <w:pPr>
              <w:bidi w:val="0"/>
              <w:jc w:val="center"/>
              <w:rPr>
                <w:rFonts w:hint="default" w:ascii="Calibri" w:hAnsi="Calibri" w:eastAsia="宋体" w:cs="Times New Roman"/>
                <w:kern w:val="2"/>
                <w:sz w:val="18"/>
                <w:szCs w:val="18"/>
                <w:lang w:val="en-US" w:eastAsia="zh-CN" w:bidi="ar-SA"/>
              </w:rPr>
            </w:pPr>
            <w:r>
              <w:rPr>
                <w:rFonts w:hint="default" w:ascii="Arial" w:hAnsi="Arial" w:eastAsia="仿宋_GB2312" w:cs="Arial"/>
                <w:color w:val="000000"/>
                <w:sz w:val="18"/>
                <w:szCs w:val="18"/>
              </w:rPr>
              <w:t>≥</w:t>
            </w:r>
            <w:r>
              <w:rPr>
                <w:rFonts w:hint="eastAsia" w:ascii="Times New Roman" w:hAnsi="Times New Roman" w:eastAsia="仿宋_GB2312" w:cs="Times New Roman"/>
                <w:color w:val="000000"/>
                <w:sz w:val="18"/>
                <w:szCs w:val="18"/>
                <w:lang w:val="en-US" w:eastAsia="zh-CN"/>
              </w:rPr>
              <w:t>90%</w:t>
            </w:r>
          </w:p>
        </w:tc>
        <w:tc>
          <w:tcPr>
            <w:tcW w:w="1075"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8"/>
                <w:szCs w:val="18"/>
                <w:lang w:val="en-US" w:eastAsia="zh-CN"/>
              </w:rPr>
            </w:pPr>
            <w:r>
              <w:rPr>
                <w:rFonts w:hint="default" w:ascii="Arial" w:hAnsi="Arial" w:eastAsia="仿宋_GB2312" w:cs="Arial"/>
                <w:color w:val="000000"/>
                <w:sz w:val="18"/>
                <w:szCs w:val="18"/>
              </w:rPr>
              <w:t>≥</w:t>
            </w:r>
            <w:r>
              <w:rPr>
                <w:rFonts w:hint="eastAsia" w:ascii="Times New Roman" w:hAnsi="Times New Roman" w:eastAsia="仿宋_GB2312" w:cs="Times New Roman"/>
                <w:color w:val="000000"/>
                <w:sz w:val="18"/>
                <w:szCs w:val="18"/>
                <w:lang w:val="en-US" w:eastAsia="zh-CN"/>
              </w:rPr>
              <w:t>90%</w:t>
            </w:r>
          </w:p>
        </w:tc>
        <w:tc>
          <w:tcPr>
            <w:tcW w:w="879"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8"/>
                <w:szCs w:val="18"/>
                <w:lang w:val="en-US" w:eastAsia="zh-CN"/>
              </w:rPr>
            </w:pPr>
            <w:r>
              <w:rPr>
                <w:rFonts w:hint="eastAsia" w:ascii="Times New Roman" w:hAnsi="Times New Roman" w:eastAsia="仿宋_GB2312" w:cs="Times New Roman"/>
                <w:color w:val="000000"/>
                <w:sz w:val="18"/>
                <w:szCs w:val="18"/>
                <w:lang w:val="en-US" w:eastAsia="zh-CN"/>
              </w:rPr>
              <w:t>10</w:t>
            </w:r>
          </w:p>
        </w:tc>
        <w:tc>
          <w:tcPr>
            <w:tcW w:w="956"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8"/>
                <w:szCs w:val="18"/>
                <w:lang w:val="en-US" w:eastAsia="zh-CN"/>
              </w:rPr>
            </w:pPr>
            <w:r>
              <w:rPr>
                <w:rFonts w:hint="eastAsia" w:ascii="Times New Roman" w:hAnsi="Times New Roman" w:eastAsia="仿宋_GB2312" w:cs="Times New Roman"/>
                <w:color w:val="000000"/>
                <w:sz w:val="18"/>
                <w:szCs w:val="18"/>
                <w:lang w:val="en-US" w:eastAsia="zh-CN"/>
              </w:rPr>
              <w:t>10</w:t>
            </w:r>
          </w:p>
        </w:tc>
        <w:tc>
          <w:tcPr>
            <w:tcW w:w="156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8"/>
                <w:szCs w:val="18"/>
              </w:rPr>
            </w:pPr>
            <w:r>
              <w:rPr>
                <w:rFonts w:hint="default" w:ascii="Times New Roman" w:hAnsi="Times New Roman" w:eastAsia="仿宋_GB2312" w:cs="Times New Roman"/>
                <w:color w:val="000000"/>
                <w:sz w:val="18"/>
                <w:szCs w:val="18"/>
              </w:rPr>
              <w:t>　</w:t>
            </w:r>
          </w:p>
        </w:tc>
      </w:tr>
      <w:tr>
        <w:tblPrEx>
          <w:tblLayout w:type="fixed"/>
          <w:tblCellMar>
            <w:top w:w="0" w:type="dxa"/>
            <w:left w:w="108" w:type="dxa"/>
            <w:bottom w:w="0" w:type="dxa"/>
            <w:right w:w="108" w:type="dxa"/>
          </w:tblCellMar>
        </w:tblPrEx>
        <w:trPr>
          <w:trHeight w:val="468" w:hRule="atLeast"/>
        </w:trPr>
        <w:tc>
          <w:tcPr>
            <w:tcW w:w="6646" w:type="dxa"/>
            <w:gridSpan w:val="6"/>
            <w:tcBorders>
              <w:top w:val="single" w:color="auto" w:sz="4" w:space="0"/>
              <w:left w:val="single" w:color="auto" w:sz="4" w:space="0"/>
              <w:bottom w:val="single" w:color="auto" w:sz="4" w:space="0"/>
              <w:right w:val="single" w:color="000000" w:sz="4" w:space="0"/>
            </w:tcBorders>
            <w:noWrap w:val="0"/>
            <w:vAlign w:val="center"/>
          </w:tcPr>
          <w:p>
            <w:pPr>
              <w:widowControl/>
              <w:spacing w:line="240" w:lineRule="exact"/>
              <w:jc w:val="center"/>
              <w:rPr>
                <w:rFonts w:hint="default" w:ascii="Times New Roman" w:hAnsi="Times New Roman" w:eastAsia="仿宋_GB2312" w:cs="Times New Roman"/>
                <w:color w:val="000000"/>
                <w:sz w:val="18"/>
                <w:szCs w:val="18"/>
              </w:rPr>
            </w:pPr>
            <w:r>
              <w:rPr>
                <w:rFonts w:hint="default" w:ascii="Times New Roman" w:hAnsi="Times New Roman" w:eastAsia="仿宋_GB2312" w:cs="Times New Roman"/>
                <w:color w:val="000000"/>
                <w:sz w:val="18"/>
                <w:szCs w:val="18"/>
              </w:rPr>
              <w:t>总分</w:t>
            </w:r>
          </w:p>
        </w:tc>
        <w:tc>
          <w:tcPr>
            <w:tcW w:w="879"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8"/>
                <w:szCs w:val="18"/>
              </w:rPr>
            </w:pPr>
            <w:r>
              <w:rPr>
                <w:rFonts w:hint="default" w:ascii="Times New Roman" w:hAnsi="Times New Roman" w:eastAsia="仿宋_GB2312" w:cs="Times New Roman"/>
                <w:color w:val="000000"/>
                <w:sz w:val="18"/>
                <w:szCs w:val="18"/>
              </w:rPr>
              <w:t>100</w:t>
            </w:r>
          </w:p>
        </w:tc>
        <w:tc>
          <w:tcPr>
            <w:tcW w:w="956"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8"/>
                <w:szCs w:val="18"/>
                <w:lang w:val="en-US" w:eastAsia="zh-CN"/>
              </w:rPr>
            </w:pPr>
            <w:r>
              <w:rPr>
                <w:rFonts w:hint="eastAsia" w:ascii="Times New Roman" w:hAnsi="Times New Roman" w:eastAsia="仿宋_GB2312" w:cs="Times New Roman"/>
                <w:color w:val="000000"/>
                <w:sz w:val="18"/>
                <w:szCs w:val="18"/>
                <w:lang w:val="en-US" w:eastAsia="zh-CN"/>
              </w:rPr>
              <w:t>99</w:t>
            </w:r>
          </w:p>
        </w:tc>
        <w:tc>
          <w:tcPr>
            <w:tcW w:w="156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8"/>
                <w:szCs w:val="18"/>
              </w:rPr>
            </w:pPr>
            <w:r>
              <w:rPr>
                <w:rFonts w:hint="default" w:ascii="Times New Roman" w:hAnsi="Times New Roman" w:eastAsia="仿宋_GB2312" w:cs="Times New Roman"/>
                <w:color w:val="000000"/>
                <w:sz w:val="18"/>
                <w:szCs w:val="18"/>
              </w:rPr>
              <w:t>　</w:t>
            </w:r>
          </w:p>
        </w:tc>
      </w:tr>
    </w:tbl>
    <w:p>
      <w:pPr>
        <w:widowControl/>
        <w:adjustRightInd/>
        <w:snapToGrid/>
        <w:spacing w:line="240" w:lineRule="auto"/>
        <w:ind w:firstLine="360" w:firstLineChars="200"/>
        <w:jc w:val="left"/>
        <w:rPr>
          <w:rFonts w:hint="eastAsia"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说明：本表由农业农村厅部门本级和直属单位填写，市、县农业农村局不需填写。</w:t>
      </w:r>
    </w:p>
    <w:sectPr>
      <w:pgSz w:w="11906" w:h="16838"/>
      <w:pgMar w:top="1440" w:right="1800" w:bottom="1440" w:left="180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方正舒体"/>
    <w:panose1 w:val="03000509000000000000"/>
    <w:charset w:val="86"/>
    <w:family w:val="auto"/>
    <w:pitch w:val="default"/>
    <w:sig w:usb0="00000000" w:usb1="00000000" w:usb2="00000000" w:usb3="00000000" w:csb0="00040000" w:csb1="00000000"/>
  </w:font>
  <w:font w:name="Cambria">
    <w:panose1 w:val="02040503050406030204"/>
    <w:charset w:val="00"/>
    <w:family w:val="auto"/>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舒体">
    <w:panose1 w:val="02010601030101010101"/>
    <w:charset w:val="86"/>
    <w:family w:val="auto"/>
    <w:pitch w:val="default"/>
    <w:sig w:usb0="00000003"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996243"/>
    <w:multiLevelType w:val="singleLevel"/>
    <w:tmpl w:val="B1996243"/>
    <w:lvl w:ilvl="0" w:tentative="0">
      <w:start w:val="2"/>
      <w:numFmt w:val="chineseCounting"/>
      <w:suff w:val="nothing"/>
      <w:lvlText w:val="%1、"/>
      <w:lvlJc w:val="left"/>
      <w:rPr>
        <w:rFonts w:hint="eastAsia"/>
      </w:rPr>
    </w:lvl>
  </w:abstractNum>
  <w:abstractNum w:abstractNumId="1">
    <w:nsid w:val="C5F558C0"/>
    <w:multiLevelType w:val="singleLevel"/>
    <w:tmpl w:val="C5F558C0"/>
    <w:lvl w:ilvl="0" w:tentative="0">
      <w:start w:val="3"/>
      <w:numFmt w:val="decimal"/>
      <w:suff w:val="nothing"/>
      <w:lvlText w:val="%1）"/>
      <w:lvlJc w:val="left"/>
    </w:lvl>
  </w:abstractNum>
  <w:abstractNum w:abstractNumId="2">
    <w:nsid w:val="61A63A4B"/>
    <w:multiLevelType w:val="singleLevel"/>
    <w:tmpl w:val="61A63A4B"/>
    <w:lvl w:ilvl="0" w:tentative="0">
      <w:start w:val="5"/>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I5ZmIzMzI2ZjU3NWVmNWYyNzRiNDYzNzFlY2U4MjMifQ=="/>
  </w:docVars>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1C8B"/>
    <w:rsid w:val="00967F5D"/>
    <w:rsid w:val="009A0F95"/>
    <w:rsid w:val="009B3ADF"/>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1C0571D"/>
    <w:rsid w:val="027A76EE"/>
    <w:rsid w:val="04974587"/>
    <w:rsid w:val="0613494E"/>
    <w:rsid w:val="09F06301"/>
    <w:rsid w:val="0A651358"/>
    <w:rsid w:val="0B5010DA"/>
    <w:rsid w:val="0B735DB5"/>
    <w:rsid w:val="14191E7C"/>
    <w:rsid w:val="14871114"/>
    <w:rsid w:val="15B303AB"/>
    <w:rsid w:val="16185707"/>
    <w:rsid w:val="16D119FE"/>
    <w:rsid w:val="18AE20F9"/>
    <w:rsid w:val="1A681A65"/>
    <w:rsid w:val="1C7D5D1E"/>
    <w:rsid w:val="1C924850"/>
    <w:rsid w:val="1D3B0C5F"/>
    <w:rsid w:val="1D97DEFF"/>
    <w:rsid w:val="1DD71A40"/>
    <w:rsid w:val="1DFF72E5"/>
    <w:rsid w:val="1EFC6F07"/>
    <w:rsid w:val="24A65971"/>
    <w:rsid w:val="268E6F92"/>
    <w:rsid w:val="297B7724"/>
    <w:rsid w:val="29B46BBD"/>
    <w:rsid w:val="2B44023E"/>
    <w:rsid w:val="2EC10B5A"/>
    <w:rsid w:val="2FDF85B8"/>
    <w:rsid w:val="2FFFEE04"/>
    <w:rsid w:val="31293699"/>
    <w:rsid w:val="31510CCD"/>
    <w:rsid w:val="34DF85B0"/>
    <w:rsid w:val="362C3BF5"/>
    <w:rsid w:val="368D467E"/>
    <w:rsid w:val="37241ABE"/>
    <w:rsid w:val="37AE7E1B"/>
    <w:rsid w:val="3B113D1A"/>
    <w:rsid w:val="3B8F36BC"/>
    <w:rsid w:val="3D5D07E9"/>
    <w:rsid w:val="3FDC31ED"/>
    <w:rsid w:val="41D140CE"/>
    <w:rsid w:val="43695F6C"/>
    <w:rsid w:val="4404091F"/>
    <w:rsid w:val="45C3724E"/>
    <w:rsid w:val="491FF225"/>
    <w:rsid w:val="4F491D46"/>
    <w:rsid w:val="4FFD214C"/>
    <w:rsid w:val="51DD0123"/>
    <w:rsid w:val="53072FD8"/>
    <w:rsid w:val="53B73AC9"/>
    <w:rsid w:val="567D486B"/>
    <w:rsid w:val="5777D4F5"/>
    <w:rsid w:val="59A022EA"/>
    <w:rsid w:val="59DD8326"/>
    <w:rsid w:val="5AB741B0"/>
    <w:rsid w:val="5DC10757"/>
    <w:rsid w:val="5DED3AF1"/>
    <w:rsid w:val="5DEF592A"/>
    <w:rsid w:val="5E22651E"/>
    <w:rsid w:val="5E2A3009"/>
    <w:rsid w:val="5EEA61D6"/>
    <w:rsid w:val="5FC6BB1E"/>
    <w:rsid w:val="5FF720F1"/>
    <w:rsid w:val="60D968D7"/>
    <w:rsid w:val="60E64718"/>
    <w:rsid w:val="613B172C"/>
    <w:rsid w:val="62A23456"/>
    <w:rsid w:val="63ED0C43"/>
    <w:rsid w:val="640939F5"/>
    <w:rsid w:val="655069DF"/>
    <w:rsid w:val="65812E98"/>
    <w:rsid w:val="67A76521"/>
    <w:rsid w:val="67FF5C0B"/>
    <w:rsid w:val="68140CEB"/>
    <w:rsid w:val="683F6F01"/>
    <w:rsid w:val="68981874"/>
    <w:rsid w:val="68C74CFE"/>
    <w:rsid w:val="6B870BC0"/>
    <w:rsid w:val="6BA4228B"/>
    <w:rsid w:val="6E3923E6"/>
    <w:rsid w:val="6EC816FD"/>
    <w:rsid w:val="6EFC0924"/>
    <w:rsid w:val="6FB74722"/>
    <w:rsid w:val="6FEF8B7E"/>
    <w:rsid w:val="70F325A1"/>
    <w:rsid w:val="711A34A8"/>
    <w:rsid w:val="71403803"/>
    <w:rsid w:val="718C3AC6"/>
    <w:rsid w:val="71A6591B"/>
    <w:rsid w:val="72963B4A"/>
    <w:rsid w:val="737D59BA"/>
    <w:rsid w:val="74AA2534"/>
    <w:rsid w:val="76CB398E"/>
    <w:rsid w:val="77981245"/>
    <w:rsid w:val="77B45C43"/>
    <w:rsid w:val="77C37683"/>
    <w:rsid w:val="77EF5615"/>
    <w:rsid w:val="79FF515B"/>
    <w:rsid w:val="7A5549F4"/>
    <w:rsid w:val="7A630A97"/>
    <w:rsid w:val="7B0D02DA"/>
    <w:rsid w:val="7E9E1962"/>
    <w:rsid w:val="7E9F11B4"/>
    <w:rsid w:val="7F37EC1E"/>
    <w:rsid w:val="7F7DCD9D"/>
    <w:rsid w:val="7F970A6F"/>
    <w:rsid w:val="7F9F6E3D"/>
    <w:rsid w:val="7FC1FFF3"/>
    <w:rsid w:val="7FC69637"/>
    <w:rsid w:val="7FDF8620"/>
    <w:rsid w:val="7FFB242F"/>
    <w:rsid w:val="7FFDB408"/>
    <w:rsid w:val="7FFE4EEB"/>
    <w:rsid w:val="95FB2B98"/>
    <w:rsid w:val="9A639BC2"/>
    <w:rsid w:val="9FF7D786"/>
    <w:rsid w:val="A29F2705"/>
    <w:rsid w:val="ABBFB23D"/>
    <w:rsid w:val="C3B4DA5A"/>
    <w:rsid w:val="CBFF70E0"/>
    <w:rsid w:val="CFF50B82"/>
    <w:rsid w:val="CFFFAD89"/>
    <w:rsid w:val="D95E8C60"/>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9"/>
    <w:pPr>
      <w:keepNext/>
      <w:keepLines/>
      <w:spacing w:line="700" w:lineRule="exact"/>
      <w:ind w:firstLine="0" w:firstLineChars="0"/>
      <w:jc w:val="center"/>
      <w:outlineLvl w:val="0"/>
    </w:pPr>
    <w:rPr>
      <w:rFonts w:eastAsia="方正小标宋简体"/>
      <w:bCs/>
      <w:kern w:val="44"/>
      <w:sz w:val="44"/>
      <w:szCs w:val="44"/>
    </w:rPr>
  </w:style>
  <w:style w:type="paragraph" w:styleId="3">
    <w:name w:val="heading 2"/>
    <w:basedOn w:val="1"/>
    <w:next w:val="1"/>
    <w:qFormat/>
    <w:uiPriority w:val="0"/>
    <w:pPr>
      <w:outlineLvl w:val="1"/>
    </w:pPr>
    <w:rPr>
      <w:rFonts w:eastAsia="黑体"/>
      <w:bCs/>
      <w:szCs w:val="32"/>
    </w:rPr>
  </w:style>
  <w:style w:type="paragraph" w:styleId="4">
    <w:name w:val="heading 3"/>
    <w:basedOn w:val="1"/>
    <w:next w:val="1"/>
    <w:qFormat/>
    <w:uiPriority w:val="0"/>
    <w:pPr>
      <w:keepNext/>
      <w:keepLines/>
      <w:outlineLvl w:val="2"/>
    </w:pPr>
    <w:rPr>
      <w:rFonts w:eastAsia="黑体"/>
      <w:bCs/>
      <w:szCs w:val="32"/>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Layout w:type="fixed"/>
      <w:tblCellMar>
        <w:top w:w="0" w:type="dxa"/>
        <w:left w:w="108" w:type="dxa"/>
        <w:bottom w:w="0" w:type="dxa"/>
        <w:right w:w="108" w:type="dxa"/>
      </w:tblCellMar>
    </w:tblPr>
  </w:style>
  <w:style w:type="paragraph" w:styleId="5">
    <w:name w:val="Body Text Indent"/>
    <w:basedOn w:val="1"/>
    <w:unhideWhenUsed/>
    <w:qFormat/>
    <w:uiPriority w:val="99"/>
    <w:pPr>
      <w:widowControl/>
      <w:spacing w:after="120"/>
      <w:ind w:left="420" w:leftChars="200"/>
      <w:jc w:val="left"/>
    </w:pPr>
    <w:rPr>
      <w:rFonts w:ascii="宋体" w:hAnsi="宋体" w:eastAsia="宋体" w:cs="宋体"/>
      <w:kern w:val="0"/>
      <w:sz w:val="24"/>
    </w:rPr>
  </w:style>
  <w:style w:type="paragraph" w:styleId="6">
    <w:name w:val="Plain Text"/>
    <w:basedOn w:val="1"/>
    <w:qFormat/>
    <w:uiPriority w:val="0"/>
    <w:rPr>
      <w:rFonts w:ascii="宋体" w:hAnsi="Courier New"/>
    </w:rPr>
  </w:style>
  <w:style w:type="paragraph" w:styleId="7">
    <w:name w:val="Balloon Text"/>
    <w:basedOn w:val="1"/>
    <w:link w:val="21"/>
    <w:semiHidden/>
    <w:unhideWhenUsed/>
    <w:qFormat/>
    <w:uiPriority w:val="99"/>
    <w:rPr>
      <w:sz w:val="18"/>
      <w:szCs w:val="18"/>
    </w:rPr>
  </w:style>
  <w:style w:type="paragraph" w:styleId="8">
    <w:name w:val="footer"/>
    <w:basedOn w:val="1"/>
    <w:link w:val="18"/>
    <w:unhideWhenUsed/>
    <w:qFormat/>
    <w:uiPriority w:val="99"/>
    <w:pPr>
      <w:tabs>
        <w:tab w:val="center" w:pos="4153"/>
        <w:tab w:val="right" w:pos="8306"/>
      </w:tabs>
      <w:snapToGrid w:val="0"/>
      <w:jc w:val="left"/>
    </w:pPr>
    <w:rPr>
      <w:sz w:val="18"/>
      <w:szCs w:val="18"/>
    </w:rPr>
  </w:style>
  <w:style w:type="paragraph" w:styleId="9">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footnote text"/>
    <w:basedOn w:val="1"/>
    <w:next w:val="11"/>
    <w:semiHidden/>
    <w:qFormat/>
    <w:uiPriority w:val="0"/>
    <w:pPr>
      <w:snapToGrid w:val="0"/>
      <w:jc w:val="left"/>
    </w:pPr>
    <w:rPr>
      <w:sz w:val="18"/>
      <w:szCs w:val="18"/>
    </w:rPr>
  </w:style>
  <w:style w:type="paragraph" w:styleId="11">
    <w:name w:val="Body Text First Indent 2"/>
    <w:basedOn w:val="5"/>
    <w:unhideWhenUsed/>
    <w:qFormat/>
    <w:uiPriority w:val="99"/>
    <w:pPr>
      <w:ind w:firstLine="420" w:firstLineChars="200"/>
    </w:pPr>
  </w:style>
  <w:style w:type="paragraph" w:styleId="12">
    <w:name w:val="Title"/>
    <w:basedOn w:val="1"/>
    <w:next w:val="1"/>
    <w:qFormat/>
    <w:uiPriority w:val="0"/>
    <w:pPr>
      <w:spacing w:before="240" w:after="60"/>
      <w:jc w:val="center"/>
      <w:outlineLvl w:val="0"/>
    </w:pPr>
    <w:rPr>
      <w:rFonts w:ascii="Cambria" w:hAnsi="Cambria" w:cs="Times New Roman"/>
      <w:b/>
      <w:bCs/>
      <w:sz w:val="32"/>
      <w:szCs w:val="32"/>
    </w:rPr>
  </w:style>
  <w:style w:type="character" w:styleId="15">
    <w:name w:val="Strong"/>
    <w:basedOn w:val="14"/>
    <w:qFormat/>
    <w:uiPriority w:val="0"/>
    <w:rPr>
      <w:b/>
    </w:rPr>
  </w:style>
  <w:style w:type="character" w:styleId="16">
    <w:name w:val="page number"/>
    <w:basedOn w:val="14"/>
    <w:qFormat/>
    <w:uiPriority w:val="0"/>
  </w:style>
  <w:style w:type="character" w:customStyle="1" w:styleId="17">
    <w:name w:val="页眉 Char"/>
    <w:basedOn w:val="14"/>
    <w:link w:val="9"/>
    <w:qFormat/>
    <w:uiPriority w:val="99"/>
    <w:rPr>
      <w:sz w:val="18"/>
      <w:szCs w:val="18"/>
    </w:rPr>
  </w:style>
  <w:style w:type="character" w:customStyle="1" w:styleId="18">
    <w:name w:val="页脚 Char"/>
    <w:basedOn w:val="14"/>
    <w:link w:val="8"/>
    <w:qFormat/>
    <w:uiPriority w:val="99"/>
    <w:rPr>
      <w:sz w:val="18"/>
      <w:szCs w:val="18"/>
    </w:rPr>
  </w:style>
  <w:style w:type="paragraph" w:customStyle="1" w:styleId="19">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20">
    <w:name w:val="List Paragraph"/>
    <w:basedOn w:val="1"/>
    <w:qFormat/>
    <w:uiPriority w:val="34"/>
    <w:pPr>
      <w:ind w:firstLine="420" w:firstLineChars="200"/>
    </w:pPr>
  </w:style>
  <w:style w:type="character" w:customStyle="1" w:styleId="21">
    <w:name w:val="批注框文本 Char"/>
    <w:basedOn w:val="14"/>
    <w:link w:val="7"/>
    <w:semiHidden/>
    <w:qFormat/>
    <w:uiPriority w:val="99"/>
    <w:rPr>
      <w:sz w:val="18"/>
      <w:szCs w:val="18"/>
    </w:rPr>
  </w:style>
  <w:style w:type="character" w:customStyle="1" w:styleId="22">
    <w:name w:val="font01"/>
    <w:basedOn w:val="14"/>
    <w:qFormat/>
    <w:uiPriority w:val="0"/>
    <w:rPr>
      <w:rFonts w:hint="eastAsia" w:ascii="宋体" w:hAnsi="宋体" w:eastAsia="宋体" w:cs="宋体"/>
      <w:color w:val="000000"/>
      <w:sz w:val="22"/>
      <w:szCs w:val="22"/>
      <w:u w:val="none"/>
    </w:rPr>
  </w:style>
  <w:style w:type="character" w:customStyle="1" w:styleId="23">
    <w:name w:val="font21"/>
    <w:basedOn w:val="14"/>
    <w:qFormat/>
    <w:uiPriority w:val="0"/>
    <w:rPr>
      <w:rFonts w:hint="eastAsia" w:ascii="宋体" w:hAnsi="宋体" w:eastAsia="宋体" w:cs="宋体"/>
      <w:color w:val="000000"/>
      <w:sz w:val="24"/>
      <w:szCs w:val="24"/>
      <w:u w:val="none"/>
    </w:rPr>
  </w:style>
  <w:style w:type="character" w:customStyle="1" w:styleId="24">
    <w:name w:val="font11"/>
    <w:basedOn w:val="14"/>
    <w:qFormat/>
    <w:uiPriority w:val="0"/>
    <w:rPr>
      <w:rFonts w:hint="eastAsia" w:ascii="宋体" w:hAnsi="宋体" w:eastAsia="宋体" w:cs="宋体"/>
      <w:color w:val="000000"/>
      <w:sz w:val="24"/>
      <w:szCs w:val="24"/>
      <w:u w:val="none"/>
    </w:rPr>
  </w:style>
  <w:style w:type="character" w:customStyle="1" w:styleId="25">
    <w:name w:val="UserStyle_0"/>
    <w:qFormat/>
    <w:uiPriority w:val="0"/>
    <w:rPr>
      <w:rFonts w:ascii="Calibri" w:hAnsi="Calibri" w:eastAsia="宋体"/>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43</Pages>
  <Words>15405</Words>
  <Characters>19493</Characters>
  <Lines>63</Lines>
  <Paragraphs>18</Paragraphs>
  <TotalTime>3</TotalTime>
  <ScaleCrop>false</ScaleCrop>
  <LinksUpToDate>false</LinksUpToDate>
  <CharactersWithSpaces>19888</CharactersWithSpaces>
  <Application>WPS Office_11.8.6.8556_F1E327BC-269C-435d-A152-05C5408002CA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2020-07-08T18:32:00Z</dcterms:created>
  <dc:creator>李航 null</dc:creator>
  <cp:lastModifiedBy>lenovo</cp:lastModifiedBy>
  <cp:lastPrinted>2024-08-23T19:32:00Z</cp:lastPrinted>
  <dcterms:modified xsi:type="dcterms:W3CDTF">2024-09-06T06:10:07Z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y fmtid="{D5CDD505-2E9C-101B-9397-08002B2CF9AE}" pid="3" name="ICV">
    <vt:lpwstr>287AF75E5CD7402D9C1505E4DCDA489D_12</vt:lpwstr>
  </property>
</Properties>
</file>