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湖南省农药检定所</w:t>
      </w:r>
      <w:r>
        <w:rPr>
          <w:rFonts w:hint="eastAsia" w:ascii="方正小标宋_GBK" w:hAnsi="方正小标宋_GBK" w:eastAsia="方正小标宋_GBK" w:cs="方正小标宋_GBK"/>
          <w:sz w:val="84"/>
          <w:szCs w:val="84"/>
        </w:rPr>
        <w:t>部门决算</w:t>
      </w:r>
    </w:p>
    <w:p>
      <w:pPr>
        <w:pStyle w:val="13"/>
        <w:jc w:val="center"/>
        <w:rPr>
          <w:rFonts w:hint="eastAsia" w:ascii="方正小标宋_GBK" w:hAnsi="方正小标宋_GBK" w:eastAsia="方正小标宋_GBK" w:cs="方正小标宋_GBK"/>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jc w:val="center"/>
        <w:rPr>
          <w:sz w:val="32"/>
          <w:szCs w:val="32"/>
        </w:rPr>
      </w:pPr>
    </w:p>
    <w:p>
      <w:pPr>
        <w:pStyle w:val="13"/>
        <w:jc w:val="center"/>
        <w:rPr>
          <w:sz w:val="32"/>
          <w:szCs w:val="32"/>
        </w:rPr>
      </w:pPr>
    </w:p>
    <w:p>
      <w:pPr>
        <w:pStyle w:val="13"/>
        <w:jc w:val="center"/>
        <w:rPr>
          <w:sz w:val="32"/>
          <w:szCs w:val="32"/>
        </w:rPr>
      </w:pPr>
    </w:p>
    <w:p>
      <w:pPr>
        <w:pStyle w:val="13"/>
        <w:spacing w:line="540" w:lineRule="exact"/>
        <w:jc w:val="center"/>
        <w:rPr>
          <w:sz w:val="56"/>
          <w:szCs w:val="56"/>
        </w:rPr>
      </w:pPr>
    </w:p>
    <w:p>
      <w:pPr>
        <w:pStyle w:val="13"/>
        <w:spacing w:line="500" w:lineRule="exact"/>
        <w:jc w:val="center"/>
        <w:rPr>
          <w:b/>
          <w:sz w:val="36"/>
          <w:szCs w:val="28"/>
        </w:rPr>
      </w:pPr>
      <w:r>
        <w:rPr>
          <w:rFonts w:hint="eastAsia"/>
          <w:b/>
          <w:sz w:val="36"/>
          <w:szCs w:val="28"/>
        </w:rPr>
        <w:t>目录</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湖南省农药检定所</w:t>
      </w:r>
      <w:r>
        <w:rPr>
          <w:rFonts w:hint="eastAsia" w:ascii="黑体" w:hAnsi="黑体" w:eastAsia="黑体" w:cs="黑体"/>
          <w:b w:val="0"/>
          <w:bCs/>
          <w:sz w:val="28"/>
          <w:szCs w:val="28"/>
        </w:rPr>
        <w:t>概况</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3"/>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湖南省农药检定所</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pStyle w:val="2"/>
        <w:rPr>
          <w:sz w:val="72"/>
          <w:szCs w:val="72"/>
        </w:rPr>
      </w:pPr>
    </w:p>
    <w:p>
      <w:pPr>
        <w:pStyle w:val="3"/>
      </w:pPr>
    </w:p>
    <w:p>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负责全省农产品市场准入、农产品产地认定和农产品质量安全评价鉴定的检负责全省农产品市场准入、农产品产地认定和农产品质量安全评价鉴定的检验检测；</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承担国家、省级农产品质量安全监督检验检测和名牌、优质农产品评定的检验检测；承担全省农产品质量安全认证、仲裁、行政许可、行政执法的检验检测；委托承担农产品质量安全重大事故、纠纷的技术调查、鉴定和评价；</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承担国家、省农产品质量安全普查和风险评估工作；</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承担农业转基因生物质量安全普查和风险评估工作；</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负责全省种子、农药、肥料等农业生产资料质量监督检验、仲裁检验、评优检验；负责全省肥料登记产品抽样检验检测；承担农业科技成果、农业科技新产品鉴定的技术的检验检测；</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负责全省农药登记、农药广告审查、农药市场监督、农药田间药效评价试验和农药残留试验评价等管理工作；</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负责全省农业环境质量安全的技术检验检测与评价工作；</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协助省农业行政主管部门承担农业标准的信息搜集、整理及标准的制（修）订、审查、宣贯工作，开展国外检验检测技术的信息收集、整理分析和检测等技术的研究开发工作；</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委托承担有关检验检测专业技术人员的培训工作，承担全省有关企业和地方同类检</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keepNext w:val="0"/>
        <w:keepLines w:val="0"/>
        <w:pageBreakBefore w:val="0"/>
        <w:widowControl w:val="0"/>
        <w:kinsoku/>
        <w:wordWrap/>
        <w:overflowPunct/>
        <w:topLinePunct w:val="0"/>
        <w:autoSpaceDE/>
        <w:autoSpaceDN/>
        <w:bidi w:val="0"/>
        <w:spacing w:line="560" w:lineRule="exact"/>
        <w:ind w:firstLine="576"/>
        <w:textAlignment w:val="auto"/>
        <w:rPr>
          <w:rFonts w:hint="default" w:ascii="仿宋" w:hAnsi="仿宋" w:eastAsia="仿宋"/>
          <w:sz w:val="32"/>
          <w:szCs w:val="32"/>
          <w:lang w:eastAsia="zh-CN"/>
        </w:rPr>
      </w:pPr>
      <w:r>
        <w:rPr>
          <w:rFonts w:hint="eastAsia" w:ascii="Times New Roman" w:hAnsi="Times New Roman" w:eastAsia="仿宋_GB2312" w:cs="仿宋_GB2312"/>
          <w:bCs/>
          <w:kern w:val="0"/>
          <w:sz w:val="32"/>
          <w:szCs w:val="32"/>
        </w:rPr>
        <w:t>（一）内设机构设置。</w:t>
      </w:r>
      <w:r>
        <w:rPr>
          <w:rFonts w:hint="eastAsia" w:ascii="仿宋" w:hAnsi="仿宋" w:eastAsia="仿宋"/>
          <w:sz w:val="32"/>
          <w:szCs w:val="32"/>
          <w:lang w:eastAsia="zh-CN"/>
        </w:rPr>
        <w:t>湖南省农药检定所</w:t>
      </w:r>
      <w:r>
        <w:rPr>
          <w:rFonts w:hint="eastAsia" w:ascii="仿宋" w:hAnsi="仿宋" w:eastAsia="仿宋"/>
          <w:sz w:val="32"/>
          <w:szCs w:val="32"/>
        </w:rPr>
        <w:t>内设机构包括：</w:t>
      </w:r>
      <w:r>
        <w:rPr>
          <w:rFonts w:hint="default" w:ascii="仿宋" w:hAnsi="仿宋" w:eastAsia="仿宋"/>
          <w:sz w:val="32"/>
          <w:szCs w:val="32"/>
          <w:lang w:val="en-US" w:eastAsia="zh-CN"/>
        </w:rPr>
        <w:t>办公室、综合科、检测业务与管理科、农药监管科、体系建设科、药政及生产管理科、农药生测科、农药质量检验科、农产品质量检验科</w:t>
      </w:r>
      <w:r>
        <w:rPr>
          <w:rFonts w:hint="eastAsia" w:ascii="仿宋" w:hAnsi="仿宋" w:eastAsia="仿宋"/>
          <w:sz w:val="32"/>
          <w:szCs w:val="32"/>
          <w:lang w:val="en-US" w:eastAsia="zh-CN"/>
        </w:rPr>
        <w:t>、农药再评价科、药情科</w:t>
      </w:r>
      <w:r>
        <w:rPr>
          <w:rFonts w:hint="default" w:ascii="仿宋" w:hAnsi="仿宋" w:eastAsia="仿宋"/>
          <w:sz w:val="32"/>
          <w:szCs w:val="32"/>
          <w:lang w:val="en-US" w:eastAsia="zh-CN"/>
        </w:rPr>
        <w:t>等</w:t>
      </w:r>
      <w:r>
        <w:rPr>
          <w:rFonts w:hint="eastAsia" w:ascii="仿宋" w:hAnsi="仿宋" w:eastAsia="仿宋"/>
          <w:sz w:val="32"/>
          <w:szCs w:val="32"/>
          <w:lang w:val="en-US" w:eastAsia="zh-CN"/>
        </w:rPr>
        <w:t>11</w:t>
      </w:r>
      <w:r>
        <w:rPr>
          <w:rFonts w:hint="default" w:ascii="仿宋" w:hAnsi="仿宋" w:eastAsia="仿宋"/>
          <w:sz w:val="32"/>
          <w:szCs w:val="32"/>
          <w:lang w:val="en-US" w:eastAsia="zh-CN"/>
        </w:rPr>
        <w:t>个农药管理相关科</w:t>
      </w:r>
      <w:r>
        <w:rPr>
          <w:rFonts w:hint="default" w:ascii="仿宋" w:hAnsi="仿宋" w:eastAsia="仿宋"/>
          <w:sz w:val="32"/>
          <w:szCs w:val="32"/>
          <w:lang w:eastAsia="zh-CN"/>
        </w:rPr>
        <w:t>室，以及农业环境质量检验科、肥料质量检验科和种子质量检验科3个其他专业检验科室。</w:t>
      </w:r>
    </w:p>
    <w:p>
      <w:pPr>
        <w:widowControl/>
        <w:spacing w:line="600" w:lineRule="exact"/>
        <w:ind w:firstLine="640" w:firstLineChars="200"/>
        <w:rPr>
          <w:rFonts w:hint="eastAsia" w:ascii="仿宋_GB2312" w:eastAsia="仿宋_GB2312" w:hAnsiTheme="minorEastAsia"/>
          <w:sz w:val="28"/>
          <w:szCs w:val="32"/>
          <w:lang w:eastAsia="zh-CN"/>
        </w:rPr>
      </w:pPr>
      <w:r>
        <w:rPr>
          <w:rFonts w:hint="eastAsia" w:ascii="Times New Roman" w:hAnsi="Times New Roman" w:eastAsia="仿宋_GB2312" w:cs="仿宋_GB2312"/>
          <w:bCs/>
          <w:kern w:val="0"/>
          <w:sz w:val="32"/>
          <w:szCs w:val="32"/>
        </w:rPr>
        <w:t>（二）决算单位构成。</w:t>
      </w:r>
      <w:r>
        <w:rPr>
          <w:rFonts w:hint="eastAsia" w:ascii="仿宋" w:hAnsi="仿宋" w:eastAsia="仿宋"/>
          <w:sz w:val="32"/>
          <w:szCs w:val="32"/>
          <w:lang w:eastAsia="zh-CN"/>
        </w:rPr>
        <w:t>湖南省农药检定所</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仿宋" w:hAnsi="仿宋" w:eastAsia="仿宋"/>
          <w:sz w:val="32"/>
          <w:szCs w:val="32"/>
          <w:lang w:eastAsia="zh-CN"/>
        </w:rPr>
        <w:t>湖南省农药检定所</w:t>
      </w:r>
      <w:r>
        <w:rPr>
          <w:rFonts w:hint="eastAsia" w:ascii="Times New Roman" w:hAnsi="Times New Roman" w:eastAsia="仿宋_GB2312" w:cs="仿宋_GB2312"/>
          <w:bCs/>
          <w:kern w:val="0"/>
          <w:sz w:val="32"/>
          <w:szCs w:val="32"/>
        </w:rPr>
        <w:t>本级</w:t>
      </w:r>
      <w:r>
        <w:rPr>
          <w:rFonts w:hint="eastAsia" w:ascii="Times New Roman" w:hAnsi="Times New Roman" w:eastAsia="仿宋_GB2312" w:cs="仿宋_GB2312"/>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p>
    <w:tbl>
      <w:tblPr>
        <w:tblStyle w:val="9"/>
        <w:tblW w:w="13933" w:type="dxa"/>
        <w:tblInd w:w="56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550"/>
        <w:gridCol w:w="591"/>
        <w:gridCol w:w="1792"/>
        <w:gridCol w:w="4267"/>
        <w:gridCol w:w="591"/>
        <w:gridCol w:w="21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3933" w:type="dxa"/>
            <w:gridSpan w:val="6"/>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55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9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79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26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9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14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550"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部门：湖南省农药检定所</w:t>
            </w:r>
          </w:p>
        </w:tc>
        <w:tc>
          <w:tcPr>
            <w:tcW w:w="59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79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26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9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14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693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00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2,246.59</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1.43</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2,553.74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2,248.02</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2,553.74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878.64</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3,126.65</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3,126.65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933"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933"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bl>
    <w:p>
      <w:pPr>
        <w:widowControl/>
        <w:jc w:val="left"/>
        <w:rPr>
          <w:rFonts w:ascii="Times New Roman" w:hAnsi="Times New Roman" w:eastAsia="黑体" w:cs="Times New Roman"/>
          <w:bCs/>
          <w:kern w:val="0"/>
          <w:sz w:val="32"/>
          <w:szCs w:val="32"/>
        </w:rPr>
        <w:sectPr>
          <w:pgSz w:w="16838" w:h="11906" w:orient="landscape"/>
          <w:pgMar w:top="720" w:right="720" w:bottom="720" w:left="720" w:header="851" w:footer="992" w:gutter="0"/>
          <w:cols w:space="425" w:num="1"/>
          <w:docGrid w:type="lines" w:linePitch="312" w:charSpace="0"/>
        </w:sectPr>
      </w:pPr>
    </w:p>
    <w:tbl>
      <w:tblPr>
        <w:tblStyle w:val="9"/>
        <w:tblW w:w="149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409"/>
        <w:gridCol w:w="1031"/>
        <w:gridCol w:w="26"/>
        <w:gridCol w:w="90"/>
        <w:gridCol w:w="1293"/>
        <w:gridCol w:w="1147"/>
        <w:gridCol w:w="503"/>
        <w:gridCol w:w="1147"/>
        <w:gridCol w:w="503"/>
        <w:gridCol w:w="1147"/>
        <w:gridCol w:w="398"/>
        <w:gridCol w:w="1147"/>
        <w:gridCol w:w="398"/>
        <w:gridCol w:w="1147"/>
        <w:gridCol w:w="398"/>
        <w:gridCol w:w="1147"/>
        <w:gridCol w:w="398"/>
        <w:gridCol w:w="102"/>
        <w:gridCol w:w="1444"/>
        <w:gridCol w:w="1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979" w:type="dxa"/>
            <w:gridSpan w:val="2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gridAfter w:val="1"/>
          <w:wAfter w:w="104" w:type="dxa"/>
          <w:trHeight w:val="280" w:hRule="atLeast"/>
        </w:trPr>
        <w:tc>
          <w:tcPr>
            <w:tcW w:w="2440"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440"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50"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50" w:type="dxa"/>
            <w:gridSpan w:val="2"/>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45" w:type="dxa"/>
            <w:gridSpan w:val="2"/>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45" w:type="dxa"/>
            <w:gridSpan w:val="2"/>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45" w:type="dxa"/>
            <w:gridSpan w:val="2"/>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500" w:type="dxa"/>
            <w:gridSpan w:val="2"/>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4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04" w:type="dxa"/>
          <w:trHeight w:val="280" w:hRule="atLeast"/>
        </w:trPr>
        <w:tc>
          <w:tcPr>
            <w:tcW w:w="2440" w:type="dxa"/>
            <w:gridSpan w:val="2"/>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部门：湖南省农药检定所</w:t>
            </w:r>
          </w:p>
        </w:tc>
        <w:tc>
          <w:tcPr>
            <w:tcW w:w="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440"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50"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50" w:type="dxa"/>
            <w:gridSpan w:val="2"/>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45" w:type="dxa"/>
            <w:gridSpan w:val="2"/>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45" w:type="dxa"/>
            <w:gridSpan w:val="2"/>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45" w:type="dxa"/>
            <w:gridSpan w:val="2"/>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500" w:type="dxa"/>
            <w:gridSpan w:val="2"/>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4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84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5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5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5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5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6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244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44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44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84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1" w:hRule="atLeast"/>
        </w:trPr>
        <w:tc>
          <w:tcPr>
            <w:tcW w:w="384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2,248.02</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2,246.59</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213</w:t>
            </w:r>
          </w:p>
        </w:tc>
        <w:tc>
          <w:tcPr>
            <w:tcW w:w="244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农林水支出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2,248.02</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2,246.59</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244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2,248.02</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2,246.59</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244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2,248.02</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2,246.59</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244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928.07</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928.07</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244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244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859.15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857.72</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244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农业资源保护修复与利用</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244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311.80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311.80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979" w:type="dxa"/>
            <w:gridSpan w:val="2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pPr>
        <w:widowControl/>
        <w:jc w:val="left"/>
        <w:rPr>
          <w:rFonts w:ascii="Times New Roman" w:hAnsi="Times New Roman" w:eastAsia="黑体" w:cs="Times New Roman"/>
          <w:bCs/>
          <w:kern w:val="0"/>
          <w:sz w:val="32"/>
          <w:szCs w:val="32"/>
        </w:rPr>
        <w:sectPr>
          <w:pgSz w:w="16838" w:h="11906" w:orient="landscape"/>
          <w:pgMar w:top="720" w:right="720" w:bottom="720" w:left="720" w:header="851" w:footer="992" w:gutter="0"/>
          <w:cols w:space="425" w:num="1"/>
          <w:docGrid w:type="lines" w:linePitch="312" w:charSpace="0"/>
        </w:sectPr>
      </w:pPr>
    </w:p>
    <w:tbl>
      <w:tblPr>
        <w:tblStyle w:val="9"/>
        <w:tblW w:w="1441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440"/>
        <w:gridCol w:w="26"/>
        <w:gridCol w:w="26"/>
        <w:gridCol w:w="2440"/>
        <w:gridCol w:w="1650"/>
        <w:gridCol w:w="1650"/>
        <w:gridCol w:w="1650"/>
        <w:gridCol w:w="1449"/>
        <w:gridCol w:w="1431"/>
        <w:gridCol w:w="1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4412"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244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44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5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5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650"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4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3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50"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2440"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部门：湖南省农药检定所</w:t>
            </w:r>
          </w:p>
        </w:tc>
        <w:tc>
          <w:tcPr>
            <w:tcW w:w="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44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5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5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650"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4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3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50"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43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49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24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4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4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2,553.74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914.53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1,639.21</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2,553.74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914.53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1,639.21</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2,553.74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914.53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1,639.21</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914.53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914.53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1,262.49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1,262.49</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农业资源保护修复与利用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49.01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49.01</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327.71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327.71</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412"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pPr>
        <w:pStyle w:val="2"/>
        <w:sectPr>
          <w:pgSz w:w="16838" w:h="11906" w:orient="landscape"/>
          <w:pgMar w:top="720" w:right="720" w:bottom="720" w:left="720" w:header="851" w:footer="992" w:gutter="0"/>
          <w:cols w:space="425" w:num="1"/>
          <w:docGrid w:type="lines" w:linePitch="312" w:charSpace="0"/>
        </w:sectPr>
      </w:pPr>
    </w:p>
    <w:tbl>
      <w:tblPr>
        <w:tblStyle w:val="9"/>
        <w:tblW w:w="152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594"/>
        <w:gridCol w:w="443"/>
        <w:gridCol w:w="1414"/>
        <w:gridCol w:w="3870"/>
        <w:gridCol w:w="443"/>
        <w:gridCol w:w="1043"/>
        <w:gridCol w:w="1414"/>
        <w:gridCol w:w="1159"/>
        <w:gridCol w:w="1829"/>
      </w:tblGrid>
      <w:tr>
        <w:tblPrEx>
          <w:shd w:val="clear" w:color="auto" w:fill="auto"/>
          <w:tblLayout w:type="fixed"/>
          <w:tblCellMar>
            <w:top w:w="0" w:type="dxa"/>
            <w:left w:w="0" w:type="dxa"/>
            <w:bottom w:w="0" w:type="dxa"/>
            <w:right w:w="0" w:type="dxa"/>
          </w:tblCellMar>
        </w:tblPrEx>
        <w:trPr>
          <w:trHeight w:val="350" w:hRule="atLeast"/>
        </w:trPr>
        <w:tc>
          <w:tcPr>
            <w:tcW w:w="15209" w:type="dxa"/>
            <w:gridSpan w:val="9"/>
            <w:tcBorders>
              <w:top w:val="nil"/>
              <w:left w:val="nil"/>
              <w:bottom w:val="nil"/>
              <w:right w:val="nil"/>
            </w:tcBorders>
            <w:shd w:val="clear" w:color="auto" w:fill="auto"/>
            <w:noWrap/>
            <w:tcMar>
              <w:top w:w="10" w:type="dxa"/>
              <w:left w:w="10" w:type="dxa"/>
              <w:right w:w="10" w:type="dxa"/>
            </w:tcMar>
            <w:vAlign w:val="center"/>
          </w:tcPr>
          <w:p>
            <w:pPr>
              <w:widowControl/>
              <w:jc w:val="center"/>
              <w:rPr>
                <w:rFonts w:hint="eastAsia" w:ascii="宋体" w:hAnsi="宋体" w:eastAsia="宋体" w:cs="宋体"/>
                <w:b/>
                <w:i w:val="0"/>
                <w:color w:val="000000"/>
                <w:sz w:val="28"/>
                <w:szCs w:val="28"/>
                <w:u w:val="none"/>
              </w:rPr>
            </w:pPr>
            <w:r>
              <w:rPr>
                <w:rFonts w:ascii="Times New Roman" w:hAnsi="Times New Roman" w:eastAsia="黑体" w:cs="Times New Roman"/>
                <w:bCs/>
                <w:kern w:val="0"/>
                <w:sz w:val="32"/>
                <w:szCs w:val="32"/>
              </w:rPr>
              <w:br w:type="page"/>
            </w:r>
            <w:r>
              <w:rPr>
                <w:rFonts w:hint="eastAsia" w:ascii="宋体" w:hAnsi="宋体" w:eastAsia="宋体" w:cs="宋体"/>
                <w:b/>
                <w:i w:val="0"/>
                <w:color w:val="000000"/>
                <w:kern w:val="0"/>
                <w:sz w:val="28"/>
                <w:szCs w:val="28"/>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359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4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41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87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4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04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1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15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29"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3594"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部门：湖南省农药检定所</w:t>
            </w:r>
          </w:p>
        </w:tc>
        <w:tc>
          <w:tcPr>
            <w:tcW w:w="44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41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87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4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04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1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15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29"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5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758"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359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4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41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87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4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41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82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3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2,246.59</w:t>
            </w: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2,214.37</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2,214.37</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2,246.59</w:t>
            </w: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2,214.37</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2,214.37</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106.54</w:t>
            </w: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138.76</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138.76</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106.54</w:t>
            </w: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2,353.13</w:t>
            </w: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2,353.13</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2,353.13</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0" w:type="dxa"/>
            <w:gridSpan w:val="8"/>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829" w:type="dxa"/>
            <w:tcBorders>
              <w:top w:val="nil"/>
              <w:left w:val="nil"/>
              <w:bottom w:val="nil"/>
              <w:right w:val="nil"/>
            </w:tcBorders>
            <w:shd w:val="clear" w:color="auto" w:fill="FFFFFF"/>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bl>
    <w:p>
      <w:pPr>
        <w:widowControl/>
        <w:jc w:val="left"/>
        <w:rPr>
          <w:rFonts w:ascii="Times New Roman" w:hAnsi="Times New Roman" w:eastAsia="黑体" w:cs="Times New Roman"/>
          <w:bCs/>
          <w:kern w:val="0"/>
          <w:sz w:val="32"/>
          <w:szCs w:val="32"/>
        </w:rPr>
        <w:sectPr>
          <w:pgSz w:w="16838" w:h="11906" w:orient="landscape"/>
          <w:pgMar w:top="720" w:right="720" w:bottom="720" w:left="720" w:header="851" w:footer="992" w:gutter="0"/>
          <w:cols w:space="425" w:num="1"/>
          <w:docGrid w:type="lines" w:linePitch="312" w:charSpace="0"/>
        </w:sectPr>
      </w:pPr>
    </w:p>
    <w:tbl>
      <w:tblPr>
        <w:tblStyle w:val="9"/>
        <w:tblW w:w="12487" w:type="dxa"/>
        <w:tblInd w:w="74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522"/>
        <w:gridCol w:w="918"/>
        <w:gridCol w:w="26"/>
        <w:gridCol w:w="90"/>
        <w:gridCol w:w="3422"/>
        <w:gridCol w:w="1034"/>
        <w:gridCol w:w="1157"/>
        <w:gridCol w:w="1034"/>
        <w:gridCol w:w="1221"/>
        <w:gridCol w:w="76"/>
        <w:gridCol w:w="1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12487"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2440"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456"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191"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297" w:type="dxa"/>
            <w:gridSpan w:val="2"/>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98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2440" w:type="dxa"/>
            <w:gridSpan w:val="2"/>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部门：湖南省农药检定所</w:t>
            </w:r>
          </w:p>
        </w:tc>
        <w:tc>
          <w:tcPr>
            <w:tcW w:w="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456"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191"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297" w:type="dxa"/>
            <w:gridSpan w:val="2"/>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98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23" w:hRule="atLeast"/>
        </w:trPr>
        <w:tc>
          <w:tcPr>
            <w:tcW w:w="5978"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509"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2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45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1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25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0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5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45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45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978"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978"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2,214.37</w:t>
            </w:r>
          </w:p>
        </w:tc>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914.53</w:t>
            </w:r>
          </w:p>
        </w:tc>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1,299.84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45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2,214.37</w:t>
            </w:r>
          </w:p>
        </w:tc>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914.53</w:t>
            </w:r>
          </w:p>
        </w:tc>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1,299.84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45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ind w:left="-840" w:leftChars="-400" w:firstLine="838" w:firstLineChars="381"/>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2,214.37</w:t>
            </w:r>
          </w:p>
        </w:tc>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914.53</w:t>
            </w:r>
          </w:p>
        </w:tc>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1,299.84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45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914.53</w:t>
            </w:r>
          </w:p>
        </w:tc>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914.53</w:t>
            </w:r>
          </w:p>
        </w:tc>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45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923.12</w:t>
            </w:r>
          </w:p>
        </w:tc>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923.12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445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农业资源保护修复与利用</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49.01</w:t>
            </w:r>
          </w:p>
        </w:tc>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445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327.71</w:t>
            </w:r>
          </w:p>
        </w:tc>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327.71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487"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pPr>
        <w:pStyle w:val="2"/>
        <w:sectPr>
          <w:pgSz w:w="16838" w:h="11906" w:orient="landscape"/>
          <w:pgMar w:top="720" w:right="720" w:bottom="720" w:left="720" w:header="851" w:footer="992" w:gutter="0"/>
          <w:cols w:space="425" w:num="1"/>
          <w:docGrid w:type="lines" w:linePitch="312" w:charSpace="0"/>
        </w:sectPr>
      </w:pPr>
    </w:p>
    <w:tbl>
      <w:tblPr>
        <w:tblStyle w:val="9"/>
        <w:tblW w:w="15614" w:type="dxa"/>
        <w:tblInd w:w="0" w:type="dxa"/>
        <w:tblLayout w:type="fixed"/>
        <w:tblCellMar>
          <w:top w:w="0" w:type="dxa"/>
          <w:left w:w="108" w:type="dxa"/>
          <w:bottom w:w="0" w:type="dxa"/>
          <w:right w:w="108" w:type="dxa"/>
        </w:tblCellMar>
      </w:tblPr>
      <w:tblGrid>
        <w:gridCol w:w="1338"/>
        <w:gridCol w:w="3366"/>
        <w:gridCol w:w="647"/>
        <w:gridCol w:w="1222"/>
        <w:gridCol w:w="2316"/>
        <w:gridCol w:w="648"/>
        <w:gridCol w:w="1223"/>
        <w:gridCol w:w="4206"/>
        <w:gridCol w:w="648"/>
      </w:tblGrid>
      <w:tr>
        <w:tblPrEx>
          <w:tblLayout w:type="fixed"/>
          <w:tblCellMar>
            <w:top w:w="0" w:type="dxa"/>
            <w:left w:w="108" w:type="dxa"/>
            <w:bottom w:w="0" w:type="dxa"/>
            <w:right w:w="108" w:type="dxa"/>
          </w:tblCellMar>
        </w:tblPrEx>
        <w:trPr>
          <w:trHeight w:val="113" w:hRule="atLeast"/>
        </w:trPr>
        <w:tc>
          <w:tcPr>
            <w:tcW w:w="15614"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0" w:name="RANGE!A1:I34"/>
            <w:r>
              <w:rPr>
                <w:rFonts w:hint="eastAsia" w:ascii="华文中宋" w:hAnsi="华文中宋" w:eastAsia="华文中宋" w:cs="宋体"/>
                <w:color w:val="000000"/>
                <w:kern w:val="0"/>
                <w:szCs w:val="32"/>
              </w:rPr>
              <w:t>一般公共预算财政拨款基本支出决算明细表</w:t>
            </w:r>
            <w:bookmarkEnd w:id="0"/>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宋体" w:hAnsi="宋体" w:eastAsia="宋体" w:cs="宋体"/>
                <w:i w:val="0"/>
                <w:color w:val="000000"/>
                <w:kern w:val="0"/>
                <w:sz w:val="22"/>
                <w:szCs w:val="22"/>
                <w:u w:val="none"/>
                <w:lang w:val="en-US" w:eastAsia="zh-CN" w:bidi="ar"/>
              </w:rPr>
              <w:t>湖南省农药检定所</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113" w:hRule="atLeast"/>
        </w:trPr>
        <w:tc>
          <w:tcPr>
            <w:tcW w:w="13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6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4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2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3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2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2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799.11</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69.47</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170.88</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164.79</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81.43</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33.80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131.41</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50.10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7.32</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48.72</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31.75</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9.73</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7.73</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70.14</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1.04</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45.94</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45.68</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0.38</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0.26</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39907</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国家赔偿费用支出</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31.53</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39908</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对民间非营利组织和群众性自治组织补贴</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1.24</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3990</w:t>
            </w:r>
            <w:r>
              <w:rPr>
                <w:rFonts w:hint="eastAsia" w:ascii="宋体" w:hAnsi="宋体" w:eastAsia="宋体" w:cs="宋体"/>
                <w:color w:val="000000"/>
                <w:kern w:val="0"/>
                <w:szCs w:val="20"/>
                <w:lang w:val="en-US" w:eastAsia="zh-CN"/>
              </w:rPr>
              <w:t>9</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经常性赠与</w:t>
            </w:r>
          </w:p>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p>
            <w:pPr>
              <w:widowControl/>
              <w:jc w:val="left"/>
              <w:rPr>
                <w:rFonts w:hint="eastAsia" w:ascii="宋体" w:hAnsi="宋体" w:eastAsia="宋体" w:cs="宋体"/>
                <w:color w:val="000000"/>
                <w:kern w:val="0"/>
                <w:szCs w:val="20"/>
              </w:rPr>
            </w:pPr>
          </w:p>
          <w:tbl>
            <w:tblPr>
              <w:tblStyle w:val="9"/>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hint="eastAsia" w:ascii="宋体" w:hAnsi="宋体" w:eastAsia="宋体" w:cs="宋体"/>
                <w:color w:val="000000"/>
                <w:kern w:val="0"/>
                <w:szCs w:val="20"/>
              </w:rPr>
            </w:pPr>
          </w:p>
          <w:tbl>
            <w:tblPr>
              <w:tblStyle w:val="9"/>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ascii="宋体" w:hAnsi="宋体" w:eastAsia="宋体" w:cs="宋体"/>
                <w:color w:val="000000"/>
                <w:kern w:val="0"/>
                <w:szCs w:val="20"/>
              </w:rPr>
            </w:pP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399</w:t>
            </w:r>
            <w:r>
              <w:rPr>
                <w:rFonts w:hint="eastAsia" w:ascii="宋体" w:hAnsi="宋体" w:eastAsia="宋体" w:cs="宋体"/>
                <w:color w:val="000000"/>
                <w:kern w:val="0"/>
                <w:szCs w:val="20"/>
                <w:lang w:val="en-US" w:eastAsia="zh-CN"/>
              </w:rPr>
              <w:t>10</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xml:space="preserve">  资本性赠与</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16.00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39999</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其他支出</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64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 w:val="15"/>
                <w:szCs w:val="15"/>
              </w:rPr>
            </w:pP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10.59</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4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470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64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845.05</w:t>
            </w:r>
          </w:p>
        </w:tc>
        <w:tc>
          <w:tcPr>
            <w:tcW w:w="9615"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64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69.47</w:t>
            </w:r>
          </w:p>
        </w:tc>
      </w:tr>
      <w:tr>
        <w:tblPrEx>
          <w:tblLayout w:type="fixed"/>
          <w:tblCellMar>
            <w:top w:w="0" w:type="dxa"/>
            <w:left w:w="108" w:type="dxa"/>
            <w:bottom w:w="0" w:type="dxa"/>
            <w:right w:w="108" w:type="dxa"/>
          </w:tblCellMar>
        </w:tblPrEx>
        <w:trPr>
          <w:trHeight w:val="284" w:hRule="exact"/>
        </w:trPr>
        <w:tc>
          <w:tcPr>
            <w:tcW w:w="15614"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left"/>
        <w:rPr>
          <w:rFonts w:ascii="Times New Roman" w:hAnsi="Times New Roman" w:eastAsia="仿宋_GB2312" w:cs="Times New Roman"/>
          <w:bCs/>
          <w:kern w:val="0"/>
          <w:szCs w:val="21"/>
        </w:rPr>
      </w:pPr>
      <w:bookmarkStart w:id="1" w:name="RANGE!A1:I22"/>
      <w:bookmarkEnd w:id="1"/>
    </w:p>
    <w:tbl>
      <w:tblPr>
        <w:tblStyle w:val="9"/>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widowControl/>
              <w:jc w:val="left"/>
              <w:rPr>
                <w:rFonts w:hint="eastAsia" w:ascii="华文中宋" w:hAnsi="华文中宋" w:eastAsia="华文中宋" w:cs="华文中宋"/>
                <w:i w:val="0"/>
                <w:color w:val="000000"/>
                <w:kern w:val="0"/>
                <w:sz w:val="32"/>
                <w:szCs w:val="32"/>
                <w:u w:val="none"/>
                <w:lang w:val="en-US" w:eastAsia="zh-CN" w:bidi="ar"/>
              </w:rPr>
            </w:pPr>
            <w:r>
              <w:rPr>
                <w:rFonts w:ascii="Times New Roman" w:hAnsi="Times New Roman" w:eastAsia="仿宋_GB2312" w:cs="Times New Roman"/>
                <w:bCs/>
                <w:kern w:val="0"/>
                <w:szCs w:val="21"/>
              </w:rPr>
              <w:br w:type="page"/>
            </w: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2"/>
                <w:szCs w:val="22"/>
                <w:u w:val="none"/>
                <w:lang w:val="en-US" w:eastAsia="zh-CN" w:bidi="ar"/>
              </w:rPr>
              <w:t>湖南省农药检定所</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6"/>
                <w:lang w:val="en-US" w:eastAsia="zh-CN" w:bidi="ar"/>
              </w:rPr>
              <w:t xml:space="preserve">   </w:t>
            </w:r>
            <w:r>
              <w:rPr>
                <w:rStyle w:val="17"/>
                <w:lang w:val="en-US" w:eastAsia="zh-CN" w:bidi="ar"/>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9"/>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both"/>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2"/>
                <w:szCs w:val="22"/>
                <w:u w:val="none"/>
                <w:lang w:val="en-US" w:eastAsia="zh-CN" w:bidi="ar"/>
              </w:rPr>
              <w:t>湖南省农药检定所</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8"/>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9"/>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2"/>
                <w:szCs w:val="22"/>
                <w:u w:val="none"/>
                <w:lang w:val="en-US" w:eastAsia="zh-CN" w:bidi="ar"/>
              </w:rPr>
              <w:t>湖南省农药检定所</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43.33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42.95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24.95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3"/>
        <w:rPr>
          <w:sz w:val="72"/>
          <w:szCs w:val="72"/>
        </w:rPr>
      </w:pPr>
    </w:p>
    <w:p>
      <w:pPr>
        <w:pStyle w:val="13"/>
        <w:rPr>
          <w:sz w:val="72"/>
          <w:szCs w:val="72"/>
        </w:rPr>
      </w:pPr>
    </w:p>
    <w:p>
      <w:pPr>
        <w:pStyle w:val="13"/>
        <w:rPr>
          <w:sz w:val="72"/>
          <w:szCs w:val="72"/>
        </w:rPr>
      </w:pPr>
    </w:p>
    <w:p>
      <w:pPr>
        <w:pStyle w:val="13"/>
        <w:rPr>
          <w:sz w:val="72"/>
          <w:szCs w:val="72"/>
        </w:rPr>
      </w:pPr>
    </w:p>
    <w:p>
      <w:pPr>
        <w:pStyle w:val="13"/>
        <w:jc w:val="center"/>
        <w:rPr>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3126.65</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157.43</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5.30</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在职人员增加及办公地址搬迁增加费用。</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2248.02</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2246.59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99.94</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1.43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0.06</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2553.74</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914.53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35.81</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1639.21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64.19</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3"/>
        <w:keepNext w:val="0"/>
        <w:keepLines w:val="0"/>
        <w:pageBreakBefore w:val="0"/>
        <w:widowControl w:val="0"/>
        <w:kinsoku/>
        <w:wordWrap/>
        <w:overflowPunct/>
        <w:topLinePunct w:val="0"/>
        <w:bidi w:val="0"/>
        <w:snapToGrid/>
        <w:spacing w:line="600"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2353.13</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288.32</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增长</w:t>
      </w:r>
      <w:r>
        <w:rPr>
          <w:rFonts w:hint="eastAsia" w:ascii="Times New Roman" w:hAnsi="Times New Roman" w:eastAsia="仿宋_GB2312"/>
          <w:sz w:val="32"/>
          <w:szCs w:val="32"/>
          <w:lang w:val="en-US" w:eastAsia="zh-CN"/>
        </w:rPr>
        <w:t>13.96</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在职人员增加及办公地址搬迁增加费用。</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2214.37</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86.71</w:t>
      </w:r>
      <w:r>
        <w:rPr>
          <w:rFonts w:hint="eastAsia" w:ascii="Times New Roman" w:hAnsi="Times New Roman" w:eastAsia="仿宋_GB2312"/>
          <w:sz w:val="32"/>
          <w:szCs w:val="32"/>
        </w:rPr>
        <w:t>%，与上年相比，财政拨款支出增加</w:t>
      </w:r>
      <w:r>
        <w:rPr>
          <w:rFonts w:hint="eastAsia" w:ascii="Times New Roman" w:hAnsi="Times New Roman" w:eastAsia="仿宋_GB2312"/>
          <w:sz w:val="32"/>
          <w:szCs w:val="32"/>
          <w:lang w:val="en-US" w:eastAsia="zh-CN"/>
        </w:rPr>
        <w:t>57.28</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2.66</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在职人员经费增加及办公地址搬迁增加费用。</w:t>
      </w:r>
    </w:p>
    <w:p>
      <w:pPr>
        <w:pStyle w:val="13"/>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2214.37</w:t>
      </w:r>
      <w:r>
        <w:rPr>
          <w:rFonts w:hint="eastAsia" w:ascii="Times New Roman" w:hAnsi="Times New Roman" w:eastAsia="仿宋_GB2312"/>
          <w:sz w:val="32"/>
          <w:szCs w:val="32"/>
        </w:rPr>
        <w:t>万元，主要用于以下方面：</w:t>
      </w:r>
      <w:r>
        <w:rPr>
          <w:rFonts w:hint="eastAsia" w:ascii="Times New Roman" w:hAnsi="Times New Roman" w:eastAsia="仿宋_GB2312"/>
          <w:sz w:val="32"/>
          <w:szCs w:val="32"/>
          <w:lang w:val="en-US" w:eastAsia="zh-CN"/>
        </w:rPr>
        <w:t>农林水</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2214.37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1840.13</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2214.37</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w:t>
      </w:r>
      <w:r>
        <w:rPr>
          <w:rFonts w:hint="eastAsia" w:ascii="Times New Roman" w:hAnsi="Times New Roman" w:eastAsia="仿宋_GB2312"/>
          <w:sz w:val="32"/>
          <w:szCs w:val="32"/>
          <w:lang w:val="en-US" w:eastAsia="zh-CN"/>
        </w:rPr>
        <w:t>农林水</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农业农村（</w:t>
      </w:r>
      <w:r>
        <w:rPr>
          <w:rFonts w:hint="eastAsia" w:ascii="Times New Roman" w:hAnsi="Times New Roman" w:eastAsia="仿宋_GB2312"/>
          <w:sz w:val="32"/>
          <w:szCs w:val="32"/>
        </w:rPr>
        <w:t>款）行政运行（项）。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875.87</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914.53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年中追加人员经费。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2、农林水</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农业农村（</w:t>
      </w:r>
      <w:r>
        <w:rPr>
          <w:rFonts w:hint="eastAsia" w:ascii="Times New Roman" w:hAnsi="Times New Roman" w:eastAsia="仿宋_GB2312"/>
          <w:sz w:val="32"/>
          <w:szCs w:val="32"/>
        </w:rPr>
        <w:t>款）农业生产发展（项）。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948.35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923.12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97.34</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质保金暂未支付</w:t>
      </w:r>
      <w:r>
        <w:rPr>
          <w:rFonts w:hint="eastAsia" w:ascii="Times New Roman" w:hAnsi="Times New Roman" w:eastAsia="仿宋_GB2312"/>
          <w:sz w:val="32"/>
          <w:szCs w:val="32"/>
          <w:highlight w:val="none"/>
          <w:lang w:val="en-US"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3、农林水</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农业农村（</w:t>
      </w:r>
      <w:r>
        <w:rPr>
          <w:rFonts w:hint="eastAsia" w:ascii="Times New Roman" w:hAnsi="Times New Roman" w:eastAsia="仿宋_GB2312"/>
          <w:sz w:val="32"/>
          <w:szCs w:val="32"/>
        </w:rPr>
        <w:t>款）农业资源保护修复与利用（项）。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49.01</w:t>
      </w:r>
      <w:r>
        <w:rPr>
          <w:rFonts w:hint="eastAsia" w:ascii="Times New Roman" w:hAnsi="Times New Roman" w:eastAsia="仿宋_GB2312"/>
          <w:sz w:val="32"/>
          <w:szCs w:val="32"/>
        </w:rPr>
        <w:t>万元，决算数</w:t>
      </w:r>
      <w:r>
        <w:rPr>
          <w:rFonts w:hint="eastAsia" w:ascii="Times New Roman" w:hAnsi="Times New Roman" w:eastAsia="仿宋_GB2312"/>
          <w:sz w:val="32"/>
          <w:szCs w:val="32"/>
          <w:lang w:val="en-US" w:eastAsia="zh-CN"/>
        </w:rPr>
        <w:t>大</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年中追加项目资金。</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4、农林水</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农业农村（</w:t>
      </w:r>
      <w:r>
        <w:rPr>
          <w:rFonts w:hint="eastAsia" w:ascii="Times New Roman" w:hAnsi="Times New Roman" w:eastAsia="仿宋_GB2312"/>
          <w:sz w:val="32"/>
          <w:szCs w:val="32"/>
        </w:rPr>
        <w:t>款）其他农业农村支出（项）。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15.91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327.71</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年中追加项目资金。</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年度财政拨款基本支出914.53万元，其中：</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845.05</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92.40</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住房公积金、退休费、奖励金等。</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69.47</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7.60</w:t>
      </w:r>
      <w:r>
        <w:rPr>
          <w:rFonts w:hint="eastAsia" w:ascii="Times New Roman" w:hAnsi="Times New Roman" w:eastAsia="仿宋_GB2312"/>
          <w:sz w:val="32"/>
          <w:szCs w:val="32"/>
        </w:rPr>
        <w:t>%，主要包括</w:t>
      </w:r>
      <w:r>
        <w:rPr>
          <w:rFonts w:hint="eastAsia" w:ascii="Times New Roman" w:hAnsi="Times New Roman" w:eastAsia="仿宋_GB2312"/>
          <w:sz w:val="32"/>
          <w:szCs w:val="32"/>
          <w:lang w:val="en-US" w:eastAsia="zh-CN"/>
        </w:rPr>
        <w:t>物业管理费、公务接待费、工会经费、福利费、其他交通费用、其他商品和服务支出。</w:t>
      </w:r>
    </w:p>
    <w:p>
      <w:pPr>
        <w:pStyle w:val="13"/>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财政拨款三公经费支出决算情况说明</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46.50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43.33</w:t>
      </w:r>
      <w:r>
        <w:rPr>
          <w:rFonts w:hint="eastAsia" w:ascii="Times New Roman" w:hAnsi="Times New Roman" w:eastAsia="仿宋_GB2312"/>
          <w:sz w:val="32"/>
          <w:szCs w:val="32"/>
        </w:rPr>
        <w:t>万元，完成预算</w:t>
      </w:r>
      <w:r>
        <w:rPr>
          <w:rFonts w:hint="eastAsia" w:ascii="Times New Roman" w:hAnsi="Times New Roman" w:eastAsia="仿宋_GB2312"/>
          <w:sz w:val="32"/>
          <w:szCs w:val="32"/>
          <w:lang w:val="en-US" w:eastAsia="zh-CN"/>
        </w:rPr>
        <w:t>93.18</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从严控制三公经费支出在预算范围内</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24.49</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129.99</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val="en-US" w:eastAsia="zh-CN"/>
        </w:rPr>
        <w:t>本年更新了公务用车一台，公务用车购置费较上年增加</w:t>
      </w:r>
      <w:r>
        <w:rPr>
          <w:rFonts w:hint="eastAsia" w:ascii="Times New Roman" w:hAnsi="Times New Roman" w:eastAsia="仿宋_GB2312"/>
          <w:sz w:val="32"/>
          <w:szCs w:val="32"/>
        </w:rPr>
        <w:t>。其中：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3.50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0.38</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10.86</w:t>
      </w:r>
      <w:r>
        <w:rPr>
          <w:rFonts w:hint="eastAsia" w:ascii="Times New Roman" w:hAnsi="Times New Roman" w:eastAsia="仿宋_GB2312"/>
          <w:sz w:val="32"/>
          <w:szCs w:val="32"/>
        </w:rPr>
        <w:t>%，决算数小于预算数的</w:t>
      </w:r>
      <w:r>
        <w:rPr>
          <w:rFonts w:hint="eastAsia" w:ascii="Times New Roman" w:hAnsi="Times New Roman" w:eastAsia="仿宋_GB2312"/>
          <w:sz w:val="32"/>
          <w:szCs w:val="32"/>
          <w:highlight w:val="none"/>
        </w:rPr>
        <w:t>主要原因是</w:t>
      </w:r>
      <w:r>
        <w:rPr>
          <w:rFonts w:hint="eastAsia" w:ascii="Times New Roman" w:hAnsi="Times New Roman" w:eastAsia="仿宋_GB2312"/>
          <w:sz w:val="32"/>
          <w:szCs w:val="32"/>
          <w:highlight w:val="none"/>
          <w:lang w:val="en-US" w:eastAsia="zh-CN"/>
        </w:rPr>
        <w:t>厉行节约，从严控制公务接待费用</w:t>
      </w:r>
      <w:r>
        <w:rPr>
          <w:rFonts w:hint="eastAsia" w:ascii="Times New Roman" w:hAnsi="Times New Roman" w:eastAsia="仿宋_GB2312"/>
          <w:sz w:val="32"/>
          <w:szCs w:val="32"/>
          <w:lang w:val="en-US" w:eastAsia="zh-CN"/>
        </w:rPr>
        <w:t>支出</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0.47</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55.29</w:t>
      </w:r>
      <w:r>
        <w:rPr>
          <w:rFonts w:hint="eastAsia" w:ascii="Times New Roman" w:hAnsi="Times New Roman" w:eastAsia="仿宋_GB2312"/>
          <w:sz w:val="32"/>
          <w:szCs w:val="32"/>
        </w:rPr>
        <w:t>%,减少的主要原因是</w:t>
      </w:r>
      <w:r>
        <w:rPr>
          <w:rFonts w:hint="eastAsia" w:ascii="Times New Roman" w:hAnsi="Times New Roman" w:eastAsia="仿宋_GB2312"/>
          <w:sz w:val="32"/>
          <w:szCs w:val="32"/>
          <w:lang w:val="en-US" w:eastAsia="zh-CN"/>
        </w:rPr>
        <w:t>厉行节约，从严控制公务接待费用支出</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w:t>
      </w:r>
      <w:r>
        <w:rPr>
          <w:rFonts w:hint="eastAsia" w:ascii="Times New Roman" w:hAnsi="Times New Roman" w:eastAsia="仿宋_GB2312"/>
          <w:sz w:val="32"/>
          <w:szCs w:val="32"/>
          <w:lang w:val="en-US" w:eastAsia="zh-CN"/>
        </w:rPr>
        <w:t>43.00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42.95</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10.86</w:t>
      </w:r>
      <w:r>
        <w:rPr>
          <w:rFonts w:hint="eastAsia" w:ascii="Times New Roman" w:hAnsi="Times New Roman" w:eastAsia="仿宋_GB2312"/>
          <w:sz w:val="32"/>
          <w:szCs w:val="32"/>
        </w:rPr>
        <w:t>%，决算数小于预算数的</w:t>
      </w:r>
      <w:r>
        <w:rPr>
          <w:rFonts w:hint="eastAsia" w:ascii="Times New Roman" w:hAnsi="Times New Roman" w:eastAsia="仿宋_GB2312"/>
          <w:sz w:val="32"/>
          <w:szCs w:val="32"/>
          <w:highlight w:val="none"/>
        </w:rPr>
        <w:t>主要原因</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从严控制三公经费支出，费用控制在预算范围内，</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24.95</w:t>
      </w:r>
      <w:r>
        <w:rPr>
          <w:rFonts w:hint="eastAsia" w:ascii="Times New Roman" w:hAnsi="Times New Roman" w:eastAsia="仿宋_GB2312"/>
          <w:sz w:val="32"/>
          <w:szCs w:val="32"/>
        </w:rPr>
        <w:t>万元，增长的主要原因是</w:t>
      </w:r>
      <w:r>
        <w:rPr>
          <w:rFonts w:hint="eastAsia" w:ascii="Times New Roman" w:hAnsi="Times New Roman" w:eastAsia="仿宋_GB2312"/>
          <w:sz w:val="32"/>
          <w:szCs w:val="32"/>
          <w:lang w:val="en-US" w:eastAsia="zh-CN"/>
        </w:rPr>
        <w:t>本年更新了公务用车一台</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公务用车运行维护费支出预算</w:t>
      </w:r>
      <w:r>
        <w:rPr>
          <w:rFonts w:hint="eastAsia" w:ascii="Times New Roman" w:hAnsi="Times New Roman" w:eastAsia="仿宋_GB2312"/>
          <w:sz w:val="32"/>
          <w:szCs w:val="32"/>
          <w:lang w:val="en-US" w:eastAsia="zh-CN"/>
        </w:rPr>
        <w:t>18.00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18.00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与预算持平</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0.01</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0.06</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基本与上年持平</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0.38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0.88</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42.95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99.12</w:t>
      </w:r>
      <w:r>
        <w:rPr>
          <w:rFonts w:hint="eastAsia" w:ascii="Times New Roman" w:hAnsi="Times New Roman" w:eastAsia="仿宋_GB2312"/>
          <w:sz w:val="32"/>
          <w:szCs w:val="32"/>
        </w:rPr>
        <w:t>%。其中：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0.38</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人次，主要是</w:t>
      </w:r>
      <w:r>
        <w:rPr>
          <w:rFonts w:hint="eastAsia" w:ascii="Times New Roman" w:hAnsi="Times New Roman" w:eastAsia="仿宋_GB2312"/>
          <w:sz w:val="32"/>
          <w:szCs w:val="32"/>
          <w:lang w:val="en-US" w:eastAsia="zh-CN"/>
        </w:rPr>
        <w:t>汇报农药管理工作、农药执法工作咨询等</w:t>
      </w:r>
      <w:r>
        <w:rPr>
          <w:rFonts w:hint="eastAsia" w:ascii="Times New Roman" w:hAnsi="Times New Roman" w:eastAsia="仿宋_GB2312"/>
          <w:sz w:val="32"/>
          <w:szCs w:val="32"/>
        </w:rPr>
        <w:t>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42.95</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24.95</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单位本级</w:t>
      </w:r>
      <w:r>
        <w:rPr>
          <w:rFonts w:hint="eastAsia" w:ascii="Times New Roman" w:hAnsi="Times New Roman" w:eastAsia="仿宋_GB2312"/>
          <w:sz w:val="32"/>
          <w:szCs w:val="32"/>
        </w:rPr>
        <w:t>更新公务用车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18.00</w:t>
      </w:r>
      <w:r>
        <w:rPr>
          <w:rFonts w:hint="eastAsia" w:ascii="Times New Roman" w:hAnsi="Times New Roman" w:eastAsia="仿宋_GB2312"/>
          <w:sz w:val="32"/>
          <w:szCs w:val="32"/>
        </w:rPr>
        <w:t>万元，主要是</w:t>
      </w:r>
      <w:r>
        <w:rPr>
          <w:rFonts w:hint="eastAsia" w:ascii="Times New Roman" w:hAnsi="Times New Roman" w:eastAsia="仿宋_GB2312"/>
          <w:sz w:val="32"/>
          <w:szCs w:val="32"/>
          <w:lang w:eastAsia="zh-CN"/>
        </w:rPr>
        <w:t>公车加油、保养和保险等费用</w:t>
      </w:r>
      <w:r>
        <w:rPr>
          <w:rFonts w:hint="eastAsia" w:ascii="Times New Roman" w:hAnsi="Times New Roman" w:eastAsia="仿宋_GB2312"/>
          <w:sz w:val="32"/>
          <w:szCs w:val="32"/>
          <w:lang w:val="en-US" w:eastAsia="zh-CN"/>
        </w:rPr>
        <w:t>支出</w:t>
      </w:r>
      <w:r>
        <w:rPr>
          <w:rFonts w:hint="eastAsia" w:ascii="Times New Roman" w:hAnsi="Times New Roman" w:eastAsia="仿宋_GB2312"/>
          <w:sz w:val="32"/>
          <w:szCs w:val="32"/>
        </w:rPr>
        <w:t>，截止202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辆。</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cstheme="minorBidi"/>
          <w:color w:val="auto"/>
          <w:kern w:val="2"/>
          <w:sz w:val="32"/>
          <w:szCs w:val="32"/>
          <w:lang w:val="en-US" w:eastAsia="zh-CN" w:bidi="ar-SA"/>
        </w:rPr>
        <w:t>本单位无政府性基金收支。</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69.47</w:t>
      </w:r>
      <w:r>
        <w:rPr>
          <w:rFonts w:hint="eastAsia" w:ascii="Times New Roman" w:hAnsi="Times New Roman" w:eastAsia="仿宋_GB2312"/>
          <w:sz w:val="32"/>
          <w:szCs w:val="32"/>
        </w:rPr>
        <w:t>万元，比上年决算数减少</w:t>
      </w:r>
      <w:r>
        <w:rPr>
          <w:rFonts w:hint="eastAsia" w:ascii="Times New Roman" w:hAnsi="Times New Roman" w:eastAsia="仿宋_GB2312"/>
          <w:sz w:val="32"/>
          <w:szCs w:val="32"/>
          <w:lang w:val="en-US" w:eastAsia="zh-CN"/>
        </w:rPr>
        <w:t>8.21</w:t>
      </w:r>
      <w:r>
        <w:rPr>
          <w:rFonts w:hint="eastAsia" w:ascii="Times New Roman" w:hAnsi="Times New Roman" w:eastAsia="仿宋_GB2312"/>
          <w:sz w:val="32"/>
          <w:szCs w:val="32"/>
        </w:rPr>
        <w:t xml:space="preserve"> 万元，降低</w:t>
      </w:r>
      <w:r>
        <w:rPr>
          <w:rFonts w:hint="eastAsia" w:ascii="Times New Roman" w:hAnsi="Times New Roman" w:eastAsia="仿宋_GB2312"/>
          <w:sz w:val="32"/>
          <w:szCs w:val="32"/>
          <w:lang w:val="en-US" w:eastAsia="zh-CN"/>
        </w:rPr>
        <w:t>10.57</w:t>
      </w:r>
      <w:r>
        <w:rPr>
          <w:rFonts w:hint="eastAsia" w:ascii="Times New Roman" w:hAnsi="Times New Roman" w:eastAsia="仿宋_GB2312"/>
          <w:sz w:val="32"/>
          <w:szCs w:val="32"/>
        </w:rPr>
        <w:t>%。主要原因是：主要原因是：</w:t>
      </w:r>
      <w:r>
        <w:rPr>
          <w:rFonts w:hint="eastAsia" w:ascii="Times New Roman" w:hAnsi="Times New Roman" w:eastAsia="仿宋_GB2312"/>
          <w:sz w:val="32"/>
          <w:szCs w:val="32"/>
          <w:lang w:val="en-US" w:eastAsia="zh-CN"/>
        </w:rPr>
        <w:t>落实省政府“过紧日子”政策，压减机关运行经费</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5.11</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共168人，其中：</w:t>
      </w:r>
    </w:p>
    <w:p>
      <w:pPr>
        <w:pStyle w:val="13"/>
        <w:keepNext w:val="0"/>
        <w:keepLines w:val="0"/>
        <w:pageBreakBefore w:val="0"/>
        <w:widowControl w:val="0"/>
        <w:numPr>
          <w:ilvl w:val="0"/>
          <w:numId w:val="3"/>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年度考核述职测评会</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0.36万元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60</w:t>
      </w:r>
      <w:r>
        <w:rPr>
          <w:rFonts w:hint="eastAsia" w:ascii="Times New Roman" w:hAnsi="Times New Roman" w:eastAsia="仿宋_GB2312"/>
          <w:sz w:val="32"/>
          <w:szCs w:val="32"/>
        </w:rPr>
        <w:t>人；</w:t>
      </w:r>
    </w:p>
    <w:p>
      <w:pPr>
        <w:pStyle w:val="13"/>
        <w:keepNext w:val="0"/>
        <w:keepLines w:val="0"/>
        <w:pageBreakBefore w:val="0"/>
        <w:widowControl w:val="0"/>
        <w:numPr>
          <w:ilvl w:val="0"/>
          <w:numId w:val="3"/>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2023年全省种植业工作会议，</w:t>
      </w:r>
      <w:r>
        <w:rPr>
          <w:rFonts w:hint="eastAsia" w:ascii="Times New Roman" w:hAnsi="Times New Roman" w:eastAsia="仿宋_GB2312"/>
          <w:sz w:val="32"/>
          <w:szCs w:val="32"/>
          <w:lang w:val="en-US" w:eastAsia="zh-CN"/>
        </w:rPr>
        <w:t>1.40万元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rPr>
        <w:t>人；</w:t>
      </w:r>
    </w:p>
    <w:p>
      <w:pPr>
        <w:pStyle w:val="13"/>
        <w:keepNext w:val="0"/>
        <w:keepLines w:val="0"/>
        <w:pageBreakBefore w:val="0"/>
        <w:widowControl w:val="0"/>
        <w:numPr>
          <w:ilvl w:val="0"/>
          <w:numId w:val="3"/>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特色小宗作物用药联合实验集中评审会，</w:t>
      </w:r>
      <w:r>
        <w:rPr>
          <w:rFonts w:hint="eastAsia" w:ascii="Times New Roman" w:hAnsi="Times New Roman" w:eastAsia="仿宋_GB2312"/>
          <w:sz w:val="32"/>
          <w:szCs w:val="32"/>
          <w:lang w:val="en-US" w:eastAsia="zh-CN"/>
        </w:rPr>
        <w:t>1.75万元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rPr>
        <w:t>人；</w:t>
      </w:r>
    </w:p>
    <w:p>
      <w:pPr>
        <w:pStyle w:val="13"/>
        <w:keepNext w:val="0"/>
        <w:keepLines w:val="0"/>
        <w:pageBreakBefore w:val="0"/>
        <w:widowControl w:val="0"/>
        <w:numPr>
          <w:ilvl w:val="0"/>
          <w:numId w:val="3"/>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全省农药企业座谈会，</w:t>
      </w:r>
      <w:r>
        <w:rPr>
          <w:rFonts w:hint="eastAsia" w:ascii="Times New Roman" w:hAnsi="Times New Roman" w:eastAsia="仿宋_GB2312"/>
          <w:sz w:val="32"/>
          <w:szCs w:val="32"/>
          <w:lang w:val="en-US" w:eastAsia="zh-CN"/>
        </w:rPr>
        <w:t>1.60万元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48</w:t>
      </w:r>
      <w:r>
        <w:rPr>
          <w:rFonts w:hint="eastAsia" w:ascii="Times New Roman" w:hAnsi="Times New Roman" w:eastAsia="仿宋_GB2312"/>
          <w:sz w:val="32"/>
          <w:szCs w:val="32"/>
        </w:rPr>
        <w:t>人</w:t>
      </w:r>
      <w:r>
        <w:rPr>
          <w:rFonts w:hint="eastAsia" w:ascii="Times New Roman" w:hAnsi="Times New Roman" w:eastAsia="仿宋_GB2312"/>
          <w:sz w:val="32"/>
          <w:szCs w:val="32"/>
          <w:lang w:eastAsia="zh-CN"/>
        </w:rPr>
        <w:t>。</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开支培训费</w:t>
      </w:r>
      <w:r>
        <w:rPr>
          <w:rFonts w:hint="eastAsia" w:ascii="Times New Roman" w:hAnsi="Times New Roman" w:eastAsia="仿宋_GB2312"/>
          <w:sz w:val="32"/>
          <w:szCs w:val="32"/>
          <w:lang w:val="en-US" w:eastAsia="zh-CN"/>
        </w:rPr>
        <w:t>25.78</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共544人，其中：</w:t>
      </w:r>
    </w:p>
    <w:p>
      <w:pPr>
        <w:pStyle w:val="13"/>
        <w:keepNext w:val="0"/>
        <w:keepLines w:val="0"/>
        <w:pageBreakBefore w:val="0"/>
        <w:widowControl w:val="0"/>
        <w:numPr>
          <w:ilvl w:val="0"/>
          <w:numId w:val="4"/>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eastAsia="zh-CN"/>
        </w:rPr>
        <w:t>全省农药监管培训，</w:t>
      </w:r>
      <w:r>
        <w:rPr>
          <w:rFonts w:hint="eastAsia" w:ascii="Times New Roman" w:hAnsi="Times New Roman" w:eastAsia="仿宋_GB2312"/>
          <w:sz w:val="32"/>
          <w:szCs w:val="32"/>
          <w:lang w:val="en-US" w:eastAsia="zh-CN"/>
        </w:rPr>
        <w:t>12.50万元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158</w:t>
      </w:r>
      <w:r>
        <w:rPr>
          <w:rFonts w:hint="eastAsia" w:ascii="Times New Roman" w:hAnsi="Times New Roman" w:eastAsia="仿宋_GB2312"/>
          <w:sz w:val="32"/>
          <w:szCs w:val="32"/>
        </w:rPr>
        <w:t>人；</w:t>
      </w:r>
    </w:p>
    <w:p>
      <w:pPr>
        <w:pStyle w:val="13"/>
        <w:keepNext w:val="0"/>
        <w:keepLines w:val="0"/>
        <w:pageBreakBefore w:val="0"/>
        <w:widowControl w:val="0"/>
        <w:numPr>
          <w:ilvl w:val="0"/>
          <w:numId w:val="4"/>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全省农药行业安全生产专题培训，</w:t>
      </w:r>
      <w:r>
        <w:rPr>
          <w:rFonts w:hint="eastAsia" w:ascii="Times New Roman" w:hAnsi="Times New Roman" w:eastAsia="仿宋_GB2312"/>
          <w:sz w:val="32"/>
          <w:szCs w:val="32"/>
          <w:lang w:val="en-US" w:eastAsia="zh-CN"/>
        </w:rPr>
        <w:t>3.50万元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105</w:t>
      </w:r>
      <w:r>
        <w:rPr>
          <w:rFonts w:hint="eastAsia" w:ascii="Times New Roman" w:hAnsi="Times New Roman" w:eastAsia="仿宋_GB2312"/>
          <w:sz w:val="32"/>
          <w:szCs w:val="32"/>
        </w:rPr>
        <w:t>人；</w:t>
      </w:r>
    </w:p>
    <w:p>
      <w:pPr>
        <w:pStyle w:val="13"/>
        <w:keepNext w:val="0"/>
        <w:keepLines w:val="0"/>
        <w:pageBreakBefore w:val="0"/>
        <w:widowControl w:val="0"/>
        <w:numPr>
          <w:ilvl w:val="0"/>
          <w:numId w:val="4"/>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农药安全监管项目培训，</w:t>
      </w:r>
      <w:r>
        <w:rPr>
          <w:rFonts w:hint="eastAsia" w:ascii="Times New Roman" w:hAnsi="Times New Roman" w:eastAsia="仿宋_GB2312"/>
          <w:sz w:val="32"/>
          <w:szCs w:val="32"/>
          <w:lang w:val="en-US" w:eastAsia="zh-CN"/>
        </w:rPr>
        <w:t>2.60万元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76</w:t>
      </w:r>
      <w:r>
        <w:rPr>
          <w:rFonts w:hint="eastAsia" w:ascii="Times New Roman" w:hAnsi="Times New Roman" w:eastAsia="仿宋_GB2312"/>
          <w:sz w:val="32"/>
          <w:szCs w:val="32"/>
        </w:rPr>
        <w:t>人；</w:t>
      </w:r>
    </w:p>
    <w:p>
      <w:pPr>
        <w:pStyle w:val="13"/>
        <w:keepNext w:val="0"/>
        <w:keepLines w:val="0"/>
        <w:pageBreakBefore w:val="0"/>
        <w:widowControl w:val="0"/>
        <w:numPr>
          <w:ilvl w:val="0"/>
          <w:numId w:val="4"/>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2023年湖南省农产品质量安全检测技术能力与标准培训，</w:t>
      </w:r>
      <w:r>
        <w:rPr>
          <w:rFonts w:hint="eastAsia" w:ascii="Times New Roman" w:hAnsi="Times New Roman" w:eastAsia="仿宋_GB2312"/>
          <w:sz w:val="32"/>
          <w:szCs w:val="32"/>
          <w:lang w:val="en-US" w:eastAsia="zh-CN"/>
        </w:rPr>
        <w:t>6.97万元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155</w:t>
      </w:r>
      <w:r>
        <w:rPr>
          <w:rFonts w:hint="eastAsia" w:ascii="Times New Roman" w:hAnsi="Times New Roman" w:eastAsia="仿宋_GB2312"/>
          <w:sz w:val="32"/>
          <w:szCs w:val="32"/>
        </w:rPr>
        <w:t>人；</w:t>
      </w:r>
    </w:p>
    <w:p>
      <w:pPr>
        <w:pStyle w:val="13"/>
        <w:keepNext w:val="0"/>
        <w:keepLines w:val="0"/>
        <w:pageBreakBefore w:val="0"/>
        <w:widowControl w:val="0"/>
        <w:numPr>
          <w:ilvl w:val="0"/>
          <w:numId w:val="4"/>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消防安全培训，</w:t>
      </w:r>
      <w:r>
        <w:rPr>
          <w:rFonts w:hint="eastAsia" w:ascii="Times New Roman" w:hAnsi="Times New Roman" w:eastAsia="仿宋_GB2312"/>
          <w:sz w:val="32"/>
          <w:szCs w:val="32"/>
          <w:lang w:val="en-US" w:eastAsia="zh-CN"/>
        </w:rPr>
        <w:t>0.20万元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50</w:t>
      </w:r>
      <w:r>
        <w:rPr>
          <w:rFonts w:hint="eastAsia" w:ascii="Times New Roman" w:hAnsi="Times New Roman" w:eastAsia="仿宋_GB2312"/>
          <w:sz w:val="32"/>
          <w:szCs w:val="32"/>
        </w:rPr>
        <w:t>人</w:t>
      </w:r>
      <w:r>
        <w:rPr>
          <w:rFonts w:hint="eastAsia" w:ascii="Times New Roman" w:hAnsi="Times New Roman" w:eastAsia="仿宋_GB2312"/>
          <w:sz w:val="32"/>
          <w:szCs w:val="32"/>
          <w:lang w:eastAsia="zh-CN"/>
        </w:rPr>
        <w:t>。</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未</w:t>
      </w:r>
      <w:r>
        <w:rPr>
          <w:rFonts w:hint="eastAsia" w:ascii="Times New Roman" w:hAnsi="Times New Roman" w:eastAsia="仿宋_GB2312"/>
          <w:sz w:val="32"/>
          <w:szCs w:val="32"/>
        </w:rPr>
        <w:t>举办</w:t>
      </w:r>
      <w:r>
        <w:rPr>
          <w:rFonts w:hint="eastAsia" w:ascii="Times New Roman" w:hAnsi="Times New Roman" w:eastAsia="仿宋_GB2312"/>
          <w:sz w:val="32"/>
          <w:szCs w:val="32"/>
          <w:lang w:val="en-US" w:eastAsia="zh-CN"/>
        </w:rPr>
        <w:t>节</w:t>
      </w:r>
      <w:r>
        <w:rPr>
          <w:rFonts w:hint="eastAsia" w:ascii="Times New Roman" w:hAnsi="Times New Roman" w:eastAsia="仿宋_GB2312"/>
          <w:sz w:val="32"/>
          <w:szCs w:val="32"/>
        </w:rPr>
        <w:t>庆、晚会、论坛、赛事活动</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145.99</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19.21</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81.34</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45.44</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145.99</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145.99</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sz w:val="32"/>
          <w:szCs w:val="32"/>
          <w:lang w:val="en-US" w:eastAsia="zh-CN"/>
        </w:rPr>
        <w:t>100</w:t>
      </w:r>
      <w:r>
        <w:rPr>
          <w:rFonts w:hint="eastAsia" w:ascii="Times New Roman" w:hAnsi="Times New Roman" w:eastAsia="仿宋_GB2312"/>
          <w:color w:val="auto"/>
          <w:sz w:val="32"/>
          <w:szCs w:val="32"/>
        </w:rPr>
        <w:t>%。货物采购授予中小企业合同金额占货物支出金额的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color w:val="auto"/>
          <w:sz w:val="32"/>
          <w:szCs w:val="32"/>
        </w:rPr>
        <w:t>%，工程采购授予中小企业合同金额占工程支出金额的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color w:val="auto"/>
          <w:sz w:val="32"/>
          <w:szCs w:val="32"/>
        </w:rPr>
        <w:t>%，服务采购授予中小企业合同金额占服务支出金额的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color w:val="auto"/>
          <w:sz w:val="32"/>
          <w:szCs w:val="32"/>
        </w:rPr>
        <w:t>%。</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单位</w:t>
      </w:r>
      <w:r>
        <w:rPr>
          <w:rFonts w:hint="eastAsia" w:ascii="Times New Roman" w:hAnsi="Times New Roman" w:eastAsia="仿宋_GB2312"/>
          <w:sz w:val="32"/>
          <w:szCs w:val="32"/>
        </w:rPr>
        <w:t>共有车辆</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辆；单位价值100万元以上专用设备</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台（套）。</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为加强财政支出预算绩效管理，提高财政资源配置效率和资金使用效益，根据《中共中央国务院关于全面实施预算绩效管理的意见》（中发〔2018〕34 号）、《中共湖南省委办公厅 湖南省人民政府办公厅关于全面实施预算绩效管理的实施意见》（湘办发〔2019〕10 号）和《湖南省财政厅关于印发湖南省预算支出绩效评价管理办法的通知》（湘财绩〔2020〕7号）等有关规定，按照省财政厅《关于开展2023 年度省级预算部门绩效自评和部门评价的通知》（湘财绩〔2024〕1号）要求，我</w:t>
      </w:r>
      <w:r>
        <w:rPr>
          <w:rFonts w:hint="eastAsia" w:ascii="Times New Roman" w:hAnsi="Times New Roman" w:eastAsia="仿宋_GB2312"/>
          <w:color w:val="auto"/>
          <w:sz w:val="32"/>
          <w:szCs w:val="32"/>
          <w:lang w:val="en-US" w:eastAsia="zh-CN"/>
        </w:rPr>
        <w:t>所</w:t>
      </w:r>
      <w:r>
        <w:rPr>
          <w:rFonts w:hint="eastAsia" w:ascii="Times New Roman" w:hAnsi="Times New Roman" w:eastAsia="仿宋_GB2312"/>
          <w:color w:val="auto"/>
          <w:sz w:val="32"/>
          <w:szCs w:val="32"/>
          <w:lang w:eastAsia="zh-CN"/>
        </w:rPr>
        <w:t>于2024年</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lang w:eastAsia="zh-CN"/>
        </w:rPr>
        <w:t>月对 2023 年整体支出实施了预算绩效自评。</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rPr>
        <w:t>我所聚焦职能职责，严格执行一般公共预算，围绕农药管理和检验检测核心业务，推动了工作有效开展，实现了既定的绩效目标。</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b/>
          <w:sz w:val="32"/>
          <w:szCs w:val="28"/>
        </w:rPr>
        <w:t>一是科学合理控制运行成本。</w:t>
      </w:r>
      <w:r>
        <w:rPr>
          <w:rFonts w:hint="eastAsia" w:ascii="Times New Roman" w:hAnsi="Times New Roman" w:eastAsia="仿宋"/>
          <w:sz w:val="32"/>
          <w:szCs w:val="28"/>
        </w:rPr>
        <w:t>统筹工作质量与厉行节约的要求，首先是检测耗材用品等方面的物质采购，从申请采购到审批到验收等环节层层把关，确保物有所值、物尽其用，有效的保证了工作质量。其次是单位日常运转，尤其是“三公”管理，严格按照厉行节约的要求，做到了运转经费的持续减少。</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b/>
          <w:sz w:val="32"/>
          <w:szCs w:val="28"/>
        </w:rPr>
        <w:t>二是着眼专业提升管理效率。</w:t>
      </w:r>
      <w:r>
        <w:rPr>
          <w:rFonts w:hint="eastAsia" w:ascii="Times New Roman" w:hAnsi="Times New Roman" w:eastAsia="仿宋"/>
          <w:sz w:val="32"/>
          <w:szCs w:val="28"/>
        </w:rPr>
        <w:t>严格按照总的预算，结合业务工作的专业要求，细化了各个专项任务的资金预算，确保做事有钱，有钱做事，同时更好的保证了资金的执行进度，提升了管理效率，提高了资金的有效利用率。</w:t>
      </w:r>
    </w:p>
    <w:p>
      <w:pPr>
        <w:adjustRightInd w:val="0"/>
        <w:snapToGrid w:val="0"/>
        <w:spacing w:line="360" w:lineRule="auto"/>
        <w:ind w:firstLine="640" w:firstLineChars="200"/>
        <w:rPr>
          <w:rFonts w:hint="eastAsia" w:ascii="Times New Roman" w:hAnsi="Times New Roman" w:eastAsia="仿宋" w:cs="Times New Roman"/>
          <w:bCs/>
          <w:sz w:val="32"/>
          <w:szCs w:val="32"/>
        </w:rPr>
      </w:pPr>
      <w:r>
        <w:rPr>
          <w:rFonts w:hint="eastAsia" w:ascii="Times New Roman" w:hAnsi="Times New Roman" w:eastAsia="仿宋"/>
          <w:b/>
          <w:sz w:val="32"/>
          <w:szCs w:val="28"/>
        </w:rPr>
        <w:t>三是履职尽责加强农药管理。首先是严把行政许可审批关口。</w:t>
      </w:r>
      <w:r>
        <w:rPr>
          <w:rFonts w:hint="eastAsia" w:ascii="Times New Roman" w:hAnsi="Times New Roman" w:eastAsia="仿宋"/>
          <w:sz w:val="32"/>
          <w:szCs w:val="28"/>
        </w:rPr>
        <w:t>全年</w:t>
      </w:r>
      <w:r>
        <w:rPr>
          <w:rFonts w:ascii="Times New Roman" w:hAnsi="Times New Roman" w:eastAsia="仿宋" w:cs="Times New Roman"/>
          <w:sz w:val="32"/>
          <w:szCs w:val="32"/>
        </w:rPr>
        <w:t>完成78份农药登记资料的初审，办理农药生产许可证17个，办理限用农药经营许可证377个。</w:t>
      </w:r>
      <w:r>
        <w:rPr>
          <w:rFonts w:ascii="Times New Roman" w:hAnsi="Times New Roman" w:eastAsia="仿宋" w:cs="Times New Roman"/>
          <w:b/>
          <w:sz w:val="32"/>
          <w:szCs w:val="32"/>
        </w:rPr>
        <w:t>其次是持续加强农药监管。</w:t>
      </w:r>
      <w:r>
        <w:rPr>
          <w:rFonts w:ascii="Times New Roman" w:hAnsi="Times New Roman" w:eastAsia="仿宋" w:cs="Times New Roman"/>
          <w:sz w:val="32"/>
          <w:szCs w:val="32"/>
        </w:rPr>
        <w:t>开展监督抽查抽检农药产品650批次，开展农药行业监督检查，检查8家农药生产企业和90家农药经营单位开。</w:t>
      </w:r>
      <w:r>
        <w:rPr>
          <w:rFonts w:ascii="Times New Roman" w:hAnsi="Times New Roman" w:eastAsia="仿宋" w:cs="Times New Roman"/>
          <w:b/>
          <w:sz w:val="32"/>
          <w:szCs w:val="32"/>
        </w:rPr>
        <w:t>第三是指导农药行业安全生产</w:t>
      </w:r>
      <w:r>
        <w:rPr>
          <w:rFonts w:hint="eastAsia" w:ascii="Times New Roman" w:hAnsi="Times New Roman" w:eastAsia="仿宋" w:cs="Times New Roman"/>
          <w:b/>
          <w:sz w:val="32"/>
          <w:szCs w:val="32"/>
        </w:rPr>
        <w:t>。</w:t>
      </w:r>
      <w:r>
        <w:rPr>
          <w:rFonts w:ascii="Times New Roman" w:hAnsi="Times New Roman" w:eastAsia="仿宋" w:cs="Times New Roman"/>
          <w:bCs/>
          <w:sz w:val="32"/>
          <w:szCs w:val="32"/>
        </w:rPr>
        <w:t>组织开展“开工第一课 安全伴我行”专题培训、全省农药行业安全生产专题培训、消防安全与应急演练培训等活动，指导全省省各级农业农村部门检查农药生产企业59家次、农药经营单位17248家次，出动执法（检查）人员20756人次。</w:t>
      </w:r>
    </w:p>
    <w:p>
      <w:pPr>
        <w:adjustRightInd w:val="0"/>
        <w:snapToGrid w:val="0"/>
        <w:spacing w:line="360" w:lineRule="auto"/>
        <w:ind w:firstLine="680"/>
        <w:rPr>
          <w:rFonts w:ascii="Times New Roman" w:hAnsi="Times New Roman" w:eastAsia="仿宋" w:cs="Times New Roman"/>
          <w:sz w:val="32"/>
          <w:szCs w:val="32"/>
          <w:lang w:val="en"/>
        </w:rPr>
      </w:pPr>
      <w:r>
        <w:rPr>
          <w:rFonts w:hint="eastAsia" w:ascii="Times New Roman" w:hAnsi="Times New Roman" w:eastAsia="仿宋"/>
          <w:b/>
          <w:sz w:val="32"/>
          <w:szCs w:val="28"/>
        </w:rPr>
        <w:t>四是科学检测强化技术支撑。</w:t>
      </w:r>
      <w:r>
        <w:rPr>
          <w:rFonts w:ascii="Times New Roman" w:hAnsi="Times New Roman" w:eastAsia="仿宋" w:cs="Times New Roman"/>
          <w:sz w:val="32"/>
          <w:szCs w:val="32"/>
        </w:rPr>
        <w:t>充分利用现有条件，突出抓“三个规范化”：即检测场所规范化、检测流程规范化、报告记录规范化。同时结合检测任务，重点抓“三个能力”提升：即技术上手能力、时效保证能力、问题解决能力。检测服务农药监管、农产品质量安全监管的技术支撑作用不断凸显，全年完成农产品例行监测抽样检测8320批次、完成早中晚稻重金属质量安全专项风险监测1295批次、完成稻谷镉污染风险评估检测654批次、完成豇豆专项监测检测600批次、完成农药质量抽查检测754批次，为全省粮食安全和农产品质量安全提供了技术支撑和数据保障。</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rPr>
        <w:t>一是精准预算难度大。虽然我们根据专业结合业务不断细化预算，但在执行过程中或多或少有小的偏差，主要原因还是具体工作在细节上存在无法预见性。</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rPr>
        <w:t>二是少数绩效目标难以量化。我们承担的职能职责和很多工作任务都是公益性的、服务性的，所以在经济效益、生态效益等方面的绩效目标难以量化。</w:t>
      </w:r>
    </w:p>
    <w:p>
      <w:pPr>
        <w:pStyle w:val="13"/>
        <w:jc w:val="both"/>
        <w:rPr>
          <w:sz w:val="72"/>
          <w:szCs w:val="72"/>
        </w:rPr>
      </w:pPr>
    </w:p>
    <w:p>
      <w:pPr>
        <w:pStyle w:val="13"/>
        <w:jc w:val="center"/>
        <w:rPr>
          <w:sz w:val="72"/>
          <w:szCs w:val="72"/>
        </w:rPr>
      </w:pPr>
    </w:p>
    <w:p>
      <w:pPr>
        <w:pStyle w:val="13"/>
        <w:jc w:val="center"/>
        <w:rPr>
          <w:sz w:val="72"/>
          <w:szCs w:val="72"/>
        </w:rPr>
      </w:pPr>
    </w:p>
    <w:p>
      <w:pPr>
        <w:pStyle w:val="13"/>
        <w:jc w:val="both"/>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spacing w:line="600" w:lineRule="exact"/>
        <w:ind w:firstLine="66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一、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sz w:val="72"/>
          <w:szCs w:val="72"/>
        </w:rPr>
      </w:pPr>
      <w:r>
        <w:rPr>
          <w:rFonts w:hint="eastAsia" w:ascii="Times New Roman" w:hAnsi="Times New Roman" w:eastAsia="仿宋_GB2312" w:cs="黑体"/>
          <w:color w:val="000000"/>
          <w:kern w:val="0"/>
          <w:sz w:val="32"/>
          <w:szCs w:val="32"/>
          <w:lang w:val="en-US" w:eastAsia="zh-CN" w:bidi="ar-SA"/>
        </w:rPr>
        <w:t>二、“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rPr>
          <w:sz w:val="72"/>
          <w:szCs w:val="72"/>
        </w:rPr>
      </w:pPr>
      <w:r>
        <w:rPr>
          <w:sz w:val="72"/>
          <w:szCs w:val="72"/>
        </w:rPr>
        <w:br w:type="page"/>
      </w: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jc w:val="center"/>
        <w:rPr>
          <w:rFonts w:hint="eastAsia"/>
          <w:b/>
          <w:sz w:val="44"/>
          <w:szCs w:val="44"/>
        </w:rPr>
      </w:pPr>
      <w:r>
        <w:rPr>
          <w:rFonts w:hint="eastAsia"/>
          <w:b/>
          <w:sz w:val="44"/>
          <w:szCs w:val="44"/>
        </w:rPr>
        <w:t>2023年度湖南省农药检定所总体支出</w:t>
      </w:r>
    </w:p>
    <w:p>
      <w:pPr>
        <w:jc w:val="center"/>
        <w:rPr>
          <w:b/>
          <w:sz w:val="44"/>
          <w:szCs w:val="44"/>
        </w:rPr>
      </w:pPr>
      <w:r>
        <w:rPr>
          <w:rFonts w:hint="eastAsia"/>
          <w:b/>
          <w:sz w:val="44"/>
          <w:szCs w:val="44"/>
        </w:rPr>
        <w:t>绩效自评报告</w:t>
      </w:r>
    </w:p>
    <w:p>
      <w:pPr>
        <w:pStyle w:val="14"/>
        <w:ind w:firstLine="560"/>
        <w:jc w:val="left"/>
        <w:rPr>
          <w:rFonts w:hint="eastAsia" w:asciiTheme="minorEastAsia" w:hAnsiTheme="minorEastAsia"/>
          <w:sz w:val="28"/>
          <w:szCs w:val="28"/>
        </w:rPr>
      </w:pPr>
    </w:p>
    <w:p>
      <w:pPr>
        <w:pStyle w:val="14"/>
        <w:adjustRightInd w:val="0"/>
        <w:snapToGrid w:val="0"/>
        <w:spacing w:line="360" w:lineRule="auto"/>
        <w:ind w:firstLine="640"/>
        <w:rPr>
          <w:rFonts w:ascii="黑体" w:hAnsi="黑体" w:eastAsia="黑体"/>
          <w:sz w:val="32"/>
          <w:szCs w:val="30"/>
        </w:rPr>
      </w:pPr>
      <w:r>
        <w:rPr>
          <w:rFonts w:hint="eastAsia" w:ascii="黑体" w:hAnsi="黑体" w:eastAsia="黑体"/>
          <w:sz w:val="32"/>
          <w:szCs w:val="30"/>
        </w:rPr>
        <w:t>一、单位基本情况</w:t>
      </w:r>
    </w:p>
    <w:p>
      <w:pPr>
        <w:pStyle w:val="14"/>
        <w:adjustRightInd w:val="0"/>
        <w:snapToGrid w:val="0"/>
        <w:spacing w:line="360" w:lineRule="auto"/>
        <w:ind w:firstLine="643"/>
        <w:rPr>
          <w:rFonts w:ascii="Times New Roman" w:hAnsi="Times New Roman" w:eastAsia="仿宋"/>
          <w:sz w:val="32"/>
          <w:szCs w:val="28"/>
        </w:rPr>
      </w:pPr>
      <w:r>
        <w:rPr>
          <w:rFonts w:hint="eastAsia" w:ascii="Times New Roman" w:hAnsi="Times New Roman" w:eastAsia="仿宋" w:cs="宋体"/>
          <w:b/>
          <w:sz w:val="32"/>
          <w:szCs w:val="28"/>
        </w:rPr>
        <w:t>（一）职能职责。</w:t>
      </w:r>
      <w:r>
        <w:rPr>
          <w:rFonts w:hint="eastAsia" w:ascii="Times New Roman" w:hAnsi="Times New Roman" w:eastAsia="仿宋"/>
          <w:sz w:val="32"/>
          <w:szCs w:val="28"/>
        </w:rPr>
        <w:t>湖南省农药检定所负责全省农药登记及登记试验具体工作、已登记农药的安全性和有效性监测、农药产品质量监测与风险评估工作，农药科学研究、普及，信息交流，相关技术培训、服务、咨询等工作；协助厅种植业（农药管理）处开展农药生产、农药经营、农药试验单位备案等农药监督管理工作，以及农药行业监管、发展指导与服务工作；承担全省农产品、农业投入品、农产品产地环境质量监督和监测、风险评价等检验检测职能。</w:t>
      </w:r>
    </w:p>
    <w:p>
      <w:pPr>
        <w:adjustRightInd w:val="0"/>
        <w:snapToGrid w:val="0"/>
        <w:spacing w:line="360" w:lineRule="auto"/>
        <w:ind w:firstLine="640" w:firstLineChars="200"/>
        <w:rPr>
          <w:rFonts w:ascii="Times New Roman" w:hAnsi="Times New Roman" w:eastAsia="仿宋"/>
          <w:sz w:val="32"/>
          <w:szCs w:val="28"/>
        </w:rPr>
      </w:pPr>
      <w:r>
        <w:rPr>
          <w:rFonts w:hint="eastAsia" w:ascii="Times New Roman" w:hAnsi="Times New Roman" w:eastAsia="仿宋" w:cs="宋体"/>
          <w:b/>
          <w:sz w:val="32"/>
          <w:szCs w:val="28"/>
        </w:rPr>
        <w:t>（二）机构设置。</w:t>
      </w:r>
      <w:r>
        <w:rPr>
          <w:rFonts w:hint="eastAsia" w:ascii="Times New Roman" w:hAnsi="Times New Roman" w:eastAsia="仿宋"/>
          <w:sz w:val="32"/>
          <w:szCs w:val="28"/>
        </w:rPr>
        <w:t>湖南省农药检定所（湖南省农产品质量检验检测中心（长沙土壤肥料测试中心）），省农业农村厅直属正处级参公管理单位，2009年实施参照公务员法管理。内设办公室、业务科、综合科、药监科、药政科、审评科、检测科7个科室。</w:t>
      </w:r>
    </w:p>
    <w:p>
      <w:pPr>
        <w:adjustRightInd w:val="0"/>
        <w:snapToGrid w:val="0"/>
        <w:spacing w:line="360" w:lineRule="auto"/>
        <w:ind w:firstLine="640" w:firstLineChars="200"/>
        <w:rPr>
          <w:rFonts w:ascii="黑体" w:hAnsi="黑体" w:eastAsia="黑体"/>
          <w:sz w:val="32"/>
          <w:szCs w:val="28"/>
        </w:rPr>
      </w:pPr>
      <w:r>
        <w:rPr>
          <w:rFonts w:hint="eastAsia" w:ascii="黑体" w:hAnsi="黑体" w:eastAsia="黑体"/>
          <w:sz w:val="32"/>
          <w:szCs w:val="28"/>
        </w:rPr>
        <w:t>二、一般公共预算支出情况</w:t>
      </w:r>
    </w:p>
    <w:p>
      <w:pPr>
        <w:adjustRightInd w:val="0"/>
        <w:snapToGrid w:val="0"/>
        <w:spacing w:line="360" w:lineRule="auto"/>
        <w:ind w:firstLine="640" w:firstLineChars="200"/>
        <w:rPr>
          <w:rFonts w:ascii="Times New Roman" w:hAnsi="Times New Roman" w:eastAsia="仿宋"/>
          <w:sz w:val="32"/>
          <w:szCs w:val="28"/>
        </w:rPr>
      </w:pPr>
      <w:r>
        <w:rPr>
          <w:rFonts w:hint="eastAsia" w:ascii="Times New Roman" w:hAnsi="Times New Roman" w:eastAsia="仿宋"/>
          <w:sz w:val="32"/>
          <w:szCs w:val="28"/>
        </w:rPr>
        <w:t>（一）基本支出914.53万元，人员经费845.05万元，公用经费69.48万元。</w:t>
      </w:r>
    </w:p>
    <w:p>
      <w:pPr>
        <w:adjustRightInd w:val="0"/>
        <w:snapToGrid w:val="0"/>
        <w:spacing w:line="360" w:lineRule="auto"/>
        <w:ind w:firstLine="640" w:firstLineChars="200"/>
        <w:rPr>
          <w:rFonts w:ascii="Times New Roman" w:hAnsi="Times New Roman" w:eastAsia="仿宋"/>
          <w:sz w:val="32"/>
          <w:szCs w:val="28"/>
        </w:rPr>
      </w:pPr>
      <w:r>
        <w:rPr>
          <w:rFonts w:hint="eastAsia" w:ascii="Times New Roman" w:hAnsi="Times New Roman" w:eastAsia="仿宋"/>
          <w:sz w:val="32"/>
          <w:szCs w:val="28"/>
        </w:rPr>
        <w:t>（二）项目支出1639.21万元，其中农业资源保护修复与利用49.01万元，农业生产发展1262.49万元，其他农业农村支出327.71万元。</w:t>
      </w:r>
    </w:p>
    <w:p>
      <w:pPr>
        <w:adjustRightInd w:val="0"/>
        <w:snapToGrid w:val="0"/>
        <w:spacing w:line="360" w:lineRule="auto"/>
        <w:ind w:firstLine="640" w:firstLineChars="200"/>
        <w:rPr>
          <w:rFonts w:ascii="黑体" w:hAnsi="黑体" w:eastAsia="黑体"/>
          <w:sz w:val="32"/>
          <w:szCs w:val="28"/>
        </w:rPr>
      </w:pPr>
      <w:r>
        <w:rPr>
          <w:rFonts w:hint="eastAsia" w:ascii="黑体" w:hAnsi="黑体" w:eastAsia="黑体"/>
          <w:sz w:val="32"/>
          <w:szCs w:val="28"/>
        </w:rPr>
        <w:t>三、部门总体支出绩效情况</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rPr>
        <w:t>我所聚焦职能职责，严格执行一般公共预算，围绕农药管理和检验检测核心业务，推动了工作有效开展，实现了既定的绩效目标。</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b/>
          <w:sz w:val="32"/>
          <w:szCs w:val="28"/>
        </w:rPr>
        <w:t>一是科学合理控制运行成本。</w:t>
      </w:r>
      <w:r>
        <w:rPr>
          <w:rFonts w:hint="eastAsia" w:ascii="Times New Roman" w:hAnsi="Times New Roman" w:eastAsia="仿宋"/>
          <w:sz w:val="32"/>
          <w:szCs w:val="28"/>
        </w:rPr>
        <w:t>统筹工作质量与厉行节约的要求，首先是检测耗材用品等方面的物质采购，从申请采购到审批到验收等环节层层把关，确保物有所值、物尽其用，有效的保证了工作质量。其次是单位日常运转，尤其是“三公”管理，严格按照厉行节约的要求，做到了运转经费的持续减少。</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b/>
          <w:sz w:val="32"/>
          <w:szCs w:val="28"/>
        </w:rPr>
        <w:t>二是着眼专业提升管理效率。</w:t>
      </w:r>
      <w:r>
        <w:rPr>
          <w:rFonts w:hint="eastAsia" w:ascii="Times New Roman" w:hAnsi="Times New Roman" w:eastAsia="仿宋"/>
          <w:sz w:val="32"/>
          <w:szCs w:val="28"/>
        </w:rPr>
        <w:t>严格按照总的预算，结合业务工作的专业要求，细化了各个专项任务的资金预算，确保做事有钱，有钱做事，同时更好的保证了资金的执行进度，提升了管理效率，提高了资金的有效利用率。</w:t>
      </w:r>
    </w:p>
    <w:p>
      <w:pPr>
        <w:adjustRightInd w:val="0"/>
        <w:snapToGrid w:val="0"/>
        <w:spacing w:line="360" w:lineRule="auto"/>
        <w:ind w:firstLine="640" w:firstLineChars="200"/>
        <w:rPr>
          <w:rFonts w:hint="eastAsia" w:ascii="Times New Roman" w:hAnsi="Times New Roman" w:eastAsia="仿宋" w:cs="Times New Roman"/>
          <w:bCs/>
          <w:sz w:val="32"/>
          <w:szCs w:val="32"/>
        </w:rPr>
      </w:pPr>
      <w:r>
        <w:rPr>
          <w:rFonts w:hint="eastAsia" w:ascii="Times New Roman" w:hAnsi="Times New Roman" w:eastAsia="仿宋"/>
          <w:b/>
          <w:sz w:val="32"/>
          <w:szCs w:val="28"/>
        </w:rPr>
        <w:t>三是履职尽责加强农药管理。首先是严把行政许可审批关口。</w:t>
      </w:r>
      <w:r>
        <w:rPr>
          <w:rFonts w:hint="eastAsia" w:ascii="Times New Roman" w:hAnsi="Times New Roman" w:eastAsia="仿宋"/>
          <w:sz w:val="32"/>
          <w:szCs w:val="28"/>
        </w:rPr>
        <w:t>全年</w:t>
      </w:r>
      <w:r>
        <w:rPr>
          <w:rFonts w:ascii="Times New Roman" w:hAnsi="Times New Roman" w:eastAsia="仿宋" w:cs="Times New Roman"/>
          <w:sz w:val="32"/>
          <w:szCs w:val="32"/>
        </w:rPr>
        <w:t>完成78份农药登记资料的初审，办理农药生产许可证17个，办理限用农药经营许可证377个。</w:t>
      </w:r>
      <w:r>
        <w:rPr>
          <w:rFonts w:ascii="Times New Roman" w:hAnsi="Times New Roman" w:eastAsia="仿宋" w:cs="Times New Roman"/>
          <w:b/>
          <w:sz w:val="32"/>
          <w:szCs w:val="32"/>
        </w:rPr>
        <w:t>其次是持续加强农药监管。</w:t>
      </w:r>
      <w:r>
        <w:rPr>
          <w:rFonts w:ascii="Times New Roman" w:hAnsi="Times New Roman" w:eastAsia="仿宋" w:cs="Times New Roman"/>
          <w:sz w:val="32"/>
          <w:szCs w:val="32"/>
        </w:rPr>
        <w:t>开展监督抽查抽检农药产品650批次，开展农药行业监督检查，检查8家农药生产企业和90家农药经营单位开。</w:t>
      </w:r>
      <w:r>
        <w:rPr>
          <w:rFonts w:ascii="Times New Roman" w:hAnsi="Times New Roman" w:eastAsia="仿宋" w:cs="Times New Roman"/>
          <w:b/>
          <w:sz w:val="32"/>
          <w:szCs w:val="32"/>
        </w:rPr>
        <w:t>第三是指导农药行业安全生产</w:t>
      </w:r>
      <w:r>
        <w:rPr>
          <w:rFonts w:hint="eastAsia" w:ascii="Times New Roman" w:hAnsi="Times New Roman" w:eastAsia="仿宋" w:cs="Times New Roman"/>
          <w:b/>
          <w:sz w:val="32"/>
          <w:szCs w:val="32"/>
        </w:rPr>
        <w:t>。</w:t>
      </w:r>
      <w:r>
        <w:rPr>
          <w:rFonts w:ascii="Times New Roman" w:hAnsi="Times New Roman" w:eastAsia="仿宋" w:cs="Times New Roman"/>
          <w:bCs/>
          <w:sz w:val="32"/>
          <w:szCs w:val="32"/>
        </w:rPr>
        <w:t>组织开展“开工第一课 安全伴我行”专题培训、全省农药行业安全生产专题培训、消防安全与应急演练培训等活动，指导全省省各级农业农村部门检查农药生产企业59家次、农药经营单位17248家次，出动执法（检查）人员20756人次。</w:t>
      </w:r>
    </w:p>
    <w:p>
      <w:pPr>
        <w:adjustRightInd w:val="0"/>
        <w:snapToGrid w:val="0"/>
        <w:spacing w:line="360" w:lineRule="auto"/>
        <w:ind w:firstLine="680"/>
        <w:rPr>
          <w:rFonts w:ascii="Times New Roman" w:hAnsi="Times New Roman" w:eastAsia="仿宋" w:cs="Times New Roman"/>
          <w:sz w:val="32"/>
          <w:szCs w:val="32"/>
          <w:lang w:val="en"/>
        </w:rPr>
      </w:pPr>
      <w:r>
        <w:rPr>
          <w:rFonts w:hint="eastAsia" w:ascii="Times New Roman" w:hAnsi="Times New Roman" w:eastAsia="仿宋"/>
          <w:b/>
          <w:sz w:val="32"/>
          <w:szCs w:val="28"/>
        </w:rPr>
        <w:t>四是科学检测强化技术支撑。</w:t>
      </w:r>
      <w:r>
        <w:rPr>
          <w:rFonts w:ascii="Times New Roman" w:hAnsi="Times New Roman" w:eastAsia="仿宋" w:cs="Times New Roman"/>
          <w:sz w:val="32"/>
          <w:szCs w:val="32"/>
        </w:rPr>
        <w:t>充分利用现有条件，突出抓“三个规范化”：即检测场所规范化、检测流程规范化、报告记录规范化。同时结合检测任务，重点抓“三个能力”提升：即技术上手能力、时效保证能力、问题解决能力。检测服务农药监管、农产品质量安全监管的技术支撑作用不断凸显，全年完成农产品例行监测抽样检测8320批次、完成早中晚稻重金属质量安全专项风险监测1295批次、完成稻谷镉污染风险评估检测654批次、完成豇豆专项监测检测600批次、完成农药质量抽查检测754批次，为全省粮食安全和农产品质量安全提供了技术支撑和数据保障。</w:t>
      </w:r>
    </w:p>
    <w:p>
      <w:pPr>
        <w:adjustRightInd w:val="0"/>
        <w:snapToGrid w:val="0"/>
        <w:spacing w:line="360" w:lineRule="auto"/>
        <w:ind w:firstLine="640" w:firstLineChars="200"/>
        <w:rPr>
          <w:rFonts w:ascii="黑体" w:hAnsi="黑体" w:eastAsia="黑体"/>
          <w:sz w:val="32"/>
          <w:szCs w:val="28"/>
        </w:rPr>
      </w:pPr>
      <w:r>
        <w:rPr>
          <w:rFonts w:hint="eastAsia" w:ascii="黑体" w:hAnsi="黑体" w:eastAsia="黑体"/>
          <w:sz w:val="32"/>
          <w:szCs w:val="28"/>
        </w:rPr>
        <w:t>四、存在的问题及原因分析</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rPr>
        <w:t>一是精准预算难度大。虽然我们根据专业结合业务不断细化预算，但在执行过程中或多或少有小的偏差，主要原因还是具体工作在细节上存在无法预见性。</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rPr>
        <w:t>二是少数绩效目标难以量化。我们承担的职能职责和很多工作任务都是公益性的、服务性的，所以在经济效益、生态效益等方面的绩效目标难以量化。</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3"/>
        <w:jc w:val="center"/>
        <w:rPr>
          <w:sz w:val="72"/>
          <w:szCs w:val="72"/>
        </w:rPr>
      </w:pPr>
    </w:p>
    <w:p>
      <w:pPr>
        <w:jc w:val="left"/>
        <w:rPr>
          <w:rFonts w:cs="黑体" w:asciiTheme="minorEastAsia" w:hAnsiTheme="minorEastAsia"/>
          <w:color w:val="000000"/>
          <w:kern w:val="0"/>
          <w:sz w:val="32"/>
          <w:szCs w:val="32"/>
        </w:rPr>
        <w:sectPr>
          <w:pgSz w:w="11906" w:h="16838"/>
          <w:pgMar w:top="720" w:right="720" w:bottom="720" w:left="720" w:header="851" w:footer="992" w:gutter="0"/>
          <w:cols w:space="425" w:num="1"/>
          <w:docGrid w:type="linesAndChars" w:linePitch="312" w:charSpace="0"/>
        </w:sectPr>
      </w:pPr>
    </w:p>
    <w:p>
      <w:pPr>
        <w:spacing w:after="120" w:afterLines="50" w:line="600" w:lineRule="exact"/>
        <w:jc w:val="center"/>
        <w:rPr>
          <w:rFonts w:ascii="Times New Roman" w:hAnsi="Times New Roman" w:eastAsia="仿宋_GB2312"/>
          <w:sz w:val="24"/>
        </w:rPr>
      </w:pPr>
      <w:r>
        <w:rPr>
          <w:rFonts w:ascii="Times New Roman" w:hAnsi="Times New Roman" w:eastAsia="方正小标宋_GBK"/>
          <w:sz w:val="36"/>
          <w:szCs w:val="36"/>
        </w:rPr>
        <w:t>202</w:t>
      </w:r>
      <w:r>
        <w:rPr>
          <w:rFonts w:hint="eastAsia" w:ascii="Times New Roman" w:hAnsi="Times New Roman" w:eastAsia="方正小标宋_GBK"/>
          <w:sz w:val="36"/>
          <w:szCs w:val="36"/>
        </w:rPr>
        <w:t>3</w:t>
      </w:r>
      <w:r>
        <w:rPr>
          <w:rFonts w:ascii="Times New Roman" w:hAnsi="Times New Roman" w:eastAsia="方正小标宋_GBK"/>
          <w:sz w:val="36"/>
          <w:szCs w:val="36"/>
        </w:rPr>
        <w:t>年</w:t>
      </w:r>
      <w:r>
        <w:rPr>
          <w:rFonts w:hint="eastAsia" w:ascii="Times New Roman" w:hAnsi="Times New Roman" w:eastAsia="方正小标宋_GBK"/>
          <w:sz w:val="36"/>
          <w:szCs w:val="36"/>
        </w:rPr>
        <w:t>度</w:t>
      </w:r>
      <w:r>
        <w:rPr>
          <w:rFonts w:ascii="Times New Roman" w:hAnsi="Times New Roman" w:eastAsia="方正小标宋_GBK"/>
          <w:sz w:val="36"/>
          <w:szCs w:val="36"/>
        </w:rPr>
        <w:t>部门整体支出绩效评价基础数据表</w:t>
      </w:r>
    </w:p>
    <w:tbl>
      <w:tblPr>
        <w:tblStyle w:val="9"/>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PrEx>
        <w:trPr>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202</w:t>
            </w:r>
            <w:r>
              <w:rPr>
                <w:rFonts w:hint="eastAsia" w:ascii="Times New Roman" w:hAnsi="Times New Roman" w:eastAsia="仿宋_GB2312"/>
                <w:b/>
                <w:bCs/>
                <w:sz w:val="20"/>
                <w:szCs w:val="20"/>
              </w:rPr>
              <w:t>3</w:t>
            </w:r>
            <w:r>
              <w:rPr>
                <w:rFonts w:ascii="Times New Roman" w:hAnsi="Times New Roman" w:eastAsia="仿宋_GB2312"/>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控制率</w:t>
            </w:r>
          </w:p>
        </w:tc>
      </w:tr>
      <w:tr>
        <w:tblPrEx>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ascii="Times New Roman" w:hAnsi="Times New Roman" w:eastAsia="仿宋_GB2312"/>
                <w:sz w:val="20"/>
                <w:szCs w:val="20"/>
              </w:rPr>
              <w:t>　</w:t>
            </w:r>
            <w:r>
              <w:rPr>
                <w:rFonts w:hint="eastAsia" w:ascii="Times New Roman" w:hAnsi="Times New Roman" w:eastAsia="仿宋_GB2312"/>
                <w:sz w:val="20"/>
                <w:szCs w:val="20"/>
                <w:lang w:val="en-US" w:eastAsia="zh-CN"/>
              </w:rPr>
              <w:t>35</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ascii="Times New Roman" w:hAnsi="Times New Roman" w:eastAsia="仿宋_GB2312"/>
                <w:sz w:val="20"/>
                <w:szCs w:val="20"/>
              </w:rPr>
              <w:t>　</w:t>
            </w:r>
            <w:r>
              <w:rPr>
                <w:rFonts w:hint="eastAsia" w:ascii="Times New Roman" w:hAnsi="Times New Roman" w:eastAsia="仿宋_GB2312"/>
                <w:sz w:val="20"/>
                <w:szCs w:val="20"/>
                <w:lang w:val="en-US" w:eastAsia="zh-CN"/>
              </w:rPr>
              <w:t>35</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202</w:t>
            </w:r>
            <w:r>
              <w:rPr>
                <w:rFonts w:hint="eastAsia" w:ascii="Times New Roman" w:hAnsi="Times New Roman" w:eastAsia="仿宋_GB2312"/>
                <w:b/>
                <w:bCs/>
                <w:sz w:val="20"/>
                <w:szCs w:val="20"/>
              </w:rPr>
              <w:t>2</w:t>
            </w:r>
            <w:r>
              <w:rPr>
                <w:rFonts w:ascii="Times New Roman" w:hAnsi="Times New Roman" w:eastAsia="仿宋_GB2312"/>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202</w:t>
            </w:r>
            <w:r>
              <w:rPr>
                <w:rFonts w:hint="eastAsia" w:ascii="Times New Roman" w:hAnsi="Times New Roman" w:eastAsia="仿宋_GB2312"/>
                <w:b/>
                <w:bCs/>
                <w:sz w:val="20"/>
                <w:szCs w:val="20"/>
              </w:rPr>
              <w:t>3</w:t>
            </w:r>
            <w:r>
              <w:rPr>
                <w:rFonts w:ascii="Times New Roman" w:hAnsi="Times New Roman" w:eastAsia="仿宋_GB2312"/>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202</w:t>
            </w:r>
            <w:r>
              <w:rPr>
                <w:rFonts w:hint="eastAsia" w:ascii="Times New Roman" w:hAnsi="Times New Roman" w:eastAsia="仿宋_GB2312"/>
                <w:b/>
                <w:bCs/>
                <w:sz w:val="20"/>
                <w:szCs w:val="20"/>
              </w:rPr>
              <w:t>3</w:t>
            </w:r>
            <w:r>
              <w:rPr>
                <w:rFonts w:ascii="Times New Roman" w:hAnsi="Times New Roman" w:eastAsia="仿宋_GB2312"/>
                <w:b/>
                <w:bCs/>
                <w:sz w:val="20"/>
                <w:szCs w:val="20"/>
              </w:rPr>
              <w:t>年决算数</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sz w:val="20"/>
                <w:szCs w:val="20"/>
              </w:rPr>
            </w:pPr>
            <w:r>
              <w:rPr>
                <w:rFonts w:ascii="Times New Roman" w:hAnsi="Times New Roman" w:eastAsia="仿宋_GB2312"/>
                <w:sz w:val="20"/>
                <w:szCs w:val="20"/>
              </w:rPr>
              <w:t>三公经费</w:t>
            </w:r>
            <w:r>
              <w:rPr>
                <w:rFonts w:hint="eastAsia" w:ascii="Times New Roman" w:hAnsi="Times New Roman" w:eastAsia="仿宋_GB2312"/>
                <w:sz w:val="20"/>
                <w:szCs w:val="20"/>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ascii="Times New Roman" w:hAnsi="Times New Roman" w:eastAsia="仿宋_GB2312"/>
                <w:sz w:val="20"/>
                <w:szCs w:val="20"/>
              </w:rPr>
              <w:t>　</w:t>
            </w:r>
            <w:r>
              <w:rPr>
                <w:rFonts w:hint="eastAsia" w:ascii="Times New Roman" w:hAnsi="Times New Roman" w:eastAsia="仿宋_GB2312"/>
                <w:sz w:val="20"/>
                <w:szCs w:val="20"/>
                <w:lang w:val="en-US" w:eastAsia="zh-CN"/>
              </w:rPr>
              <w:t>18.84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ascii="Times New Roman" w:hAnsi="Times New Roman" w:eastAsia="仿宋_GB2312"/>
                <w:sz w:val="20"/>
                <w:szCs w:val="20"/>
              </w:rPr>
              <w:t>　</w:t>
            </w:r>
            <w:r>
              <w:rPr>
                <w:rFonts w:hint="eastAsia" w:ascii="Times New Roman" w:hAnsi="Times New Roman" w:eastAsia="仿宋_GB2312"/>
                <w:sz w:val="20"/>
                <w:szCs w:val="20"/>
                <w:lang w:val="en-US" w:eastAsia="zh-CN"/>
              </w:rPr>
              <w:t>46.5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ascii="Times New Roman" w:hAnsi="Times New Roman" w:eastAsia="仿宋_GB2312"/>
                <w:sz w:val="20"/>
                <w:szCs w:val="20"/>
              </w:rPr>
              <w:t>　</w:t>
            </w:r>
            <w:r>
              <w:rPr>
                <w:rFonts w:hint="eastAsia" w:ascii="Times New Roman" w:hAnsi="Times New Roman" w:eastAsia="仿宋_GB2312"/>
                <w:sz w:val="20"/>
                <w:szCs w:val="20"/>
                <w:lang w:val="en-US" w:eastAsia="zh-CN"/>
              </w:rPr>
              <w:t>43.33</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17.99</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43</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ascii="Times New Roman" w:hAnsi="Times New Roman" w:eastAsia="仿宋_GB2312"/>
                <w:sz w:val="20"/>
                <w:szCs w:val="20"/>
              </w:rPr>
              <w:t>　</w:t>
            </w:r>
            <w:r>
              <w:rPr>
                <w:rFonts w:hint="eastAsia" w:ascii="Times New Roman" w:hAnsi="Times New Roman" w:eastAsia="仿宋_GB2312"/>
                <w:sz w:val="20"/>
                <w:szCs w:val="20"/>
                <w:lang w:val="en-US" w:eastAsia="zh-CN"/>
              </w:rPr>
              <w:t>72.95</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25</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ascii="Times New Roman" w:hAnsi="Times New Roman" w:eastAsia="仿宋_GB2312"/>
                <w:sz w:val="20"/>
                <w:szCs w:val="20"/>
              </w:rPr>
              <w:t>　</w:t>
            </w:r>
            <w:r>
              <w:rPr>
                <w:rFonts w:hint="eastAsia" w:ascii="Times New Roman" w:hAnsi="Times New Roman" w:eastAsia="仿宋_GB2312"/>
                <w:sz w:val="20"/>
                <w:szCs w:val="20"/>
                <w:lang w:val="en-US" w:eastAsia="zh-CN"/>
              </w:rPr>
              <w:t>24.95</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17.99</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18</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ascii="Times New Roman" w:hAnsi="Times New Roman" w:eastAsia="仿宋_GB2312"/>
                <w:sz w:val="20"/>
                <w:szCs w:val="20"/>
              </w:rPr>
              <w:t>　</w:t>
            </w:r>
            <w:r>
              <w:rPr>
                <w:rFonts w:hint="eastAsia" w:ascii="Times New Roman" w:hAnsi="Times New Roman" w:eastAsia="仿宋_GB2312"/>
                <w:sz w:val="20"/>
                <w:szCs w:val="20"/>
                <w:lang w:val="en-US" w:eastAsia="zh-CN"/>
              </w:rPr>
              <w:t>18</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0.85</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3.5</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0.38</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1019.82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964.28</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1639.21</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both"/>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3、其他事业发展类</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309.82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164.28</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857.01</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ascii="Times New Roman" w:hAnsi="Times New Roman" w:eastAsia="仿宋_GB2312"/>
                <w:sz w:val="20"/>
                <w:szCs w:val="20"/>
              </w:rPr>
            </w:pPr>
            <w:r>
              <w:rPr>
                <w:rFonts w:hint="eastAsia" w:ascii="Times New Roman" w:hAnsi="Times New Roman" w:eastAsia="仿宋_GB2312"/>
                <w:sz w:val="20"/>
                <w:szCs w:val="20"/>
                <w:lang w:val="en-US" w:eastAsia="zh-CN"/>
              </w:rPr>
              <w:t>4</w:t>
            </w:r>
            <w:r>
              <w:rPr>
                <w:rFonts w:ascii="Times New Roman" w:hAnsi="Times New Roman" w:eastAsia="仿宋_GB2312"/>
                <w:sz w:val="20"/>
                <w:szCs w:val="20"/>
              </w:rPr>
              <w:t>、省级专项资金（</w:t>
            </w:r>
            <w:r>
              <w:rPr>
                <w:rFonts w:hint="eastAsia" w:ascii="Times New Roman" w:hAnsi="Times New Roman" w:eastAsia="仿宋_GB2312"/>
                <w:sz w:val="20"/>
                <w:szCs w:val="20"/>
              </w:rPr>
              <w:t>每</w:t>
            </w:r>
            <w:r>
              <w:rPr>
                <w:rFonts w:ascii="Times New Roman" w:hAnsi="Times New Roman" w:eastAsia="仿宋_GB2312"/>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710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800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782.2</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both"/>
              <w:rPr>
                <w:rFonts w:hint="eastAsia"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现代农业发展专项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710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800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782.2</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77.68</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ascii="Times New Roman" w:hAnsi="Times New Roman" w:eastAsia="仿宋_GB2312"/>
                <w:sz w:val="20"/>
                <w:szCs w:val="20"/>
              </w:rPr>
              <w:t>　</w:t>
            </w:r>
            <w:r>
              <w:rPr>
                <w:rFonts w:hint="eastAsia" w:ascii="Times New Roman" w:hAnsi="Times New Roman" w:eastAsia="仿宋_GB2312"/>
                <w:sz w:val="20"/>
                <w:szCs w:val="20"/>
                <w:lang w:val="en-US" w:eastAsia="zh-CN"/>
              </w:rPr>
              <w:t>77.27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ascii="Times New Roman" w:hAnsi="Times New Roman" w:eastAsia="仿宋_GB2312"/>
                <w:sz w:val="20"/>
                <w:szCs w:val="20"/>
              </w:rPr>
              <w:t>　</w:t>
            </w:r>
            <w:r>
              <w:rPr>
                <w:rFonts w:hint="eastAsia" w:ascii="Times New Roman" w:hAnsi="Times New Roman" w:eastAsia="仿宋_GB2312"/>
                <w:sz w:val="20"/>
                <w:szCs w:val="20"/>
                <w:lang w:val="en-US" w:eastAsia="zh-CN"/>
              </w:rPr>
              <w:t>69.47</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both"/>
              <w:rPr>
                <w:rFonts w:hint="eastAsia" w:ascii="Times New Roman" w:hAnsi="Times New Roman" w:eastAsia="仿宋_GB2312"/>
                <w:color w:val="FF0000"/>
                <w:sz w:val="20"/>
                <w:szCs w:val="20"/>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color w:val="FF0000"/>
                <w:sz w:val="20"/>
                <w:szCs w:val="20"/>
              </w:rPr>
            </w:pPr>
            <w:r>
              <w:rPr>
                <w:rFonts w:ascii="Times New Roman" w:hAnsi="Times New Roman" w:eastAsia="仿宋_GB2312"/>
                <w:color w:val="FF0000"/>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color w:val="FF0000"/>
                <w:sz w:val="20"/>
                <w:szCs w:val="20"/>
              </w:rPr>
            </w:pPr>
            <w:r>
              <w:rPr>
                <w:rFonts w:ascii="Times New Roman" w:hAnsi="Times New Roman" w:eastAsia="仿宋_GB2312"/>
                <w:color w:val="FF0000"/>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color w:val="FF0000"/>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color w:val="FF0000"/>
                <w:sz w:val="20"/>
                <w:szCs w:val="20"/>
              </w:rPr>
            </w:pPr>
            <w:r>
              <w:rPr>
                <w:rFonts w:ascii="Times New Roman" w:hAnsi="Times New Roman" w:eastAsia="仿宋_GB2312"/>
                <w:color w:val="FF0000"/>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color w:val="FF0000"/>
                <w:sz w:val="20"/>
                <w:szCs w:val="20"/>
              </w:rPr>
            </w:pPr>
            <w:r>
              <w:rPr>
                <w:rFonts w:ascii="Times New Roman" w:hAnsi="Times New Roman" w:eastAsia="仿宋_GB2312"/>
                <w:color w:val="FF0000"/>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olor w:val="FF0000"/>
                <w:sz w:val="20"/>
                <w:szCs w:val="20"/>
                <w:lang w:val="en-US" w:eastAsia="zh-CN"/>
              </w:rPr>
            </w:pPr>
            <w:r>
              <w:rPr>
                <w:rFonts w:ascii="Times New Roman" w:hAnsi="Times New Roman" w:eastAsia="仿宋_GB2312"/>
                <w:color w:val="FF0000"/>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color w:val="FF0000"/>
                <w:sz w:val="20"/>
                <w:szCs w:val="20"/>
              </w:rPr>
            </w:pPr>
            <w:r>
              <w:rPr>
                <w:rFonts w:ascii="Times New Roman" w:hAnsi="Times New Roman" w:eastAsia="仿宋_GB2312"/>
                <w:color w:val="FF0000"/>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color w:val="FF0000"/>
                <w:sz w:val="20"/>
                <w:szCs w:val="20"/>
              </w:rPr>
            </w:pPr>
            <w:r>
              <w:rPr>
                <w:rFonts w:ascii="Times New Roman" w:hAnsi="Times New Roman" w:eastAsia="仿宋_GB2312"/>
                <w:color w:val="FF0000"/>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717.81</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lang w:val="en-US" w:eastAsia="zh-CN"/>
              </w:rPr>
              <w:t>717.81</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楼堂馆所控制情况</w:t>
            </w:r>
            <w:r>
              <w:rPr>
                <w:rFonts w:ascii="Times New Roman" w:hAnsi="Times New Roman" w:eastAsia="仿宋_GB2312"/>
                <w:sz w:val="20"/>
                <w:szCs w:val="20"/>
              </w:rPr>
              <w:br w:type="textWrapping"/>
            </w:r>
            <w:r>
              <w:rPr>
                <w:rFonts w:ascii="Times New Roman" w:hAnsi="Times New Roman" w:eastAsia="仿宋_GB2312"/>
                <w:sz w:val="20"/>
                <w:szCs w:val="20"/>
              </w:rPr>
              <w:t>（202</w:t>
            </w:r>
            <w:r>
              <w:rPr>
                <w:rFonts w:hint="eastAsia" w:ascii="Times New Roman" w:hAnsi="Times New Roman" w:eastAsia="仿宋_GB2312"/>
                <w:sz w:val="20"/>
                <w:szCs w:val="20"/>
              </w:rPr>
              <w:t>3</w:t>
            </w:r>
            <w:r>
              <w:rPr>
                <w:rFonts w:ascii="Times New Roman" w:hAnsi="Times New Roman" w:eastAsia="仿宋_GB2312"/>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批复规模</w:t>
            </w:r>
            <w:r>
              <w:rPr>
                <w:rFonts w:ascii="Times New Roman" w:hAnsi="Times New Roman" w:eastAsia="仿宋_GB2312"/>
                <w:bCs/>
                <w:sz w:val="20"/>
                <w:szCs w:val="20"/>
              </w:rPr>
              <w:br w:type="textWrapping"/>
            </w:r>
            <w:r>
              <w:rPr>
                <w:rFonts w:ascii="Times New Roman" w:hAnsi="Times New Roman" w:eastAsia="仿宋_GB2312"/>
                <w:bCs/>
                <w:sz w:val="20"/>
                <w:szCs w:val="20"/>
              </w:rPr>
              <w:t>（</w:t>
            </w:r>
            <w:r>
              <w:rPr>
                <w:rFonts w:ascii="Times New Roman" w:hAnsi="Times New Roman"/>
                <w:bCs/>
                <w:sz w:val="20"/>
                <w:szCs w:val="20"/>
              </w:rPr>
              <w:t>㎡</w:t>
            </w:r>
            <w:r>
              <w:rPr>
                <w:rFonts w:ascii="Times New Roman" w:hAnsi="Times New Roman" w:eastAsia="仿宋_GB2312"/>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实际规模（</w:t>
            </w:r>
            <w:r>
              <w:rPr>
                <w:rFonts w:ascii="Times New Roman" w:hAnsi="Times New Roman"/>
                <w:bCs/>
                <w:sz w:val="20"/>
                <w:szCs w:val="20"/>
              </w:rPr>
              <w:t>㎡</w:t>
            </w:r>
            <w:r>
              <w:rPr>
                <w:rFonts w:ascii="Times New Roman" w:hAnsi="Times New Roman" w:eastAsia="仿宋_GB2312"/>
                <w:bCs/>
                <w:sz w:val="20"/>
                <w:szCs w:val="20"/>
              </w:rPr>
              <w:t>）</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投资概算控制率</w:t>
            </w:r>
          </w:p>
        </w:tc>
      </w:tr>
      <w:tr>
        <w:tblPrEx>
          <w:tblLayout w:type="fixed"/>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r>
    </w:tbl>
    <w:p>
      <w:pPr>
        <w:widowControl/>
        <w:spacing w:line="400" w:lineRule="exact"/>
        <w:jc w:val="left"/>
        <w:rPr>
          <w:rFonts w:ascii="Times New Roman" w:hAnsi="Times New Roman" w:eastAsia="仿宋_GB2312"/>
          <w:sz w:val="22"/>
        </w:rPr>
      </w:pPr>
      <w:r>
        <w:rPr>
          <w:rFonts w:ascii="Times New Roman" w:hAnsi="Times New Roman" w:eastAsia="仿宋_GB2312"/>
          <w:sz w:val="22"/>
        </w:rPr>
        <w:t>说明：“项目支出”需要填报基本支出以外的所有项目支出情况，“公用经费”填报基本支出中的一般商品和服务支出。</w:t>
      </w:r>
    </w:p>
    <w:p>
      <w:pPr>
        <w:pStyle w:val="2"/>
        <w:rPr>
          <w:rFonts w:ascii="Times New Roman" w:hAnsi="Times New Roman" w:eastAsia="仿宋_GB2312"/>
          <w:sz w:val="22"/>
        </w:rPr>
      </w:pPr>
    </w:p>
    <w:p>
      <w:pPr>
        <w:pStyle w:val="3"/>
        <w:rPr>
          <w:rFonts w:ascii="Times New Roman" w:hAnsi="Times New Roman" w:eastAsia="仿宋_GB2312"/>
          <w:sz w:val="22"/>
        </w:rPr>
      </w:pPr>
    </w:p>
    <w:p>
      <w:pPr>
        <w:pStyle w:val="5"/>
        <w:rPr>
          <w:rFonts w:ascii="Times New Roman" w:hAnsi="Times New Roman" w:eastAsia="仿宋_GB2312"/>
          <w:sz w:val="22"/>
        </w:rPr>
      </w:pPr>
    </w:p>
    <w:p>
      <w:pPr>
        <w:rPr>
          <w:rFonts w:ascii="Times New Roman" w:hAnsi="Times New Roman" w:eastAsia="仿宋_GB2312"/>
          <w:sz w:val="22"/>
        </w:rPr>
      </w:pPr>
    </w:p>
    <w:p>
      <w:pPr>
        <w:pStyle w:val="2"/>
        <w:rPr>
          <w:rFonts w:ascii="Times New Roman" w:hAnsi="Times New Roman" w:eastAsia="仿宋_GB2312"/>
          <w:sz w:val="22"/>
        </w:rPr>
      </w:pPr>
    </w:p>
    <w:p>
      <w:pPr>
        <w:pStyle w:val="3"/>
        <w:rPr>
          <w:rFonts w:ascii="Times New Roman" w:hAnsi="Times New Roman" w:eastAsia="仿宋_GB2312"/>
          <w:sz w:val="22"/>
        </w:rPr>
      </w:pPr>
    </w:p>
    <w:p>
      <w:pPr>
        <w:pStyle w:val="5"/>
        <w:rPr>
          <w:rFonts w:ascii="Times New Roman" w:hAnsi="Times New Roman" w:eastAsia="仿宋_GB2312"/>
          <w:sz w:val="22"/>
        </w:rPr>
      </w:pPr>
    </w:p>
    <w:p>
      <w:pPr>
        <w:rPr>
          <w:rFonts w:ascii="Times New Roman" w:hAnsi="Times New Roman" w:eastAsia="仿宋_GB2312"/>
          <w:sz w:val="22"/>
        </w:rPr>
      </w:pPr>
    </w:p>
    <w:p>
      <w:pPr>
        <w:pStyle w:val="2"/>
        <w:rPr>
          <w:rFonts w:ascii="Times New Roman" w:hAnsi="Times New Roman" w:eastAsia="仿宋_GB2312"/>
          <w:sz w:val="22"/>
        </w:rPr>
      </w:pPr>
    </w:p>
    <w:p>
      <w:pPr>
        <w:pStyle w:val="3"/>
        <w:rPr>
          <w:rFonts w:ascii="Times New Roman" w:hAnsi="Times New Roman" w:eastAsia="仿宋_GB2312"/>
          <w:sz w:val="22"/>
        </w:rPr>
      </w:pPr>
    </w:p>
    <w:p>
      <w:pPr>
        <w:pStyle w:val="5"/>
        <w:rPr>
          <w:rFonts w:ascii="Times New Roman" w:hAnsi="Times New Roman" w:eastAsia="仿宋_GB2312"/>
          <w:sz w:val="22"/>
        </w:rPr>
      </w:pPr>
    </w:p>
    <w:p/>
    <w:p>
      <w:pPr>
        <w:widowControl/>
        <w:spacing w:after="120" w:afterLines="50"/>
        <w:jc w:val="center"/>
        <w:rPr>
          <w:rFonts w:ascii="Times New Roman" w:hAnsi="Times New Roman" w:eastAsia="方正小标宋_GBK"/>
          <w:color w:val="000000"/>
          <w:sz w:val="36"/>
          <w:szCs w:val="36"/>
        </w:rPr>
      </w:pPr>
      <w:r>
        <w:rPr>
          <w:rFonts w:ascii="Times New Roman" w:hAnsi="Times New Roman" w:eastAsia="方正小标宋_GBK"/>
          <w:color w:val="000000"/>
          <w:sz w:val="36"/>
          <w:szCs w:val="36"/>
        </w:rPr>
        <w:t>202</w:t>
      </w:r>
      <w:r>
        <w:rPr>
          <w:rFonts w:hint="eastAsia" w:ascii="Times New Roman" w:hAnsi="Times New Roman" w:eastAsia="方正小标宋_GBK"/>
          <w:color w:val="000000"/>
          <w:sz w:val="36"/>
          <w:szCs w:val="36"/>
        </w:rPr>
        <w:t>3</w:t>
      </w:r>
      <w:r>
        <w:rPr>
          <w:rFonts w:ascii="Times New Roman" w:hAnsi="Times New Roman" w:eastAsia="方正小标宋_GBK"/>
          <w:color w:val="000000"/>
          <w:sz w:val="36"/>
          <w:szCs w:val="36"/>
        </w:rPr>
        <w:t>年</w:t>
      </w:r>
      <w:r>
        <w:rPr>
          <w:rFonts w:hint="eastAsia" w:ascii="Times New Roman" w:hAnsi="Times New Roman" w:eastAsia="方正小标宋_GBK"/>
          <w:color w:val="000000"/>
          <w:sz w:val="36"/>
          <w:szCs w:val="36"/>
        </w:rPr>
        <w:t>度</w:t>
      </w:r>
      <w:r>
        <w:rPr>
          <w:rFonts w:ascii="Times New Roman" w:hAnsi="Times New Roman" w:eastAsia="方正小标宋_GBK"/>
          <w:color w:val="000000"/>
          <w:sz w:val="36"/>
          <w:szCs w:val="36"/>
        </w:rPr>
        <w:t>部门整体支出绩效自评表</w:t>
      </w:r>
    </w:p>
    <w:tbl>
      <w:tblPr>
        <w:tblStyle w:val="9"/>
        <w:tblW w:w="10731" w:type="dxa"/>
        <w:jc w:val="center"/>
        <w:tblInd w:w="0" w:type="dxa"/>
        <w:tblLayout w:type="fixed"/>
        <w:tblCellMar>
          <w:top w:w="0" w:type="dxa"/>
          <w:left w:w="108" w:type="dxa"/>
          <w:bottom w:w="0" w:type="dxa"/>
          <w:right w:w="108" w:type="dxa"/>
        </w:tblCellMar>
      </w:tblPr>
      <w:tblGrid>
        <w:gridCol w:w="1080"/>
        <w:gridCol w:w="1080"/>
        <w:gridCol w:w="1034"/>
        <w:gridCol w:w="1270"/>
        <w:gridCol w:w="1311"/>
        <w:gridCol w:w="1403"/>
        <w:gridCol w:w="1012"/>
        <w:gridCol w:w="1095"/>
        <w:gridCol w:w="1446"/>
      </w:tblGrid>
      <w:tr>
        <w:tblPrEx>
          <w:tblLayout w:type="fixed"/>
          <w:tblCellMar>
            <w:top w:w="0" w:type="dxa"/>
            <w:left w:w="108" w:type="dxa"/>
            <w:bottom w:w="0" w:type="dxa"/>
            <w:right w:w="108" w:type="dxa"/>
          </w:tblCellMar>
        </w:tblPrEx>
        <w:trPr>
          <w:jc w:val="center"/>
        </w:trPr>
        <w:tc>
          <w:tcPr>
            <w:tcW w:w="319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省级预算部门</w:t>
            </w:r>
            <w:r>
              <w:rPr>
                <w:rFonts w:hint="eastAsia" w:ascii="Times New Roman" w:hAnsi="Times New Roman" w:eastAsia="仿宋_GB2312"/>
                <w:color w:val="000000"/>
                <w:sz w:val="20"/>
                <w:szCs w:val="20"/>
                <w:highlight w:val="none"/>
              </w:rPr>
              <w:t>、单位</w:t>
            </w:r>
            <w:r>
              <w:rPr>
                <w:rFonts w:ascii="Times New Roman" w:hAnsi="Times New Roman" w:eastAsia="仿宋_GB2312"/>
                <w:color w:val="000000"/>
                <w:sz w:val="20"/>
                <w:szCs w:val="20"/>
                <w:highlight w:val="none"/>
              </w:rPr>
              <w:t>名称</w:t>
            </w:r>
          </w:p>
        </w:tc>
        <w:tc>
          <w:tcPr>
            <w:tcW w:w="7537"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lang w:eastAsia="zh-CN"/>
              </w:rPr>
              <w:t>湖南省农药检定所</w:t>
            </w: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年度预</w:t>
            </w:r>
          </w:p>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算申请</w:t>
            </w:r>
            <w:r>
              <w:rPr>
                <w:rFonts w:ascii="Times New Roman" w:hAnsi="Times New Roman" w:eastAsia="仿宋_GB2312"/>
                <w:color w:val="000000"/>
                <w:sz w:val="20"/>
                <w:szCs w:val="20"/>
                <w:highlight w:val="none"/>
              </w:rPr>
              <w:br w:type="textWrapping"/>
            </w:r>
            <w:r>
              <w:rPr>
                <w:rFonts w:ascii="Times New Roman" w:hAnsi="Times New Roman" w:eastAsia="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sz w:val="20"/>
                <w:szCs w:val="20"/>
                <w:highlight w:val="none"/>
              </w:rPr>
            </w:pPr>
            <w:r>
              <w:rPr>
                <w:rFonts w:ascii="Times New Roman" w:hAnsi="Times New Roman" w:eastAsia="仿宋_GB2312"/>
                <w:sz w:val="20"/>
                <w:szCs w:val="20"/>
                <w:highlight w:val="none"/>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sz w:val="20"/>
                <w:szCs w:val="20"/>
                <w:highlight w:val="none"/>
              </w:rPr>
            </w:pPr>
            <w:r>
              <w:rPr>
                <w:rFonts w:ascii="Times New Roman" w:hAnsi="Times New Roman" w:eastAsia="仿宋_GB2312"/>
                <w:sz w:val="20"/>
                <w:szCs w:val="20"/>
                <w:highlight w:val="none"/>
              </w:rPr>
              <w:t>全年预算数</w:t>
            </w:r>
          </w:p>
        </w:tc>
        <w:tc>
          <w:tcPr>
            <w:tcW w:w="1403" w:type="dxa"/>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sz w:val="20"/>
                <w:szCs w:val="20"/>
                <w:highlight w:val="none"/>
              </w:rPr>
            </w:pPr>
            <w:r>
              <w:rPr>
                <w:rFonts w:ascii="Times New Roman" w:hAnsi="Times New Roman" w:eastAsia="仿宋_GB2312"/>
                <w:sz w:val="20"/>
                <w:szCs w:val="20"/>
                <w:highlight w:val="none"/>
              </w:rPr>
              <w:t>全年执行数</w:t>
            </w:r>
          </w:p>
        </w:tc>
        <w:tc>
          <w:tcPr>
            <w:tcW w:w="1012" w:type="dxa"/>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sz w:val="20"/>
                <w:szCs w:val="20"/>
                <w:highlight w:val="none"/>
              </w:rPr>
            </w:pPr>
            <w:r>
              <w:rPr>
                <w:rFonts w:ascii="Times New Roman" w:hAnsi="Times New Roman" w:eastAsia="仿宋_GB2312"/>
                <w:sz w:val="20"/>
                <w:szCs w:val="20"/>
                <w:highlight w:val="none"/>
              </w:rPr>
              <w:t>分值</w:t>
            </w:r>
          </w:p>
        </w:tc>
        <w:tc>
          <w:tcPr>
            <w:tcW w:w="1095" w:type="dxa"/>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sz w:val="20"/>
                <w:szCs w:val="20"/>
                <w:highlight w:val="none"/>
              </w:rPr>
            </w:pPr>
            <w:r>
              <w:rPr>
                <w:rFonts w:ascii="Times New Roman" w:hAnsi="Times New Roman" w:eastAsia="仿宋_GB2312"/>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sz w:val="20"/>
                <w:szCs w:val="20"/>
                <w:highlight w:val="none"/>
              </w:rPr>
            </w:pPr>
            <w:r>
              <w:rPr>
                <w:rFonts w:hint="eastAsia" w:ascii="Times New Roman" w:hAnsi="Times New Roman" w:eastAsia="仿宋_GB2312"/>
                <w:sz w:val="20"/>
                <w:szCs w:val="20"/>
                <w:highlight w:val="none"/>
              </w:rPr>
              <w:t>自评</w:t>
            </w:r>
            <w:r>
              <w:rPr>
                <w:rFonts w:ascii="Times New Roman" w:hAnsi="Times New Roman" w:eastAsia="仿宋_GB2312"/>
                <w:sz w:val="20"/>
                <w:szCs w:val="20"/>
                <w:highlight w:val="none"/>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sz w:val="20"/>
                <w:szCs w:val="20"/>
                <w:highlight w:val="none"/>
              </w:rPr>
            </w:pPr>
            <w:r>
              <w:rPr>
                <w:rFonts w:ascii="Times New Roman" w:hAnsi="Times New Roman" w:eastAsia="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lang w:val="en-US" w:eastAsia="zh-CN"/>
              </w:rPr>
              <w:t>1840.13</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lang w:val="en-US" w:eastAsia="zh-CN"/>
              </w:rPr>
              <w:t>3126.65</w:t>
            </w:r>
          </w:p>
        </w:tc>
        <w:tc>
          <w:tcPr>
            <w:tcW w:w="140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lang w:val="en-US" w:eastAsia="zh-CN"/>
              </w:rPr>
              <w:t>2553.74</w:t>
            </w:r>
          </w:p>
        </w:tc>
        <w:tc>
          <w:tcPr>
            <w:tcW w:w="1012" w:type="dxa"/>
            <w:tcBorders>
              <w:top w:val="nil"/>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sz w:val="20"/>
                <w:szCs w:val="20"/>
                <w:highlight w:val="none"/>
              </w:rPr>
            </w:pPr>
            <w:r>
              <w:rPr>
                <w:rFonts w:ascii="Times New Roman" w:hAnsi="Times New Roman" w:eastAsia="仿宋_GB2312"/>
                <w:b/>
                <w:bCs/>
                <w:sz w:val="20"/>
                <w:szCs w:val="20"/>
                <w:highlight w:val="none"/>
              </w:rPr>
              <w:t>10</w:t>
            </w:r>
          </w:p>
        </w:tc>
        <w:tc>
          <w:tcPr>
            <w:tcW w:w="109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lang w:val="en-US" w:eastAsia="zh-CN"/>
              </w:rPr>
              <w:t>81.68</w:t>
            </w:r>
            <w:bookmarkStart w:id="2" w:name="_GoBack"/>
            <w:bookmarkEnd w:id="2"/>
            <w:r>
              <w:rPr>
                <w:rFonts w:hint="eastAsia" w:ascii="Times New Roman" w:hAnsi="Times New Roman" w:eastAsia="仿宋_GB2312"/>
                <w:sz w:val="20"/>
                <w:szCs w:val="20"/>
                <w:highlight w:val="none"/>
                <w:lang w:val="en-US" w:eastAsia="zh-CN"/>
              </w:rPr>
              <w:t>%</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sz w:val="20"/>
                <w:szCs w:val="20"/>
                <w:highlight w:val="none"/>
                <w:lang w:val="en-US" w:eastAsia="zh-CN"/>
              </w:rPr>
            </w:pPr>
            <w:r>
              <w:rPr>
                <w:rFonts w:hint="eastAsia" w:ascii="Times New Roman" w:hAnsi="Times New Roman" w:eastAsia="仿宋_GB2312"/>
                <w:sz w:val="20"/>
                <w:szCs w:val="20"/>
                <w:highlight w:val="none"/>
                <w:lang w:val="en-US" w:eastAsia="zh-CN"/>
              </w:rPr>
              <w:t>8.17</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按收入性质分：</w:t>
            </w:r>
          </w:p>
        </w:tc>
        <w:tc>
          <w:tcPr>
            <w:tcW w:w="4956"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ascii="Times New Roman" w:hAnsi="Times New Roman" w:eastAsia="仿宋_GB2312"/>
                <w:color w:val="000000"/>
                <w:sz w:val="20"/>
                <w:szCs w:val="20"/>
                <w:highlight w:val="none"/>
              </w:rPr>
              <w:t xml:space="preserve">  其中：  一般公共预算：</w:t>
            </w:r>
            <w:r>
              <w:rPr>
                <w:rFonts w:hint="eastAsia" w:ascii="Times New Roman" w:hAnsi="Times New Roman" w:eastAsia="仿宋_GB2312"/>
                <w:color w:val="000000"/>
                <w:sz w:val="20"/>
                <w:szCs w:val="20"/>
                <w:highlight w:val="none"/>
                <w:lang w:val="en-US" w:eastAsia="zh-CN"/>
              </w:rPr>
              <w:t>2351.13</w:t>
            </w:r>
          </w:p>
        </w:tc>
        <w:tc>
          <w:tcPr>
            <w:tcW w:w="4956"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其中：基本支出：</w:t>
            </w:r>
            <w:r>
              <w:rPr>
                <w:rFonts w:hint="eastAsia" w:ascii="Times New Roman" w:hAnsi="Times New Roman" w:eastAsia="仿宋_GB2312"/>
                <w:color w:val="000000"/>
                <w:sz w:val="20"/>
                <w:szCs w:val="20"/>
                <w:highlight w:val="none"/>
              </w:rPr>
              <w:t>914.53</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政府性基金拨款：</w:t>
            </w:r>
          </w:p>
        </w:tc>
        <w:tc>
          <w:tcPr>
            <w:tcW w:w="4956"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项目支出：</w:t>
            </w:r>
            <w:r>
              <w:rPr>
                <w:rFonts w:hint="eastAsia" w:ascii="Times New Roman" w:hAnsi="Times New Roman" w:eastAsia="仿宋_GB2312"/>
                <w:color w:val="000000"/>
                <w:sz w:val="20"/>
                <w:szCs w:val="20"/>
                <w:highlight w:val="none"/>
              </w:rPr>
              <w:t>1639.21</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纳入专户管理的非税收入拨款：</w:t>
            </w:r>
          </w:p>
        </w:tc>
        <w:tc>
          <w:tcPr>
            <w:tcW w:w="4956"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其他资金：</w:t>
            </w:r>
            <w:r>
              <w:rPr>
                <w:rFonts w:hint="eastAsia" w:ascii="Times New Roman" w:hAnsi="Times New Roman" w:eastAsia="仿宋_GB2312"/>
                <w:color w:val="000000"/>
                <w:sz w:val="20"/>
                <w:szCs w:val="20"/>
                <w:highlight w:val="none"/>
              </w:rPr>
              <w:t>1.43</w:t>
            </w:r>
          </w:p>
        </w:tc>
        <w:tc>
          <w:tcPr>
            <w:tcW w:w="4956"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预期目标</w:t>
            </w:r>
          </w:p>
        </w:tc>
        <w:tc>
          <w:tcPr>
            <w:tcW w:w="4956"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实际完成情况　</w:t>
            </w:r>
          </w:p>
        </w:tc>
      </w:tr>
      <w:tr>
        <w:tblPrEx>
          <w:tblLayout w:type="fixed"/>
          <w:tblCellMar>
            <w:top w:w="0" w:type="dxa"/>
            <w:left w:w="108" w:type="dxa"/>
            <w:bottom w:w="0" w:type="dxa"/>
            <w:right w:w="108" w:type="dxa"/>
          </w:tblCellMar>
        </w:tblPrEx>
        <w:trPr>
          <w:trHeight w:val="57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rPr>
                <w:rFonts w:hint="eastAsia"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一、严格落实农药行政审批事项。严格行政许可审批，</w:t>
            </w:r>
            <w:r>
              <w:rPr>
                <w:rFonts w:hint="eastAsia" w:ascii="Times New Roman" w:hAnsi="Times New Roman" w:eastAsia="仿宋_GB2312"/>
                <w:color w:val="000000"/>
                <w:sz w:val="20"/>
                <w:szCs w:val="20"/>
                <w:highlight w:val="none"/>
              </w:rPr>
              <w:t>在规定时限内完成全部提交资料的审批。</w:t>
            </w:r>
          </w:p>
          <w:p>
            <w:pPr>
              <w:widowControl/>
              <w:spacing w:line="240" w:lineRule="exact"/>
              <w:rPr>
                <w:rFonts w:hint="eastAsia"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二、强化农药日常监管。开展农药产品监督抽查及质量监测</w:t>
            </w:r>
            <w:r>
              <w:rPr>
                <w:rFonts w:hint="eastAsia" w:ascii="Times New Roman" w:hAnsi="Times New Roman" w:eastAsia="仿宋_GB2312"/>
                <w:color w:val="000000"/>
                <w:sz w:val="20"/>
                <w:szCs w:val="20"/>
                <w:highlight w:val="none"/>
              </w:rPr>
              <w:t>，抽检农药产品1300批次以上；开展农药行业监督检查，指导农药行业安全生产。</w:t>
            </w:r>
          </w:p>
          <w:p>
            <w:pPr>
              <w:widowControl/>
              <w:spacing w:line="240" w:lineRule="exact"/>
              <w:ind w:firstLine="200" w:firstLineChars="100"/>
              <w:rPr>
                <w:rFonts w:hint="eastAsia"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三、完成全省农产品质量安全监测任务，完成例行监测、专项监测、风险评估任务，监测蔬菜、水果、茶叶、稻谷样品10500批次以上，确保监测结果准确可靠。</w:t>
            </w:r>
          </w:p>
          <w:p>
            <w:pPr>
              <w:widowControl/>
              <w:spacing w:line="240" w:lineRule="exact"/>
              <w:ind w:firstLine="200" w:firstLineChars="100"/>
              <w:rPr>
                <w:rFonts w:hint="eastAsia"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四、对全省通过双认证的农产品检测机构开展农药残留和重金属检测技术能力验证，促进检测机构能力提升。</w:t>
            </w:r>
          </w:p>
          <w:p>
            <w:pPr>
              <w:widowControl/>
              <w:spacing w:line="240" w:lineRule="exact"/>
              <w:ind w:firstLine="200" w:firstLineChars="100"/>
              <w:rPr>
                <w:rFonts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五、开展检测技术培训，对市、县农产品检测机构开展技术培训，培训人数120人次以上。</w:t>
            </w:r>
          </w:p>
        </w:tc>
        <w:tc>
          <w:tcPr>
            <w:tcW w:w="4956"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一、严格行政许可审批，</w:t>
            </w:r>
            <w:r>
              <w:rPr>
                <w:rFonts w:hint="eastAsia" w:ascii="Times New Roman" w:hAnsi="Times New Roman" w:eastAsia="仿宋_GB2312"/>
                <w:color w:val="000000"/>
                <w:sz w:val="20"/>
                <w:szCs w:val="20"/>
                <w:highlight w:val="none"/>
              </w:rPr>
              <w:t>全年按要求完成78份农药登记资料的初审，办理农药生产许可证17个，办理限用农药经营许可证377个。</w:t>
            </w:r>
          </w:p>
          <w:p>
            <w:pPr>
              <w:widowControl/>
              <w:spacing w:line="240" w:lineRule="exact"/>
              <w:rPr>
                <w:rFonts w:hint="eastAsia"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二、强化农药日常监管。在全省</w:t>
            </w:r>
            <w:r>
              <w:rPr>
                <w:rFonts w:hint="eastAsia" w:ascii="Times New Roman" w:hAnsi="Times New Roman" w:eastAsia="仿宋_GB2312"/>
                <w:color w:val="000000"/>
                <w:sz w:val="20"/>
                <w:szCs w:val="20"/>
                <w:highlight w:val="none"/>
              </w:rPr>
              <w:t>14个市州</w:t>
            </w:r>
            <w:r>
              <w:rPr>
                <w:rFonts w:ascii="Times New Roman" w:hAnsi="Times New Roman" w:eastAsia="仿宋_GB2312"/>
                <w:color w:val="000000"/>
                <w:sz w:val="20"/>
                <w:szCs w:val="20"/>
                <w:highlight w:val="none"/>
              </w:rPr>
              <w:t>开展农药产品监督抽查及质量监测</w:t>
            </w:r>
            <w:r>
              <w:rPr>
                <w:rFonts w:hint="eastAsia" w:ascii="Times New Roman" w:hAnsi="Times New Roman" w:eastAsia="仿宋_GB2312"/>
                <w:color w:val="000000"/>
                <w:sz w:val="20"/>
                <w:szCs w:val="20"/>
                <w:highlight w:val="none"/>
              </w:rPr>
              <w:t>，抽检农药产品1404批次，对8家农药生产企业和90家农药经营单位开展了监督检查，举办农药行业安全生产培训和消防演练各1次。</w:t>
            </w:r>
          </w:p>
          <w:p>
            <w:pPr>
              <w:widowControl/>
              <w:spacing w:line="240" w:lineRule="exact"/>
              <w:ind w:firstLine="200" w:firstLineChars="100"/>
              <w:rPr>
                <w:rFonts w:hint="eastAsia"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三、完成全省农产品质量安全各项监测任务，全年完成农产品例行监测抽样检测8320批次、完成早中晚稻重金属质量安全专项风险监测1295批次、完成稻谷镉污染风险评估检测654批次、完成豇豆专项监测检测600批次。</w:t>
            </w:r>
          </w:p>
          <w:p>
            <w:pPr>
              <w:widowControl/>
              <w:spacing w:line="240" w:lineRule="exact"/>
              <w:ind w:firstLine="200" w:firstLineChars="100"/>
              <w:rPr>
                <w:rFonts w:hint="eastAsia"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四、对全省通过双认证的153家农产品检测机构开展了农药残留和重金属检测技术能力验证。</w:t>
            </w:r>
          </w:p>
          <w:p>
            <w:pPr>
              <w:widowControl/>
              <w:spacing w:line="240" w:lineRule="exact"/>
              <w:ind w:firstLine="200" w:firstLineChars="100"/>
              <w:jc w:val="left"/>
              <w:rPr>
                <w:rFonts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五、对市、县农产品检测机构开展了农产品质量安全监测技术培训，培训人员150人次。</w:t>
            </w:r>
          </w:p>
        </w:tc>
      </w:tr>
      <w:tr>
        <w:tblPrEx>
          <w:tblLayout w:type="fixed"/>
          <w:tblCellMar>
            <w:top w:w="0" w:type="dxa"/>
            <w:left w:w="108" w:type="dxa"/>
            <w:bottom w:w="0" w:type="dxa"/>
            <w:right w:w="108" w:type="dxa"/>
          </w:tblCellMar>
        </w:tblPrEx>
        <w:trPr>
          <w:trHeight w:val="90" w:hRule="atLeast"/>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绩</w:t>
            </w:r>
          </w:p>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效</w:t>
            </w:r>
          </w:p>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指</w:t>
            </w:r>
          </w:p>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标</w:t>
            </w:r>
          </w:p>
          <w:p>
            <w:pPr>
              <w:widowControl/>
              <w:spacing w:line="240" w:lineRule="exact"/>
              <w:jc w:val="center"/>
              <w:rPr>
                <w:rFonts w:ascii="Times New Roman" w:hAnsi="Times New Roman" w:eastAsia="仿宋_GB2312"/>
                <w:color w:val="000000"/>
                <w:sz w:val="20"/>
                <w:szCs w:val="20"/>
                <w:highlight w:val="none"/>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年度指标值</w:t>
            </w:r>
          </w:p>
        </w:tc>
        <w:tc>
          <w:tcPr>
            <w:tcW w:w="1403" w:type="dxa"/>
            <w:tcBorders>
              <w:top w:val="nil"/>
              <w:left w:val="nil"/>
              <w:bottom w:val="single" w:color="auto" w:sz="4" w:space="0"/>
              <w:right w:val="single" w:color="auto" w:sz="4" w:space="0"/>
            </w:tcBorders>
            <w:noWrap w:val="0"/>
            <w:vAlign w:val="center"/>
          </w:tcPr>
          <w:p>
            <w:pPr>
              <w:widowControl/>
              <w:spacing w:line="240" w:lineRule="exac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实际完成值</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分值</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hint="eastAsia" w:ascii="Times New Roman" w:hAnsi="Times New Roman" w:eastAsia="仿宋_GB2312"/>
                <w:color w:val="000000"/>
                <w:sz w:val="16"/>
                <w:szCs w:val="16"/>
                <w:highlight w:val="none"/>
              </w:rPr>
              <w:t>自评</w:t>
            </w:r>
            <w:r>
              <w:rPr>
                <w:rFonts w:ascii="Times New Roman" w:hAnsi="Times New Roman" w:eastAsia="仿宋_GB2312"/>
                <w:color w:val="000000"/>
                <w:sz w:val="16"/>
                <w:szCs w:val="16"/>
                <w:highlight w:val="none"/>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产出指标</w:t>
            </w:r>
          </w:p>
          <w:p>
            <w:pPr>
              <w:widowControl/>
              <w:spacing w:line="240" w:lineRule="exact"/>
              <w:jc w:val="center"/>
              <w:rPr>
                <w:rFonts w:ascii="Times New Roman" w:hAnsi="Times New Roman" w:eastAsia="仿宋_GB2312"/>
                <w:color w:val="000000"/>
                <w:sz w:val="20"/>
                <w:szCs w:val="20"/>
                <w:highlight w:val="none"/>
              </w:rPr>
            </w:pPr>
          </w:p>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(50分)</w:t>
            </w:r>
          </w:p>
        </w:tc>
        <w:tc>
          <w:tcPr>
            <w:tcW w:w="1034" w:type="dxa"/>
            <w:vMerge w:val="restart"/>
            <w:tcBorders>
              <w:top w:val="nil"/>
              <w:left w:val="nil"/>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rPr>
              <w:t>数量指标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农药登记资料初审</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ascii="Times New Roman" w:hAnsi="Times New Roman" w:eastAsia="仿宋_GB2312"/>
                <w:color w:val="000000"/>
                <w:sz w:val="20"/>
                <w:szCs w:val="20"/>
                <w:highlight w:val="none"/>
              </w:rPr>
              <w:t>　</w:t>
            </w:r>
            <w:r>
              <w:rPr>
                <w:rFonts w:hint="default" w:ascii="Arial" w:hAnsi="Arial" w:eastAsia="仿宋_GB2312" w:cs="Arial"/>
                <w:color w:val="000000"/>
                <w:sz w:val="20"/>
                <w:szCs w:val="20"/>
                <w:highlight w:val="none"/>
              </w:rPr>
              <w:t>≥</w:t>
            </w:r>
            <w:r>
              <w:rPr>
                <w:rFonts w:hint="eastAsia" w:ascii="Times New Roman" w:hAnsi="Times New Roman" w:eastAsia="仿宋_GB2312"/>
                <w:color w:val="000000"/>
                <w:sz w:val="20"/>
                <w:szCs w:val="20"/>
                <w:highlight w:val="none"/>
                <w:lang w:val="en-US" w:eastAsia="zh-CN"/>
              </w:rPr>
              <w:t>70份</w:t>
            </w:r>
          </w:p>
        </w:tc>
        <w:tc>
          <w:tcPr>
            <w:tcW w:w="140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olor w:val="000000"/>
                <w:sz w:val="20"/>
                <w:szCs w:val="20"/>
                <w:highlight w:val="none"/>
                <w:lang w:val="en-US" w:eastAsia="zh-CN"/>
              </w:rPr>
            </w:pPr>
            <w:r>
              <w:rPr>
                <w:rFonts w:ascii="Times New Roman" w:hAnsi="Times New Roman" w:eastAsia="仿宋_GB2312"/>
                <w:color w:val="000000"/>
                <w:sz w:val="20"/>
                <w:szCs w:val="20"/>
                <w:highlight w:val="none"/>
              </w:rPr>
              <w:t>　</w:t>
            </w:r>
            <w:r>
              <w:rPr>
                <w:rFonts w:hint="eastAsia" w:ascii="Times New Roman" w:hAnsi="Times New Roman" w:eastAsia="仿宋_GB2312"/>
                <w:color w:val="000000"/>
                <w:sz w:val="20"/>
                <w:szCs w:val="20"/>
                <w:highlight w:val="none"/>
              </w:rPr>
              <w:t>78</w:t>
            </w:r>
            <w:r>
              <w:rPr>
                <w:rFonts w:hint="eastAsia" w:ascii="Times New Roman" w:hAnsi="Times New Roman" w:eastAsia="仿宋_GB2312"/>
                <w:color w:val="000000"/>
                <w:sz w:val="20"/>
                <w:szCs w:val="20"/>
                <w:highlight w:val="none"/>
                <w:lang w:val="en-US" w:eastAsia="zh-CN"/>
              </w:rPr>
              <w:t>份</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34" w:type="dxa"/>
            <w:vMerge w:val="continue"/>
            <w:tcBorders>
              <w:left w:val="nil"/>
              <w:right w:val="single" w:color="auto" w:sz="4" w:space="0"/>
            </w:tcBorders>
            <w:noWrap w:val="0"/>
            <w:vAlign w:val="center"/>
          </w:tcPr>
          <w:p>
            <w:pPr>
              <w:spacing w:line="240" w:lineRule="exact"/>
              <w:jc w:val="center"/>
              <w:rPr>
                <w:rFonts w:ascii="Times New Roman" w:hAnsi="Times New Roman" w:eastAsia="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lang w:val="en-US" w:eastAsia="zh-CN"/>
              </w:rPr>
              <w:t xml:space="preserve">办理农药生 </w:t>
            </w:r>
            <w:r>
              <w:rPr>
                <w:rFonts w:ascii="Times New Roman" w:hAnsi="Times New Roman" w:eastAsia="仿宋_GB2312"/>
                <w:color w:val="000000"/>
                <w:sz w:val="20"/>
                <w:szCs w:val="20"/>
                <w:highlight w:val="none"/>
              </w:rPr>
              <w:t>产许可证</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ascii="Times New Roman" w:hAnsi="Times New Roman" w:eastAsia="仿宋_GB2312"/>
                <w:color w:val="000000"/>
                <w:sz w:val="20"/>
                <w:szCs w:val="20"/>
                <w:highlight w:val="none"/>
              </w:rPr>
              <w:t>　</w:t>
            </w:r>
            <w:r>
              <w:rPr>
                <w:rFonts w:hint="default" w:ascii="Arial" w:hAnsi="Arial" w:eastAsia="仿宋_GB2312" w:cs="Arial"/>
                <w:color w:val="000000"/>
                <w:sz w:val="20"/>
                <w:szCs w:val="20"/>
                <w:highlight w:val="none"/>
              </w:rPr>
              <w:t>≥</w:t>
            </w:r>
            <w:r>
              <w:rPr>
                <w:rFonts w:hint="eastAsia" w:ascii="Arial" w:hAnsi="Arial" w:eastAsia="仿宋_GB2312" w:cs="Arial"/>
                <w:color w:val="000000"/>
                <w:sz w:val="20"/>
                <w:szCs w:val="20"/>
                <w:highlight w:val="none"/>
                <w:lang w:val="en-US" w:eastAsia="zh-CN"/>
              </w:rPr>
              <w:t>15个</w:t>
            </w:r>
          </w:p>
        </w:tc>
        <w:tc>
          <w:tcPr>
            <w:tcW w:w="140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olor w:val="000000"/>
                <w:sz w:val="20"/>
                <w:szCs w:val="20"/>
                <w:highlight w:val="none"/>
                <w:lang w:val="en-US" w:eastAsia="zh-CN"/>
              </w:rPr>
            </w:pPr>
            <w:r>
              <w:rPr>
                <w:rFonts w:ascii="Times New Roman" w:hAnsi="Times New Roman" w:eastAsia="仿宋_GB2312"/>
                <w:color w:val="000000"/>
                <w:sz w:val="20"/>
                <w:szCs w:val="20"/>
                <w:highlight w:val="none"/>
              </w:rPr>
              <w:t>　</w:t>
            </w:r>
            <w:r>
              <w:rPr>
                <w:rFonts w:hint="eastAsia" w:ascii="Times New Roman" w:hAnsi="Times New Roman" w:eastAsia="仿宋_GB2312"/>
                <w:color w:val="000000"/>
                <w:sz w:val="20"/>
                <w:szCs w:val="20"/>
                <w:highlight w:val="none"/>
              </w:rPr>
              <w:t>17</w:t>
            </w:r>
            <w:r>
              <w:rPr>
                <w:rFonts w:hint="eastAsia" w:ascii="Times New Roman" w:hAnsi="Times New Roman" w:eastAsia="仿宋_GB2312"/>
                <w:color w:val="000000"/>
                <w:sz w:val="20"/>
                <w:szCs w:val="20"/>
                <w:highlight w:val="none"/>
                <w:lang w:val="en-US" w:eastAsia="zh-CN"/>
              </w:rPr>
              <w:t>个</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34" w:type="dxa"/>
            <w:vMerge w:val="continue"/>
            <w:tcBorders>
              <w:left w:val="nil"/>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auto"/>
                <w:sz w:val="20"/>
                <w:szCs w:val="20"/>
                <w:highlight w:val="none"/>
                <w:lang w:val="en-US" w:eastAsia="zh-CN"/>
              </w:rPr>
            </w:pPr>
            <w:r>
              <w:rPr>
                <w:rFonts w:ascii="Times New Roman" w:hAnsi="Times New Roman" w:eastAsia="仿宋_GB2312"/>
                <w:color w:val="auto"/>
                <w:sz w:val="20"/>
                <w:szCs w:val="20"/>
                <w:highlight w:val="none"/>
              </w:rPr>
              <w:t>农药包装废弃物</w:t>
            </w:r>
            <w:r>
              <w:rPr>
                <w:rFonts w:hint="eastAsia" w:ascii="Times New Roman" w:hAnsi="Times New Roman" w:eastAsia="仿宋_GB2312"/>
                <w:color w:val="auto"/>
                <w:sz w:val="20"/>
                <w:szCs w:val="20"/>
                <w:highlight w:val="none"/>
                <w:lang w:val="en-US" w:eastAsia="zh-CN"/>
              </w:rPr>
              <w:t>回收率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auto"/>
                <w:sz w:val="20"/>
                <w:szCs w:val="20"/>
                <w:highlight w:val="none"/>
                <w:lang w:val="en-US" w:eastAsia="zh-CN"/>
              </w:rPr>
            </w:pPr>
            <w:r>
              <w:rPr>
                <w:rFonts w:ascii="Times New Roman" w:hAnsi="Times New Roman" w:eastAsia="仿宋_GB2312"/>
                <w:color w:val="auto"/>
                <w:sz w:val="20"/>
                <w:szCs w:val="20"/>
                <w:highlight w:val="none"/>
              </w:rPr>
              <w:t>　</w:t>
            </w:r>
            <w:r>
              <w:rPr>
                <w:rFonts w:hint="default" w:ascii="Arial" w:hAnsi="Arial" w:eastAsia="仿宋_GB2312" w:cs="Arial"/>
                <w:color w:val="auto"/>
                <w:sz w:val="20"/>
                <w:szCs w:val="20"/>
                <w:highlight w:val="none"/>
              </w:rPr>
              <w:t>≥</w:t>
            </w:r>
            <w:r>
              <w:rPr>
                <w:rFonts w:hint="eastAsia" w:ascii="Arial" w:hAnsi="Arial" w:eastAsia="仿宋_GB2312" w:cs="Arial"/>
                <w:color w:val="auto"/>
                <w:sz w:val="20"/>
                <w:szCs w:val="20"/>
                <w:highlight w:val="none"/>
                <w:lang w:val="en-US" w:eastAsia="zh-CN"/>
              </w:rPr>
              <w:t>50%</w:t>
            </w:r>
          </w:p>
        </w:tc>
        <w:tc>
          <w:tcPr>
            <w:tcW w:w="14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auto"/>
                <w:sz w:val="20"/>
                <w:szCs w:val="20"/>
                <w:highlight w:val="none"/>
                <w:lang w:val="en-US" w:eastAsia="zh-CN"/>
              </w:rPr>
            </w:pPr>
            <w:r>
              <w:rPr>
                <w:rFonts w:ascii="Times New Roman" w:hAnsi="Times New Roman" w:eastAsia="仿宋_GB2312"/>
                <w:color w:val="auto"/>
                <w:sz w:val="20"/>
                <w:szCs w:val="20"/>
                <w:highlight w:val="none"/>
              </w:rPr>
              <w:t>　</w:t>
            </w:r>
            <w:r>
              <w:rPr>
                <w:rFonts w:hint="eastAsia" w:ascii="Times New Roman" w:hAnsi="Times New Roman" w:eastAsia="仿宋_GB2312"/>
                <w:color w:val="auto"/>
                <w:sz w:val="20"/>
                <w:szCs w:val="20"/>
                <w:highlight w:val="none"/>
                <w:lang w:val="en-US" w:eastAsia="zh-CN"/>
              </w:rPr>
              <w:t>67.8%</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34" w:type="dxa"/>
            <w:vMerge w:val="continue"/>
            <w:tcBorders>
              <w:left w:val="nil"/>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auto"/>
                <w:sz w:val="20"/>
                <w:szCs w:val="20"/>
                <w:highlight w:val="none"/>
              </w:rPr>
            </w:pPr>
            <w:r>
              <w:rPr>
                <w:rFonts w:ascii="Times New Roman" w:hAnsi="Times New Roman" w:eastAsia="仿宋_GB2312"/>
                <w:color w:val="auto"/>
                <w:sz w:val="20"/>
                <w:szCs w:val="20"/>
                <w:highlight w:val="none"/>
              </w:rPr>
              <w:t>农药风险监测样品检测</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auto"/>
                <w:sz w:val="20"/>
                <w:szCs w:val="20"/>
                <w:highlight w:val="none"/>
                <w:lang w:val="en-US" w:eastAsia="zh-CN"/>
              </w:rPr>
            </w:pPr>
            <w:r>
              <w:rPr>
                <w:rFonts w:hint="default" w:ascii="Arial" w:hAnsi="Arial" w:eastAsia="仿宋_GB2312" w:cs="Arial"/>
                <w:color w:val="auto"/>
                <w:sz w:val="20"/>
                <w:szCs w:val="20"/>
                <w:highlight w:val="none"/>
              </w:rPr>
              <w:t>≥</w:t>
            </w:r>
            <w:r>
              <w:rPr>
                <w:rFonts w:hint="eastAsia" w:ascii="Arial" w:hAnsi="Arial" w:eastAsia="仿宋_GB2312" w:cs="Arial"/>
                <w:color w:val="auto"/>
                <w:sz w:val="20"/>
                <w:szCs w:val="20"/>
                <w:highlight w:val="none"/>
                <w:lang w:val="en-US" w:eastAsia="zh-CN"/>
              </w:rPr>
              <w:t>400批次</w:t>
            </w:r>
          </w:p>
        </w:tc>
        <w:tc>
          <w:tcPr>
            <w:tcW w:w="14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auto"/>
                <w:sz w:val="20"/>
                <w:szCs w:val="20"/>
                <w:highlight w:val="none"/>
                <w:lang w:val="en-US" w:eastAsia="zh-CN"/>
              </w:rPr>
            </w:pPr>
            <w:r>
              <w:rPr>
                <w:rFonts w:hint="eastAsia" w:ascii="Times New Roman" w:hAnsi="Times New Roman" w:eastAsia="仿宋_GB2312"/>
                <w:color w:val="auto"/>
                <w:sz w:val="20"/>
                <w:szCs w:val="20"/>
                <w:highlight w:val="none"/>
                <w:lang w:val="en-US" w:eastAsia="zh-CN"/>
              </w:rPr>
              <w:t>434批次</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34" w:type="dxa"/>
            <w:vMerge w:val="continue"/>
            <w:tcBorders>
              <w:left w:val="nil"/>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20"/>
                <w:szCs w:val="20"/>
                <w:highlight w:val="none"/>
              </w:rPr>
            </w:pPr>
            <w:r>
              <w:rPr>
                <w:rFonts w:hint="eastAsia" w:ascii="仿宋_GB2312" w:eastAsia="仿宋_GB2312"/>
                <w:color w:val="000000"/>
                <w:sz w:val="20"/>
                <w:szCs w:val="20"/>
                <w:highlight w:val="none"/>
              </w:rPr>
              <w:t>农产品例行监测抽样检测</w:t>
            </w:r>
          </w:p>
        </w:tc>
        <w:tc>
          <w:tcPr>
            <w:tcW w:w="13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20"/>
                <w:szCs w:val="20"/>
                <w:highlight w:val="none"/>
              </w:rPr>
            </w:pPr>
            <w:r>
              <w:rPr>
                <w:rFonts w:hint="default" w:ascii="Arial" w:hAnsi="Arial" w:eastAsia="仿宋_GB2312" w:cs="Arial"/>
                <w:color w:val="000000"/>
                <w:sz w:val="20"/>
                <w:szCs w:val="20"/>
                <w:highlight w:val="none"/>
              </w:rPr>
              <w:t>≥</w:t>
            </w:r>
            <w:r>
              <w:rPr>
                <w:rFonts w:hint="eastAsia" w:ascii="Arial" w:hAnsi="Arial" w:eastAsia="仿宋_GB2312" w:cs="Arial"/>
                <w:color w:val="000000"/>
                <w:sz w:val="20"/>
                <w:szCs w:val="20"/>
                <w:highlight w:val="none"/>
                <w:lang w:val="en-US" w:eastAsia="zh-CN"/>
              </w:rPr>
              <w:t>5000批次</w:t>
            </w:r>
          </w:p>
        </w:tc>
        <w:tc>
          <w:tcPr>
            <w:tcW w:w="14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20"/>
                <w:szCs w:val="20"/>
                <w:highlight w:val="none"/>
              </w:rPr>
            </w:pPr>
            <w:r>
              <w:rPr>
                <w:rFonts w:hint="eastAsia" w:ascii="仿宋_GB2312" w:eastAsia="仿宋_GB2312"/>
                <w:color w:val="000000"/>
                <w:sz w:val="20"/>
                <w:szCs w:val="20"/>
                <w:highlight w:val="none"/>
                <w:lang w:val="en-US" w:eastAsia="zh-CN"/>
              </w:rPr>
              <w:t>8320批</w:t>
            </w:r>
            <w:r>
              <w:rPr>
                <w:rFonts w:hint="eastAsia" w:ascii="仿宋_GB2312" w:eastAsia="仿宋_GB2312"/>
                <w:color w:val="000000"/>
                <w:sz w:val="20"/>
                <w:szCs w:val="20"/>
                <w:highlight w:val="none"/>
              </w:rPr>
              <w:t>次</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国家农药监督抽样任务</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200批次</w:t>
            </w:r>
          </w:p>
        </w:tc>
        <w:tc>
          <w:tcPr>
            <w:tcW w:w="1403"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lang w:val="en-US" w:eastAsia="zh-CN"/>
              </w:rPr>
              <w:t>200批次</w:t>
            </w:r>
            <w:r>
              <w:rPr>
                <w:rFonts w:hint="eastAsia" w:ascii="Times New Roman" w:hAnsi="Times New Roman" w:eastAsia="仿宋_GB2312"/>
                <w:color w:val="000000"/>
                <w:sz w:val="20"/>
                <w:szCs w:val="20"/>
                <w:highlight w:val="none"/>
              </w:rPr>
              <w:t>次</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34" w:type="dxa"/>
            <w:vMerge w:val="restart"/>
            <w:tcBorders>
              <w:top w:val="single" w:color="auto" w:sz="4" w:space="0"/>
              <w:left w:val="nil"/>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质量指标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加强农药登记试验单位日常监管</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ascii="Times New Roman" w:hAnsi="Times New Roman" w:eastAsia="仿宋_GB2312"/>
                <w:color w:val="000000"/>
                <w:sz w:val="20"/>
                <w:szCs w:val="20"/>
                <w:highlight w:val="none"/>
              </w:rPr>
              <w:t>　</w:t>
            </w:r>
            <w:r>
              <w:rPr>
                <w:rFonts w:hint="eastAsia" w:ascii="Times New Roman" w:hAnsi="Times New Roman" w:eastAsia="仿宋_GB2312"/>
                <w:color w:val="000000"/>
                <w:sz w:val="20"/>
                <w:szCs w:val="20"/>
                <w:highlight w:val="none"/>
                <w:lang w:val="en-US" w:eastAsia="zh-CN"/>
              </w:rPr>
              <w:t>开展监督检查工作，对发现的问题提出整改要求</w:t>
            </w:r>
          </w:p>
        </w:tc>
        <w:tc>
          <w:tcPr>
            <w:tcW w:w="140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olor w:val="000000"/>
                <w:sz w:val="20"/>
                <w:szCs w:val="20"/>
                <w:highlight w:val="none"/>
                <w:lang w:eastAsia="zh-CN"/>
              </w:rPr>
            </w:pPr>
            <w:r>
              <w:rPr>
                <w:rFonts w:hint="eastAsia" w:ascii="Times New Roman" w:hAnsi="Times New Roman" w:eastAsia="仿宋_GB2312"/>
                <w:color w:val="000000"/>
                <w:sz w:val="20"/>
                <w:szCs w:val="20"/>
                <w:highlight w:val="none"/>
                <w:lang w:val="en-US" w:eastAsia="zh-CN"/>
              </w:rPr>
              <w:t>完成</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34" w:type="dxa"/>
            <w:vMerge w:val="continue"/>
            <w:tcBorders>
              <w:left w:val="nil"/>
              <w:right w:val="single" w:color="auto" w:sz="4" w:space="0"/>
            </w:tcBorders>
            <w:noWrap w:val="0"/>
            <w:vAlign w:val="center"/>
          </w:tcPr>
          <w:p>
            <w:pPr>
              <w:spacing w:line="240" w:lineRule="exact"/>
              <w:jc w:val="center"/>
              <w:rPr>
                <w:rFonts w:ascii="Times New Roman" w:hAnsi="Times New Roman" w:eastAsia="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20"/>
                <w:szCs w:val="20"/>
                <w:highlight w:val="none"/>
              </w:rPr>
            </w:pPr>
            <w:r>
              <w:rPr>
                <w:rFonts w:hint="eastAsia" w:ascii="仿宋_GB2312" w:eastAsia="仿宋_GB2312"/>
                <w:color w:val="000000"/>
                <w:sz w:val="20"/>
                <w:szCs w:val="20"/>
                <w:highlight w:val="none"/>
              </w:rPr>
              <w:t>监测结果准确性</w:t>
            </w:r>
          </w:p>
        </w:tc>
        <w:tc>
          <w:tcPr>
            <w:tcW w:w="13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20"/>
                <w:szCs w:val="20"/>
                <w:highlight w:val="none"/>
              </w:rPr>
            </w:pPr>
            <w:r>
              <w:rPr>
                <w:rFonts w:hint="eastAsia" w:ascii="仿宋_GB2312" w:eastAsia="仿宋_GB2312"/>
                <w:color w:val="000000"/>
                <w:sz w:val="20"/>
                <w:szCs w:val="20"/>
                <w:highlight w:val="none"/>
              </w:rPr>
              <w:t>100%</w:t>
            </w:r>
          </w:p>
        </w:tc>
        <w:tc>
          <w:tcPr>
            <w:tcW w:w="140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20"/>
                <w:szCs w:val="20"/>
                <w:highlight w:val="none"/>
                <w:lang w:val="en-US" w:eastAsia="zh-CN"/>
              </w:rPr>
            </w:pPr>
            <w:r>
              <w:rPr>
                <w:rFonts w:hint="eastAsia" w:ascii="仿宋_GB2312" w:eastAsia="仿宋_GB2312"/>
                <w:color w:val="000000"/>
                <w:sz w:val="20"/>
                <w:szCs w:val="20"/>
                <w:highlight w:val="none"/>
              </w:rPr>
              <w:t>100%（未发生一起结果质疑和复检）</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34" w:type="dxa"/>
            <w:vMerge w:val="restart"/>
            <w:tcBorders>
              <w:top w:val="single" w:color="auto" w:sz="4" w:space="0"/>
              <w:left w:val="nil"/>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时效指标</w:t>
            </w:r>
          </w:p>
        </w:tc>
        <w:tc>
          <w:tcPr>
            <w:tcW w:w="1270" w:type="dxa"/>
            <w:tcBorders>
              <w:top w:val="single" w:color="auto" w:sz="4" w:space="0"/>
              <w:left w:val="nil"/>
              <w:bottom w:val="single" w:color="auto" w:sz="4" w:space="0"/>
              <w:right w:val="single" w:color="auto" w:sz="4" w:space="0"/>
            </w:tcBorders>
            <w:noWrap w:val="0"/>
            <w:vAlign w:val="center"/>
          </w:tcPr>
          <w:p>
            <w:pPr>
              <w:jc w:val="center"/>
              <w:rPr>
                <w:rFonts w:ascii="仿宋_GB2312" w:hAnsi="宋体" w:eastAsia="仿宋_GB2312" w:cs="宋体"/>
                <w:color w:val="000000"/>
                <w:sz w:val="20"/>
                <w:szCs w:val="20"/>
                <w:highlight w:val="none"/>
              </w:rPr>
            </w:pPr>
            <w:r>
              <w:rPr>
                <w:rFonts w:hint="eastAsia" w:ascii="仿宋_GB2312" w:eastAsia="仿宋_GB2312"/>
                <w:color w:val="000000"/>
                <w:sz w:val="20"/>
                <w:szCs w:val="20"/>
                <w:highlight w:val="none"/>
              </w:rPr>
              <w:t>行政审批按时完成</w:t>
            </w:r>
          </w:p>
        </w:tc>
        <w:tc>
          <w:tcPr>
            <w:tcW w:w="13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20"/>
                <w:szCs w:val="20"/>
                <w:highlight w:val="none"/>
              </w:rPr>
            </w:pPr>
            <w:r>
              <w:rPr>
                <w:rFonts w:hint="eastAsia" w:ascii="仿宋_GB2312" w:eastAsia="仿宋_GB2312"/>
                <w:color w:val="000000"/>
                <w:sz w:val="20"/>
                <w:szCs w:val="20"/>
                <w:highlight w:val="none"/>
              </w:rPr>
              <w:t>在规定的时限内完成</w:t>
            </w:r>
          </w:p>
        </w:tc>
        <w:tc>
          <w:tcPr>
            <w:tcW w:w="14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20"/>
                <w:szCs w:val="20"/>
                <w:highlight w:val="none"/>
              </w:rPr>
            </w:pPr>
            <w:r>
              <w:rPr>
                <w:rFonts w:hint="eastAsia" w:ascii="仿宋_GB2312" w:eastAsia="仿宋_GB2312"/>
                <w:color w:val="000000"/>
                <w:sz w:val="20"/>
                <w:szCs w:val="20"/>
                <w:highlight w:val="none"/>
              </w:rPr>
              <w:t>均在规定的时限内完成</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pPr>
              <w:spacing w:line="240" w:lineRule="exact"/>
              <w:jc w:val="center"/>
              <w:rPr>
                <w:rFonts w:ascii="Times New Roman" w:hAnsi="Times New Roman" w:eastAsia="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20"/>
                <w:szCs w:val="20"/>
                <w:highlight w:val="none"/>
              </w:rPr>
            </w:pPr>
            <w:r>
              <w:rPr>
                <w:rFonts w:hint="eastAsia" w:ascii="仿宋_GB2312" w:eastAsia="仿宋_GB2312"/>
                <w:color w:val="000000"/>
                <w:sz w:val="20"/>
                <w:szCs w:val="20"/>
                <w:highlight w:val="none"/>
              </w:rPr>
              <w:t>项目任务按时完成</w:t>
            </w:r>
          </w:p>
        </w:tc>
        <w:tc>
          <w:tcPr>
            <w:tcW w:w="13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20"/>
                <w:szCs w:val="20"/>
                <w:highlight w:val="none"/>
              </w:rPr>
            </w:pPr>
            <w:r>
              <w:rPr>
                <w:rFonts w:hint="eastAsia" w:ascii="仿宋_GB2312" w:eastAsia="仿宋_GB2312"/>
                <w:color w:val="000000"/>
                <w:sz w:val="20"/>
                <w:szCs w:val="20"/>
                <w:highlight w:val="none"/>
              </w:rPr>
              <w:t>各项任务按文件要求完成</w:t>
            </w:r>
          </w:p>
        </w:tc>
        <w:tc>
          <w:tcPr>
            <w:tcW w:w="14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20"/>
                <w:szCs w:val="20"/>
                <w:highlight w:val="none"/>
              </w:rPr>
            </w:pPr>
            <w:r>
              <w:rPr>
                <w:rFonts w:hint="eastAsia" w:ascii="仿宋_GB2312" w:eastAsia="仿宋_GB2312"/>
                <w:color w:val="000000"/>
                <w:sz w:val="20"/>
                <w:szCs w:val="20"/>
                <w:highlight w:val="none"/>
              </w:rPr>
              <w:t>各项任务均按文件要求的时间完成</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tcBorders>
              <w:top w:val="single" w:color="auto" w:sz="4" w:space="0"/>
              <w:left w:val="nil"/>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成本指标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各项成本控制在预算范围内</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ascii="Times New Roman" w:hAnsi="Times New Roman" w:eastAsia="仿宋_GB2312"/>
                <w:color w:val="000000"/>
                <w:sz w:val="20"/>
                <w:szCs w:val="20"/>
                <w:highlight w:val="none"/>
              </w:rPr>
              <w:t>　</w:t>
            </w:r>
            <w:r>
              <w:rPr>
                <w:rFonts w:hint="default" w:ascii="Arial" w:hAnsi="Arial" w:eastAsia="仿宋_GB2312" w:cs="Arial"/>
                <w:color w:val="000000"/>
                <w:sz w:val="20"/>
                <w:szCs w:val="20"/>
                <w:highlight w:val="none"/>
              </w:rPr>
              <w:t>≥</w:t>
            </w:r>
            <w:r>
              <w:rPr>
                <w:rFonts w:hint="eastAsia" w:ascii="Arial" w:hAnsi="Arial" w:eastAsia="仿宋_GB2312" w:cs="Arial"/>
                <w:color w:val="000000"/>
                <w:sz w:val="20"/>
                <w:szCs w:val="20"/>
                <w:highlight w:val="none"/>
                <w:lang w:val="en-US" w:eastAsia="zh-CN"/>
              </w:rPr>
              <w:t>500万元</w:t>
            </w:r>
          </w:p>
        </w:tc>
        <w:tc>
          <w:tcPr>
            <w:tcW w:w="14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ascii="Times New Roman" w:hAnsi="Times New Roman" w:eastAsia="仿宋_GB2312"/>
                <w:color w:val="000000"/>
                <w:sz w:val="20"/>
                <w:szCs w:val="20"/>
                <w:highlight w:val="none"/>
              </w:rPr>
              <w:t>　</w:t>
            </w:r>
            <w:r>
              <w:rPr>
                <w:rFonts w:hint="eastAsia" w:ascii="Times New Roman" w:hAnsi="Times New Roman" w:eastAsia="仿宋_GB2312"/>
                <w:color w:val="000000"/>
                <w:sz w:val="20"/>
                <w:szCs w:val="20"/>
                <w:highlight w:val="none"/>
                <w:lang w:val="en-US" w:eastAsia="zh-CN"/>
              </w:rPr>
              <w:t>800</w:t>
            </w:r>
            <w:r>
              <w:rPr>
                <w:rFonts w:hint="eastAsia" w:ascii="Times New Roman" w:hAnsi="Times New Roman" w:eastAsia="仿宋_GB2312"/>
                <w:color w:val="000000"/>
                <w:sz w:val="20"/>
                <w:szCs w:val="20"/>
                <w:highlight w:val="none"/>
                <w:lang w:eastAsia="zh-CN"/>
              </w:rPr>
              <w:t>万</w:t>
            </w:r>
            <w:r>
              <w:rPr>
                <w:rFonts w:hint="eastAsia" w:ascii="Times New Roman" w:hAnsi="Times New Roman" w:eastAsia="仿宋_GB2312"/>
                <w:color w:val="000000"/>
                <w:sz w:val="20"/>
                <w:szCs w:val="20"/>
                <w:highlight w:val="none"/>
                <w:lang w:val="en-US" w:eastAsia="zh-CN"/>
              </w:rPr>
              <w:t>元</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6</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6</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效益指标</w:t>
            </w:r>
          </w:p>
          <w:p>
            <w:pPr>
              <w:widowControl/>
              <w:spacing w:line="240" w:lineRule="exact"/>
              <w:jc w:val="left"/>
              <w:rPr>
                <w:rFonts w:ascii="Times New Roman" w:hAnsi="Times New Roman" w:eastAsia="仿宋_GB2312"/>
                <w:color w:val="000000"/>
                <w:sz w:val="20"/>
                <w:szCs w:val="20"/>
                <w:highlight w:val="none"/>
              </w:rPr>
            </w:pPr>
          </w:p>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（30分）</w:t>
            </w:r>
          </w:p>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经济效</w:t>
            </w:r>
          </w:p>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lang w:val="en-US" w:eastAsia="zh-CN"/>
              </w:rPr>
              <w:t>争取省级农药监管专项资金</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hint="default" w:ascii="Arial" w:hAnsi="Arial" w:eastAsia="仿宋_GB2312" w:cs="Arial"/>
                <w:color w:val="000000"/>
                <w:sz w:val="20"/>
                <w:szCs w:val="20"/>
                <w:highlight w:val="none"/>
              </w:rPr>
              <w:t>≤</w:t>
            </w:r>
            <w:r>
              <w:rPr>
                <w:rFonts w:hint="eastAsia" w:ascii="Times New Roman" w:hAnsi="Times New Roman" w:eastAsia="仿宋_GB2312"/>
                <w:color w:val="000000"/>
                <w:sz w:val="20"/>
                <w:szCs w:val="20"/>
                <w:highlight w:val="none"/>
                <w:lang w:val="en-US" w:eastAsia="zh-CN"/>
              </w:rPr>
              <w:t>100%</w:t>
            </w:r>
          </w:p>
        </w:tc>
        <w:tc>
          <w:tcPr>
            <w:tcW w:w="14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全年预算执行率81.68%</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lang w:val="en-US" w:eastAsia="zh-CN"/>
              </w:rPr>
              <w:t>6</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lang w:val="en-US" w:eastAsia="zh-CN"/>
              </w:rPr>
              <w:t>6</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社会效</w:t>
            </w:r>
          </w:p>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olor w:val="000000"/>
                <w:sz w:val="20"/>
                <w:szCs w:val="20"/>
                <w:highlight w:val="none"/>
                <w:lang w:eastAsia="zh-CN"/>
              </w:rPr>
            </w:pPr>
            <w:r>
              <w:rPr>
                <w:rFonts w:hint="eastAsia" w:ascii="Times New Roman" w:hAnsi="Times New Roman" w:eastAsia="仿宋_GB2312"/>
                <w:color w:val="000000"/>
                <w:sz w:val="20"/>
                <w:szCs w:val="20"/>
                <w:highlight w:val="none"/>
                <w:lang w:eastAsia="zh-CN"/>
              </w:rPr>
              <w:t>发布结果通报</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olor w:val="000000"/>
                <w:sz w:val="20"/>
                <w:szCs w:val="20"/>
                <w:highlight w:val="none"/>
                <w:lang w:eastAsia="zh-CN"/>
              </w:rPr>
            </w:pPr>
            <w:r>
              <w:rPr>
                <w:rFonts w:ascii="Times New Roman" w:hAnsi="Times New Roman" w:eastAsia="仿宋_GB2312"/>
                <w:color w:val="000000"/>
                <w:sz w:val="20"/>
                <w:szCs w:val="20"/>
                <w:highlight w:val="none"/>
              </w:rPr>
              <w:t>　</w:t>
            </w:r>
            <w:r>
              <w:rPr>
                <w:rFonts w:hint="eastAsia" w:ascii="Times New Roman" w:hAnsi="Times New Roman" w:eastAsia="仿宋_GB2312"/>
                <w:color w:val="000000"/>
                <w:sz w:val="20"/>
                <w:szCs w:val="20"/>
                <w:highlight w:val="none"/>
                <w:lang w:eastAsia="zh-CN"/>
              </w:rPr>
              <w:t>及时发布</w:t>
            </w:r>
          </w:p>
        </w:tc>
        <w:tc>
          <w:tcPr>
            <w:tcW w:w="140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olor w:val="000000"/>
                <w:sz w:val="20"/>
                <w:szCs w:val="20"/>
                <w:highlight w:val="none"/>
                <w:lang w:eastAsia="zh-CN"/>
              </w:rPr>
            </w:pPr>
            <w:r>
              <w:rPr>
                <w:rFonts w:ascii="Times New Roman" w:hAnsi="Times New Roman" w:eastAsia="仿宋_GB2312"/>
                <w:color w:val="000000"/>
                <w:sz w:val="20"/>
                <w:szCs w:val="20"/>
                <w:highlight w:val="none"/>
              </w:rPr>
              <w:t>　</w:t>
            </w:r>
            <w:r>
              <w:rPr>
                <w:rFonts w:hint="eastAsia" w:ascii="Times New Roman" w:hAnsi="Times New Roman" w:eastAsia="仿宋_GB2312"/>
                <w:color w:val="000000"/>
                <w:sz w:val="20"/>
                <w:szCs w:val="20"/>
                <w:highlight w:val="none"/>
                <w:lang w:eastAsia="zh-CN"/>
              </w:rPr>
              <w:t>及时发布结果并对问题落实</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6</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6</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trHeight w:val="238"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34" w:type="dxa"/>
            <w:tcBorders>
              <w:top w:val="single" w:color="auto" w:sz="4" w:space="0"/>
              <w:left w:val="nil"/>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生态效</w:t>
            </w:r>
          </w:p>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农药包装废弃物无害化处理</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ascii="Times New Roman" w:hAnsi="Times New Roman" w:eastAsia="仿宋_GB2312"/>
                <w:color w:val="000000"/>
                <w:sz w:val="20"/>
                <w:szCs w:val="20"/>
                <w:highlight w:val="none"/>
              </w:rPr>
              <w:t>　</w:t>
            </w:r>
            <w:r>
              <w:rPr>
                <w:rFonts w:hint="default" w:ascii="Arial" w:hAnsi="Arial" w:eastAsia="仿宋_GB2312" w:cs="Arial"/>
                <w:color w:val="000000"/>
                <w:sz w:val="20"/>
                <w:szCs w:val="20"/>
                <w:highlight w:val="none"/>
              </w:rPr>
              <w:t>≥</w:t>
            </w:r>
            <w:r>
              <w:rPr>
                <w:rFonts w:hint="eastAsia" w:ascii="Arial" w:hAnsi="Arial" w:eastAsia="仿宋_GB2312" w:cs="Arial"/>
                <w:color w:val="000000"/>
                <w:sz w:val="20"/>
                <w:szCs w:val="20"/>
                <w:highlight w:val="none"/>
                <w:lang w:val="en-US" w:eastAsia="zh-CN"/>
              </w:rPr>
              <w:t>1500吨</w:t>
            </w:r>
          </w:p>
        </w:tc>
        <w:tc>
          <w:tcPr>
            <w:tcW w:w="1403"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1714.1吨</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lang w:val="en-US" w:eastAsia="zh-CN"/>
              </w:rPr>
              <w:t>6</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hint="eastAsia" w:ascii="Times New Roman" w:hAnsi="Times New Roman" w:eastAsia="仿宋_GB2312"/>
                <w:color w:val="000000"/>
                <w:sz w:val="20"/>
                <w:szCs w:val="20"/>
                <w:highlight w:val="none"/>
                <w:lang w:val="en-US" w:eastAsia="zh-CN"/>
              </w:rPr>
              <w:t>6</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eastAsia="zh-CN"/>
              </w:rPr>
              <w:t>凸显</w:t>
            </w:r>
            <w:r>
              <w:rPr>
                <w:rFonts w:hint="eastAsia" w:ascii="Times New Roman" w:hAnsi="Times New Roman" w:eastAsia="仿宋_GB2312"/>
                <w:color w:val="000000"/>
                <w:sz w:val="20"/>
                <w:szCs w:val="20"/>
                <w:highlight w:val="none"/>
                <w:lang w:val="en-US" w:eastAsia="zh-CN"/>
              </w:rPr>
              <w:t>检测服务的技术支撑作用</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olor w:val="000000"/>
                <w:sz w:val="20"/>
                <w:szCs w:val="20"/>
                <w:highlight w:val="none"/>
                <w:lang w:eastAsia="zh-CN"/>
              </w:rPr>
            </w:pPr>
            <w:r>
              <w:rPr>
                <w:rFonts w:ascii="Times New Roman" w:hAnsi="Times New Roman" w:eastAsia="仿宋_GB2312"/>
                <w:color w:val="000000"/>
                <w:sz w:val="20"/>
                <w:szCs w:val="20"/>
                <w:highlight w:val="none"/>
              </w:rPr>
              <w:t>　</w:t>
            </w:r>
            <w:r>
              <w:rPr>
                <w:rFonts w:hint="eastAsia" w:ascii="Times New Roman" w:hAnsi="Times New Roman" w:eastAsia="仿宋_GB2312"/>
                <w:color w:val="000000"/>
                <w:sz w:val="20"/>
                <w:szCs w:val="20"/>
                <w:highlight w:val="none"/>
                <w:lang w:eastAsia="zh-CN"/>
              </w:rPr>
              <w:t>不断凸显</w:t>
            </w:r>
          </w:p>
        </w:tc>
        <w:tc>
          <w:tcPr>
            <w:tcW w:w="140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olor w:val="000000"/>
                <w:sz w:val="20"/>
                <w:szCs w:val="20"/>
                <w:highlight w:val="none"/>
                <w:lang w:eastAsia="zh-CN"/>
              </w:rPr>
            </w:pPr>
            <w:r>
              <w:rPr>
                <w:rFonts w:ascii="Times New Roman" w:hAnsi="Times New Roman" w:eastAsia="仿宋_GB2312"/>
                <w:color w:val="000000"/>
                <w:sz w:val="20"/>
                <w:szCs w:val="20"/>
                <w:highlight w:val="none"/>
              </w:rPr>
              <w:t>　</w:t>
            </w:r>
            <w:r>
              <w:rPr>
                <w:rFonts w:hint="eastAsia" w:ascii="Times New Roman" w:hAnsi="Times New Roman" w:eastAsia="仿宋_GB2312"/>
                <w:color w:val="000000"/>
                <w:sz w:val="20"/>
                <w:szCs w:val="20"/>
                <w:highlight w:val="none"/>
                <w:lang w:val="en-US" w:eastAsia="zh-CN"/>
              </w:rPr>
              <w:t>检</w:t>
            </w:r>
            <w:r>
              <w:rPr>
                <w:rFonts w:hint="eastAsia" w:ascii="Times New Roman" w:hAnsi="Times New Roman" w:eastAsia="仿宋_GB2312"/>
                <w:color w:val="000000"/>
                <w:sz w:val="20"/>
                <w:szCs w:val="20"/>
                <w:highlight w:val="none"/>
                <w:lang w:eastAsia="zh-CN"/>
              </w:rPr>
              <w:t>测服务农药监管、农产品质量安全监管的技术支撑作用不断凸显，为全省粮食安全和农产品质量安全提供了技术支撑和数据保障。</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6</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6</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ascii="Times New Roman" w:hAnsi="Times New Roman" w:eastAsia="仿宋_GB2312"/>
                <w:color w:val="000000"/>
                <w:sz w:val="20"/>
                <w:szCs w:val="20"/>
                <w:highlight w:val="none"/>
              </w:rPr>
            </w:pPr>
          </w:p>
        </w:tc>
        <w:tc>
          <w:tcPr>
            <w:tcW w:w="1080" w:type="dxa"/>
            <w:tcBorders>
              <w:top w:val="single" w:color="auto" w:sz="4" w:space="0"/>
              <w:left w:val="nil"/>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满意度</w:t>
            </w:r>
          </w:p>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指标</w:t>
            </w:r>
          </w:p>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（10分）</w:t>
            </w:r>
          </w:p>
        </w:tc>
        <w:tc>
          <w:tcPr>
            <w:tcW w:w="1034" w:type="dxa"/>
            <w:tcBorders>
              <w:top w:val="single" w:color="auto" w:sz="4" w:space="0"/>
              <w:left w:val="nil"/>
              <w:right w:val="single" w:color="auto"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服务对象满意度指标</w:t>
            </w:r>
          </w:p>
        </w:tc>
        <w:tc>
          <w:tcPr>
            <w:tcW w:w="127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企业满意度</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hint="default" w:ascii="Arial" w:hAnsi="Arial" w:eastAsia="仿宋_GB2312" w:cs="Arial"/>
                <w:color w:val="000000"/>
                <w:sz w:val="20"/>
                <w:szCs w:val="20"/>
                <w:highlight w:val="none"/>
              </w:rPr>
              <w:t>≥</w:t>
            </w:r>
            <w:r>
              <w:rPr>
                <w:rFonts w:hint="eastAsia" w:ascii="Arial" w:hAnsi="Arial" w:eastAsia="仿宋_GB2312" w:cs="Arial"/>
                <w:color w:val="000000"/>
                <w:sz w:val="20"/>
                <w:szCs w:val="20"/>
                <w:highlight w:val="none"/>
                <w:lang w:val="en-US" w:eastAsia="zh-CN"/>
              </w:rPr>
              <w:t>90%</w:t>
            </w:r>
          </w:p>
        </w:tc>
        <w:tc>
          <w:tcPr>
            <w:tcW w:w="140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olor w:val="000000"/>
                <w:sz w:val="20"/>
                <w:szCs w:val="20"/>
                <w:highlight w:val="none"/>
                <w:lang w:eastAsia="zh-CN"/>
              </w:rPr>
            </w:pPr>
            <w:r>
              <w:rPr>
                <w:rFonts w:ascii="Times New Roman" w:hAnsi="Times New Roman" w:eastAsia="仿宋_GB2312"/>
                <w:color w:val="000000"/>
                <w:sz w:val="20"/>
                <w:szCs w:val="20"/>
                <w:highlight w:val="none"/>
              </w:rPr>
              <w:t>　</w:t>
            </w:r>
            <w:r>
              <w:rPr>
                <w:rFonts w:hint="eastAsia" w:ascii="Arial" w:hAnsi="Arial" w:eastAsia="仿宋_GB2312" w:cs="Arial"/>
                <w:color w:val="000000"/>
                <w:sz w:val="20"/>
                <w:szCs w:val="20"/>
                <w:highlight w:val="none"/>
                <w:lang w:val="en-US" w:eastAsia="zh-CN"/>
              </w:rPr>
              <w:t>95%</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ascii="Times New Roman" w:hAnsi="Times New Roman" w:eastAsia="仿宋_GB2312"/>
                <w:color w:val="000000"/>
                <w:sz w:val="20"/>
                <w:szCs w:val="20"/>
                <w:highlight w:val="none"/>
              </w:rPr>
              <w:t>　</w:t>
            </w:r>
            <w:r>
              <w:rPr>
                <w:rFonts w:hint="eastAsia" w:ascii="Times New Roman" w:hAnsi="Times New Roman" w:eastAsia="仿宋_GB2312"/>
                <w:color w:val="000000"/>
                <w:sz w:val="20"/>
                <w:szCs w:val="20"/>
                <w:highlight w:val="none"/>
                <w:lang w:val="en-US" w:eastAsia="zh-CN"/>
              </w:rPr>
              <w:t>10</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ascii="Times New Roman" w:hAnsi="Times New Roman" w:eastAsia="仿宋_GB2312"/>
                <w:color w:val="000000"/>
                <w:sz w:val="20"/>
                <w:szCs w:val="20"/>
                <w:highlight w:val="none"/>
              </w:rPr>
              <w:t>　</w:t>
            </w:r>
            <w:r>
              <w:rPr>
                <w:rFonts w:hint="eastAsia" w:ascii="Times New Roman" w:hAnsi="Times New Roman" w:eastAsia="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r>
        <w:tblPrEx>
          <w:tblLayout w:type="fixed"/>
          <w:tblCellMar>
            <w:top w:w="0" w:type="dxa"/>
            <w:left w:w="108" w:type="dxa"/>
            <w:bottom w:w="0" w:type="dxa"/>
            <w:right w:w="108" w:type="dxa"/>
          </w:tblCellMar>
        </w:tblPrEx>
        <w:trPr>
          <w:trHeight w:val="270" w:hRule="atLeast"/>
          <w:jc w:val="center"/>
        </w:trPr>
        <w:tc>
          <w:tcPr>
            <w:tcW w:w="7178"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总分</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olor w:val="000000"/>
                <w:sz w:val="20"/>
                <w:szCs w:val="20"/>
                <w:highlight w:val="none"/>
                <w:lang w:val="en-US" w:eastAsia="zh-CN"/>
              </w:rPr>
            </w:pPr>
            <w:r>
              <w:rPr>
                <w:rFonts w:hint="eastAsia" w:ascii="Times New Roman" w:hAnsi="Times New Roman" w:eastAsia="仿宋_GB2312"/>
                <w:color w:val="000000"/>
                <w:sz w:val="20"/>
                <w:szCs w:val="20"/>
                <w:highlight w:val="none"/>
                <w:lang w:val="en-US" w:eastAsia="zh-CN"/>
              </w:rPr>
              <w:t>100</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olor w:val="000000"/>
                <w:sz w:val="20"/>
                <w:szCs w:val="20"/>
                <w:highlight w:val="none"/>
                <w:lang w:val="en-US" w:eastAsia="zh-CN"/>
              </w:rPr>
            </w:pPr>
            <w:r>
              <w:rPr>
                <w:rFonts w:ascii="Times New Roman" w:hAnsi="Times New Roman" w:eastAsia="仿宋_GB2312"/>
                <w:color w:val="000000"/>
                <w:sz w:val="20"/>
                <w:szCs w:val="20"/>
                <w:highlight w:val="none"/>
              </w:rPr>
              <w:t>　</w:t>
            </w:r>
            <w:r>
              <w:rPr>
                <w:rFonts w:hint="eastAsia" w:ascii="Times New Roman" w:hAnsi="Times New Roman" w:eastAsia="仿宋_GB2312"/>
                <w:color w:val="000000"/>
                <w:sz w:val="20"/>
                <w:szCs w:val="20"/>
                <w:highlight w:val="none"/>
                <w:lang w:val="en-US" w:eastAsia="zh-CN"/>
              </w:rPr>
              <w:t>98.17</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color w:val="000000"/>
                <w:sz w:val="20"/>
                <w:szCs w:val="20"/>
                <w:highlight w:val="none"/>
              </w:rPr>
            </w:pPr>
            <w:r>
              <w:rPr>
                <w:rFonts w:ascii="Times New Roman" w:hAnsi="Times New Roman" w:eastAsia="仿宋_GB2312"/>
                <w:color w:val="000000"/>
                <w:sz w:val="20"/>
                <w:szCs w:val="20"/>
                <w:highlight w:val="none"/>
              </w:rPr>
              <w:t>　</w:t>
            </w:r>
          </w:p>
        </w:tc>
      </w:tr>
    </w:tbl>
    <w:p>
      <w:pPr>
        <w:pStyle w:val="2"/>
        <w:rPr>
          <w:highlight w:val="red"/>
        </w:rPr>
        <w:sectPr>
          <w:pgSz w:w="11906" w:h="16838"/>
          <w:pgMar w:top="720" w:right="720" w:bottom="720" w:left="720" w:header="851" w:footer="992" w:gutter="0"/>
          <w:cols w:space="425" w:num="1"/>
          <w:docGrid w:type="linesAndChars" w:linePitch="312" w:charSpace="0"/>
        </w:sectPr>
      </w:pPr>
    </w:p>
    <w:p>
      <w:pPr>
        <w:pStyle w:val="3"/>
        <w:sectPr>
          <w:pgSz w:w="11906" w:h="16838"/>
          <w:pgMar w:top="720" w:right="720" w:bottom="720" w:left="720" w:header="851" w:footer="992" w:gutter="0"/>
          <w:cols w:space="425" w:num="1"/>
          <w:docGrid w:type="linesAndChars" w:linePitch="312" w:charSpace="0"/>
        </w:sectPr>
      </w:pPr>
    </w:p>
    <w:p>
      <w:pPr>
        <w:pStyle w:val="2"/>
      </w:pPr>
    </w:p>
    <w:sectPr>
      <w:pgSz w:w="16838" w:h="11906" w:orient="landscape"/>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F157A9"/>
    <w:multiLevelType w:val="singleLevel"/>
    <w:tmpl w:val="A5F157A9"/>
    <w:lvl w:ilvl="0" w:tentative="0">
      <w:start w:val="1"/>
      <w:numFmt w:val="decimal"/>
      <w:suff w:val="nothing"/>
      <w:lvlText w:val="%1、"/>
      <w:lvlJc w:val="left"/>
    </w:lvl>
  </w:abstractNum>
  <w:abstractNum w:abstractNumId="1">
    <w:nsid w:val="08BE07E0"/>
    <w:multiLevelType w:val="singleLevel"/>
    <w:tmpl w:val="08BE07E0"/>
    <w:lvl w:ilvl="0" w:tentative="0">
      <w:start w:val="1"/>
      <w:numFmt w:val="decimal"/>
      <w:suff w:val="nothing"/>
      <w:lvlText w:val="%1、"/>
      <w:lvlJc w:val="left"/>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80E51DD"/>
    <w:multiLevelType w:val="singleLevel"/>
    <w:tmpl w:val="480E51DD"/>
    <w:lvl w:ilvl="0" w:tentative="0">
      <w:start w:val="7"/>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zJmNzhlMWNlZTg0ZmI3YWU4MWU1MWMyZWUwMDg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9B456A3"/>
    <w:rsid w:val="0D69314E"/>
    <w:rsid w:val="1D97DEFF"/>
    <w:rsid w:val="1DFF72E5"/>
    <w:rsid w:val="1EFC6F07"/>
    <w:rsid w:val="2D997EA4"/>
    <w:rsid w:val="2E113633"/>
    <w:rsid w:val="2FDF85B8"/>
    <w:rsid w:val="2FFFEE04"/>
    <w:rsid w:val="31990EA4"/>
    <w:rsid w:val="332829AB"/>
    <w:rsid w:val="336549EA"/>
    <w:rsid w:val="34DF85B0"/>
    <w:rsid w:val="3B8F36BC"/>
    <w:rsid w:val="3DB05DEF"/>
    <w:rsid w:val="3F474BFD"/>
    <w:rsid w:val="43564943"/>
    <w:rsid w:val="491FF225"/>
    <w:rsid w:val="4E952A64"/>
    <w:rsid w:val="4FFD214C"/>
    <w:rsid w:val="52D33F17"/>
    <w:rsid w:val="55046BCF"/>
    <w:rsid w:val="55970CEA"/>
    <w:rsid w:val="55D1347E"/>
    <w:rsid w:val="5777D4F5"/>
    <w:rsid w:val="59DD8326"/>
    <w:rsid w:val="5A7E0556"/>
    <w:rsid w:val="5DEF592A"/>
    <w:rsid w:val="5F4D1C30"/>
    <w:rsid w:val="5FC6BB1E"/>
    <w:rsid w:val="5FF720F1"/>
    <w:rsid w:val="654B72EA"/>
    <w:rsid w:val="67FF5C0B"/>
    <w:rsid w:val="6EFC0924"/>
    <w:rsid w:val="6F990F99"/>
    <w:rsid w:val="6FB74722"/>
    <w:rsid w:val="6FEF8B7E"/>
    <w:rsid w:val="71A6591B"/>
    <w:rsid w:val="72385ACB"/>
    <w:rsid w:val="732C518C"/>
    <w:rsid w:val="737D59BA"/>
    <w:rsid w:val="758916B0"/>
    <w:rsid w:val="76027D65"/>
    <w:rsid w:val="77C37683"/>
    <w:rsid w:val="79FF515B"/>
    <w:rsid w:val="7AA81BEF"/>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5"/>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6">
    <w:name w:val="Balloon Text"/>
    <w:basedOn w:val="1"/>
    <w:link w:val="15"/>
    <w:semiHidden/>
    <w:unhideWhenUsed/>
    <w:qFormat/>
    <w:uiPriority w:val="99"/>
    <w:rPr>
      <w:sz w:val="18"/>
      <w:szCs w:val="18"/>
    </w:rPr>
  </w:style>
  <w:style w:type="paragraph" w:styleId="7">
    <w:name w:val="footer"/>
    <w:basedOn w:val="1"/>
    <w:link w:val="12"/>
    <w:unhideWhenUsed/>
    <w:qFormat/>
    <w:uiPriority w:val="99"/>
    <w:pPr>
      <w:tabs>
        <w:tab w:val="center" w:pos="4153"/>
        <w:tab w:val="right" w:pos="8306"/>
      </w:tabs>
      <w:snapToGrid w:val="0"/>
      <w:jc w:val="left"/>
    </w:pPr>
    <w:rPr>
      <w:sz w:val="18"/>
      <w:szCs w:val="18"/>
    </w:rPr>
  </w:style>
  <w:style w:type="paragraph" w:styleId="8">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10"/>
    <w:link w:val="8"/>
    <w:qFormat/>
    <w:uiPriority w:val="99"/>
    <w:rPr>
      <w:sz w:val="18"/>
      <w:szCs w:val="18"/>
    </w:rPr>
  </w:style>
  <w:style w:type="character" w:customStyle="1" w:styleId="12">
    <w:name w:val="页脚 Char"/>
    <w:basedOn w:val="10"/>
    <w:link w:val="7"/>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6"/>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35</Pages>
  <Words>11175</Words>
  <Characters>13900</Characters>
  <Lines>63</Lines>
  <Paragraphs>18</Paragraphs>
  <TotalTime>1</TotalTime>
  <ScaleCrop>false</ScaleCrop>
  <LinksUpToDate>false</LinksUpToDate>
  <CharactersWithSpaces>14498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2024-09-05T14:40:27Z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693858D4BB6640BD8643A4D2FD2738BA_12</vt:lpwstr>
  </property>
</Properties>
</file>