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jc w:val="center"/>
        <w:rPr>
          <w:sz w:val="56"/>
          <w:szCs w:val="56"/>
        </w:rPr>
      </w:pPr>
    </w:p>
    <w:p>
      <w:pPr>
        <w:pStyle w:val="14"/>
        <w:jc w:val="center"/>
        <w:rPr>
          <w:sz w:val="56"/>
          <w:szCs w:val="56"/>
        </w:rPr>
      </w:pPr>
    </w:p>
    <w:p>
      <w:pPr>
        <w:pStyle w:val="14"/>
        <w:jc w:val="center"/>
        <w:rPr>
          <w:sz w:val="84"/>
          <w:szCs w:val="84"/>
        </w:rPr>
      </w:pPr>
    </w:p>
    <w:p>
      <w:pPr>
        <w:pStyle w:val="14"/>
        <w:jc w:val="center"/>
        <w:rPr>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color w:val="auto"/>
          <w:sz w:val="84"/>
          <w:szCs w:val="84"/>
        </w:rPr>
        <w:t>湖南省农村能源技术推广站</w:t>
      </w:r>
      <w:r>
        <w:rPr>
          <w:rFonts w:hint="eastAsia" w:ascii="方正小标宋_GBK" w:hAnsi="方正小标宋_GBK" w:eastAsia="方正小标宋_GBK" w:cs="方正小标宋_GBK"/>
          <w:sz w:val="84"/>
          <w:szCs w:val="84"/>
        </w:rPr>
        <w:t>部门决算</w:t>
      </w:r>
    </w:p>
    <w:p>
      <w:pPr>
        <w:pStyle w:val="14"/>
        <w:jc w:val="center"/>
        <w:rPr>
          <w:rFonts w:hint="eastAsia" w:ascii="方正小标宋_GBK" w:hAnsi="方正小标宋_GBK" w:eastAsia="方正小标宋_GBK" w:cs="方正小标宋_GBK"/>
          <w:sz w:val="56"/>
          <w:szCs w:val="56"/>
        </w:rPr>
      </w:pPr>
    </w:p>
    <w:p>
      <w:pPr>
        <w:pStyle w:val="14"/>
        <w:jc w:val="center"/>
        <w:rPr>
          <w:sz w:val="56"/>
          <w:szCs w:val="56"/>
        </w:rPr>
      </w:pPr>
    </w:p>
    <w:p>
      <w:pPr>
        <w:pStyle w:val="14"/>
        <w:jc w:val="center"/>
        <w:rPr>
          <w:sz w:val="56"/>
          <w:szCs w:val="56"/>
        </w:rPr>
      </w:pPr>
    </w:p>
    <w:p>
      <w:pPr>
        <w:pStyle w:val="14"/>
        <w:jc w:val="center"/>
        <w:rPr>
          <w:sz w:val="56"/>
          <w:szCs w:val="56"/>
        </w:rPr>
      </w:pPr>
    </w:p>
    <w:p>
      <w:pPr>
        <w:pStyle w:val="14"/>
        <w:jc w:val="center"/>
        <w:rPr>
          <w:sz w:val="32"/>
          <w:szCs w:val="32"/>
        </w:rPr>
      </w:pPr>
    </w:p>
    <w:p>
      <w:pPr>
        <w:pStyle w:val="14"/>
        <w:jc w:val="center"/>
        <w:rPr>
          <w:sz w:val="32"/>
          <w:szCs w:val="32"/>
        </w:rPr>
      </w:pPr>
    </w:p>
    <w:p>
      <w:pPr>
        <w:pStyle w:val="14"/>
        <w:jc w:val="center"/>
        <w:rPr>
          <w:sz w:val="32"/>
          <w:szCs w:val="32"/>
        </w:rPr>
      </w:pPr>
    </w:p>
    <w:p>
      <w:pPr>
        <w:pStyle w:val="14"/>
        <w:spacing w:line="500" w:lineRule="exact"/>
        <w:jc w:val="center"/>
        <w:rPr>
          <w:b/>
          <w:sz w:val="36"/>
          <w:szCs w:val="28"/>
        </w:rPr>
      </w:pPr>
      <w:r>
        <w:rPr>
          <w:rFonts w:hint="eastAsia"/>
          <w:b/>
          <w:sz w:val="36"/>
          <w:szCs w:val="28"/>
        </w:rPr>
        <w:t>目录</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color w:val="auto"/>
          <w:sz w:val="28"/>
          <w:szCs w:val="28"/>
          <w:lang w:val="en-US" w:eastAsia="zh-CN"/>
        </w:rPr>
        <w:t>湖南省农村能源技术推广站</w:t>
      </w:r>
      <w:r>
        <w:rPr>
          <w:rFonts w:hint="eastAsia" w:hAnsi="黑体" w:cs="黑体"/>
          <w:b w:val="0"/>
          <w:bCs/>
          <w:color w:val="auto"/>
          <w:sz w:val="28"/>
          <w:szCs w:val="28"/>
          <w:lang w:val="en-US" w:eastAsia="zh-CN"/>
        </w:rPr>
        <w:t>单位</w:t>
      </w:r>
      <w:r>
        <w:rPr>
          <w:rFonts w:hint="eastAsia" w:ascii="黑体" w:hAnsi="黑体" w:eastAsia="黑体" w:cs="黑体"/>
          <w:b w:val="0"/>
          <w:bCs/>
          <w:color w:val="auto"/>
          <w:sz w:val="28"/>
          <w:szCs w:val="28"/>
        </w:rPr>
        <w:t>概况</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七、财政拨款三公经费支出决算情况说明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4"/>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4"/>
        <w:spacing w:line="500" w:lineRule="exact"/>
        <w:rPr>
          <w:rFonts w:hint="eastAsia" w:ascii="黑体" w:hAnsi="黑体" w:eastAsia="黑体" w:cs="黑体"/>
          <w:b w:val="0"/>
          <w:bCs/>
          <w:sz w:val="28"/>
          <w:szCs w:val="28"/>
        </w:rPr>
      </w:pPr>
    </w:p>
    <w:p>
      <w:pPr>
        <w:jc w:val="center"/>
        <w:rPr>
          <w:sz w:val="72"/>
          <w:szCs w:val="72"/>
        </w:rPr>
      </w:pPr>
    </w:p>
    <w:p>
      <w:pPr>
        <w:jc w:val="center"/>
        <w:rPr>
          <w:sz w:val="72"/>
          <w:szCs w:val="72"/>
        </w:rPr>
      </w:pPr>
    </w:p>
    <w:p>
      <w:pPr>
        <w:jc w:val="center"/>
        <w:rPr>
          <w:sz w:val="72"/>
          <w:szCs w:val="72"/>
        </w:rPr>
      </w:pPr>
    </w:p>
    <w:p>
      <w:pP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color w:val="auto"/>
          <w:sz w:val="84"/>
          <w:szCs w:val="84"/>
        </w:rPr>
        <w:t>湖南省农村能源技术推广站</w:t>
      </w:r>
      <w:r>
        <w:rPr>
          <w:rFonts w:hint="eastAsia" w:ascii="方正小标宋_GBK" w:hAnsi="方正小标宋_GBK" w:eastAsia="方正小标宋_GBK" w:cs="方正小标宋_GBK"/>
          <w:sz w:val="84"/>
          <w:szCs w:val="84"/>
        </w:rPr>
        <w:t>概况</w:t>
      </w:r>
    </w:p>
    <w:p>
      <w:pPr>
        <w:jc w:val="center"/>
        <w:rPr>
          <w:rFonts w:hint="eastAsia" w:ascii="方正小标宋_GBK" w:hAnsi="方正小标宋_GBK" w:eastAsia="方正小标宋_GBK" w:cs="方正小标宋_GBK"/>
          <w:sz w:val="72"/>
          <w:szCs w:val="72"/>
        </w:rPr>
      </w:pPr>
    </w:p>
    <w:p>
      <w:pPr>
        <w:jc w:val="center"/>
        <w:rPr>
          <w:rFonts w:hint="eastAsia" w:ascii="方正小标宋_GBK" w:hAnsi="方正小标宋_GBK" w:eastAsia="方正小标宋_GBK" w:cs="方正小标宋_GBK"/>
          <w:sz w:val="72"/>
          <w:szCs w:val="72"/>
        </w:rPr>
      </w:pPr>
    </w:p>
    <w:p>
      <w:pPr>
        <w:jc w:val="center"/>
        <w:rPr>
          <w:sz w:val="72"/>
          <w:szCs w:val="72"/>
        </w:rPr>
      </w:pPr>
    </w:p>
    <w:p>
      <w:pPr>
        <w:jc w:val="center"/>
        <w:rPr>
          <w:sz w:val="72"/>
          <w:szCs w:val="72"/>
        </w:rPr>
      </w:pPr>
    </w:p>
    <w:p>
      <w:pPr>
        <w:jc w:val="center"/>
        <w:rPr>
          <w:sz w:val="72"/>
          <w:szCs w:val="72"/>
        </w:rPr>
      </w:pPr>
    </w:p>
    <w:p>
      <w:pPr>
        <w:pStyle w:val="15"/>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spacing w:before="296" w:line="600" w:lineRule="exact"/>
        <w:ind w:left="629"/>
        <w:rPr>
          <w:rFonts w:ascii="仿宋" w:hAnsi="仿宋" w:eastAsia="仿宋" w:cs="仿宋"/>
          <w:color w:val="auto"/>
          <w:sz w:val="31"/>
          <w:szCs w:val="31"/>
        </w:rPr>
      </w:pPr>
      <w:r>
        <w:rPr>
          <w:rFonts w:ascii="仿宋" w:hAnsi="仿宋" w:eastAsia="仿宋" w:cs="仿宋"/>
          <w:color w:val="auto"/>
          <w:spacing w:val="9"/>
          <w:position w:val="21"/>
          <w:sz w:val="31"/>
          <w:szCs w:val="31"/>
        </w:rPr>
        <w:t>承担我省农村能源科研、新技术引进；试点</w:t>
      </w:r>
      <w:r>
        <w:rPr>
          <w:rFonts w:ascii="仿宋" w:hAnsi="仿宋" w:eastAsia="仿宋" w:cs="仿宋"/>
          <w:color w:val="auto"/>
          <w:spacing w:val="8"/>
          <w:position w:val="21"/>
          <w:sz w:val="31"/>
          <w:szCs w:val="31"/>
        </w:rPr>
        <w:t>示范推广等任务。</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keepNext w:val="0"/>
        <w:keepLines w:val="0"/>
        <w:pageBreakBefore w:val="0"/>
        <w:widowControl/>
        <w:kinsoku/>
        <w:wordWrap/>
        <w:overflowPunct/>
        <w:topLinePunct w:val="0"/>
        <w:autoSpaceDE/>
        <w:autoSpaceDN/>
        <w:bidi w:val="0"/>
        <w:adjustRightInd/>
        <w:snapToGrid/>
        <w:spacing w:line="480" w:lineRule="auto"/>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w:t>
      </w:r>
      <w:r>
        <w:rPr>
          <w:rFonts w:hint="eastAsia" w:ascii="Times New Roman" w:hAnsi="Times New Roman" w:eastAsia="仿宋_GB2312" w:cs="仿宋_GB2312"/>
          <w:bCs/>
          <w:color w:val="auto"/>
          <w:kern w:val="0"/>
          <w:sz w:val="30"/>
          <w:szCs w:val="32"/>
        </w:rPr>
        <w:t>我站为正科级二类事业单位，单位未设置内设机构，人员编制</w:t>
      </w:r>
      <w:r>
        <w:rPr>
          <w:rFonts w:hint="eastAsia" w:ascii="Times New Roman" w:hAnsi="Times New Roman" w:eastAsia="仿宋_GB2312" w:cs="仿宋_GB2312"/>
          <w:bCs/>
          <w:color w:val="auto"/>
          <w:kern w:val="0"/>
          <w:sz w:val="30"/>
          <w:szCs w:val="32"/>
          <w:lang w:val="en-US" w:eastAsia="zh-CN"/>
        </w:rPr>
        <w:t>5</w:t>
      </w:r>
      <w:r>
        <w:rPr>
          <w:rFonts w:hint="eastAsia" w:ascii="Times New Roman" w:hAnsi="Times New Roman" w:eastAsia="仿宋_GB2312" w:cs="仿宋_GB2312"/>
          <w:bCs/>
          <w:color w:val="auto"/>
          <w:kern w:val="0"/>
          <w:sz w:val="30"/>
          <w:szCs w:val="32"/>
        </w:rPr>
        <w:t>人，现有在职员工</w:t>
      </w:r>
      <w:r>
        <w:rPr>
          <w:rFonts w:hint="eastAsia" w:ascii="Times New Roman" w:hAnsi="Times New Roman" w:eastAsia="仿宋_GB2312" w:cs="仿宋_GB2312"/>
          <w:bCs/>
          <w:color w:val="auto"/>
          <w:kern w:val="0"/>
          <w:sz w:val="30"/>
          <w:szCs w:val="32"/>
          <w:lang w:val="en-US" w:eastAsia="zh-CN"/>
        </w:rPr>
        <w:t>4</w:t>
      </w:r>
      <w:r>
        <w:rPr>
          <w:rFonts w:hint="eastAsia" w:ascii="Times New Roman" w:hAnsi="Times New Roman" w:eastAsia="仿宋_GB2312" w:cs="仿宋_GB2312"/>
          <w:bCs/>
          <w:color w:val="auto"/>
          <w:kern w:val="0"/>
          <w:sz w:val="30"/>
          <w:szCs w:val="32"/>
        </w:rPr>
        <w:t>人。</w:t>
      </w:r>
    </w:p>
    <w:p>
      <w:pPr>
        <w:widowControl/>
        <w:spacing w:line="600" w:lineRule="exact"/>
        <w:ind w:firstLine="640" w:firstLineChars="200"/>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rPr>
        <w:t>（二）决算单位构成。</w:t>
      </w:r>
      <w:r>
        <w:rPr>
          <w:rFonts w:ascii="仿宋_GB2312" w:eastAsia="仿宋_GB2312" w:hAnsiTheme="minorEastAsia"/>
          <w:color w:val="auto"/>
          <w:sz w:val="30"/>
          <w:szCs w:val="32"/>
        </w:rPr>
        <w:t>湖南省农村能源技术推广站</w:t>
      </w:r>
      <w:r>
        <w:rPr>
          <w:rFonts w:hint="eastAsia" w:ascii="Times New Roman" w:hAnsi="Times New Roman" w:eastAsia="仿宋_GB2312" w:cs="仿宋_GB2312"/>
          <w:bCs/>
          <w:kern w:val="0"/>
          <w:sz w:val="32"/>
          <w:szCs w:val="32"/>
        </w:rPr>
        <w:t>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年部门决算汇总公开单位构成包括：</w:t>
      </w:r>
      <w:r>
        <w:rPr>
          <w:rFonts w:ascii="仿宋_GB2312" w:eastAsia="仿宋_GB2312" w:hAnsiTheme="minorEastAsia"/>
          <w:color w:val="auto"/>
          <w:sz w:val="30"/>
          <w:szCs w:val="32"/>
        </w:rPr>
        <w:t>湖南省农村能源技术推广站</w:t>
      </w:r>
      <w:r>
        <w:rPr>
          <w:rFonts w:hint="eastAsia" w:ascii="Times New Roman" w:hAnsi="Times New Roman" w:eastAsia="仿宋_GB2312" w:cs="仿宋_GB2312"/>
          <w:bCs/>
          <w:kern w:val="0"/>
          <w:sz w:val="32"/>
          <w:szCs w:val="32"/>
        </w:rPr>
        <w:t>本级</w:t>
      </w:r>
      <w:r>
        <w:rPr>
          <w:rFonts w:hint="eastAsia" w:ascii="Times New Roman" w:hAnsi="Times New Roman" w:eastAsia="仿宋_GB2312" w:cs="仿宋_GB2312"/>
          <w:bCs/>
          <w:kern w:val="0"/>
          <w:sz w:val="32"/>
          <w:szCs w:val="32"/>
          <w:lang w:eastAsia="zh-CN"/>
        </w:rPr>
        <w:t>。</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tbl>
      <w:tblPr>
        <w:tblStyle w:val="9"/>
        <w:tblW w:w="13357" w:type="dxa"/>
        <w:tblInd w:w="82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637"/>
        <w:gridCol w:w="603"/>
        <w:gridCol w:w="1348"/>
        <w:gridCol w:w="4349"/>
        <w:gridCol w:w="603"/>
        <w:gridCol w:w="18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60" w:hRule="atLeast"/>
        </w:trPr>
        <w:tc>
          <w:tcPr>
            <w:tcW w:w="13357" w:type="dxa"/>
            <w:gridSpan w:val="6"/>
            <w:tcBorders>
              <w:top w:val="nil"/>
              <w:left w:val="nil"/>
              <w:bottom w:val="nil"/>
              <w:right w:val="nil"/>
            </w:tcBorders>
            <w:shd w:val="clear" w:color="auto" w:fill="auto"/>
            <w:noWrap/>
            <w:tcMar>
              <w:top w:w="10" w:type="dxa"/>
              <w:left w:w="10" w:type="dxa"/>
              <w:right w:w="10" w:type="dxa"/>
            </w:tcMar>
            <w:vAlign w:val="center"/>
          </w:tcPr>
          <w:p>
            <w:pPr>
              <w:widowControl/>
              <w:jc w:val="center"/>
              <w:rPr>
                <w:rFonts w:hint="eastAsia" w:ascii="宋体" w:hAnsi="宋体" w:eastAsia="宋体" w:cs="宋体"/>
                <w:b/>
                <w:i w:val="0"/>
                <w:color w:val="000000"/>
                <w:sz w:val="24"/>
                <w:szCs w:val="24"/>
                <w:u w:val="none"/>
              </w:rPr>
            </w:pPr>
            <w:r>
              <w:rPr>
                <w:rFonts w:ascii="Times New Roman" w:hAnsi="Times New Roman" w:eastAsia="黑体" w:cs="Times New Roman"/>
                <w:bCs/>
                <w:kern w:val="0"/>
                <w:sz w:val="30"/>
                <w:szCs w:val="30"/>
              </w:rPr>
              <w:br w:type="page"/>
            </w:r>
            <w:r>
              <w:rPr>
                <w:rFonts w:hint="eastAsia" w:ascii="宋体" w:hAnsi="宋体" w:eastAsia="宋体" w:cs="宋体"/>
                <w:b/>
                <w:i w:val="0"/>
                <w:color w:val="000000"/>
                <w:kern w:val="0"/>
                <w:sz w:val="30"/>
                <w:szCs w:val="30"/>
                <w:u w:val="none"/>
                <w:lang w:val="en-US" w:eastAsia="zh-CN" w:bidi="ar"/>
              </w:rPr>
              <w:t>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4637"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603"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348"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349"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603"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817"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4637" w:type="dxa"/>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default"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部门：湖南省农村能源技术推广站</w:t>
            </w:r>
          </w:p>
        </w:tc>
        <w:tc>
          <w:tcPr>
            <w:tcW w:w="603"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348"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349"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603"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817"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658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收入</w:t>
            </w:r>
          </w:p>
        </w:tc>
        <w:tc>
          <w:tcPr>
            <w:tcW w:w="676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6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4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4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6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一、一般公共预算财政拨款收入</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63.89</w:t>
            </w:r>
          </w:p>
        </w:tc>
        <w:tc>
          <w:tcPr>
            <w:tcW w:w="4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二、政府性基金预算财政拨款收入</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三、国有资本经营预算财政拨款收入</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四、上级补助收入</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6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五、事业收入</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39.88</w:t>
            </w:r>
          </w:p>
        </w:tc>
        <w:tc>
          <w:tcPr>
            <w:tcW w:w="4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6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六、经营收入</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6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七、附属单位上缴收入</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6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八、其他收入</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0.06</w:t>
            </w:r>
          </w:p>
        </w:tc>
        <w:tc>
          <w:tcPr>
            <w:tcW w:w="4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6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6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6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128.78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6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6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6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6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6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6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103.83</w:t>
            </w:r>
          </w:p>
        </w:tc>
        <w:tc>
          <w:tcPr>
            <w:tcW w:w="4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128.78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6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使用非财政拨款结余和专用结余</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24.96</w:t>
            </w:r>
          </w:p>
        </w:tc>
        <w:tc>
          <w:tcPr>
            <w:tcW w:w="4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结余分配</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年初结转和结余</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年末结转和结余</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6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6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128.78</w:t>
            </w:r>
          </w:p>
        </w:tc>
        <w:tc>
          <w:tcPr>
            <w:tcW w:w="43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128.78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3357" w:type="dxa"/>
            <w:gridSpan w:val="6"/>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注：1.本表反映部门本年度的总收支和年末结转结余情况。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3357" w:type="dxa"/>
            <w:gridSpan w:val="6"/>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2.本套报表金额单位转换时可能存在尾数误差。</w:t>
            </w:r>
          </w:p>
        </w:tc>
      </w:tr>
    </w:tbl>
    <w:p>
      <w:pPr>
        <w:widowControl/>
        <w:jc w:val="left"/>
        <w:rPr>
          <w:rFonts w:ascii="Times New Roman" w:hAnsi="Times New Roman" w:eastAsia="黑体" w:cs="Times New Roman"/>
          <w:bCs/>
          <w:kern w:val="0"/>
          <w:sz w:val="32"/>
          <w:szCs w:val="32"/>
        </w:rPr>
      </w:pPr>
    </w:p>
    <w:p>
      <w:pPr>
        <w:widowControl/>
        <w:rPr>
          <w:rFonts w:ascii="Times New Roman" w:hAnsi="Times New Roman" w:eastAsia="方正小标宋_GBK" w:cs="Times New Roman"/>
          <w:color w:val="000000"/>
          <w:kern w:val="0"/>
          <w:sz w:val="36"/>
          <w:szCs w:val="36"/>
        </w:rPr>
      </w:pPr>
    </w:p>
    <w:p>
      <w:pPr>
        <w:widowControl/>
        <w:jc w:val="both"/>
        <w:rPr>
          <w:rFonts w:ascii="Times New Roman" w:hAnsi="Times New Roman" w:eastAsia="方正小标宋_GBK" w:cs="Times New Roman"/>
          <w:color w:val="000000"/>
          <w:kern w:val="0"/>
          <w:sz w:val="36"/>
          <w:szCs w:val="21"/>
        </w:rPr>
      </w:pPr>
    </w:p>
    <w:p>
      <w:pPr>
        <w:widowControl/>
        <w:jc w:val="center"/>
        <w:rPr>
          <w:rFonts w:ascii="Times New Roman" w:hAnsi="Times New Roman" w:eastAsia="方正小标宋_GBK" w:cs="Times New Roman"/>
          <w:kern w:val="0"/>
          <w:sz w:val="36"/>
          <w:szCs w:val="36"/>
        </w:rPr>
      </w:pPr>
      <w:bookmarkStart w:id="0" w:name="RANGE!A1:I22"/>
      <w:bookmarkEnd w:id="0"/>
      <w:bookmarkStart w:id="1" w:name="RANGE!A1:F16"/>
    </w:p>
    <w:p>
      <w:pPr>
        <w:widowControl/>
        <w:jc w:val="center"/>
        <w:rPr>
          <w:rFonts w:ascii="Times New Roman" w:hAnsi="Times New Roman" w:eastAsia="方正小标宋_GBK" w:cs="Times New Roman"/>
          <w:kern w:val="0"/>
          <w:sz w:val="36"/>
          <w:szCs w:val="36"/>
        </w:rPr>
      </w:pPr>
    </w:p>
    <w:bookmarkEnd w:id="1"/>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p>
      <w:pPr>
        <w:pStyle w:val="2"/>
        <w:rPr>
          <w:rFonts w:ascii="Times New Roman" w:hAnsi="Times New Roman" w:eastAsia="仿宋_GB2312" w:cs="Times New Roman"/>
          <w:bCs/>
          <w:kern w:val="0"/>
          <w:szCs w:val="21"/>
        </w:rPr>
      </w:pPr>
    </w:p>
    <w:p>
      <w:pPr>
        <w:pStyle w:val="3"/>
        <w:rPr>
          <w:rFonts w:ascii="Times New Roman" w:hAnsi="Times New Roman" w:eastAsia="仿宋_GB2312" w:cs="Times New Roman"/>
          <w:bCs/>
          <w:kern w:val="0"/>
          <w:szCs w:val="21"/>
        </w:rPr>
      </w:pPr>
    </w:p>
    <w:p>
      <w:pPr>
        <w:rPr>
          <w:rFonts w:ascii="Times New Roman" w:hAnsi="Times New Roman" w:eastAsia="仿宋_GB2312" w:cs="Times New Roman"/>
          <w:bCs/>
          <w:kern w:val="0"/>
          <w:szCs w:val="21"/>
        </w:rPr>
      </w:pPr>
    </w:p>
    <w:p>
      <w:pPr>
        <w:pStyle w:val="2"/>
        <w:rPr>
          <w:rFonts w:ascii="Times New Roman" w:hAnsi="Times New Roman" w:eastAsia="仿宋_GB2312" w:cs="Times New Roman"/>
          <w:bCs/>
          <w:kern w:val="0"/>
          <w:szCs w:val="21"/>
        </w:rPr>
      </w:pPr>
    </w:p>
    <w:tbl>
      <w:tblPr>
        <w:tblStyle w:val="9"/>
        <w:tblW w:w="1509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64"/>
        <w:gridCol w:w="264"/>
        <w:gridCol w:w="264"/>
        <w:gridCol w:w="1850"/>
        <w:gridCol w:w="1929"/>
        <w:gridCol w:w="1838"/>
        <w:gridCol w:w="1746"/>
        <w:gridCol w:w="1838"/>
        <w:gridCol w:w="1746"/>
        <w:gridCol w:w="1746"/>
        <w:gridCol w:w="16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15097" w:type="dxa"/>
            <w:gridSpan w:val="11"/>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收入决算表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85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929"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838"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746"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838"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746"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746"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612"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公开02表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4571" w:type="dxa"/>
            <w:gridSpan w:val="5"/>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default"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部门：湖南省农村能源技术推广站</w:t>
            </w:r>
          </w:p>
        </w:tc>
        <w:tc>
          <w:tcPr>
            <w:tcW w:w="1838"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746"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838"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746"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746"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612"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64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92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本年收入合计</w:t>
            </w:r>
          </w:p>
        </w:tc>
        <w:tc>
          <w:tcPr>
            <w:tcW w:w="183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财政拨款收入</w:t>
            </w:r>
          </w:p>
        </w:tc>
        <w:tc>
          <w:tcPr>
            <w:tcW w:w="174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上级补助收入</w:t>
            </w:r>
          </w:p>
        </w:tc>
        <w:tc>
          <w:tcPr>
            <w:tcW w:w="183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事业收入</w:t>
            </w:r>
          </w:p>
        </w:tc>
        <w:tc>
          <w:tcPr>
            <w:tcW w:w="174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经营收入</w:t>
            </w:r>
          </w:p>
        </w:tc>
        <w:tc>
          <w:tcPr>
            <w:tcW w:w="174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附属单位上缴收入</w:t>
            </w:r>
          </w:p>
        </w:tc>
        <w:tc>
          <w:tcPr>
            <w:tcW w:w="161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79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185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79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5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79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5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64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83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74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83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74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74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6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64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9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103.83</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63.89</w:t>
            </w: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39.88</w:t>
            </w: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79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18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9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103.83</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63.89</w:t>
            </w: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39.88</w:t>
            </w: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79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18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9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103.83</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63.89</w:t>
            </w: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39.88</w:t>
            </w: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79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18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9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10.99</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10.99</w:t>
            </w: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79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2130104</w:t>
            </w:r>
          </w:p>
        </w:tc>
        <w:tc>
          <w:tcPr>
            <w:tcW w:w="18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19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92.84</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52.90</w:t>
            </w: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39.88</w:t>
            </w: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5097" w:type="dxa"/>
            <w:gridSpan w:val="11"/>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注：本表反映部门本年度取得的各项收入情况。</w:t>
            </w:r>
          </w:p>
        </w:tc>
      </w:tr>
    </w:tbl>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3"/>
      </w:pPr>
    </w:p>
    <w:tbl>
      <w:tblPr>
        <w:tblStyle w:val="9"/>
        <w:tblW w:w="13523" w:type="dxa"/>
        <w:tblInd w:w="100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48"/>
        <w:gridCol w:w="248"/>
        <w:gridCol w:w="926"/>
        <w:gridCol w:w="3538"/>
        <w:gridCol w:w="1583"/>
        <w:gridCol w:w="1396"/>
        <w:gridCol w:w="1264"/>
        <w:gridCol w:w="1264"/>
        <w:gridCol w:w="1264"/>
        <w:gridCol w:w="17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13523" w:type="dxa"/>
            <w:gridSpan w:val="10"/>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248"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48"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92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3538"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583"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396"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264"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264"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264"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792"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公开03表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6543" w:type="dxa"/>
            <w:gridSpan w:val="5"/>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default"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部门：湖南省农村能源技术推广站</w:t>
            </w:r>
          </w:p>
        </w:tc>
        <w:tc>
          <w:tcPr>
            <w:tcW w:w="1396"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264"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264"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264"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792"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6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58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本年支出合计</w:t>
            </w:r>
          </w:p>
        </w:tc>
        <w:tc>
          <w:tcPr>
            <w:tcW w:w="139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126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c>
          <w:tcPr>
            <w:tcW w:w="126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上缴上级支出</w:t>
            </w:r>
          </w:p>
        </w:tc>
        <w:tc>
          <w:tcPr>
            <w:tcW w:w="126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经营支出</w:t>
            </w:r>
          </w:p>
        </w:tc>
        <w:tc>
          <w:tcPr>
            <w:tcW w:w="179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42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353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42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53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42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53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6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5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39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7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6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128.78</w:t>
            </w:r>
          </w:p>
        </w:tc>
        <w:tc>
          <w:tcPr>
            <w:tcW w:w="13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128.78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4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35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128.78</w:t>
            </w:r>
          </w:p>
        </w:tc>
        <w:tc>
          <w:tcPr>
            <w:tcW w:w="13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128.78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4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35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128.78</w:t>
            </w:r>
          </w:p>
        </w:tc>
        <w:tc>
          <w:tcPr>
            <w:tcW w:w="13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128.78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4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35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10.99</w:t>
            </w:r>
          </w:p>
        </w:tc>
        <w:tc>
          <w:tcPr>
            <w:tcW w:w="13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10.99</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4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2130104</w:t>
            </w:r>
          </w:p>
        </w:tc>
        <w:tc>
          <w:tcPr>
            <w:tcW w:w="35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117.79</w:t>
            </w:r>
          </w:p>
        </w:tc>
        <w:tc>
          <w:tcPr>
            <w:tcW w:w="13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117.79</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7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3523" w:type="dxa"/>
            <w:gridSpan w:val="10"/>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注：本表反映部门本年度各项支出情况。</w:t>
            </w:r>
          </w:p>
        </w:tc>
      </w:tr>
    </w:tbl>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Pr>
        <w:pStyle w:val="2"/>
      </w:pPr>
    </w:p>
    <w:tbl>
      <w:tblPr>
        <w:tblStyle w:val="9"/>
        <w:tblW w:w="156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113"/>
        <w:gridCol w:w="482"/>
        <w:gridCol w:w="1332"/>
        <w:gridCol w:w="4215"/>
        <w:gridCol w:w="482"/>
        <w:gridCol w:w="720"/>
        <w:gridCol w:w="1332"/>
        <w:gridCol w:w="1263"/>
        <w:gridCol w:w="16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60" w:hRule="atLeast"/>
        </w:trPr>
        <w:tc>
          <w:tcPr>
            <w:tcW w:w="15625" w:type="dxa"/>
            <w:gridSpan w:val="9"/>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财政拨款收入支出决算总表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4113"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82"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332"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215"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82"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720"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332"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263"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686"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公开04表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5927" w:type="dxa"/>
            <w:gridSpan w:val="3"/>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部门：湖南省农村能源技术推广</w:t>
            </w:r>
          </w:p>
        </w:tc>
        <w:tc>
          <w:tcPr>
            <w:tcW w:w="4215"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82"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720"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332"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263"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686"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92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     入</w:t>
            </w:r>
          </w:p>
        </w:tc>
        <w:tc>
          <w:tcPr>
            <w:tcW w:w="9698"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5" w:hRule="atLeast"/>
        </w:trPr>
        <w:tc>
          <w:tcPr>
            <w:tcW w:w="411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48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33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421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48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33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一般公共预算财政拨款</w:t>
            </w:r>
          </w:p>
        </w:tc>
        <w:tc>
          <w:tcPr>
            <w:tcW w:w="126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政府性基金预算财政拨款</w:t>
            </w:r>
          </w:p>
        </w:tc>
        <w:tc>
          <w:tcPr>
            <w:tcW w:w="168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41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2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w:t>
            </w: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63.89</w:t>
            </w: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w:t>
            </w: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w:t>
            </w: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63.89</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63.89</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63.89</w:t>
            </w: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63.89</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63.89</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年初财政拨款结转和结余</w:t>
            </w: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年末财政拨款结转和结余</w:t>
            </w: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一般公共预算财政拨款</w:t>
            </w: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政府性基金预算财政拨款</w:t>
            </w: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国有资本经营预算财政拨款</w:t>
            </w: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1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63.89</w:t>
            </w:r>
          </w:p>
        </w:tc>
        <w:tc>
          <w:tcPr>
            <w:tcW w:w="42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63.89</w:t>
            </w:r>
          </w:p>
        </w:tc>
        <w:tc>
          <w:tcPr>
            <w:tcW w:w="133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63.89</w:t>
            </w:r>
          </w:p>
        </w:tc>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3939" w:type="dxa"/>
            <w:gridSpan w:val="8"/>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注：本表反映部门本年度一般公共预算财政拨款、政府性基金预算财政拨款和国有资本经营预算财政拨款的总收支和年末结转结余情况。</w:t>
            </w:r>
          </w:p>
        </w:tc>
        <w:tc>
          <w:tcPr>
            <w:tcW w:w="1686" w:type="dxa"/>
            <w:tcBorders>
              <w:top w:val="nil"/>
              <w:left w:val="nil"/>
              <w:bottom w:val="nil"/>
              <w:right w:val="nil"/>
            </w:tcBorders>
            <w:shd w:val="clear" w:color="auto" w:fill="FFFFFF"/>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r>
    </w:tbl>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
      <w:pPr>
        <w:pStyle w:val="2"/>
      </w:pPr>
    </w:p>
    <w:p>
      <w:pPr>
        <w:pStyle w:val="3"/>
      </w:pPr>
    </w:p>
    <w:tbl>
      <w:tblPr>
        <w:tblStyle w:val="9"/>
        <w:tblW w:w="11304" w:type="dxa"/>
        <w:tblInd w:w="146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64"/>
        <w:gridCol w:w="264"/>
        <w:gridCol w:w="659"/>
        <w:gridCol w:w="3300"/>
        <w:gridCol w:w="2363"/>
        <w:gridCol w:w="2260"/>
        <w:gridCol w:w="21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60" w:hRule="atLeast"/>
        </w:trPr>
        <w:tc>
          <w:tcPr>
            <w:tcW w:w="11304" w:type="dxa"/>
            <w:gridSpan w:val="7"/>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一般公共预算财政拨款支出决算表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0" w:hRule="atLeast"/>
        </w:trPr>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659"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330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363"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260"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2194"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公开05表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0" w:hRule="atLeast"/>
        </w:trPr>
        <w:tc>
          <w:tcPr>
            <w:tcW w:w="6850" w:type="dxa"/>
            <w:gridSpan w:val="5"/>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default"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部门：湖南省农村能源技术推广站</w:t>
            </w:r>
          </w:p>
        </w:tc>
        <w:tc>
          <w:tcPr>
            <w:tcW w:w="2260"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2194"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48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6817"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8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330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236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226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219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18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30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3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1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8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30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3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2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1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48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23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48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23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63.89</w:t>
            </w:r>
          </w:p>
        </w:tc>
        <w:tc>
          <w:tcPr>
            <w:tcW w:w="2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63.89</w:t>
            </w:r>
          </w:p>
        </w:tc>
        <w:tc>
          <w:tcPr>
            <w:tcW w:w="2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8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23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63.89</w:t>
            </w:r>
          </w:p>
        </w:tc>
        <w:tc>
          <w:tcPr>
            <w:tcW w:w="2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63.89</w:t>
            </w:r>
          </w:p>
        </w:tc>
        <w:tc>
          <w:tcPr>
            <w:tcW w:w="2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8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23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63.89</w:t>
            </w:r>
          </w:p>
        </w:tc>
        <w:tc>
          <w:tcPr>
            <w:tcW w:w="2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63.89</w:t>
            </w:r>
          </w:p>
        </w:tc>
        <w:tc>
          <w:tcPr>
            <w:tcW w:w="2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8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23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10.99</w:t>
            </w:r>
          </w:p>
        </w:tc>
        <w:tc>
          <w:tcPr>
            <w:tcW w:w="2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10.99</w:t>
            </w:r>
          </w:p>
        </w:tc>
        <w:tc>
          <w:tcPr>
            <w:tcW w:w="2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8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2130104</w:t>
            </w:r>
          </w:p>
        </w:tc>
        <w:tc>
          <w:tcPr>
            <w:tcW w:w="3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23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52.90</w:t>
            </w:r>
          </w:p>
        </w:tc>
        <w:tc>
          <w:tcPr>
            <w:tcW w:w="22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52.90</w:t>
            </w:r>
          </w:p>
        </w:tc>
        <w:tc>
          <w:tcPr>
            <w:tcW w:w="2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304" w:type="dxa"/>
            <w:gridSpan w:val="7"/>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注：本表反映部门本年度一般公共预算财政拨款支出情况。</w:t>
            </w:r>
          </w:p>
        </w:tc>
      </w:tr>
    </w:tbl>
    <w:p/>
    <w:p>
      <w:pPr>
        <w:pStyle w:val="2"/>
      </w:pPr>
    </w:p>
    <w:p>
      <w:pPr>
        <w:pStyle w:val="3"/>
      </w:pPr>
    </w:p>
    <w:p/>
    <w:p>
      <w:pPr>
        <w:pStyle w:val="2"/>
      </w:pPr>
    </w:p>
    <w:p>
      <w:pPr>
        <w:pStyle w:val="3"/>
      </w:pPr>
    </w:p>
    <w:p/>
    <w:p>
      <w:pPr>
        <w:pStyle w:val="2"/>
      </w:pPr>
    </w:p>
    <w:p>
      <w:pPr>
        <w:pStyle w:val="3"/>
      </w:pPr>
    </w:p>
    <w:p/>
    <w:p>
      <w:pPr>
        <w:pStyle w:val="2"/>
      </w:pPr>
    </w:p>
    <w:p>
      <w:pPr>
        <w:pStyle w:val="3"/>
      </w:pPr>
    </w:p>
    <w:p>
      <w:r>
        <w:drawing>
          <wp:inline distT="0" distB="0" distL="114300" distR="114300">
            <wp:extent cx="9777095" cy="6214110"/>
            <wp:effectExtent l="0" t="0" r="1905" b="889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a:stretch>
                      <a:fillRect/>
                    </a:stretch>
                  </pic:blipFill>
                  <pic:spPr>
                    <a:xfrm>
                      <a:off x="0" y="0"/>
                      <a:ext cx="9777095" cy="6214110"/>
                    </a:xfrm>
                    <a:prstGeom prst="rect">
                      <a:avLst/>
                    </a:prstGeom>
                    <a:noFill/>
                    <a:ln>
                      <a:noFill/>
                    </a:ln>
                  </pic:spPr>
                </pic:pic>
              </a:graphicData>
            </a:graphic>
          </wp:inline>
        </w:drawing>
      </w:r>
    </w:p>
    <w:p>
      <w:pPr>
        <w:pStyle w:val="2"/>
      </w:pPr>
    </w:p>
    <w:tbl>
      <w:tblPr>
        <w:tblStyle w:val="9"/>
        <w:tblW w:w="153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03"/>
        <w:gridCol w:w="240"/>
        <w:gridCol w:w="1402"/>
        <w:gridCol w:w="2119"/>
        <w:gridCol w:w="2119"/>
        <w:gridCol w:w="2119"/>
        <w:gridCol w:w="2119"/>
        <w:gridCol w:w="2119"/>
        <w:gridCol w:w="21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0" w:hRule="atLeast"/>
        </w:trPr>
        <w:tc>
          <w:tcPr>
            <w:tcW w:w="15360" w:type="dxa"/>
            <w:gridSpan w:val="9"/>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5" w:hRule="atLeast"/>
        </w:trPr>
        <w:tc>
          <w:tcPr>
            <w:tcW w:w="1003"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40"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140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0" w:hRule="atLeast"/>
        </w:trPr>
        <w:tc>
          <w:tcPr>
            <w:tcW w:w="4764" w:type="dxa"/>
            <w:gridSpan w:val="4"/>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2"/>
                <w:szCs w:val="22"/>
                <w:u w:val="none"/>
                <w:lang w:val="en-US" w:eastAsia="zh-CN" w:bidi="ar"/>
              </w:rPr>
              <w:t>部门：湖南省农村能源技术推广站</w:t>
            </w: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Style w:val="17"/>
                <w:lang w:val="en-US" w:eastAsia="zh-CN" w:bidi="ar"/>
              </w:rPr>
              <w:t xml:space="preserve">   </w:t>
            </w:r>
            <w:r>
              <w:rPr>
                <w:rStyle w:val="18"/>
                <w:lang w:val="en-US" w:eastAsia="zh-CN" w:bidi="ar"/>
              </w:rPr>
              <w:t>目</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年初结转和结余</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本年收入</w:t>
            </w:r>
          </w:p>
        </w:tc>
        <w:tc>
          <w:tcPr>
            <w:tcW w:w="63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9" w:hRule="atLeast"/>
        </w:trPr>
        <w:tc>
          <w:tcPr>
            <w:tcW w:w="124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小计</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15360" w:type="dxa"/>
            <w:gridSpan w:val="9"/>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注：本表反映部门本年度政府性基金预算财政拨款收入、支出及结转和结余情况。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说明：我单位没有政府性基金收入，也没有使用政府性基金安排的支出，故本表无数据。</w:t>
            </w:r>
          </w:p>
        </w:tc>
      </w:tr>
    </w:tbl>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tbl>
      <w:tblPr>
        <w:tblStyle w:val="9"/>
        <w:tblW w:w="151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6"/>
        <w:gridCol w:w="701"/>
        <w:gridCol w:w="2292"/>
        <w:gridCol w:w="3315"/>
        <w:gridCol w:w="3315"/>
        <w:gridCol w:w="41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701"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29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7" w:hRule="atLeast"/>
        </w:trPr>
        <w:tc>
          <w:tcPr>
            <w:tcW w:w="4319" w:type="dxa"/>
            <w:gridSpan w:val="3"/>
            <w:tcBorders>
              <w:top w:val="nil"/>
              <w:left w:val="nil"/>
              <w:bottom w:val="nil"/>
              <w:right w:val="nil"/>
            </w:tcBorders>
            <w:shd w:val="clear" w:color="auto" w:fill="FFFFFF"/>
            <w:noWrap/>
            <w:vAlign w:val="center"/>
          </w:tcPr>
          <w:p>
            <w:pPr>
              <w:jc w:val="left"/>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2"/>
                <w:szCs w:val="22"/>
                <w:u w:val="none"/>
                <w:lang w:val="en-US" w:eastAsia="zh-CN" w:bidi="ar"/>
              </w:rPr>
              <w:t>部门：湖南省农村能源技术推广站</w:t>
            </w: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Fonts w:hint="eastAsia" w:ascii="宋体" w:hAnsi="宋体" w:eastAsia="宋体" w:cs="宋体"/>
                <w:i w:val="0"/>
                <w:color w:val="000000"/>
                <w:kern w:val="0"/>
                <w:sz w:val="22"/>
                <w:szCs w:val="22"/>
                <w:u w:val="none"/>
                <w:lang w:val="en-US" w:eastAsia="zh-CN" w:bidi="ar"/>
              </w:rPr>
              <w:t xml:space="preserve">   </w:t>
            </w:r>
            <w:r>
              <w:rPr>
                <w:rStyle w:val="19"/>
                <w:lang w:val="en-US" w:eastAsia="zh-CN" w:bidi="ar"/>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2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注：本表反映部门本年度国有资本经营预算财政拨款支出情况。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说明：我单位没有使用国有资本经营预算安排的支出，故本表无数据。</w:t>
            </w:r>
          </w:p>
        </w:tc>
      </w:tr>
    </w:tbl>
    <w:p>
      <w:pPr>
        <w:widowControl/>
        <w:jc w:val="center"/>
        <w:rPr>
          <w:rFonts w:hint="eastAsia" w:ascii="Times New Roman" w:hAnsi="Times New Roman" w:eastAsia="方正小标宋_GBK" w:cs="Times New Roman"/>
          <w:color w:val="000000"/>
          <w:kern w:val="0"/>
          <w:sz w:val="36"/>
          <w:szCs w:val="36"/>
        </w:rPr>
      </w:pPr>
    </w:p>
    <w:tbl>
      <w:tblPr>
        <w:tblStyle w:val="9"/>
        <w:tblW w:w="151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20" w:hRule="atLeast"/>
        </w:trPr>
        <w:tc>
          <w:tcPr>
            <w:tcW w:w="3782" w:type="dxa"/>
            <w:gridSpan w:val="3"/>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2"/>
                <w:szCs w:val="22"/>
                <w:u w:val="none"/>
                <w:lang w:val="en-US" w:eastAsia="zh-CN" w:bidi="ar"/>
              </w:rPr>
              <w:t>部门：湖南省农村能源技术推广站</w:t>
            </w: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lang w:val="en-US" w:eastAsia="zh-CN"/>
              </w:rPr>
            </w:pPr>
            <w:r>
              <w:rPr>
                <w:rFonts w:hint="eastAsia"/>
                <w:lang w:val="en-US" w:eastAsia="zh-CN"/>
              </w:rPr>
              <w:t>注：本表反映部门本年度财政拨款“三公”经费支出预决算情况。其中，预算数为“三公”经费全年预算数，反映按规定程序调整后的预算数；决算数是包括当年财政拨款和以前年度结转资金安排的实际支出。</w:t>
            </w:r>
          </w:p>
          <w:p>
            <w:pPr>
              <w:pStyle w:val="2"/>
              <w:rPr>
                <w:rFonts w:hint="eastAsia"/>
              </w:rPr>
            </w:pPr>
            <w:r>
              <w:rPr>
                <w:rFonts w:hint="eastAsia" w:ascii="楷体" w:hAnsi="楷体" w:eastAsia="楷体" w:cs="楷体"/>
                <w:b/>
                <w:bCs/>
                <w:i w:val="0"/>
                <w:color w:val="auto"/>
                <w:kern w:val="0"/>
                <w:sz w:val="24"/>
                <w:szCs w:val="24"/>
                <w:u w:val="none"/>
                <w:lang w:val="en-US" w:eastAsia="zh-CN" w:bidi="ar"/>
              </w:rPr>
              <w:t>说明：</w:t>
            </w:r>
            <w:r>
              <w:rPr>
                <w:rFonts w:hint="eastAsia" w:ascii="楷体" w:hAnsi="楷体" w:eastAsia="楷体" w:cs="楷体"/>
                <w:b/>
                <w:bCs/>
                <w:i w:val="0"/>
                <w:color w:val="auto"/>
                <w:kern w:val="0"/>
                <w:sz w:val="24"/>
                <w:szCs w:val="24"/>
                <w:u w:val="none"/>
                <w:lang w:val="en-US" w:eastAsia="zh-CN"/>
              </w:rPr>
              <w:t>我单位无财政拨款“三公”经费支出，故本表无数据。</w:t>
            </w:r>
          </w:p>
        </w:tc>
      </w:tr>
    </w:tbl>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widowControl/>
        <w:jc w:val="both"/>
        <w:rPr>
          <w:sz w:val="72"/>
          <w:szCs w:val="72"/>
        </w:rPr>
        <w:sectPr>
          <w:pgSz w:w="16838" w:h="11906" w:orient="landscape"/>
          <w:pgMar w:top="720" w:right="720" w:bottom="720" w:left="720" w:header="851" w:footer="992" w:gutter="0"/>
          <w:cols w:space="425" w:num="1"/>
          <w:docGrid w:type="lines" w:linePitch="312" w:charSpace="0"/>
        </w:sectPr>
      </w:pPr>
      <w:r>
        <w:rPr>
          <w:rFonts w:ascii="黑体" w:hAnsi="黑体" w:eastAsia="黑体"/>
          <w:szCs w:val="21"/>
        </w:rPr>
        <w:br w:type="page"/>
      </w:r>
    </w:p>
    <w:p>
      <w:pPr>
        <w:pStyle w:val="14"/>
        <w:rPr>
          <w:sz w:val="72"/>
          <w:szCs w:val="72"/>
        </w:rPr>
      </w:pPr>
    </w:p>
    <w:p>
      <w:pPr>
        <w:pStyle w:val="14"/>
        <w:rPr>
          <w:sz w:val="72"/>
          <w:szCs w:val="72"/>
        </w:rPr>
      </w:pPr>
    </w:p>
    <w:p>
      <w:pPr>
        <w:pStyle w:val="14"/>
        <w:rPr>
          <w:sz w:val="72"/>
          <w:szCs w:val="72"/>
        </w:rPr>
      </w:pPr>
    </w:p>
    <w:p>
      <w:pPr>
        <w:pStyle w:val="14"/>
        <w:rPr>
          <w:sz w:val="72"/>
          <w:szCs w:val="72"/>
        </w:rPr>
      </w:pPr>
    </w:p>
    <w:p>
      <w:pPr>
        <w:pStyle w:val="14"/>
        <w:jc w:val="center"/>
        <w:rPr>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4"/>
        <w:jc w:val="center"/>
        <w:rPr>
          <w:rFonts w:hint="eastAsia" w:ascii="方正小标宋_GBK" w:hAnsi="方正小标宋_GBK" w:eastAsia="方正小标宋_GBK" w:cs="方正小标宋_GBK"/>
          <w:sz w:val="70"/>
          <w:szCs w:val="70"/>
        </w:rPr>
      </w:pPr>
    </w:p>
    <w:p>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pPr>
        <w:widowControl/>
        <w:jc w:val="left"/>
        <w:rPr>
          <w:rFonts w:asciiTheme="minorEastAsia" w:hAnsiTheme="minorEastAsia" w:eastAsiaTheme="minorEastAsia"/>
          <w:sz w:val="32"/>
          <w:szCs w:val="32"/>
        </w:rPr>
      </w:pPr>
      <w:r>
        <w:rPr>
          <w:rFonts w:hint="eastAsia" w:ascii="方正小标宋_GBK" w:hAnsi="方正小标宋_GBK" w:eastAsia="方正小标宋_GBK" w:cs="方正小标宋_GBK"/>
          <w:sz w:val="70"/>
          <w:szCs w:val="70"/>
        </w:rPr>
        <w:br w:type="page"/>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年度收、支总计</w:t>
      </w:r>
      <w:r>
        <w:rPr>
          <w:rFonts w:hint="eastAsia" w:ascii="Times New Roman" w:hAnsi="Times New Roman" w:eastAsia="仿宋_GB2312"/>
          <w:sz w:val="32"/>
          <w:szCs w:val="32"/>
          <w:lang w:val="en-US" w:eastAsia="zh-CN"/>
        </w:rPr>
        <w:t>128.78</w:t>
      </w:r>
      <w:r>
        <w:rPr>
          <w:rFonts w:hint="eastAsia" w:ascii="Times New Roman" w:hAnsi="Times New Roman" w:eastAsia="仿宋_GB2312"/>
          <w:sz w:val="32"/>
          <w:szCs w:val="32"/>
        </w:rPr>
        <w:t>万元。与上年相比，增加</w:t>
      </w:r>
      <w:r>
        <w:rPr>
          <w:rFonts w:hint="eastAsia" w:ascii="Times New Roman" w:hAnsi="Times New Roman" w:eastAsia="仿宋_GB2312"/>
          <w:sz w:val="32"/>
          <w:szCs w:val="32"/>
          <w:lang w:val="en-US" w:eastAsia="zh-CN"/>
        </w:rPr>
        <w:t>0.83</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0.65</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人员经费增加。</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年度收入合计</w:t>
      </w:r>
      <w:r>
        <w:rPr>
          <w:rFonts w:hint="eastAsia" w:ascii="Times New Roman" w:hAnsi="Times New Roman" w:eastAsia="仿宋_GB2312"/>
          <w:sz w:val="32"/>
          <w:szCs w:val="32"/>
          <w:lang w:val="en-US" w:eastAsia="zh-CN"/>
        </w:rPr>
        <w:t>103.83</w:t>
      </w:r>
      <w:r>
        <w:rPr>
          <w:rFonts w:hint="eastAsia" w:ascii="Times New Roman" w:hAnsi="Times New Roman" w:eastAsia="仿宋_GB2312"/>
          <w:sz w:val="32"/>
          <w:szCs w:val="32"/>
        </w:rPr>
        <w:t>万元，其中：财政拨款收入</w:t>
      </w:r>
      <w:r>
        <w:rPr>
          <w:rFonts w:hint="eastAsia" w:ascii="Times New Roman" w:hAnsi="Times New Roman" w:eastAsia="仿宋_GB2312"/>
          <w:sz w:val="32"/>
          <w:szCs w:val="32"/>
          <w:lang w:val="en-US" w:eastAsia="zh-CN"/>
        </w:rPr>
        <w:t>63.89</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61.53</w:t>
      </w:r>
      <w:r>
        <w:rPr>
          <w:rFonts w:hint="eastAsia" w:ascii="Times New Roman" w:hAnsi="Times New Roman" w:eastAsia="仿宋_GB2312"/>
          <w:sz w:val="32"/>
          <w:szCs w:val="32"/>
        </w:rPr>
        <w:t>%；上级补助收入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%；事业收入</w:t>
      </w:r>
      <w:r>
        <w:rPr>
          <w:rFonts w:hint="eastAsia" w:ascii="Times New Roman" w:hAnsi="Times New Roman" w:eastAsia="仿宋_GB2312"/>
          <w:sz w:val="32"/>
          <w:szCs w:val="32"/>
          <w:lang w:val="en-US" w:eastAsia="zh-CN"/>
        </w:rPr>
        <w:t>39.88</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38.47</w:t>
      </w:r>
      <w:r>
        <w:rPr>
          <w:rFonts w:hint="eastAsia" w:ascii="Times New Roman" w:hAnsi="Times New Roman" w:eastAsia="仿宋_GB2312"/>
          <w:sz w:val="32"/>
          <w:szCs w:val="32"/>
        </w:rPr>
        <w:t>%；经营收入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%；附属单位上缴收入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%；其他收入</w:t>
      </w:r>
      <w:r>
        <w:rPr>
          <w:rFonts w:hint="eastAsia" w:ascii="Times New Roman" w:hAnsi="Times New Roman" w:eastAsia="仿宋_GB2312"/>
          <w:sz w:val="32"/>
          <w:szCs w:val="32"/>
          <w:lang w:val="en-US" w:eastAsia="zh-CN"/>
        </w:rPr>
        <w:t>0.06</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年度支出合计</w:t>
      </w:r>
      <w:r>
        <w:rPr>
          <w:rFonts w:hint="eastAsia" w:ascii="Times New Roman" w:hAnsi="Times New Roman" w:eastAsia="仿宋_GB2312"/>
          <w:sz w:val="32"/>
          <w:szCs w:val="32"/>
          <w:lang w:val="en-US" w:eastAsia="zh-CN"/>
        </w:rPr>
        <w:t>128.78</w:t>
      </w:r>
      <w:r>
        <w:rPr>
          <w:rFonts w:hint="eastAsia" w:ascii="Times New Roman" w:hAnsi="Times New Roman" w:eastAsia="仿宋_GB2312"/>
          <w:sz w:val="32"/>
          <w:szCs w:val="32"/>
        </w:rPr>
        <w:t>万元，其中：基本支出</w:t>
      </w:r>
      <w:r>
        <w:rPr>
          <w:rFonts w:hint="eastAsia" w:ascii="Times New Roman" w:hAnsi="Times New Roman" w:eastAsia="仿宋_GB2312"/>
          <w:sz w:val="32"/>
          <w:szCs w:val="32"/>
          <w:lang w:val="en-US" w:eastAsia="zh-CN"/>
        </w:rPr>
        <w:t>128.78</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%；项目支出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%；上缴上级支出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%；对附属单位补助支出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4"/>
        <w:keepNext w:val="0"/>
        <w:keepLines w:val="0"/>
        <w:pageBreakBefore w:val="0"/>
        <w:widowControl w:val="0"/>
        <w:kinsoku/>
        <w:wordWrap/>
        <w:overflowPunct/>
        <w:topLinePunct w:val="0"/>
        <w:bidi w:val="0"/>
        <w:snapToGrid/>
        <w:spacing w:line="600" w:lineRule="exact"/>
        <w:textAlignment w:val="auto"/>
        <w:rPr>
          <w:rFonts w:ascii="Times New Roman" w:hAnsi="Times New Roman" w:eastAsia="仿宋_GB2312"/>
          <w:sz w:val="32"/>
          <w:szCs w:val="32"/>
        </w:rPr>
      </w:pPr>
      <w:r>
        <w:rPr>
          <w:rFonts w:hint="eastAsia" w:ascii="Times New Roman" w:hAnsi="Times New Roman" w:eastAsia="仿宋_GB2312"/>
          <w:sz w:val="32"/>
          <w:szCs w:val="32"/>
        </w:rPr>
        <w:t xml:space="preserve">    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年度财政拨款收、支总计</w:t>
      </w:r>
      <w:r>
        <w:rPr>
          <w:rFonts w:hint="eastAsia" w:ascii="Times New Roman" w:hAnsi="Times New Roman" w:eastAsia="仿宋_GB2312"/>
          <w:sz w:val="32"/>
          <w:szCs w:val="32"/>
          <w:lang w:val="en-US" w:eastAsia="zh-CN"/>
        </w:rPr>
        <w:t>63.89</w:t>
      </w:r>
      <w:r>
        <w:rPr>
          <w:rFonts w:hint="eastAsia" w:ascii="Times New Roman" w:hAnsi="Times New Roman" w:eastAsia="仿宋_GB2312"/>
          <w:sz w:val="32"/>
          <w:szCs w:val="32"/>
        </w:rPr>
        <w:t>万元，与上年相比，减少</w:t>
      </w:r>
      <w:r>
        <w:rPr>
          <w:rFonts w:hint="eastAsia" w:ascii="Times New Roman" w:hAnsi="Times New Roman" w:eastAsia="仿宋_GB2312"/>
          <w:sz w:val="32"/>
          <w:szCs w:val="32"/>
          <w:lang w:val="en-US" w:eastAsia="zh-CN"/>
        </w:rPr>
        <w:t>24</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减少27.31</w:t>
      </w:r>
      <w:r>
        <w:rPr>
          <w:rFonts w:hint="eastAsia" w:ascii="Times New Roman" w:hAnsi="Times New Roman" w:eastAsia="仿宋_GB2312"/>
          <w:sz w:val="32"/>
          <w:szCs w:val="32"/>
        </w:rPr>
        <w:t>%，主要是因为</w:t>
      </w:r>
      <w:r>
        <w:rPr>
          <w:rFonts w:hint="eastAsia" w:ascii="Times New Roman" w:hAnsi="Times New Roman" w:eastAsia="仿宋_GB2312"/>
          <w:color w:val="auto"/>
          <w:sz w:val="32"/>
          <w:szCs w:val="32"/>
        </w:rPr>
        <w:t>农业生产发展</w:t>
      </w:r>
      <w:r>
        <w:rPr>
          <w:rFonts w:hint="eastAsia" w:ascii="Times New Roman" w:hAnsi="Times New Roman" w:eastAsia="仿宋_GB2312"/>
          <w:color w:val="auto"/>
          <w:sz w:val="32"/>
          <w:szCs w:val="32"/>
          <w:lang w:val="en-US" w:eastAsia="zh-CN"/>
        </w:rPr>
        <w:t>项目资金减少。</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（一）一般公共预算财政拨款支出决算总体情况</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 xml:space="preserve"> 2</w:t>
      </w:r>
      <w:r>
        <w:rPr>
          <w:rFonts w:hint="eastAsia" w:ascii="Times New Roman" w:hAnsi="Times New Roman" w:eastAsia="仿宋_GB2312"/>
          <w:sz w:val="32"/>
          <w:szCs w:val="32"/>
        </w:rPr>
        <w:t>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63.89</w:t>
      </w:r>
      <w:r>
        <w:rPr>
          <w:rFonts w:hint="eastAsia" w:ascii="Times New Roman" w:hAnsi="Times New Roman" w:eastAsia="仿宋_GB2312"/>
          <w:sz w:val="32"/>
          <w:szCs w:val="32"/>
        </w:rPr>
        <w:t>万元，占本年支出合计的</w:t>
      </w:r>
      <w:r>
        <w:rPr>
          <w:rFonts w:hint="eastAsia" w:ascii="Times New Roman" w:hAnsi="Times New Roman" w:eastAsia="仿宋_GB2312"/>
          <w:sz w:val="32"/>
          <w:szCs w:val="32"/>
          <w:lang w:val="en-US" w:eastAsia="zh-CN"/>
        </w:rPr>
        <w:t>49.61</w:t>
      </w:r>
      <w:r>
        <w:rPr>
          <w:rFonts w:hint="eastAsia" w:ascii="Times New Roman" w:hAnsi="Times New Roman" w:eastAsia="仿宋_GB2312"/>
          <w:sz w:val="32"/>
          <w:szCs w:val="32"/>
        </w:rPr>
        <w:t>%，与上年相比，财政拨款支出减少</w:t>
      </w:r>
      <w:r>
        <w:rPr>
          <w:rFonts w:hint="eastAsia" w:ascii="Times New Roman" w:hAnsi="Times New Roman" w:eastAsia="仿宋_GB2312"/>
          <w:sz w:val="32"/>
          <w:szCs w:val="32"/>
          <w:lang w:val="en-US" w:eastAsia="zh-CN"/>
        </w:rPr>
        <w:t>9.49</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减少12.93</w:t>
      </w:r>
      <w:r>
        <w:rPr>
          <w:rFonts w:hint="eastAsia" w:ascii="Times New Roman" w:hAnsi="Times New Roman" w:eastAsia="仿宋_GB2312"/>
          <w:sz w:val="32"/>
          <w:szCs w:val="32"/>
        </w:rPr>
        <w:t>%，主要是因为</w:t>
      </w:r>
      <w:r>
        <w:rPr>
          <w:rFonts w:hint="eastAsia" w:ascii="Times New Roman" w:hAnsi="Times New Roman" w:eastAsia="仿宋_GB2312"/>
          <w:color w:val="auto"/>
          <w:sz w:val="32"/>
          <w:szCs w:val="32"/>
        </w:rPr>
        <w:t>农业生产发展</w:t>
      </w:r>
      <w:r>
        <w:rPr>
          <w:rFonts w:hint="eastAsia" w:ascii="Times New Roman" w:hAnsi="Times New Roman" w:eastAsia="仿宋_GB2312"/>
          <w:color w:val="auto"/>
          <w:sz w:val="32"/>
          <w:szCs w:val="32"/>
          <w:lang w:val="en-US" w:eastAsia="zh-CN"/>
        </w:rPr>
        <w:t>项目资金减少。</w:t>
      </w:r>
    </w:p>
    <w:p>
      <w:pPr>
        <w:pStyle w:val="14"/>
        <w:keepNext w:val="0"/>
        <w:keepLines w:val="0"/>
        <w:pageBreakBefore w:val="0"/>
        <w:widowControl w:val="0"/>
        <w:kinsoku/>
        <w:wordWrap/>
        <w:overflowPunct/>
        <w:topLinePunct w:val="0"/>
        <w:bidi w:val="0"/>
        <w:snapToGrid/>
        <w:spacing w:line="600" w:lineRule="exact"/>
        <w:ind w:firstLine="480" w:firstLineChars="1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（二）一般公共预算财政拨款支出决算结构情况</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63.89</w:t>
      </w:r>
      <w:r>
        <w:rPr>
          <w:rFonts w:hint="eastAsia" w:ascii="Times New Roman" w:hAnsi="Times New Roman" w:eastAsia="仿宋_GB2312"/>
          <w:sz w:val="32"/>
          <w:szCs w:val="32"/>
        </w:rPr>
        <w:t>万元，主要用于以下方面：农林水（类）支出</w:t>
      </w:r>
      <w:r>
        <w:rPr>
          <w:rFonts w:hint="eastAsia" w:ascii="Times New Roman" w:hAnsi="Times New Roman" w:eastAsia="仿宋_GB2312"/>
          <w:sz w:val="32"/>
          <w:szCs w:val="32"/>
          <w:lang w:val="en-US" w:eastAsia="zh-CN"/>
        </w:rPr>
        <w:t>63.89</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（三）一般公共预算财政拨款支出决算具体情况</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年度财政拨款支出年初预算数为</w:t>
      </w:r>
      <w:r>
        <w:rPr>
          <w:rFonts w:hint="eastAsia" w:ascii="Times New Roman" w:hAnsi="Times New Roman" w:eastAsia="仿宋_GB2312"/>
          <w:sz w:val="32"/>
          <w:szCs w:val="32"/>
          <w:lang w:val="en-US" w:eastAsia="zh-CN"/>
        </w:rPr>
        <w:t>52.90</w:t>
      </w:r>
      <w:r>
        <w:rPr>
          <w:rFonts w:hint="eastAsia" w:ascii="Times New Roman" w:hAnsi="Times New Roman" w:eastAsia="仿宋_GB2312"/>
          <w:sz w:val="32"/>
          <w:szCs w:val="32"/>
        </w:rPr>
        <w:t>万元，支出决算数为</w:t>
      </w:r>
      <w:r>
        <w:rPr>
          <w:rFonts w:hint="eastAsia" w:ascii="Times New Roman" w:hAnsi="Times New Roman" w:eastAsia="仿宋_GB2312"/>
          <w:sz w:val="32"/>
          <w:szCs w:val="32"/>
          <w:lang w:val="en-US" w:eastAsia="zh-CN"/>
        </w:rPr>
        <w:t>63.89</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%，其中：</w:t>
      </w:r>
    </w:p>
    <w:p>
      <w:pPr>
        <w:pStyle w:val="14"/>
        <w:keepNext w:val="0"/>
        <w:keepLines w:val="0"/>
        <w:pageBreakBefore w:val="0"/>
        <w:widowControl w:val="0"/>
        <w:kinsoku/>
        <w:wordWrap/>
        <w:overflowPunct/>
        <w:topLinePunct w:val="0"/>
        <w:bidi w:val="0"/>
        <w:snapToGrid/>
        <w:spacing w:line="360" w:lineRule="auto"/>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1、农林水支出（类）农业农村（款）行政运行（项）。</w:t>
      </w:r>
    </w:p>
    <w:p>
      <w:pPr>
        <w:pStyle w:val="14"/>
        <w:keepNext w:val="0"/>
        <w:keepLines w:val="0"/>
        <w:pageBreakBefore w:val="0"/>
        <w:widowControl w:val="0"/>
        <w:kinsoku/>
        <w:wordWrap/>
        <w:overflowPunct/>
        <w:topLinePunct w:val="0"/>
        <w:bidi w:val="0"/>
        <w:snapToGrid/>
        <w:spacing w:line="360" w:lineRule="auto"/>
        <w:ind w:firstLine="640" w:firstLineChars="20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10.99</w:t>
      </w:r>
      <w:r>
        <w:rPr>
          <w:rFonts w:hint="eastAsia" w:ascii="Times New Roman" w:hAnsi="Times New Roman" w:eastAsia="仿宋_GB2312"/>
          <w:color w:val="auto"/>
          <w:sz w:val="32"/>
          <w:szCs w:val="32"/>
        </w:rPr>
        <w:t>万元</w:t>
      </w:r>
      <w:r>
        <w:rPr>
          <w:rFonts w:hint="eastAsia" w:ascii="Times New Roman" w:hAnsi="Times New Roman" w:eastAsia="仿宋_GB2312"/>
          <w:color w:val="auto"/>
          <w:sz w:val="32"/>
          <w:szCs w:val="32"/>
          <w:lang w:eastAsia="zh-CN"/>
        </w:rPr>
        <w:t>。决算数大于年初预算数的主要原因是：</w:t>
      </w:r>
      <w:r>
        <w:rPr>
          <w:rFonts w:hint="eastAsia" w:ascii="Times New Roman" w:hAnsi="Times New Roman" w:eastAsia="仿宋_GB2312"/>
          <w:color w:val="auto"/>
          <w:sz w:val="32"/>
          <w:szCs w:val="32"/>
          <w:lang w:val="en-US" w:eastAsia="zh-CN"/>
        </w:rPr>
        <w:t>追加人员经费</w:t>
      </w:r>
      <w:r>
        <w:rPr>
          <w:rFonts w:hint="eastAsia" w:ascii="Times New Roman" w:hAnsi="Times New Roman" w:eastAsia="仿宋_GB2312"/>
          <w:color w:val="auto"/>
          <w:sz w:val="32"/>
          <w:szCs w:val="32"/>
          <w:lang w:eastAsia="zh-CN"/>
        </w:rPr>
        <w:t>。</w:t>
      </w:r>
    </w:p>
    <w:p>
      <w:pPr>
        <w:pStyle w:val="14"/>
        <w:keepNext w:val="0"/>
        <w:keepLines w:val="0"/>
        <w:pageBreakBefore w:val="0"/>
        <w:widowControl w:val="0"/>
        <w:kinsoku/>
        <w:wordWrap/>
        <w:overflowPunct/>
        <w:topLinePunct w:val="0"/>
        <w:bidi w:val="0"/>
        <w:snapToGrid/>
        <w:spacing w:line="360" w:lineRule="auto"/>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2、农林水支出（类）农业农村（款）事业运行（项）。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年初预算为5</w:t>
      </w:r>
      <w:r>
        <w:rPr>
          <w:rFonts w:hint="eastAsia" w:ascii="Times New Roman" w:hAnsi="Times New Roman" w:eastAsia="仿宋_GB2312"/>
          <w:color w:val="auto"/>
          <w:sz w:val="32"/>
          <w:szCs w:val="32"/>
          <w:lang w:val="en-US" w:eastAsia="zh-CN"/>
        </w:rPr>
        <w:t>2.90</w:t>
      </w:r>
      <w:r>
        <w:rPr>
          <w:rFonts w:hint="eastAsia" w:ascii="Times New Roman" w:hAnsi="Times New Roman" w:eastAsia="仿宋_GB2312"/>
          <w:color w:val="auto"/>
          <w:sz w:val="32"/>
          <w:szCs w:val="32"/>
        </w:rPr>
        <w:t>万元，支出决算为5</w:t>
      </w:r>
      <w:r>
        <w:rPr>
          <w:rFonts w:hint="eastAsia" w:ascii="Times New Roman" w:hAnsi="Times New Roman" w:eastAsia="仿宋_GB2312"/>
          <w:color w:val="auto"/>
          <w:sz w:val="32"/>
          <w:szCs w:val="32"/>
          <w:lang w:val="en-US" w:eastAsia="zh-CN"/>
        </w:rPr>
        <w:t>2.90</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100%。</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年度财政拨款基本支出</w:t>
      </w:r>
      <w:r>
        <w:rPr>
          <w:rFonts w:hint="eastAsia" w:ascii="Times New Roman" w:hAnsi="Times New Roman" w:eastAsia="仿宋_GB2312"/>
          <w:sz w:val="32"/>
          <w:szCs w:val="32"/>
          <w:lang w:val="en-US" w:eastAsia="zh-CN"/>
        </w:rPr>
        <w:t>63.89</w:t>
      </w:r>
      <w:r>
        <w:rPr>
          <w:rFonts w:hint="eastAsia" w:ascii="Times New Roman" w:hAnsi="Times New Roman" w:eastAsia="仿宋_GB2312"/>
          <w:sz w:val="32"/>
          <w:szCs w:val="32"/>
        </w:rPr>
        <w:t>万元，其中：</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b/>
          <w:bCs/>
          <w:sz w:val="32"/>
          <w:szCs w:val="32"/>
        </w:rPr>
        <w:t>人员经费</w:t>
      </w:r>
      <w:r>
        <w:rPr>
          <w:rFonts w:hint="eastAsia" w:ascii="Times New Roman" w:hAnsi="Times New Roman" w:eastAsia="仿宋_GB2312"/>
          <w:sz w:val="32"/>
          <w:szCs w:val="32"/>
          <w:lang w:val="en-US" w:eastAsia="zh-CN"/>
        </w:rPr>
        <w:t>63.89</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%,主要包括基本工资、绩效工资</w:t>
      </w:r>
      <w:r>
        <w:rPr>
          <w:rFonts w:hint="eastAsia" w:ascii="Times New Roman" w:hAnsi="Times New Roman" w:eastAsia="仿宋_GB2312"/>
          <w:sz w:val="32"/>
          <w:szCs w:val="32"/>
          <w:lang w:eastAsia="zh-CN"/>
        </w:rPr>
        <w:t>、机关事业单位基本养老保险缴费、机关事业单位基本养老保险缴费、职工基本医疗保险缴费、公务员医疗补助缴费、退休费。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b/>
          <w:bCs/>
          <w:sz w:val="32"/>
          <w:szCs w:val="32"/>
        </w:rPr>
        <w:t>公用经费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pPr>
        <w:pStyle w:val="14"/>
        <w:keepNext w:val="0"/>
        <w:keepLines w:val="0"/>
        <w:pageBreakBefore w:val="0"/>
        <w:widowControl w:val="0"/>
        <w:numPr>
          <w:ilvl w:val="0"/>
          <w:numId w:val="2"/>
        </w:numPr>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财政拨款三公经费支出决算情况说明</w:t>
      </w:r>
    </w:p>
    <w:p>
      <w:pPr>
        <w:pStyle w:val="14"/>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三公”经费财政拨款支出预算为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与上年相比</w:t>
      </w:r>
      <w:r>
        <w:rPr>
          <w:rFonts w:hint="eastAsia" w:ascii="Times New Roman" w:hAnsi="Times New Roman" w:eastAsia="仿宋_GB2312"/>
          <w:sz w:val="32"/>
          <w:szCs w:val="32"/>
          <w:lang w:val="en-US" w:eastAsia="zh-CN"/>
        </w:rPr>
        <w:t>无增减</w:t>
      </w:r>
      <w:r>
        <w:rPr>
          <w:rFonts w:hint="eastAsia" w:ascii="Times New Roman" w:hAnsi="Times New Roman" w:eastAsia="仿宋_GB2312"/>
          <w:sz w:val="32"/>
          <w:szCs w:val="32"/>
        </w:rPr>
        <w:t>。其中：</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因公出国（境）费支出预算为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与上年相比</w:t>
      </w:r>
      <w:r>
        <w:rPr>
          <w:rFonts w:hint="eastAsia" w:ascii="Times New Roman" w:hAnsi="Times New Roman" w:eastAsia="仿宋_GB2312"/>
          <w:sz w:val="32"/>
          <w:szCs w:val="32"/>
          <w:lang w:val="en-US" w:eastAsia="zh-CN"/>
        </w:rPr>
        <w:t>无增减</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公务接待费支出预算为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与上年相比</w:t>
      </w:r>
      <w:r>
        <w:rPr>
          <w:rFonts w:hint="eastAsia" w:ascii="Times New Roman" w:hAnsi="Times New Roman" w:eastAsia="仿宋_GB2312"/>
          <w:sz w:val="32"/>
          <w:szCs w:val="32"/>
          <w:lang w:val="en-US" w:eastAsia="zh-CN"/>
        </w:rPr>
        <w:t>无增减</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公务用车购置费支出预算为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与上年相比</w:t>
      </w:r>
      <w:r>
        <w:rPr>
          <w:rFonts w:hint="eastAsia" w:ascii="Times New Roman" w:hAnsi="Times New Roman" w:eastAsia="仿宋_GB2312"/>
          <w:sz w:val="32"/>
          <w:szCs w:val="32"/>
          <w:lang w:val="en-US" w:eastAsia="zh-CN"/>
        </w:rPr>
        <w:t>无增减</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公务用车运行维护费支出预算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与上年相比</w:t>
      </w:r>
      <w:r>
        <w:rPr>
          <w:rFonts w:hint="eastAsia" w:ascii="Times New Roman" w:hAnsi="Times New Roman" w:eastAsia="仿宋_GB2312"/>
          <w:sz w:val="32"/>
          <w:szCs w:val="32"/>
          <w:lang w:val="en-US" w:eastAsia="zh-CN"/>
        </w:rPr>
        <w:t>无增减</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年度“三公”经费财政拨款支出决算中，公务接待费支出决算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万元，因公出国（境）费支出决算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万元，公务用车购置费及运行维护费支出决算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仿宋_GB2312" w:cs="楷体"/>
          <w:b/>
          <w:bCs/>
          <w:i/>
          <w:color w:val="auto"/>
          <w:sz w:val="32"/>
          <w:szCs w:val="32"/>
          <w:lang w:eastAsia="zh-CN"/>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因公出国（境）费支出决算为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万元，全年安排因公出国（境）团组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个，累计</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人次</w:t>
      </w:r>
      <w:r>
        <w:rPr>
          <w:rFonts w:hint="eastAsia" w:ascii="Times New Roman" w:hAnsi="Times New Roman" w:eastAsia="仿宋_GB2312"/>
          <w:sz w:val="32"/>
          <w:szCs w:val="32"/>
          <w:lang w:eastAsia="zh-CN"/>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2、公务接待费支出决算为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万元，全年共接待来访团组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个、来宾</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人次。</w:t>
      </w:r>
    </w:p>
    <w:p>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3、公务用车购置费及运行维护费支出决算为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万元，其中：公务用车购置费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万元，单位本级更新公务用车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r>
        <w:rPr>
          <w:rFonts w:hint="eastAsia"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sz w:val="32"/>
          <w:szCs w:val="32"/>
        </w:rPr>
        <w:t>公务用车运行维护费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万元，截止202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年12月31日，我单位开支财政拨款的公务用车保有量为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八、政府性基金预算收入支出决算情况</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w:t>
      </w:r>
      <w:r>
        <w:rPr>
          <w:rFonts w:hint="eastAsia" w:ascii="Times New Roman" w:hAnsi="Times New Roman" w:eastAsia="仿宋_GB2312"/>
          <w:sz w:val="32"/>
          <w:szCs w:val="32"/>
          <w:lang w:val="en-US" w:eastAsia="zh-CN"/>
        </w:rPr>
        <w:t>本单位无政府性基金收支</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rPr>
        <w:t>九、关于机关运行经费支出说明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w:t>
      </w:r>
      <w:r>
        <w:rPr>
          <w:rFonts w:hint="eastAsia" w:ascii="Times New Roman" w:hAnsi="Times New Roman" w:eastAsia="仿宋_GB2312"/>
          <w:sz w:val="32"/>
          <w:szCs w:val="32"/>
          <w:lang w:val="en-US" w:eastAsia="zh-CN"/>
        </w:rPr>
        <w:t>无</w:t>
      </w:r>
      <w:r>
        <w:rPr>
          <w:rFonts w:hint="eastAsia" w:ascii="Times New Roman" w:hAnsi="Times New Roman" w:eastAsia="仿宋_GB2312"/>
          <w:sz w:val="32"/>
          <w:szCs w:val="32"/>
        </w:rPr>
        <w:t>机关运行经费支出。</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十、一般性支出情况说明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年本部门开支会议费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万元，开支培训费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val="en-US" w:eastAsia="zh-CN"/>
        </w:rPr>
        <w:t>未</w:t>
      </w:r>
      <w:r>
        <w:rPr>
          <w:rFonts w:hint="eastAsia" w:ascii="Times New Roman" w:hAnsi="Times New Roman" w:eastAsia="仿宋_GB2312"/>
          <w:sz w:val="32"/>
          <w:szCs w:val="32"/>
        </w:rPr>
        <w:t>举办节庆、晚会、论坛、赛事活动。</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十一、关于政府采购支出说明</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Times New Roman" w:hAnsi="Times New Roman" w:eastAsia="仿宋_GB2312"/>
          <w:color w:val="auto"/>
          <w:sz w:val="32"/>
          <w:szCs w:val="32"/>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年度政府采购支出总额</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万元，其中：政府采购货物支出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 xml:space="preserve"> 万元、政府采购工程支出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万元、政府采购服务支出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万元。授予中小企业合同金额</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万元，其中：授予小微企业合同金额</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color w:val="auto"/>
          <w:sz w:val="32"/>
          <w:szCs w:val="32"/>
        </w:rPr>
        <w:t>。</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十二、关于国有资产占用情况说明</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截至202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年12月31日，</w:t>
      </w:r>
      <w:r>
        <w:rPr>
          <w:rFonts w:hint="eastAsia" w:ascii="Times New Roman" w:hAnsi="Times New Roman" w:eastAsia="仿宋_GB2312"/>
          <w:color w:val="auto"/>
          <w:sz w:val="32"/>
          <w:szCs w:val="32"/>
          <w:lang w:eastAsia="zh-CN"/>
        </w:rPr>
        <w:t>单位</w:t>
      </w:r>
      <w:r>
        <w:rPr>
          <w:rFonts w:hint="eastAsia" w:ascii="Times New Roman" w:hAnsi="Times New Roman" w:eastAsia="仿宋_GB2312"/>
          <w:color w:val="auto"/>
          <w:sz w:val="32"/>
          <w:szCs w:val="32"/>
        </w:rPr>
        <w:t>共有车辆</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辆，其中</w:t>
      </w:r>
      <w:r>
        <w:rPr>
          <w:rFonts w:hint="eastAsia" w:ascii="Times New Roman" w:hAnsi="Times New Roman" w:eastAsia="仿宋_GB2312"/>
          <w:color w:val="auto"/>
          <w:sz w:val="32"/>
          <w:szCs w:val="32"/>
          <w:lang w:eastAsia="zh-CN"/>
        </w:rPr>
        <w:t>，副部（省）级及以上领导用车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主要</w:t>
      </w:r>
      <w:r>
        <w:rPr>
          <w:rFonts w:hint="eastAsia" w:ascii="Times New Roman" w:hAnsi="Times New Roman" w:eastAsia="仿宋_GB2312"/>
          <w:color w:val="auto"/>
          <w:sz w:val="32"/>
          <w:szCs w:val="32"/>
          <w:lang w:eastAsia="zh-CN"/>
        </w:rPr>
        <w:t>负责人</w:t>
      </w:r>
      <w:r>
        <w:rPr>
          <w:rFonts w:hint="eastAsia" w:ascii="Times New Roman" w:hAnsi="Times New Roman" w:eastAsia="仿宋_GB2312"/>
          <w:color w:val="auto"/>
          <w:sz w:val="32"/>
          <w:szCs w:val="32"/>
        </w:rPr>
        <w:t>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机要通信用车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辆、应急保障用车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辆、执法执勤用车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辆、特种专业技术用车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离退休干部服务用车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辆、其他用车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辆；单位价值100万元以上设备</w:t>
      </w:r>
      <w:r>
        <w:rPr>
          <w:rFonts w:hint="eastAsia" w:ascii="Times New Roman" w:hAnsi="Times New Roman" w:eastAsia="仿宋_GB2312"/>
          <w:color w:val="auto"/>
          <w:sz w:val="32"/>
          <w:szCs w:val="32"/>
          <w:lang w:eastAsia="zh-CN"/>
        </w:rPr>
        <w:t>（不含车辆）</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台（套）。</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十三、关于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lang w:eastAsia="zh-CN"/>
        </w:rPr>
        <w:t>为加强财政支出预算绩效管理，提高财政资源配置效率和资金使用效益，根据《中共中央国务院关于全面实施预算绩效管理的意见》（中发〔2018〕34 号）、《中共湖南省委办公厅 湖南省人民政府办公厅关于全面实施预算绩效管理的实施意见》（湘办发〔2019〕10 号）和《湖南省财政厅关于印发湖南省预算支出绩效评价管理办法的通知》（湘财绩〔2020〕7号）等有关规定，按照省财政厅《关于开展2023 年度省级预算部门绩效自评和部门评价的通知》（湘财绩〔2024〕1号）要求，我</w:t>
      </w:r>
      <w:r>
        <w:rPr>
          <w:rFonts w:hint="eastAsia" w:ascii="Times New Roman" w:hAnsi="Times New Roman" w:eastAsia="仿宋_GB2312"/>
          <w:color w:val="auto"/>
          <w:sz w:val="32"/>
          <w:szCs w:val="32"/>
          <w:lang w:val="en-US" w:eastAsia="zh-CN"/>
        </w:rPr>
        <w:t>站</w:t>
      </w:r>
      <w:r>
        <w:rPr>
          <w:rFonts w:hint="eastAsia" w:ascii="Times New Roman" w:hAnsi="Times New Roman" w:eastAsia="仿宋_GB2312"/>
          <w:color w:val="auto"/>
          <w:sz w:val="32"/>
          <w:szCs w:val="32"/>
          <w:lang w:eastAsia="zh-CN"/>
        </w:rPr>
        <w:t>于2024年</w:t>
      </w:r>
      <w:r>
        <w:rPr>
          <w:rFonts w:hint="eastAsia" w:ascii="Times New Roman" w:hAnsi="Times New Roman" w:eastAsia="仿宋_GB2312"/>
          <w:color w:val="auto"/>
          <w:sz w:val="32"/>
          <w:szCs w:val="32"/>
          <w:lang w:val="en-US" w:eastAsia="zh-CN"/>
        </w:rPr>
        <w:t>4</w:t>
      </w:r>
      <w:r>
        <w:rPr>
          <w:rFonts w:hint="eastAsia" w:ascii="Times New Roman" w:hAnsi="Times New Roman" w:eastAsia="仿宋_GB2312"/>
          <w:color w:val="auto"/>
          <w:sz w:val="32"/>
          <w:szCs w:val="32"/>
          <w:lang w:eastAsia="zh-CN"/>
        </w:rPr>
        <w:t>月对2023年整体支出实施了预算绩效自评。</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（二）单位</w:t>
      </w:r>
      <w:r>
        <w:rPr>
          <w:rFonts w:hint="eastAsia" w:ascii="楷体" w:hAnsi="楷体" w:eastAsia="楷体" w:cs="楷体"/>
          <w:b/>
          <w:bCs/>
          <w:sz w:val="32"/>
          <w:szCs w:val="32"/>
        </w:rPr>
        <w:t>整体支出绩效情况</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运行成本</w:t>
      </w:r>
    </w:p>
    <w:p>
      <w:pPr>
        <w:snapToGrid w:val="0"/>
        <w:spacing w:line="520" w:lineRule="exact"/>
        <w:ind w:firstLine="640" w:firstLineChars="200"/>
        <w:rPr>
          <w:rFonts w:hint="default" w:ascii="仿宋_GB2312" w:hAnsi="仿宋" w:eastAsia="仿宋_GB2312"/>
          <w:sz w:val="32"/>
          <w:szCs w:val="32"/>
          <w:lang w:val="en-US" w:eastAsia="zh-CN"/>
        </w:rPr>
      </w:pPr>
      <w:r>
        <w:rPr>
          <w:rFonts w:hint="eastAsia" w:ascii="仿宋_GB2312" w:hAnsi="仿宋" w:eastAsia="仿宋_GB2312"/>
          <w:sz w:val="32"/>
          <w:szCs w:val="32"/>
          <w:lang w:eastAsia="zh-CN"/>
        </w:rPr>
        <w:t>支出预算数</w:t>
      </w:r>
      <w:r>
        <w:rPr>
          <w:rFonts w:hint="eastAsia" w:ascii="仿宋_GB2312" w:hAnsi="仿宋" w:eastAsia="仿宋_GB2312"/>
          <w:sz w:val="32"/>
          <w:szCs w:val="32"/>
          <w:lang w:val="en-US" w:eastAsia="zh-CN"/>
        </w:rPr>
        <w:t>128.78万元，支出决算数128.78万元，执行率为100%,其中：</w:t>
      </w:r>
      <w:r>
        <w:rPr>
          <w:rFonts w:hint="eastAsia" w:ascii="仿宋_GB2312" w:hAnsi="仿宋" w:eastAsia="仿宋_GB2312"/>
          <w:sz w:val="32"/>
          <w:szCs w:val="32"/>
          <w:lang w:eastAsia="zh-CN"/>
        </w:rPr>
        <w:t>人员经费支</w:t>
      </w:r>
      <w:r>
        <w:rPr>
          <w:rFonts w:hint="eastAsia" w:ascii="仿宋_GB2312" w:hAnsi="仿宋" w:eastAsia="仿宋_GB2312"/>
          <w:sz w:val="32"/>
          <w:szCs w:val="32"/>
          <w:lang w:val="en-US" w:eastAsia="zh-CN"/>
        </w:rPr>
        <w:t>出预算数</w:t>
      </w:r>
      <w:r>
        <w:rPr>
          <w:rFonts w:hint="default" w:ascii="仿宋_GB2312" w:hAnsi="仿宋" w:eastAsia="仿宋_GB2312"/>
          <w:sz w:val="32"/>
          <w:szCs w:val="32"/>
          <w:lang w:val="en-US" w:eastAsia="zh-CN"/>
        </w:rPr>
        <w:t>106.97</w:t>
      </w:r>
      <w:r>
        <w:rPr>
          <w:rFonts w:hint="eastAsia" w:ascii="仿宋_GB2312" w:hAnsi="仿宋" w:eastAsia="仿宋_GB2312"/>
          <w:sz w:val="32"/>
          <w:szCs w:val="32"/>
          <w:lang w:val="en-US" w:eastAsia="zh-CN"/>
        </w:rPr>
        <w:t>万元，决算数</w:t>
      </w:r>
      <w:r>
        <w:rPr>
          <w:rFonts w:hint="default" w:ascii="仿宋_GB2312" w:hAnsi="仿宋" w:eastAsia="仿宋_GB2312"/>
          <w:sz w:val="32"/>
          <w:szCs w:val="32"/>
          <w:lang w:val="en-US" w:eastAsia="zh-CN"/>
        </w:rPr>
        <w:t>106.97</w:t>
      </w:r>
      <w:r>
        <w:rPr>
          <w:rFonts w:hint="eastAsia" w:ascii="仿宋_GB2312" w:hAnsi="仿宋" w:eastAsia="仿宋_GB2312"/>
          <w:sz w:val="32"/>
          <w:szCs w:val="32"/>
          <w:lang w:val="en-US" w:eastAsia="zh-CN"/>
        </w:rPr>
        <w:t>万元，执行率100%，公用经费预算数21.81万元，决算数21.81万元，执行率100%。</w:t>
      </w:r>
    </w:p>
    <w:p>
      <w:pPr>
        <w:ind w:firstLine="709"/>
        <w:rPr>
          <w:rFonts w:ascii="仿宋_GB2312" w:hAnsi="仿宋" w:eastAsia="仿宋_GB2312" w:cs="Times New Roman"/>
          <w:color w:val="FF0000"/>
          <w:sz w:val="32"/>
          <w:szCs w:val="32"/>
        </w:rPr>
      </w:pPr>
      <w:r>
        <w:rPr>
          <w:rFonts w:hint="eastAsia" w:ascii="仿宋_GB2312" w:hAnsi="仿宋" w:eastAsia="仿宋_GB2312"/>
          <w:sz w:val="32"/>
          <w:szCs w:val="32"/>
        </w:rPr>
        <w:t>（1）</w:t>
      </w:r>
      <w:r>
        <w:rPr>
          <w:rFonts w:hint="eastAsia" w:ascii="仿宋_GB2312" w:hAnsi="仿宋" w:eastAsia="仿宋_GB2312" w:cs="仿宋"/>
          <w:color w:val="000000"/>
          <w:sz w:val="32"/>
          <w:szCs w:val="32"/>
        </w:rPr>
        <w:t>“三公”经费全部为公务接待费，年初预算数</w:t>
      </w:r>
      <w:r>
        <w:rPr>
          <w:rFonts w:hint="eastAsia" w:ascii="仿宋_GB2312" w:hAnsi="仿宋" w:eastAsia="仿宋_GB2312" w:cs="仿宋"/>
          <w:color w:val="000000"/>
          <w:sz w:val="32"/>
          <w:szCs w:val="32"/>
          <w:lang w:val="en-US" w:eastAsia="zh-CN"/>
        </w:rPr>
        <w:t>0</w:t>
      </w:r>
      <w:r>
        <w:rPr>
          <w:rFonts w:hint="eastAsia" w:ascii="仿宋_GB2312" w:hAnsi="仿宋" w:eastAsia="仿宋_GB2312" w:cs="仿宋"/>
          <w:color w:val="000000"/>
          <w:sz w:val="32"/>
          <w:szCs w:val="32"/>
        </w:rPr>
        <w:t>万元，实际支出</w:t>
      </w:r>
      <w:r>
        <w:rPr>
          <w:rFonts w:hint="eastAsia" w:ascii="仿宋_GB2312" w:hAnsi="仿宋" w:eastAsia="仿宋_GB2312" w:cs="仿宋"/>
          <w:color w:val="000000"/>
          <w:sz w:val="32"/>
          <w:szCs w:val="32"/>
          <w:lang w:val="en-US" w:eastAsia="zh-CN"/>
        </w:rPr>
        <w:t>0</w:t>
      </w:r>
      <w:r>
        <w:rPr>
          <w:rFonts w:hint="eastAsia" w:ascii="仿宋_GB2312" w:hAnsi="仿宋" w:eastAsia="仿宋_GB2312" w:cs="仿宋"/>
          <w:color w:val="000000"/>
          <w:sz w:val="32"/>
          <w:szCs w:val="32"/>
        </w:rPr>
        <w:t>万元。</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（2）会议费支出情况：</w:t>
      </w:r>
      <w:r>
        <w:rPr>
          <w:rFonts w:hint="eastAsia" w:ascii="仿宋_GB2312" w:hAnsi="仿宋" w:eastAsia="仿宋_GB2312"/>
          <w:sz w:val="32"/>
          <w:szCs w:val="32"/>
          <w:lang w:eastAsia="zh-CN"/>
        </w:rPr>
        <w:t>会议费支出</w:t>
      </w:r>
      <w:r>
        <w:rPr>
          <w:rFonts w:hint="eastAsia" w:ascii="仿宋_GB2312" w:hAnsi="仿宋" w:eastAsia="仿宋_GB2312"/>
          <w:sz w:val="32"/>
          <w:szCs w:val="32"/>
          <w:lang w:val="en-US" w:eastAsia="zh-CN"/>
        </w:rPr>
        <w:t>0万元，上年支出为0万元</w:t>
      </w:r>
      <w:r>
        <w:rPr>
          <w:rFonts w:hint="eastAsia" w:ascii="仿宋_GB2312" w:hAnsi="仿宋" w:eastAsia="仿宋_GB2312"/>
          <w:sz w:val="32"/>
          <w:szCs w:val="32"/>
        </w:rPr>
        <w:t>。</w:t>
      </w:r>
    </w:p>
    <w:p>
      <w:pPr>
        <w:snapToGrid w:val="0"/>
        <w:spacing w:line="520" w:lineRule="exact"/>
        <w:ind w:firstLine="640" w:firstLineChars="200"/>
        <w:rPr>
          <w:rFonts w:hint="default" w:ascii="仿宋_GB2312" w:hAnsi="仿宋" w:eastAsia="仿宋_GB2312"/>
          <w:sz w:val="32"/>
          <w:szCs w:val="32"/>
          <w:lang w:val="en-US"/>
        </w:rPr>
      </w:pPr>
      <w:r>
        <w:rPr>
          <w:rFonts w:hint="eastAsia" w:ascii="仿宋_GB2312" w:hAnsi="仿宋" w:eastAsia="仿宋_GB2312"/>
          <w:sz w:val="32"/>
          <w:szCs w:val="32"/>
        </w:rPr>
        <w:t>（3）培训费支出情况：</w:t>
      </w:r>
      <w:r>
        <w:rPr>
          <w:rFonts w:hint="eastAsia" w:ascii="仿宋_GB2312" w:hAnsi="仿宋" w:eastAsia="仿宋_GB2312"/>
          <w:sz w:val="32"/>
          <w:szCs w:val="32"/>
          <w:lang w:eastAsia="zh-CN"/>
        </w:rPr>
        <w:t>培训费支出</w:t>
      </w:r>
      <w:r>
        <w:rPr>
          <w:rFonts w:hint="eastAsia" w:ascii="仿宋_GB2312" w:hAnsi="仿宋" w:eastAsia="仿宋_GB2312"/>
          <w:sz w:val="32"/>
          <w:szCs w:val="32"/>
          <w:lang w:val="en-US" w:eastAsia="zh-CN"/>
        </w:rPr>
        <w:t>0万元，上年支出为0万元。</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管理效率</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对标农业农村部要求，将农村沼气安全生产作为农业农村领域安全生产的重点工作，加强农业农村部门对农村沼气安全生产的监管，压实农村沼气用户和业主农村沼气安全生产的主体责任，确保安全监管到位。</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履职效能</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组织编写农村沼气安全操作手册。根据我省农村沼气安全的现状，我们组织相关专家编写了《湖南省农村沼气安全操作与处置实用技术手册》，指导沼气设施安全隐患排查与整治。</w:t>
      </w:r>
    </w:p>
    <w:p>
      <w:pPr>
        <w:snapToGrid w:val="0"/>
        <w:spacing w:line="520" w:lineRule="exact"/>
        <w:ind w:firstLine="640" w:firstLineChars="200"/>
        <w:rPr>
          <w:rFonts w:hint="eastAsia" w:ascii="仿宋_GB2312" w:hAnsi="仿宋" w:eastAsia="仿宋_GB2312"/>
          <w:sz w:val="32"/>
          <w:szCs w:val="32"/>
          <w:lang w:val="en" w:eastAsia="zh-CN"/>
        </w:rPr>
      </w:pPr>
      <w:r>
        <w:rPr>
          <w:rFonts w:hint="eastAsia" w:ascii="仿宋_GB2312" w:hAnsi="仿宋" w:eastAsia="仿宋_GB2312"/>
          <w:sz w:val="32"/>
          <w:szCs w:val="32"/>
          <w:lang w:val="en-US" w:eastAsia="zh-CN"/>
        </w:rPr>
        <w:t>积极开展农村沼气“安全生产月”活动。</w:t>
      </w:r>
      <w:r>
        <w:rPr>
          <w:rFonts w:hint="eastAsia" w:ascii="仿宋_GB2312" w:hAnsi="仿宋" w:eastAsia="仿宋_GB2312"/>
          <w:sz w:val="32"/>
          <w:szCs w:val="32"/>
          <w:lang w:val="en" w:eastAsia="zh-CN"/>
        </w:rPr>
        <w:t>在衡阳县、沅江市、岳阳县、桃江县等</w:t>
      </w:r>
      <w:r>
        <w:rPr>
          <w:rFonts w:hint="eastAsia" w:ascii="仿宋_GB2312" w:hAnsi="仿宋" w:eastAsia="仿宋_GB2312"/>
          <w:sz w:val="32"/>
          <w:szCs w:val="32"/>
          <w:lang w:val="en-US" w:eastAsia="zh-CN"/>
        </w:rPr>
        <w:t>4</w:t>
      </w:r>
      <w:r>
        <w:rPr>
          <w:rFonts w:hint="eastAsia" w:ascii="仿宋_GB2312" w:hAnsi="仿宋" w:eastAsia="仿宋_GB2312"/>
          <w:sz w:val="32"/>
          <w:szCs w:val="32"/>
          <w:lang w:val="en" w:eastAsia="zh-CN"/>
        </w:rPr>
        <w:t>个县市，现场开展农村沼气设施现场安全处置示范，并积极宣传农村沼气安全生产知识，让</w:t>
      </w:r>
      <w:r>
        <w:rPr>
          <w:rFonts w:hint="eastAsia" w:ascii="仿宋_GB2312" w:hAnsi="仿宋" w:eastAsia="仿宋_GB2312"/>
          <w:sz w:val="32"/>
          <w:szCs w:val="32"/>
          <w:lang w:val="en-US" w:eastAsia="zh-CN"/>
        </w:rPr>
        <w:t>大家思想上高度警醒，并且做到七个清楚：清楚自己的职责、清楚自己的任务、清楚自己分管工作的风险隐患、清楚每一项工作用什么样的措施办法才有效、清楚各项工作的技术路径、清楚和熟悉每一项工作的进展情况、清楚不履行职责将要承担什么样的后果。</w:t>
      </w:r>
    </w:p>
    <w:p>
      <w:pPr>
        <w:pStyle w:val="14"/>
        <w:keepNext w:val="0"/>
        <w:keepLines w:val="0"/>
        <w:pageBreakBefore w:val="0"/>
        <w:widowControl w:val="0"/>
        <w:numPr>
          <w:ilvl w:val="0"/>
          <w:numId w:val="3"/>
        </w:numPr>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社会效应</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协助举办沼气安全生产培训班。6月13日，协助资源保护与利用处在衡阳市举办了全省大中型沼气工程安全生产操作培训班。并且现场开展农村沼气安全处置示范。通过现场讲解和与会人员互动，增强大家对沼气相关知识的理解和记忆、提升业务能力，并充分认识到“安全无小事，责任大于天”。</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协助完成了生态农场的申报和评审。根据资源与利用处安排，全站人员配合协助尹邦友和易新两位同志到全省各地指导省级生态农场建设，并对拟申报国家级生态农场的企业进行了实地考察。目前，13个国家级生态农场已公示，省级生态农场通过了初审。</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、可持续发展能力</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完成了全省可再生能源统计的汇总审核上报和统计分析工作。按照部要求，2022年5月全面启动小程序的填报工作，至2023年</w:t>
      </w:r>
      <w:r>
        <w:rPr>
          <w:rFonts w:hint="default" w:ascii="仿宋_GB2312" w:hAnsi="仿宋" w:eastAsia="仿宋_GB2312"/>
          <w:sz w:val="32"/>
          <w:szCs w:val="32"/>
          <w:lang w:val="en" w:eastAsia="zh-CN"/>
        </w:rPr>
        <w:t>1</w:t>
      </w:r>
      <w:r>
        <w:rPr>
          <w:rFonts w:hint="eastAsia" w:ascii="仿宋_GB2312" w:hAnsi="仿宋" w:eastAsia="仿宋_GB2312"/>
          <w:sz w:val="32"/>
          <w:szCs w:val="32"/>
          <w:lang w:val="en-US" w:eastAsia="zh-CN"/>
        </w:rPr>
        <w:t>1月</w:t>
      </w:r>
      <w:r>
        <w:rPr>
          <w:rFonts w:hint="default" w:ascii="仿宋_GB2312" w:hAnsi="仿宋" w:eastAsia="仿宋_GB2312"/>
          <w:sz w:val="32"/>
          <w:szCs w:val="32"/>
          <w:lang w:val="en" w:eastAsia="zh-CN"/>
        </w:rPr>
        <w:t>30</w:t>
      </w:r>
      <w:r>
        <w:rPr>
          <w:rFonts w:hint="eastAsia" w:ascii="仿宋_GB2312" w:hAnsi="仿宋" w:eastAsia="仿宋_GB2312"/>
          <w:sz w:val="32"/>
          <w:szCs w:val="32"/>
          <w:lang w:val="en-US" w:eastAsia="zh-CN"/>
        </w:rPr>
        <w:t>日，填报户用沼气池1547</w:t>
      </w:r>
      <w:r>
        <w:rPr>
          <w:rFonts w:hint="default" w:ascii="仿宋_GB2312" w:hAnsi="仿宋" w:eastAsia="仿宋_GB2312"/>
          <w:sz w:val="32"/>
          <w:szCs w:val="32"/>
          <w:lang w:val="en" w:eastAsia="zh-CN"/>
        </w:rPr>
        <w:t>42</w:t>
      </w:r>
      <w:r>
        <w:rPr>
          <w:rFonts w:hint="eastAsia" w:ascii="仿宋_GB2312" w:hAnsi="仿宋" w:eastAsia="仿宋_GB2312"/>
          <w:sz w:val="32"/>
          <w:szCs w:val="32"/>
          <w:lang w:val="en-US" w:eastAsia="zh-CN"/>
        </w:rPr>
        <w:t>口（其中87569口存在安全隐患）、沼气工程1375处（其中796处存在安全隐患），为农村沼气安全生产提供了坚实基础。</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6、</w:t>
      </w:r>
      <w:r>
        <w:rPr>
          <w:rFonts w:hint="eastAsia" w:ascii="Times New Roman" w:hAnsi="Times New Roman" w:eastAsia="仿宋_GB2312"/>
          <w:sz w:val="32"/>
          <w:szCs w:val="32"/>
        </w:rPr>
        <w:t>服务对象满意度</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经费预算不足，因我站为差额拨款事业单位，年初预算只能维持全站职工约10个月的人员经费开支。</w:t>
      </w:r>
    </w:p>
    <w:p>
      <w:pPr>
        <w:pStyle w:val="14"/>
        <w:jc w:val="both"/>
        <w:rPr>
          <w:sz w:val="72"/>
          <w:szCs w:val="72"/>
        </w:rPr>
      </w:pPr>
    </w:p>
    <w:p>
      <w:pPr>
        <w:pStyle w:val="14"/>
        <w:jc w:val="center"/>
        <w:rPr>
          <w:sz w:val="72"/>
          <w:szCs w:val="72"/>
        </w:rPr>
      </w:pPr>
    </w:p>
    <w:p>
      <w:pPr>
        <w:pStyle w:val="14"/>
        <w:jc w:val="center"/>
        <w:rPr>
          <w:sz w:val="72"/>
          <w:szCs w:val="72"/>
        </w:rPr>
      </w:pPr>
    </w:p>
    <w:p>
      <w:pPr>
        <w:pStyle w:val="14"/>
        <w:jc w:val="both"/>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jc w:val="left"/>
        <w:rPr>
          <w:rFonts w:cs="黑体" w:asciiTheme="minorEastAsia" w:hAnsiTheme="minorEastAsia"/>
          <w:color w:val="000000"/>
          <w:kern w:val="0"/>
          <w:sz w:val="32"/>
          <w:szCs w:val="32"/>
        </w:rPr>
      </w:pPr>
      <w:r>
        <w:rPr>
          <w:rFonts w:hint="eastAsia" w:ascii="方正小标宋_GBK" w:hAnsi="方正小标宋_GBK" w:eastAsia="方正小标宋_GBK" w:cs="方正小标宋_GBK"/>
          <w:color w:val="000000"/>
          <w:kern w:val="0"/>
          <w:sz w:val="70"/>
          <w:szCs w:val="70"/>
        </w:rPr>
        <w:br w:type="page"/>
      </w:r>
    </w:p>
    <w:p>
      <w:pPr>
        <w:widowControl/>
        <w:ind w:firstLine="640" w:firstLineChars="200"/>
        <w:jc w:val="left"/>
        <w:rPr>
          <w:rFonts w:hint="eastAsia" w:ascii="仿宋" w:hAnsi="仿宋" w:eastAsia="仿宋" w:cs="黑体"/>
          <w:bCs/>
          <w:color w:val="000000"/>
          <w:kern w:val="0"/>
          <w:sz w:val="32"/>
          <w:szCs w:val="32"/>
          <w:lang w:val="en-US" w:eastAsia="zh-CN" w:bidi="ar-SA"/>
        </w:rPr>
      </w:pPr>
      <w:r>
        <w:rPr>
          <w:rFonts w:hint="eastAsia" w:ascii="仿宋" w:hAnsi="仿宋" w:eastAsia="仿宋" w:cs="黑体"/>
          <w:bCs/>
          <w:color w:val="000000"/>
          <w:kern w:val="0"/>
          <w:sz w:val="32"/>
          <w:szCs w:val="32"/>
          <w:lang w:val="en-US" w:eastAsia="zh-CN" w:bidi="ar-SA"/>
        </w:rPr>
        <w:t>一、基本支出：指为保障机构正常运转、完成日常工作任务而发生的各项支出，包括人员支出和公用支出。</w:t>
      </w:r>
    </w:p>
    <w:p>
      <w:pPr>
        <w:numPr>
          <w:ilvl w:val="0"/>
          <w:numId w:val="0"/>
        </w:numPr>
        <w:ind w:firstLine="640" w:firstLineChars="200"/>
        <w:jc w:val="left"/>
        <w:rPr>
          <w:rFonts w:hint="eastAsia" w:ascii="仿宋" w:hAnsi="仿宋" w:eastAsia="仿宋" w:cs="黑体"/>
          <w:bCs/>
          <w:color w:val="000000"/>
          <w:kern w:val="0"/>
          <w:sz w:val="32"/>
          <w:szCs w:val="32"/>
          <w:lang w:val="en-US" w:eastAsia="zh-CN" w:bidi="ar-SA"/>
        </w:rPr>
      </w:pPr>
      <w:r>
        <w:rPr>
          <w:rFonts w:hint="eastAsia" w:ascii="仿宋" w:hAnsi="仿宋" w:eastAsia="仿宋" w:cs="黑体"/>
          <w:bCs/>
          <w:color w:val="000000"/>
          <w:kern w:val="0"/>
          <w:sz w:val="32"/>
          <w:szCs w:val="32"/>
          <w:lang w:val="en-US" w:eastAsia="zh-CN" w:bidi="ar-SA"/>
        </w:rPr>
        <w:t xml:space="preserve">二、项目支出：指在基本支出以外为完成相关行政任务和事业发展目标所发生的各项支出。 </w:t>
      </w:r>
    </w:p>
    <w:p>
      <w:pPr>
        <w:pStyle w:val="14"/>
        <w:ind w:firstLine="640" w:firstLineChars="200"/>
        <w:rPr>
          <w:rFonts w:ascii="仿宋" w:hAnsi="仿宋" w:eastAsia="仿宋"/>
          <w:bCs/>
          <w:sz w:val="32"/>
          <w:szCs w:val="32"/>
        </w:rPr>
      </w:pPr>
      <w:r>
        <w:rPr>
          <w:rFonts w:hint="eastAsia" w:ascii="仿宋" w:hAnsi="仿宋" w:eastAsia="仿宋" w:cs="黑体"/>
          <w:bCs/>
          <w:color w:val="000000"/>
          <w:kern w:val="0"/>
          <w:sz w:val="32"/>
          <w:szCs w:val="32"/>
          <w:lang w:val="en-US" w:eastAsia="zh-CN" w:bidi="ar-SA"/>
        </w:rPr>
        <w:t>三、“三公”经费:纳入省财政预算管理的“三</w:t>
      </w:r>
      <w:r>
        <w:rPr>
          <w:rFonts w:hint="eastAsia" w:ascii="仿宋" w:hAnsi="仿宋" w:eastAsia="仿宋"/>
          <w:bCs/>
          <w:sz w:val="32"/>
          <w:szCs w:val="32"/>
        </w:rPr>
        <w:t>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rPr>
          <w:sz w:val="72"/>
          <w:szCs w:val="72"/>
        </w:rPr>
      </w:pPr>
      <w:r>
        <w:rPr>
          <w:sz w:val="72"/>
          <w:szCs w:val="72"/>
        </w:rPr>
        <w:br w:type="page"/>
      </w: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4"/>
        <w:jc w:val="center"/>
        <w:rPr>
          <w:rFonts w:hint="eastAsia" w:ascii="方正小标宋_GBK" w:hAnsi="方正小标宋_GBK" w:eastAsia="方正小标宋_GBK" w:cs="方正小标宋_GBK"/>
          <w:sz w:val="70"/>
          <w:szCs w:val="70"/>
        </w:rPr>
      </w:pPr>
    </w:p>
    <w:p>
      <w:pPr>
        <w:pStyle w:val="14"/>
        <w:jc w:val="center"/>
        <w:rPr>
          <w:rFonts w:hint="eastAsia" w:eastAsia="黑体"/>
          <w:sz w:val="72"/>
          <w:szCs w:val="72"/>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rPr>
          <w:sz w:val="72"/>
          <w:szCs w:val="72"/>
        </w:rPr>
      </w:pPr>
      <w:r>
        <w:rPr>
          <w:sz w:val="72"/>
          <w:szCs w:val="72"/>
        </w:rPr>
        <w:br w:type="page"/>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楷体" w:hAnsi="楷体" w:eastAsia="楷体" w:cs="楷体"/>
          <w:b/>
          <w:bCs/>
          <w:sz w:val="32"/>
          <w:szCs w:val="32"/>
          <w:lang w:eastAsia="zh-CN"/>
        </w:rPr>
        <w:t>一、</w:t>
      </w:r>
      <w:r>
        <w:rPr>
          <w:rFonts w:hint="eastAsia" w:ascii="Times New Roman" w:hAnsi="Times New Roman" w:eastAsia="仿宋_GB2312"/>
          <w:sz w:val="32"/>
          <w:szCs w:val="32"/>
          <w:lang w:val="en-US" w:eastAsia="zh-CN"/>
        </w:rPr>
        <w:t>2023年度单位整体支出绩效自评报告。</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bookmarkStart w:id="2" w:name="_GoBack"/>
      <w:bookmarkEnd w:id="2"/>
    </w:p>
    <w:p>
      <w:pPr>
        <w:pStyle w:val="14"/>
        <w:keepNext w:val="0"/>
        <w:keepLines w:val="0"/>
        <w:pageBreakBefore w:val="0"/>
        <w:widowControl w:val="0"/>
        <w:kinsoku/>
        <w:wordWrap/>
        <w:overflowPunct/>
        <w:topLinePunct w:val="0"/>
        <w:bidi w:val="0"/>
        <w:snapToGrid/>
        <w:spacing w:line="600" w:lineRule="exact"/>
        <w:jc w:val="center"/>
        <w:textAlignment w:val="auto"/>
        <w:rPr>
          <w:rFonts w:hint="eastAsia" w:ascii="Times New Roman" w:hAnsi="Times New Roman" w:eastAsia="仿宋_GB2312"/>
          <w:b/>
          <w:bCs/>
          <w:sz w:val="44"/>
          <w:szCs w:val="44"/>
          <w:lang w:val="en-US" w:eastAsia="zh-CN"/>
        </w:rPr>
      </w:pPr>
      <w:r>
        <w:rPr>
          <w:rFonts w:hint="eastAsia" w:ascii="Times New Roman" w:hAnsi="Times New Roman" w:eastAsia="仿宋_GB2312"/>
          <w:b/>
          <w:bCs/>
          <w:sz w:val="44"/>
          <w:szCs w:val="44"/>
          <w:lang w:val="en-US" w:eastAsia="zh-CN"/>
        </w:rPr>
        <w:t>湖南省农村能源技术推广站整体绩效自评报告</w:t>
      </w:r>
    </w:p>
    <w:p>
      <w:pPr>
        <w:pStyle w:val="14"/>
        <w:keepNext w:val="0"/>
        <w:keepLines w:val="0"/>
        <w:pageBreakBefore w:val="0"/>
        <w:widowControl w:val="0"/>
        <w:numPr>
          <w:ilvl w:val="0"/>
          <w:numId w:val="4"/>
        </w:numPr>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单位基本情况</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1．主要职能。</w:t>
      </w:r>
    </w:p>
    <w:p>
      <w:pPr>
        <w:widowControl/>
        <w:spacing w:line="600" w:lineRule="exact"/>
        <w:ind w:firstLine="627" w:firstLineChars="196"/>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承担我省农村能源科研、新技术引进；试点示范推广等任务。</w:t>
      </w:r>
    </w:p>
    <w:p>
      <w:pPr>
        <w:snapToGrid w:val="0"/>
        <w:spacing w:line="52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val="en-US" w:eastAsia="zh-CN"/>
        </w:rPr>
        <w:t>2.</w:t>
      </w:r>
      <w:r>
        <w:rPr>
          <w:rFonts w:hint="eastAsia" w:ascii="仿宋_GB2312" w:hAnsi="仿宋" w:eastAsia="仿宋_GB2312"/>
          <w:sz w:val="32"/>
          <w:szCs w:val="32"/>
        </w:rPr>
        <w:t>机构情况</w:t>
      </w:r>
      <w:r>
        <w:rPr>
          <w:rFonts w:hint="eastAsia" w:ascii="仿宋_GB2312" w:hAnsi="仿宋" w:eastAsia="仿宋_GB2312"/>
          <w:sz w:val="32"/>
          <w:szCs w:val="32"/>
          <w:lang w:eastAsia="zh-CN"/>
        </w:rPr>
        <w:t>与上年对比无变化</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仿宋_GB2312" w:hAnsi="仿宋" w:eastAsia="仿宋_GB2312"/>
          <w:sz w:val="32"/>
          <w:szCs w:val="32"/>
          <w:lang w:val="en-US" w:eastAsia="zh-CN"/>
        </w:rPr>
      </w:pPr>
      <w:r>
        <w:rPr>
          <w:rFonts w:hint="eastAsia" w:ascii="仿宋_GB2312" w:hAnsi="仿宋" w:eastAsia="仿宋_GB2312"/>
          <w:sz w:val="32"/>
          <w:szCs w:val="32"/>
        </w:rPr>
        <w:t>3．</w:t>
      </w:r>
      <w:r>
        <w:rPr>
          <w:rFonts w:hint="eastAsia" w:ascii="仿宋_GB2312" w:hAnsi="仿宋" w:eastAsia="仿宋_GB2312"/>
          <w:sz w:val="32"/>
          <w:szCs w:val="32"/>
          <w:lang w:eastAsia="zh-CN"/>
        </w:rPr>
        <w:t>人员情况：</w:t>
      </w:r>
      <w:r>
        <w:rPr>
          <w:rFonts w:hint="eastAsia" w:ascii="仿宋" w:hAnsi="仿宋" w:eastAsia="仿宋" w:cs="仿宋"/>
          <w:bCs/>
          <w:sz w:val="32"/>
          <w:szCs w:val="32"/>
          <w:lang w:val="en-US" w:eastAsia="zh-CN"/>
        </w:rPr>
        <w:t>人员编制6人，</w:t>
      </w:r>
      <w:r>
        <w:rPr>
          <w:rFonts w:hint="eastAsia" w:ascii="仿宋" w:hAnsi="仿宋" w:eastAsia="仿宋" w:cs="仿宋"/>
          <w:bCs/>
          <w:sz w:val="32"/>
          <w:szCs w:val="32"/>
        </w:rPr>
        <w:t>现有在职员工</w:t>
      </w:r>
      <w:r>
        <w:rPr>
          <w:rFonts w:hint="eastAsia" w:ascii="仿宋" w:hAnsi="仿宋" w:eastAsia="仿宋" w:cs="仿宋"/>
          <w:bCs/>
          <w:sz w:val="32"/>
          <w:szCs w:val="32"/>
          <w:lang w:val="en-US" w:eastAsia="zh-CN"/>
        </w:rPr>
        <w:t>4</w:t>
      </w:r>
      <w:r>
        <w:rPr>
          <w:rFonts w:hint="eastAsia" w:ascii="仿宋" w:hAnsi="仿宋" w:eastAsia="仿宋" w:cs="仿宋"/>
          <w:bCs/>
          <w:sz w:val="32"/>
          <w:szCs w:val="32"/>
        </w:rPr>
        <w:t>人，退休人员</w:t>
      </w:r>
      <w:r>
        <w:rPr>
          <w:rFonts w:hint="eastAsia" w:ascii="仿宋" w:hAnsi="仿宋" w:eastAsia="仿宋" w:cs="仿宋"/>
          <w:bCs/>
          <w:sz w:val="32"/>
          <w:szCs w:val="32"/>
          <w:lang w:val="en-US" w:eastAsia="zh-CN"/>
        </w:rPr>
        <w:t>2</w:t>
      </w:r>
      <w:r>
        <w:rPr>
          <w:rFonts w:hint="eastAsia" w:ascii="仿宋" w:hAnsi="仿宋" w:eastAsia="仿宋" w:cs="仿宋"/>
          <w:bCs/>
          <w:sz w:val="32"/>
          <w:szCs w:val="32"/>
        </w:rPr>
        <w:t>名。</w:t>
      </w:r>
    </w:p>
    <w:p>
      <w:pPr>
        <w:pStyle w:val="14"/>
        <w:keepNext w:val="0"/>
        <w:keepLines w:val="0"/>
        <w:pageBreakBefore w:val="0"/>
        <w:widowControl w:val="0"/>
        <w:numPr>
          <w:ilvl w:val="0"/>
          <w:numId w:val="4"/>
        </w:numPr>
        <w:kinsoku/>
        <w:wordWrap/>
        <w:overflowPunct/>
        <w:topLinePunct w:val="0"/>
        <w:bidi w:val="0"/>
        <w:snapToGrid/>
        <w:spacing w:line="600" w:lineRule="exact"/>
        <w:ind w:left="0" w:leftChars="0"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一般公共预算支出情况</w:t>
      </w:r>
    </w:p>
    <w:p>
      <w:pPr>
        <w:pStyle w:val="14"/>
        <w:keepNext w:val="0"/>
        <w:keepLines w:val="0"/>
        <w:pageBreakBefore w:val="0"/>
        <w:widowControl w:val="0"/>
        <w:numPr>
          <w:ilvl w:val="0"/>
          <w:numId w:val="5"/>
        </w:numPr>
        <w:kinsoku/>
        <w:wordWrap/>
        <w:overflowPunct/>
        <w:topLinePunct w:val="0"/>
        <w:bidi w:val="0"/>
        <w:snapToGrid/>
        <w:spacing w:line="600" w:lineRule="exact"/>
        <w:ind w:left="580" w:leftChars="0" w:firstLine="0" w:firstLineChars="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基本支出情况</w:t>
      </w:r>
    </w:p>
    <w:p>
      <w:pPr>
        <w:pStyle w:val="14"/>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基本支出全年预算数63.89万元，实际支出63.89万元，预算执行率100%，其中人员经费全年预算数63.89万元，实际支出63.89万元，预算执行率100%，公用经费全年预算数0元，实际支出0万元。</w:t>
      </w:r>
    </w:p>
    <w:p>
      <w:pPr>
        <w:pStyle w:val="14"/>
        <w:keepNext w:val="0"/>
        <w:keepLines w:val="0"/>
        <w:pageBreakBefore w:val="0"/>
        <w:widowControl w:val="0"/>
        <w:numPr>
          <w:ilvl w:val="0"/>
          <w:numId w:val="5"/>
        </w:numPr>
        <w:kinsoku/>
        <w:wordWrap/>
        <w:overflowPunct/>
        <w:topLinePunct w:val="0"/>
        <w:bidi w:val="0"/>
        <w:snapToGrid/>
        <w:spacing w:line="600" w:lineRule="exact"/>
        <w:ind w:left="580" w:leftChars="0" w:firstLine="0" w:firstLineChars="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项目支出情况</w:t>
      </w:r>
    </w:p>
    <w:p>
      <w:pPr>
        <w:pStyle w:val="14"/>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项目支出全年预算数0万元，实际支出0万元。</w:t>
      </w:r>
    </w:p>
    <w:p>
      <w:pPr>
        <w:pStyle w:val="14"/>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三、部门整体支出绩效情况</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运行成本</w:t>
      </w:r>
    </w:p>
    <w:p>
      <w:pPr>
        <w:pStyle w:val="14"/>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仿宋_GB2312" w:hAnsi="仿宋" w:eastAsia="仿宋_GB2312"/>
          <w:sz w:val="32"/>
          <w:szCs w:val="32"/>
          <w:lang w:eastAsia="zh-CN"/>
        </w:rPr>
        <w:t>支出预算数</w:t>
      </w:r>
      <w:r>
        <w:rPr>
          <w:rFonts w:hint="eastAsia" w:ascii="仿宋_GB2312" w:hAnsi="仿宋" w:eastAsia="仿宋_GB2312"/>
          <w:sz w:val="32"/>
          <w:szCs w:val="32"/>
          <w:lang w:val="en-US" w:eastAsia="zh-CN"/>
        </w:rPr>
        <w:t>128.78万元，支出决算数</w:t>
      </w:r>
      <w:r>
        <w:rPr>
          <w:rFonts w:hint="eastAsia" w:ascii="Times New Roman" w:hAnsi="Times New Roman" w:eastAsia="仿宋_GB2312"/>
          <w:sz w:val="32"/>
          <w:szCs w:val="32"/>
          <w:lang w:val="en-US" w:eastAsia="zh-CN"/>
        </w:rPr>
        <w:t>63.89万元，实际支出63.89万元，预算执行率100%，其中人员经费全年预算数63.89万元，实际支出63.89万元，预算执行率100%，公用经费全年预算数0元，实际支出0万元。</w:t>
      </w:r>
    </w:p>
    <w:p>
      <w:pPr>
        <w:ind w:firstLine="709"/>
        <w:rPr>
          <w:rFonts w:ascii="仿宋_GB2312" w:hAnsi="仿宋" w:eastAsia="仿宋_GB2312" w:cs="Times New Roman"/>
          <w:color w:val="FF0000"/>
          <w:sz w:val="32"/>
          <w:szCs w:val="32"/>
        </w:rPr>
      </w:pPr>
      <w:r>
        <w:rPr>
          <w:rFonts w:hint="eastAsia" w:ascii="仿宋_GB2312" w:hAnsi="仿宋" w:eastAsia="仿宋_GB2312"/>
          <w:sz w:val="32"/>
          <w:szCs w:val="32"/>
        </w:rPr>
        <w:t>（1）</w:t>
      </w:r>
      <w:r>
        <w:rPr>
          <w:rFonts w:hint="eastAsia" w:ascii="仿宋_GB2312" w:hAnsi="仿宋" w:eastAsia="仿宋_GB2312" w:cs="仿宋"/>
          <w:color w:val="000000"/>
          <w:sz w:val="32"/>
          <w:szCs w:val="32"/>
        </w:rPr>
        <w:t>“三公”经费全部为年初预算数</w:t>
      </w:r>
      <w:r>
        <w:rPr>
          <w:rFonts w:hint="eastAsia" w:ascii="仿宋_GB2312" w:hAnsi="仿宋" w:eastAsia="仿宋_GB2312" w:cs="仿宋"/>
          <w:color w:val="000000"/>
          <w:sz w:val="32"/>
          <w:szCs w:val="32"/>
          <w:lang w:val="en-US" w:eastAsia="zh-CN"/>
        </w:rPr>
        <w:t>0</w:t>
      </w:r>
      <w:r>
        <w:rPr>
          <w:rFonts w:hint="eastAsia" w:ascii="仿宋_GB2312" w:hAnsi="仿宋" w:eastAsia="仿宋_GB2312" w:cs="仿宋"/>
          <w:color w:val="000000"/>
          <w:sz w:val="32"/>
          <w:szCs w:val="32"/>
        </w:rPr>
        <w:t>万元，实际支出</w:t>
      </w:r>
      <w:r>
        <w:rPr>
          <w:rFonts w:hint="eastAsia" w:ascii="仿宋_GB2312" w:hAnsi="仿宋" w:eastAsia="仿宋_GB2312" w:cs="仿宋"/>
          <w:color w:val="000000"/>
          <w:sz w:val="32"/>
          <w:szCs w:val="32"/>
          <w:lang w:val="en-US" w:eastAsia="zh-CN"/>
        </w:rPr>
        <w:t>0</w:t>
      </w:r>
      <w:r>
        <w:rPr>
          <w:rFonts w:hint="eastAsia" w:ascii="仿宋_GB2312" w:hAnsi="仿宋" w:eastAsia="仿宋_GB2312" w:cs="仿宋"/>
          <w:color w:val="000000"/>
          <w:sz w:val="32"/>
          <w:szCs w:val="32"/>
        </w:rPr>
        <w:t>万元。</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（2）会议费支出情况：</w:t>
      </w:r>
      <w:r>
        <w:rPr>
          <w:rFonts w:hint="eastAsia" w:ascii="仿宋_GB2312" w:hAnsi="仿宋" w:eastAsia="仿宋_GB2312"/>
          <w:sz w:val="32"/>
          <w:szCs w:val="32"/>
          <w:lang w:eastAsia="zh-CN"/>
        </w:rPr>
        <w:t>会议费支出</w:t>
      </w:r>
      <w:r>
        <w:rPr>
          <w:rFonts w:hint="eastAsia" w:ascii="仿宋_GB2312" w:hAnsi="仿宋" w:eastAsia="仿宋_GB2312"/>
          <w:sz w:val="32"/>
          <w:szCs w:val="32"/>
          <w:lang w:val="en-US" w:eastAsia="zh-CN"/>
        </w:rPr>
        <w:t>0万元，上年支出为0万元</w:t>
      </w:r>
      <w:r>
        <w:rPr>
          <w:rFonts w:hint="eastAsia" w:ascii="仿宋_GB2312" w:hAnsi="仿宋" w:eastAsia="仿宋_GB2312"/>
          <w:sz w:val="32"/>
          <w:szCs w:val="32"/>
        </w:rPr>
        <w:t>。</w:t>
      </w:r>
    </w:p>
    <w:p>
      <w:pPr>
        <w:snapToGrid w:val="0"/>
        <w:spacing w:line="520" w:lineRule="exact"/>
        <w:ind w:firstLine="640" w:firstLineChars="200"/>
        <w:rPr>
          <w:rFonts w:hint="default" w:ascii="仿宋_GB2312" w:hAnsi="仿宋" w:eastAsia="仿宋_GB2312"/>
          <w:sz w:val="32"/>
          <w:szCs w:val="32"/>
          <w:lang w:val="en-US"/>
        </w:rPr>
      </w:pPr>
      <w:r>
        <w:rPr>
          <w:rFonts w:hint="eastAsia" w:ascii="仿宋_GB2312" w:hAnsi="仿宋" w:eastAsia="仿宋_GB2312"/>
          <w:sz w:val="32"/>
          <w:szCs w:val="32"/>
        </w:rPr>
        <w:t>（3）培训费支出情况：</w:t>
      </w:r>
      <w:r>
        <w:rPr>
          <w:rFonts w:hint="eastAsia" w:ascii="仿宋_GB2312" w:hAnsi="仿宋" w:eastAsia="仿宋_GB2312"/>
          <w:sz w:val="32"/>
          <w:szCs w:val="32"/>
          <w:lang w:eastAsia="zh-CN"/>
        </w:rPr>
        <w:t>培训费支出</w:t>
      </w:r>
      <w:r>
        <w:rPr>
          <w:rFonts w:hint="eastAsia" w:ascii="仿宋_GB2312" w:hAnsi="仿宋" w:eastAsia="仿宋_GB2312"/>
          <w:sz w:val="32"/>
          <w:szCs w:val="32"/>
          <w:lang w:val="en-US" w:eastAsia="zh-CN"/>
        </w:rPr>
        <w:t>0万元，上年支出为0万元。</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管理效率</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对标农业农村部要求，将农村沼气安全生产作为农业农村领域安全生产的重点工作，加强农业农村部门对农村沼气安全生产的监管，压实农村沼气用户和业主农村沼气安全生产的主体责任，确保安全监管到位。</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履职效能</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组织编写农村沼气安全操作手册。根据我省农村沼气安全的现状，我们组织相关专家编写了《湖南省农村沼气安全操作与处置实用技术手册》，指导沼气设施安全隐患排查与整治。</w:t>
      </w:r>
    </w:p>
    <w:p>
      <w:pPr>
        <w:snapToGrid w:val="0"/>
        <w:spacing w:line="520" w:lineRule="exact"/>
        <w:ind w:firstLine="640" w:firstLineChars="200"/>
        <w:rPr>
          <w:rFonts w:hint="eastAsia" w:ascii="仿宋_GB2312" w:hAnsi="仿宋" w:eastAsia="仿宋_GB2312"/>
          <w:sz w:val="32"/>
          <w:szCs w:val="32"/>
          <w:lang w:val="en" w:eastAsia="zh-CN"/>
        </w:rPr>
      </w:pPr>
      <w:r>
        <w:rPr>
          <w:rFonts w:hint="eastAsia" w:ascii="仿宋_GB2312" w:hAnsi="仿宋" w:eastAsia="仿宋_GB2312"/>
          <w:sz w:val="32"/>
          <w:szCs w:val="32"/>
          <w:lang w:val="en-US" w:eastAsia="zh-CN"/>
        </w:rPr>
        <w:t>积极开展农村沼气“安全生产月”活动。</w:t>
      </w:r>
      <w:r>
        <w:rPr>
          <w:rFonts w:hint="eastAsia" w:ascii="仿宋_GB2312" w:hAnsi="仿宋" w:eastAsia="仿宋_GB2312"/>
          <w:sz w:val="32"/>
          <w:szCs w:val="32"/>
          <w:lang w:val="en" w:eastAsia="zh-CN"/>
        </w:rPr>
        <w:t>在衡阳县、沅江市、岳阳县、桃江县等</w:t>
      </w:r>
      <w:r>
        <w:rPr>
          <w:rFonts w:hint="eastAsia" w:ascii="仿宋_GB2312" w:hAnsi="仿宋" w:eastAsia="仿宋_GB2312"/>
          <w:sz w:val="32"/>
          <w:szCs w:val="32"/>
          <w:lang w:val="en-US" w:eastAsia="zh-CN"/>
        </w:rPr>
        <w:t>4</w:t>
      </w:r>
      <w:r>
        <w:rPr>
          <w:rFonts w:hint="eastAsia" w:ascii="仿宋_GB2312" w:hAnsi="仿宋" w:eastAsia="仿宋_GB2312"/>
          <w:sz w:val="32"/>
          <w:szCs w:val="32"/>
          <w:lang w:val="en" w:eastAsia="zh-CN"/>
        </w:rPr>
        <w:t>个县市，现场开展农村沼气设施现场安全处置示范，并积极宣传农村沼气安全生产知识，让</w:t>
      </w:r>
      <w:r>
        <w:rPr>
          <w:rFonts w:hint="eastAsia" w:ascii="仿宋_GB2312" w:hAnsi="仿宋" w:eastAsia="仿宋_GB2312"/>
          <w:sz w:val="32"/>
          <w:szCs w:val="32"/>
          <w:lang w:val="en-US" w:eastAsia="zh-CN"/>
        </w:rPr>
        <w:t>大家思想上高度警醒，并且做到七个清楚：清楚自己的职责、清楚自己的任务、清楚自己分管工作的风险隐患、清楚每一项工作用什么样的措施办法才有效、清楚各项工作的技术路径、清楚和熟悉每一项工作的进展情况、清楚不履行职责将要承担什么样的后果。</w:t>
      </w:r>
    </w:p>
    <w:p>
      <w:pPr>
        <w:pStyle w:val="14"/>
        <w:keepNext w:val="0"/>
        <w:keepLines w:val="0"/>
        <w:pageBreakBefore w:val="0"/>
        <w:widowControl w:val="0"/>
        <w:numPr>
          <w:ilvl w:val="0"/>
          <w:numId w:val="3"/>
        </w:numPr>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社会效应</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协助举办沼气安全生产培训班。6月13日，协助资源保护与利用处在衡阳市举办了全省大中型沼气工程安全生产操作培训班。并且现场开展农村沼气安全处置示范。通过现场讲解和与会人员互动，增强大家对沼气相关知识的理解和记忆、提升业务能力，并充分认识到“安全无小事，责任大于天”。</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协助完成了生态农场的申报和评审。根据资源与利用处安排，全站人员配合协助尹邦友和易新两位同志到全省各地指导省级生态农场建设，并对拟申报国家级生态农场的企业进行了实地考察。目前，13个国家级生态农场已公示，省级生态农场通过了初审。</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、可持续发展能力</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完成了全省可再生能源统计的汇总审核上报和统计分析工作。按照部要求，2022年5月全面启动小程序的填报工作，至2023年</w:t>
      </w:r>
      <w:r>
        <w:rPr>
          <w:rFonts w:hint="default" w:ascii="仿宋_GB2312" w:hAnsi="仿宋" w:eastAsia="仿宋_GB2312"/>
          <w:sz w:val="32"/>
          <w:szCs w:val="32"/>
          <w:lang w:val="en" w:eastAsia="zh-CN"/>
        </w:rPr>
        <w:t>1</w:t>
      </w:r>
      <w:r>
        <w:rPr>
          <w:rFonts w:hint="eastAsia" w:ascii="仿宋_GB2312" w:hAnsi="仿宋" w:eastAsia="仿宋_GB2312"/>
          <w:sz w:val="32"/>
          <w:szCs w:val="32"/>
          <w:lang w:val="en-US" w:eastAsia="zh-CN"/>
        </w:rPr>
        <w:t>1月</w:t>
      </w:r>
      <w:r>
        <w:rPr>
          <w:rFonts w:hint="default" w:ascii="仿宋_GB2312" w:hAnsi="仿宋" w:eastAsia="仿宋_GB2312"/>
          <w:sz w:val="32"/>
          <w:szCs w:val="32"/>
          <w:lang w:val="en" w:eastAsia="zh-CN"/>
        </w:rPr>
        <w:t>30</w:t>
      </w:r>
      <w:r>
        <w:rPr>
          <w:rFonts w:hint="eastAsia" w:ascii="仿宋_GB2312" w:hAnsi="仿宋" w:eastAsia="仿宋_GB2312"/>
          <w:sz w:val="32"/>
          <w:szCs w:val="32"/>
          <w:lang w:val="en-US" w:eastAsia="zh-CN"/>
        </w:rPr>
        <w:t>日，填报户用沼气池1547</w:t>
      </w:r>
      <w:r>
        <w:rPr>
          <w:rFonts w:hint="default" w:ascii="仿宋_GB2312" w:hAnsi="仿宋" w:eastAsia="仿宋_GB2312"/>
          <w:sz w:val="32"/>
          <w:szCs w:val="32"/>
          <w:lang w:val="en" w:eastAsia="zh-CN"/>
        </w:rPr>
        <w:t>42</w:t>
      </w:r>
      <w:r>
        <w:rPr>
          <w:rFonts w:hint="eastAsia" w:ascii="仿宋_GB2312" w:hAnsi="仿宋" w:eastAsia="仿宋_GB2312"/>
          <w:sz w:val="32"/>
          <w:szCs w:val="32"/>
          <w:lang w:val="en-US" w:eastAsia="zh-CN"/>
        </w:rPr>
        <w:t>口（其中87569口存在安全隐患）、沼气工程1375处（其中796处存在安全隐患），为农村沼气安全生产提供了坚实基础。</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6、</w:t>
      </w:r>
      <w:r>
        <w:rPr>
          <w:rFonts w:hint="eastAsia" w:ascii="Times New Roman" w:hAnsi="Times New Roman" w:eastAsia="仿宋_GB2312"/>
          <w:sz w:val="32"/>
          <w:szCs w:val="32"/>
        </w:rPr>
        <w:t>服务对象满意度</w:t>
      </w:r>
    </w:p>
    <w:p>
      <w:pPr>
        <w:pStyle w:val="14"/>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服务对象满意度</w:t>
      </w:r>
      <w:r>
        <w:rPr>
          <w:rFonts w:hint="eastAsia" w:ascii="Times New Roman" w:hAnsi="Times New Roman" w:eastAsia="仿宋_GB2312"/>
          <w:sz w:val="32"/>
          <w:szCs w:val="32"/>
          <w:lang w:val="en-US" w:eastAsia="zh-CN"/>
        </w:rPr>
        <w:t>90%。</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四、存在的问题及原因分析</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lang w:val="en-US" w:eastAsia="zh-CN"/>
        </w:rPr>
        <w:sectPr>
          <w:pgSz w:w="11906" w:h="16838"/>
          <w:pgMar w:top="720" w:right="720" w:bottom="720" w:left="720" w:header="851" w:footer="992" w:gutter="0"/>
          <w:cols w:space="425" w:num="1"/>
          <w:docGrid w:type="linesAndChars" w:linePitch="312" w:charSpace="0"/>
        </w:sectPr>
      </w:pPr>
      <w:r>
        <w:rPr>
          <w:rFonts w:hint="eastAsia" w:ascii="Times New Roman" w:hAnsi="Times New Roman" w:eastAsia="仿宋_GB2312"/>
          <w:sz w:val="32"/>
          <w:szCs w:val="32"/>
          <w:lang w:val="en-US" w:eastAsia="zh-CN"/>
        </w:rPr>
        <w:t>经费预算不足，因我站为差额拨款事业单位，年初预算只能维持全站职工约10个月的人员经费开支。</w:t>
      </w:r>
    </w:p>
    <w:p>
      <w:pPr>
        <w:spacing w:after="120" w:afterLines="50" w:line="600" w:lineRule="exact"/>
        <w:jc w:val="center"/>
        <w:rPr>
          <w:rFonts w:hint="default" w:ascii="Times New Roman" w:hAnsi="Times New Roman" w:eastAsia="仿宋_GB2312" w:cs="Times New Roman"/>
          <w:sz w:val="24"/>
        </w:rPr>
      </w:pPr>
      <w:r>
        <w:rPr>
          <w:rFonts w:hint="default" w:ascii="Times New Roman" w:hAnsi="Times New Roman" w:eastAsia="方正小标宋_GBK" w:cs="Times New Roman"/>
          <w:sz w:val="36"/>
          <w:szCs w:val="36"/>
        </w:rPr>
        <w:t>202</w:t>
      </w:r>
      <w:r>
        <w:rPr>
          <w:rFonts w:hint="eastAsia" w:ascii="Times New Roman" w:hAnsi="Times New Roman" w:eastAsia="方正小标宋_GBK" w:cs="Times New Roman"/>
          <w:sz w:val="36"/>
          <w:szCs w:val="36"/>
          <w:lang w:val="en-US" w:eastAsia="zh-CN"/>
        </w:rPr>
        <w:t>3</w:t>
      </w:r>
      <w:r>
        <w:rPr>
          <w:rFonts w:hint="default" w:ascii="Times New Roman" w:hAnsi="Times New Roman" w:eastAsia="方正小标宋_GBK" w:cs="Times New Roman"/>
          <w:sz w:val="36"/>
          <w:szCs w:val="36"/>
        </w:rPr>
        <w:t>年</w:t>
      </w:r>
      <w:r>
        <w:rPr>
          <w:rFonts w:hint="eastAsia" w:ascii="Times New Roman" w:hAnsi="Times New Roman" w:eastAsia="方正小标宋_GBK" w:cs="Times New Roman"/>
          <w:sz w:val="36"/>
          <w:szCs w:val="36"/>
          <w:lang w:eastAsia="zh-CN"/>
        </w:rPr>
        <w:t>度</w:t>
      </w:r>
      <w:r>
        <w:rPr>
          <w:rFonts w:hint="default" w:ascii="Times New Roman" w:hAnsi="Times New Roman" w:eastAsia="方正小标宋_GBK" w:cs="Times New Roman"/>
          <w:sz w:val="36"/>
          <w:szCs w:val="36"/>
        </w:rPr>
        <w:t>部门整体支出绩效评价基础数据表</w:t>
      </w:r>
    </w:p>
    <w:tbl>
      <w:tblPr>
        <w:tblStyle w:val="9"/>
        <w:tblW w:w="9673" w:type="dxa"/>
        <w:jc w:val="center"/>
        <w:tblInd w:w="0" w:type="dxa"/>
        <w:tblLayout w:type="fixed"/>
        <w:tblCellMar>
          <w:top w:w="0" w:type="dxa"/>
          <w:left w:w="108" w:type="dxa"/>
          <w:bottom w:w="0" w:type="dxa"/>
          <w:right w:w="108" w:type="dxa"/>
        </w:tblCellMar>
      </w:tblPr>
      <w:tblGrid>
        <w:gridCol w:w="3354"/>
        <w:gridCol w:w="1189"/>
        <w:gridCol w:w="849"/>
        <w:gridCol w:w="1129"/>
        <w:gridCol w:w="1111"/>
        <w:gridCol w:w="1081"/>
        <w:gridCol w:w="960"/>
      </w:tblGrid>
      <w:tr>
        <w:tblPrEx>
          <w:tblLayout w:type="fixed"/>
          <w:tblCellMar>
            <w:top w:w="0" w:type="dxa"/>
            <w:left w:w="108" w:type="dxa"/>
            <w:bottom w:w="0" w:type="dxa"/>
            <w:right w:w="108" w:type="dxa"/>
          </w:tblCellMar>
        </w:tblPrEx>
        <w:trPr>
          <w:trHeight w:val="0" w:hRule="atLeast"/>
          <w:jc w:val="center"/>
        </w:trPr>
        <w:tc>
          <w:tcPr>
            <w:tcW w:w="33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财政供养人员情况（人）</w:t>
            </w: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编制数</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3</w:t>
            </w:r>
            <w:r>
              <w:rPr>
                <w:rFonts w:hint="default" w:ascii="Times New Roman" w:hAnsi="Times New Roman" w:eastAsia="仿宋_GB2312" w:cs="Times New Roman"/>
                <w:b/>
                <w:bCs/>
                <w:sz w:val="20"/>
                <w:szCs w:val="20"/>
              </w:rPr>
              <w:t>年实际在职人数</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控制率</w:t>
            </w:r>
          </w:p>
        </w:tc>
      </w:tr>
      <w:tr>
        <w:tblPrEx>
          <w:tblLayout w:type="fixed"/>
          <w:tblCellMar>
            <w:top w:w="0" w:type="dxa"/>
            <w:left w:w="108" w:type="dxa"/>
            <w:bottom w:w="0" w:type="dxa"/>
            <w:right w:w="108" w:type="dxa"/>
          </w:tblCellMar>
        </w:tblPrEx>
        <w:trPr>
          <w:trHeight w:val="0" w:hRule="atLeast"/>
          <w:jc w:val="center"/>
        </w:trPr>
        <w:tc>
          <w:tcPr>
            <w:tcW w:w="33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6</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4</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66.670%</w:t>
            </w: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经费控制情况（万元）</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2</w:t>
            </w:r>
            <w:r>
              <w:rPr>
                <w:rFonts w:hint="default" w:ascii="Times New Roman" w:hAnsi="Times New Roman" w:eastAsia="仿宋_GB2312" w:cs="Times New Roman"/>
                <w:b/>
                <w:bCs/>
                <w:sz w:val="20"/>
                <w:szCs w:val="20"/>
              </w:rPr>
              <w:t>年决算数</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3</w:t>
            </w:r>
            <w:r>
              <w:rPr>
                <w:rFonts w:hint="default" w:ascii="Times New Roman" w:hAnsi="Times New Roman" w:eastAsia="仿宋_GB2312" w:cs="Times New Roman"/>
                <w:b/>
                <w:bCs/>
                <w:sz w:val="20"/>
                <w:szCs w:val="20"/>
              </w:rPr>
              <w:t>年预算数</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3</w:t>
            </w:r>
            <w:r>
              <w:rPr>
                <w:rFonts w:hint="default" w:ascii="Times New Roman" w:hAnsi="Times New Roman" w:eastAsia="仿宋_GB2312" w:cs="Times New Roman"/>
                <w:b/>
                <w:bCs/>
                <w:sz w:val="20"/>
                <w:szCs w:val="20"/>
              </w:rPr>
              <w:t>年决算数</w:t>
            </w:r>
          </w:p>
        </w:tc>
      </w:tr>
      <w:tr>
        <w:tblPrEx>
          <w:tblLayout w:type="fixed"/>
          <w:tblCellMar>
            <w:top w:w="0" w:type="dxa"/>
            <w:left w:w="108" w:type="dxa"/>
            <w:bottom w:w="0" w:type="dxa"/>
            <w:right w:w="108" w:type="dxa"/>
          </w:tblCellMar>
        </w:tblPrEx>
        <w:trPr>
          <w:trHeight w:val="348"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rPr>
              <w:t>三公经费</w:t>
            </w:r>
            <w:r>
              <w:rPr>
                <w:rFonts w:hint="eastAsia" w:ascii="Times New Roman" w:hAnsi="Times New Roman" w:eastAsia="仿宋_GB2312" w:cs="Times New Roman"/>
                <w:sz w:val="20"/>
                <w:szCs w:val="20"/>
                <w:lang w:val="en-US" w:eastAsia="zh-CN"/>
              </w:rPr>
              <w:t>:</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r>
      <w:tr>
        <w:tblPrEx>
          <w:tblLayout w:type="fixed"/>
          <w:tblCellMar>
            <w:top w:w="0" w:type="dxa"/>
            <w:left w:w="108" w:type="dxa"/>
            <w:bottom w:w="0" w:type="dxa"/>
            <w:right w:w="108" w:type="dxa"/>
          </w:tblCellMar>
        </w:tblPrEx>
        <w:trPr>
          <w:trHeight w:val="9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其中：公车购置</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公车运行维护</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2、出国经费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3、公务接待</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项目支出：</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r>
      <w:tr>
        <w:tblPrEx>
          <w:tblLayout w:type="fixed"/>
          <w:tblCellMar>
            <w:top w:w="0" w:type="dxa"/>
            <w:left w:w="108" w:type="dxa"/>
            <w:bottom w:w="0" w:type="dxa"/>
            <w:right w:w="108" w:type="dxa"/>
          </w:tblCellMar>
        </w:tblPrEx>
        <w:trPr>
          <w:trHeight w:val="346"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1、业务工作经费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2、运行维护经费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sz w:val="20"/>
                <w:szCs w:val="20"/>
                <w:highlight w:val="none"/>
                <w:lang w:val="en-US" w:eastAsia="zh-CN"/>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ind w:firstLine="400" w:firstLineChars="200"/>
              <w:jc w:val="left"/>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3、</w:t>
            </w:r>
            <w:r>
              <w:rPr>
                <w:rFonts w:hint="default" w:ascii="Times New Roman" w:hAnsi="Times New Roman" w:eastAsia="仿宋_GB2312" w:cs="Times New Roman"/>
                <w:sz w:val="20"/>
                <w:szCs w:val="20"/>
              </w:rPr>
              <w:t>其他事业发展资金</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4</w:t>
            </w:r>
            <w:r>
              <w:rPr>
                <w:rFonts w:hint="default" w:ascii="Times New Roman" w:hAnsi="Times New Roman" w:eastAsia="仿宋_GB2312" w:cs="Times New Roman"/>
                <w:sz w:val="20"/>
                <w:szCs w:val="20"/>
              </w:rPr>
              <w:t>、省级专项资金（</w:t>
            </w:r>
            <w:r>
              <w:rPr>
                <w:rFonts w:hint="eastAsia" w:ascii="Times New Roman" w:hAnsi="Times New Roman" w:eastAsia="仿宋_GB2312" w:cs="Times New Roman"/>
                <w:sz w:val="20"/>
                <w:szCs w:val="20"/>
                <w:lang w:eastAsia="zh-CN"/>
              </w:rPr>
              <w:t>每</w:t>
            </w:r>
            <w:r>
              <w:rPr>
                <w:rFonts w:hint="default" w:ascii="Times New Roman" w:hAnsi="Times New Roman" w:eastAsia="仿宋_GB2312" w:cs="Times New Roman"/>
                <w:sz w:val="20"/>
                <w:szCs w:val="20"/>
              </w:rPr>
              <w:t>个专项一行）</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公用经费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其中：办公经费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水费、电费、差旅费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p>
        </w:tc>
      </w:tr>
      <w:tr>
        <w:tblPrEx>
          <w:tblLayout w:type="fixed"/>
          <w:tblCellMar>
            <w:top w:w="0" w:type="dxa"/>
            <w:left w:w="108" w:type="dxa"/>
            <w:bottom w:w="0" w:type="dxa"/>
            <w:right w:w="108" w:type="dxa"/>
          </w:tblCellMar>
        </w:tblPrEx>
        <w:trPr>
          <w:trHeight w:val="9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会议费、培训费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highlight w:val="none"/>
                <w:lang w:val="en-US" w:eastAsia="zh-CN"/>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政府采购金额</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r>
              <w:rPr>
                <w:rFonts w:hint="eastAsia" w:ascii="Times New Roman" w:hAnsi="Times New Roman" w:eastAsia="仿宋_GB2312" w:cs="Times New Roman"/>
                <w:color w:val="auto"/>
                <w:sz w:val="20"/>
                <w:szCs w:val="20"/>
                <w:highlight w:val="none"/>
                <w:lang w:val="en-US" w:eastAsia="zh-CN"/>
              </w:rPr>
              <w:t>0</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vMerge w:val="restart"/>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楼堂馆所控制情况</w:t>
            </w:r>
            <w:r>
              <w:rPr>
                <w:rFonts w:hint="default" w:ascii="Times New Roman" w:hAnsi="Times New Roman" w:eastAsia="仿宋_GB2312" w:cs="Times New Roman"/>
                <w:sz w:val="20"/>
                <w:szCs w:val="20"/>
              </w:rPr>
              <w:br w:type="textWrapping"/>
            </w:r>
            <w:r>
              <w:rPr>
                <w:rFonts w:hint="default" w:ascii="Times New Roman" w:hAnsi="Times New Roman" w:eastAsia="仿宋_GB2312" w:cs="Times New Roman"/>
                <w:sz w:val="20"/>
                <w:szCs w:val="20"/>
              </w:rPr>
              <w:t>（202</w:t>
            </w:r>
            <w:r>
              <w:rPr>
                <w:rFonts w:hint="eastAsia" w:ascii="Times New Roman" w:hAnsi="Times New Roman" w:eastAsia="仿宋_GB2312" w:cs="Times New Roman"/>
                <w:sz w:val="20"/>
                <w:szCs w:val="20"/>
                <w:lang w:val="en-US" w:eastAsia="zh-CN"/>
              </w:rPr>
              <w:t>3</w:t>
            </w:r>
            <w:r>
              <w:rPr>
                <w:rFonts w:hint="default" w:ascii="Times New Roman" w:hAnsi="Times New Roman" w:eastAsia="仿宋_GB2312" w:cs="Times New Roman"/>
                <w:sz w:val="20"/>
                <w:szCs w:val="20"/>
              </w:rPr>
              <w:t>年完工项目）</w:t>
            </w:r>
          </w:p>
        </w:tc>
        <w:tc>
          <w:tcPr>
            <w:tcW w:w="1189"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批复规模</w:t>
            </w:r>
            <w:r>
              <w:rPr>
                <w:rFonts w:hint="default" w:ascii="Times New Roman" w:hAnsi="Times New Roman" w:eastAsia="仿宋_GB2312" w:cs="Times New Roman"/>
                <w:bCs/>
                <w:sz w:val="20"/>
                <w:szCs w:val="20"/>
              </w:rPr>
              <w:br w:type="textWrapping"/>
            </w:r>
            <w:r>
              <w:rPr>
                <w:rFonts w:hint="default" w:ascii="Times New Roman" w:hAnsi="Times New Roman" w:eastAsia="仿宋_GB2312" w:cs="Times New Roman"/>
                <w:bCs/>
                <w:sz w:val="20"/>
                <w:szCs w:val="20"/>
              </w:rPr>
              <w:t>（</w:t>
            </w:r>
            <w:r>
              <w:rPr>
                <w:rFonts w:hint="default" w:ascii="Times New Roman" w:hAnsi="Times New Roman" w:cs="Times New Roman"/>
                <w:bCs/>
                <w:sz w:val="20"/>
                <w:szCs w:val="20"/>
              </w:rPr>
              <w:t>㎡</w:t>
            </w:r>
            <w:r>
              <w:rPr>
                <w:rFonts w:hint="default" w:ascii="Times New Roman" w:hAnsi="Times New Roman" w:eastAsia="仿宋_GB2312" w:cs="Times New Roman"/>
                <w:bCs/>
                <w:sz w:val="20"/>
                <w:szCs w:val="20"/>
              </w:rPr>
              <w:t>）</w:t>
            </w:r>
          </w:p>
        </w:tc>
        <w:tc>
          <w:tcPr>
            <w:tcW w:w="849"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实际规模（</w:t>
            </w:r>
            <w:r>
              <w:rPr>
                <w:rFonts w:hint="default" w:ascii="Times New Roman" w:hAnsi="Times New Roman" w:cs="Times New Roman"/>
                <w:bCs/>
                <w:sz w:val="20"/>
                <w:szCs w:val="20"/>
              </w:rPr>
              <w:t>㎡</w:t>
            </w:r>
            <w:r>
              <w:rPr>
                <w:rFonts w:hint="default" w:ascii="Times New Roman" w:hAnsi="Times New Roman" w:eastAsia="仿宋_GB2312" w:cs="Times New Roman"/>
                <w:bCs/>
                <w:sz w:val="20"/>
                <w:szCs w:val="20"/>
              </w:rPr>
              <w:t>）</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规模控制率</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预算投资（万元）</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实际投资（万元）</w:t>
            </w:r>
          </w:p>
        </w:tc>
        <w:tc>
          <w:tcPr>
            <w:tcW w:w="960"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18"/>
                <w:szCs w:val="18"/>
              </w:rPr>
              <w:t>投资概算控制率</w:t>
            </w:r>
          </w:p>
        </w:tc>
      </w:tr>
      <w:tr>
        <w:tblPrEx>
          <w:tblLayout w:type="fixed"/>
          <w:tblCellMar>
            <w:top w:w="0" w:type="dxa"/>
            <w:left w:w="108" w:type="dxa"/>
            <w:bottom w:w="0" w:type="dxa"/>
            <w:right w:w="108" w:type="dxa"/>
          </w:tblCellMar>
        </w:tblPrEx>
        <w:trPr>
          <w:trHeight w:val="0" w:hRule="atLeast"/>
          <w:jc w:val="center"/>
        </w:trPr>
        <w:tc>
          <w:tcPr>
            <w:tcW w:w="3354" w:type="dxa"/>
            <w:vMerge w:val="continue"/>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p>
        </w:tc>
        <w:tc>
          <w:tcPr>
            <w:tcW w:w="1189"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849"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960"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厉行节约保障措施</w:t>
            </w:r>
          </w:p>
        </w:tc>
        <w:tc>
          <w:tcPr>
            <w:tcW w:w="6319" w:type="dxa"/>
            <w:gridSpan w:val="6"/>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bl>
    <w:p>
      <w:pPr>
        <w:widowControl/>
        <w:spacing w:afterLines="0" w:line="400" w:lineRule="exact"/>
        <w:jc w:val="left"/>
        <w:rPr>
          <w:rFonts w:hint="default" w:ascii="Times New Roman" w:hAnsi="Times New Roman" w:eastAsia="仿宋_GB2312" w:cs="Times New Roman"/>
          <w:sz w:val="22"/>
        </w:rPr>
      </w:pPr>
      <w:r>
        <w:rPr>
          <w:rFonts w:hint="default" w:ascii="Times New Roman" w:hAnsi="Times New Roman" w:eastAsia="仿宋_GB2312" w:cs="Times New Roman"/>
          <w:sz w:val="22"/>
        </w:rPr>
        <w:t>说明：“项目支出”需要填报基本支出以外的所有项目支出情况，“公用经费”填报基本支出中的一般商品和服务支出。</w:t>
      </w:r>
    </w:p>
    <w:p>
      <w:pPr>
        <w:widowControl/>
        <w:spacing w:afterLines="0" w:line="400" w:lineRule="exact"/>
        <w:jc w:val="left"/>
        <w:rPr>
          <w:rFonts w:hint="default" w:ascii="Times New Roman" w:hAnsi="Times New Roman" w:eastAsia="仿宋_GB2312" w:cs="Times New Roman"/>
          <w:sz w:val="22"/>
        </w:rPr>
      </w:pPr>
    </w:p>
    <w:p>
      <w:pPr>
        <w:pStyle w:val="2"/>
        <w:rPr>
          <w:rFonts w:hint="default"/>
        </w:rPr>
      </w:pPr>
    </w:p>
    <w:p>
      <w:pPr>
        <w:pStyle w:val="2"/>
        <w:rPr>
          <w:rFonts w:hint="eastAsia" w:ascii="Times New Roman" w:hAnsi="Times New Roman" w:eastAsia="仿宋_GB2312" w:cs="Times New Roman"/>
          <w:sz w:val="22"/>
          <w:szCs w:val="22"/>
          <w:lang w:val="en-US" w:eastAsia="zh-CN"/>
        </w:rPr>
      </w:pPr>
    </w:p>
    <w:p>
      <w:pPr>
        <w:pStyle w:val="3"/>
        <w:rPr>
          <w:rFonts w:hint="eastAsia" w:ascii="Times New Roman" w:hAnsi="Times New Roman" w:eastAsia="仿宋_GB2312" w:cs="Times New Roman"/>
          <w:sz w:val="22"/>
          <w:szCs w:val="22"/>
          <w:lang w:val="en-US" w:eastAsia="zh-CN"/>
        </w:rPr>
      </w:pPr>
    </w:p>
    <w:p>
      <w:pPr>
        <w:rPr>
          <w:rFonts w:hint="eastAsia" w:ascii="Times New Roman" w:hAnsi="Times New Roman" w:eastAsia="仿宋_GB2312" w:cs="Times New Roman"/>
          <w:sz w:val="22"/>
          <w:szCs w:val="22"/>
          <w:lang w:val="en-US" w:eastAsia="zh-CN"/>
        </w:rPr>
      </w:pPr>
    </w:p>
    <w:p>
      <w:pPr>
        <w:pStyle w:val="2"/>
        <w:rPr>
          <w:rFonts w:hint="eastAsia" w:ascii="Times New Roman" w:hAnsi="Times New Roman" w:eastAsia="仿宋_GB2312" w:cs="Times New Roman"/>
          <w:sz w:val="22"/>
          <w:szCs w:val="22"/>
          <w:lang w:val="en-US" w:eastAsia="zh-CN"/>
        </w:rPr>
      </w:pPr>
    </w:p>
    <w:p>
      <w:pPr>
        <w:pStyle w:val="3"/>
        <w:rPr>
          <w:rFonts w:hint="eastAsia" w:ascii="Times New Roman" w:hAnsi="Times New Roman" w:eastAsia="仿宋_GB2312" w:cs="Times New Roman"/>
          <w:sz w:val="22"/>
          <w:szCs w:val="22"/>
          <w:lang w:val="en-US" w:eastAsia="zh-CN"/>
        </w:rPr>
      </w:pPr>
    </w:p>
    <w:p>
      <w:pPr>
        <w:rPr>
          <w:rFonts w:hint="eastAsia" w:ascii="Times New Roman" w:hAnsi="Times New Roman" w:eastAsia="仿宋_GB2312" w:cs="Times New Roman"/>
          <w:sz w:val="22"/>
          <w:szCs w:val="22"/>
          <w:lang w:val="en-US" w:eastAsia="zh-CN"/>
        </w:rPr>
      </w:pPr>
    </w:p>
    <w:p>
      <w:pPr>
        <w:pStyle w:val="2"/>
        <w:rPr>
          <w:rFonts w:hint="eastAsia" w:ascii="Times New Roman" w:hAnsi="Times New Roman" w:eastAsia="仿宋_GB2312" w:cs="Times New Roman"/>
          <w:sz w:val="22"/>
          <w:szCs w:val="22"/>
          <w:lang w:val="en-US" w:eastAsia="zh-CN"/>
        </w:rPr>
      </w:pPr>
    </w:p>
    <w:p>
      <w:pPr>
        <w:pStyle w:val="3"/>
        <w:rPr>
          <w:rFonts w:hint="eastAsia"/>
          <w:lang w:val="en-US" w:eastAsia="zh-CN"/>
        </w:rPr>
      </w:pPr>
    </w:p>
    <w:p>
      <w:pPr>
        <w:rPr>
          <w:rFonts w:hint="eastAsia" w:ascii="Times New Roman" w:hAnsi="Times New Roman" w:eastAsia="仿宋_GB2312" w:cs="Times New Roman"/>
          <w:sz w:val="22"/>
          <w:szCs w:val="22"/>
          <w:lang w:val="en-US" w:eastAsia="zh-CN"/>
        </w:rPr>
      </w:pPr>
    </w:p>
    <w:p>
      <w:pPr>
        <w:pStyle w:val="2"/>
        <w:rPr>
          <w:rFonts w:hint="eastAsia" w:ascii="Times New Roman" w:hAnsi="Times New Roman" w:eastAsia="仿宋_GB2312" w:cs="Times New Roman"/>
          <w:sz w:val="22"/>
          <w:szCs w:val="22"/>
          <w:lang w:val="en-US" w:eastAsia="zh-CN"/>
        </w:rPr>
      </w:pPr>
    </w:p>
    <w:p>
      <w:pPr>
        <w:pStyle w:val="3"/>
        <w:rPr>
          <w:rFonts w:hint="eastAsia" w:ascii="Times New Roman" w:hAnsi="Times New Roman" w:eastAsia="仿宋_GB2312" w:cs="Times New Roman"/>
          <w:sz w:val="22"/>
          <w:szCs w:val="22"/>
          <w:lang w:val="en-US" w:eastAsia="zh-CN"/>
        </w:rPr>
      </w:pPr>
    </w:p>
    <w:p>
      <w:pPr>
        <w:rPr>
          <w:rFonts w:hint="eastAsia"/>
          <w:lang w:val="en-US" w:eastAsia="zh-CN"/>
        </w:rPr>
      </w:pPr>
    </w:p>
    <w:p>
      <w:pPr>
        <w:pStyle w:val="3"/>
        <w:rPr>
          <w:rFonts w:hint="default"/>
          <w:lang w:val="en-US" w:eastAsia="zh-CN"/>
        </w:rPr>
      </w:pPr>
    </w:p>
    <w:p>
      <w:pPr>
        <w:widowControl/>
        <w:spacing w:after="120" w:afterLines="50"/>
        <w:jc w:val="center"/>
        <w:rPr>
          <w:rFonts w:hint="default" w:ascii="Times New Roman" w:hAnsi="Times New Roman" w:eastAsia="方正小标宋_GBK" w:cs="Times New Roman"/>
          <w:color w:val="000000"/>
          <w:sz w:val="36"/>
          <w:szCs w:val="36"/>
        </w:rPr>
      </w:pPr>
      <w:r>
        <w:rPr>
          <w:rFonts w:hint="default" w:ascii="Times New Roman" w:hAnsi="Times New Roman" w:eastAsia="方正小标宋_GBK" w:cs="Times New Roman"/>
          <w:color w:val="000000"/>
          <w:sz w:val="36"/>
          <w:szCs w:val="36"/>
        </w:rPr>
        <w:t>202</w:t>
      </w:r>
      <w:r>
        <w:rPr>
          <w:rFonts w:hint="eastAsia" w:ascii="Times New Roman" w:hAnsi="Times New Roman" w:eastAsia="方正小标宋_GBK" w:cs="Times New Roman"/>
          <w:color w:val="000000"/>
          <w:sz w:val="36"/>
          <w:szCs w:val="36"/>
          <w:lang w:val="en-US" w:eastAsia="zh-CN"/>
        </w:rPr>
        <w:t>3</w:t>
      </w:r>
      <w:r>
        <w:rPr>
          <w:rFonts w:hint="default" w:ascii="Times New Roman" w:hAnsi="Times New Roman" w:eastAsia="方正小标宋_GBK" w:cs="Times New Roman"/>
          <w:color w:val="000000"/>
          <w:sz w:val="36"/>
          <w:szCs w:val="36"/>
        </w:rPr>
        <w:t>年</w:t>
      </w:r>
      <w:r>
        <w:rPr>
          <w:rFonts w:hint="eastAsia" w:ascii="Times New Roman" w:hAnsi="Times New Roman" w:eastAsia="方正小标宋_GBK" w:cs="Times New Roman"/>
          <w:color w:val="000000"/>
          <w:sz w:val="36"/>
          <w:szCs w:val="36"/>
          <w:lang w:eastAsia="zh-CN"/>
        </w:rPr>
        <w:t>度</w:t>
      </w:r>
      <w:r>
        <w:rPr>
          <w:rFonts w:hint="default" w:ascii="Times New Roman" w:hAnsi="Times New Roman" w:eastAsia="方正小标宋_GBK" w:cs="Times New Roman"/>
          <w:color w:val="000000"/>
          <w:sz w:val="36"/>
          <w:szCs w:val="36"/>
        </w:rPr>
        <w:t>部门整体支出绩效自评表</w:t>
      </w:r>
    </w:p>
    <w:tbl>
      <w:tblPr>
        <w:tblStyle w:val="9"/>
        <w:tblW w:w="10093" w:type="dxa"/>
        <w:jc w:val="center"/>
        <w:tblInd w:w="-574" w:type="dxa"/>
        <w:tblLayout w:type="fixed"/>
        <w:tblCellMar>
          <w:top w:w="0" w:type="dxa"/>
          <w:left w:w="108" w:type="dxa"/>
          <w:bottom w:w="0" w:type="dxa"/>
          <w:right w:w="108" w:type="dxa"/>
        </w:tblCellMar>
      </w:tblPr>
      <w:tblGrid>
        <w:gridCol w:w="616"/>
        <w:gridCol w:w="1029"/>
        <w:gridCol w:w="1140"/>
        <w:gridCol w:w="1813"/>
        <w:gridCol w:w="1187"/>
        <w:gridCol w:w="1752"/>
        <w:gridCol w:w="624"/>
        <w:gridCol w:w="888"/>
        <w:gridCol w:w="1044"/>
      </w:tblGrid>
      <w:tr>
        <w:tblPrEx>
          <w:tblLayout w:type="fixed"/>
          <w:tblCellMar>
            <w:top w:w="0" w:type="dxa"/>
            <w:left w:w="108" w:type="dxa"/>
            <w:bottom w:w="0" w:type="dxa"/>
            <w:right w:w="108" w:type="dxa"/>
          </w:tblCellMar>
        </w:tblPrEx>
        <w:trPr>
          <w:jc w:val="center"/>
        </w:trPr>
        <w:tc>
          <w:tcPr>
            <w:tcW w:w="2785"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省级预算部门</w:t>
            </w:r>
            <w:r>
              <w:rPr>
                <w:rFonts w:hint="eastAsia" w:ascii="Times New Roman" w:hAnsi="Times New Roman" w:eastAsia="仿宋_GB2312" w:cs="Times New Roman"/>
                <w:color w:val="000000"/>
                <w:sz w:val="20"/>
                <w:szCs w:val="20"/>
                <w:lang w:eastAsia="zh-CN"/>
              </w:rPr>
              <w:t>、单位</w:t>
            </w:r>
            <w:r>
              <w:rPr>
                <w:rFonts w:hint="default" w:ascii="Times New Roman" w:hAnsi="Times New Roman" w:eastAsia="仿宋_GB2312" w:cs="Times New Roman"/>
                <w:color w:val="000000"/>
                <w:sz w:val="20"/>
                <w:szCs w:val="20"/>
              </w:rPr>
              <w:t>名称</w:t>
            </w:r>
          </w:p>
        </w:tc>
        <w:tc>
          <w:tcPr>
            <w:tcW w:w="7308"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湖南省农村能源技术推广站</w:t>
            </w:r>
          </w:p>
        </w:tc>
      </w:tr>
      <w:tr>
        <w:tblPrEx>
          <w:tblLayout w:type="fixed"/>
          <w:tblCellMar>
            <w:top w:w="0" w:type="dxa"/>
            <w:left w:w="108" w:type="dxa"/>
            <w:bottom w:w="0" w:type="dxa"/>
            <w:right w:w="108" w:type="dxa"/>
          </w:tblCellMar>
        </w:tblPrEx>
        <w:trPr>
          <w:jc w:val="center"/>
        </w:trPr>
        <w:tc>
          <w:tcPr>
            <w:tcW w:w="616" w:type="dxa"/>
            <w:vMerge w:val="restart"/>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年度预</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算申请</w:t>
            </w:r>
            <w:r>
              <w:rPr>
                <w:rFonts w:hint="default" w:ascii="Times New Roman" w:hAnsi="Times New Roman" w:eastAsia="仿宋_GB2312" w:cs="Times New Roman"/>
                <w:color w:val="000000"/>
                <w:sz w:val="20"/>
                <w:szCs w:val="20"/>
              </w:rPr>
              <w:br w:type="textWrapping"/>
            </w:r>
            <w:r>
              <w:rPr>
                <w:rFonts w:hint="default" w:ascii="Times New Roman" w:hAnsi="Times New Roman" w:eastAsia="仿宋_GB2312" w:cs="Times New Roman"/>
                <w:color w:val="000000"/>
                <w:sz w:val="20"/>
                <w:szCs w:val="20"/>
              </w:rPr>
              <w:t>（万元）</w:t>
            </w:r>
          </w:p>
        </w:tc>
        <w:tc>
          <w:tcPr>
            <w:tcW w:w="2169"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p>
        </w:tc>
        <w:tc>
          <w:tcPr>
            <w:tcW w:w="1813"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年初预算数</w:t>
            </w:r>
          </w:p>
        </w:tc>
        <w:tc>
          <w:tcPr>
            <w:tcW w:w="1187"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全年预算数</w:t>
            </w:r>
          </w:p>
        </w:tc>
        <w:tc>
          <w:tcPr>
            <w:tcW w:w="1752"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全年执行数</w:t>
            </w:r>
          </w:p>
        </w:tc>
        <w:tc>
          <w:tcPr>
            <w:tcW w:w="624"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分值</w:t>
            </w:r>
          </w:p>
        </w:tc>
        <w:tc>
          <w:tcPr>
            <w:tcW w:w="888"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执行率</w:t>
            </w:r>
          </w:p>
        </w:tc>
        <w:tc>
          <w:tcPr>
            <w:tcW w:w="1044"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eastAsia="zh-CN"/>
              </w:rPr>
              <w:t>自评</w:t>
            </w:r>
            <w:r>
              <w:rPr>
                <w:rFonts w:hint="default" w:ascii="Times New Roman" w:hAnsi="Times New Roman" w:eastAsia="仿宋_GB2312" w:cs="Times New Roman"/>
                <w:sz w:val="20"/>
                <w:szCs w:val="20"/>
              </w:rPr>
              <w:t>得分</w:t>
            </w:r>
          </w:p>
        </w:tc>
      </w:tr>
      <w:tr>
        <w:tblPrEx>
          <w:tblLayout w:type="fixed"/>
          <w:tblCellMar>
            <w:top w:w="0" w:type="dxa"/>
            <w:left w:w="108" w:type="dxa"/>
            <w:bottom w:w="0" w:type="dxa"/>
            <w:right w:w="108" w:type="dxa"/>
          </w:tblCellMar>
        </w:tblPrEx>
        <w:trPr>
          <w:trHeight w:val="237" w:hRule="atLeast"/>
          <w:jc w:val="center"/>
        </w:trPr>
        <w:tc>
          <w:tcPr>
            <w:tcW w:w="616" w:type="dxa"/>
            <w:vMerge w:val="continue"/>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2169"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color w:val="000000"/>
                <w:sz w:val="20"/>
                <w:szCs w:val="20"/>
              </w:rPr>
              <w:t>年度资金总额</w:t>
            </w:r>
          </w:p>
        </w:tc>
        <w:tc>
          <w:tcPr>
            <w:tcW w:w="1813"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52.90</w:t>
            </w:r>
          </w:p>
        </w:tc>
        <w:tc>
          <w:tcPr>
            <w:tcW w:w="1187"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128.78</w:t>
            </w:r>
          </w:p>
        </w:tc>
        <w:tc>
          <w:tcPr>
            <w:tcW w:w="1752"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128.78</w:t>
            </w:r>
          </w:p>
        </w:tc>
        <w:tc>
          <w:tcPr>
            <w:tcW w:w="624"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b/>
                <w:bCs/>
                <w:sz w:val="20"/>
                <w:szCs w:val="20"/>
              </w:rPr>
              <w:t>10</w:t>
            </w:r>
          </w:p>
        </w:tc>
        <w:tc>
          <w:tcPr>
            <w:tcW w:w="888"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100%</w:t>
            </w:r>
          </w:p>
        </w:tc>
        <w:tc>
          <w:tcPr>
            <w:tcW w:w="1044"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10</w:t>
            </w:r>
          </w:p>
        </w:tc>
      </w:tr>
      <w:tr>
        <w:tblPrEx>
          <w:tblLayout w:type="fixed"/>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5169"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按收入性质分：</w:t>
            </w:r>
          </w:p>
        </w:tc>
        <w:tc>
          <w:tcPr>
            <w:tcW w:w="4308"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按支出性质分：</w:t>
            </w:r>
          </w:p>
        </w:tc>
      </w:tr>
      <w:tr>
        <w:tblPrEx>
          <w:tblLayout w:type="fixed"/>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5169"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xml:space="preserve">  其中：  一般公共预算：</w:t>
            </w:r>
            <w:r>
              <w:rPr>
                <w:rFonts w:hint="eastAsia" w:ascii="Times New Roman" w:hAnsi="Times New Roman" w:eastAsia="仿宋_GB2312" w:cs="Times New Roman"/>
                <w:sz w:val="20"/>
                <w:szCs w:val="20"/>
                <w:lang w:val="en-US" w:eastAsia="zh-CN"/>
              </w:rPr>
              <w:t>63.89</w:t>
            </w:r>
          </w:p>
        </w:tc>
        <w:tc>
          <w:tcPr>
            <w:tcW w:w="4308"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其中：基本支出：</w:t>
            </w:r>
            <w:r>
              <w:rPr>
                <w:rFonts w:hint="eastAsia" w:ascii="Times New Roman" w:hAnsi="Times New Roman" w:eastAsia="仿宋_GB2312" w:cs="Times New Roman"/>
                <w:color w:val="000000"/>
                <w:sz w:val="20"/>
                <w:szCs w:val="20"/>
                <w:lang w:val="en-US" w:eastAsia="zh-CN"/>
              </w:rPr>
              <w:t>128.78</w:t>
            </w:r>
          </w:p>
        </w:tc>
      </w:tr>
      <w:tr>
        <w:tblPrEx>
          <w:tblLayout w:type="fixed"/>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5169" w:type="dxa"/>
            <w:gridSpan w:val="4"/>
            <w:tcBorders>
              <w:top w:val="nil"/>
              <w:left w:val="nil"/>
              <w:bottom w:val="single" w:color="auto" w:sz="4" w:space="0"/>
              <w:right w:val="single" w:color="auto" w:sz="4" w:space="0"/>
            </w:tcBorders>
            <w:noWrap w:val="0"/>
            <w:vAlign w:val="center"/>
          </w:tcPr>
          <w:p>
            <w:pPr>
              <w:widowControl/>
              <w:spacing w:line="240" w:lineRule="exact"/>
              <w:ind w:firstLine="800" w:firstLineChars="400"/>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政府性基金拨款：</w:t>
            </w:r>
          </w:p>
        </w:tc>
        <w:tc>
          <w:tcPr>
            <w:tcW w:w="4308" w:type="dxa"/>
            <w:gridSpan w:val="4"/>
            <w:tcBorders>
              <w:top w:val="nil"/>
              <w:left w:val="nil"/>
              <w:bottom w:val="single" w:color="auto" w:sz="4" w:space="0"/>
              <w:right w:val="single" w:color="auto" w:sz="4" w:space="0"/>
            </w:tcBorders>
            <w:noWrap w:val="0"/>
            <w:vAlign w:val="center"/>
          </w:tcPr>
          <w:p>
            <w:pPr>
              <w:widowControl/>
              <w:spacing w:line="240" w:lineRule="exact"/>
              <w:ind w:firstLine="600" w:firstLineChars="300"/>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项目支出</w:t>
            </w:r>
            <w:r>
              <w:rPr>
                <w:rFonts w:hint="eastAsia" w:ascii="Times New Roman" w:hAnsi="Times New Roman" w:eastAsia="仿宋_GB2312" w:cs="Times New Roman"/>
                <w:color w:val="000000"/>
                <w:sz w:val="20"/>
                <w:szCs w:val="20"/>
                <w:lang w:eastAsia="zh-CN"/>
              </w:rPr>
              <w:t>：</w:t>
            </w:r>
          </w:p>
        </w:tc>
      </w:tr>
      <w:tr>
        <w:tblPrEx>
          <w:tblLayout w:type="fixed"/>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5169"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纳入专户管理的非税收入拨款：</w:t>
            </w:r>
          </w:p>
        </w:tc>
        <w:tc>
          <w:tcPr>
            <w:tcW w:w="4308"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trHeight w:val="276" w:hRule="atLeast"/>
          <w:jc w:val="center"/>
        </w:trPr>
        <w:tc>
          <w:tcPr>
            <w:tcW w:w="6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5169" w:type="dxa"/>
            <w:gridSpan w:val="4"/>
            <w:tcBorders>
              <w:top w:val="nil"/>
              <w:left w:val="nil"/>
              <w:bottom w:val="single" w:color="auto" w:sz="4" w:space="0"/>
              <w:right w:val="single" w:color="auto" w:sz="4" w:space="0"/>
            </w:tcBorders>
            <w:noWrap w:val="0"/>
            <w:vAlign w:val="center"/>
          </w:tcPr>
          <w:p>
            <w:pPr>
              <w:widowControl/>
              <w:spacing w:line="240" w:lineRule="exact"/>
              <w:ind w:left="5596" w:leftChars="665" w:hanging="4200" w:hangingChars="2100"/>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其他资金：</w:t>
            </w:r>
          </w:p>
        </w:tc>
        <w:tc>
          <w:tcPr>
            <w:tcW w:w="4308"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jc w:val="center"/>
        </w:trPr>
        <w:tc>
          <w:tcPr>
            <w:tcW w:w="6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年度总体目标</w:t>
            </w:r>
          </w:p>
        </w:tc>
        <w:tc>
          <w:tcPr>
            <w:tcW w:w="5169"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预期目标</w:t>
            </w:r>
          </w:p>
        </w:tc>
        <w:tc>
          <w:tcPr>
            <w:tcW w:w="4308"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实际完成情况　</w:t>
            </w:r>
          </w:p>
        </w:tc>
      </w:tr>
      <w:tr>
        <w:tblPrEx>
          <w:tblLayout w:type="fixed"/>
          <w:tblCellMar>
            <w:top w:w="0" w:type="dxa"/>
            <w:left w:w="108" w:type="dxa"/>
            <w:bottom w:w="0" w:type="dxa"/>
            <w:right w:w="108" w:type="dxa"/>
          </w:tblCellMar>
        </w:tblPrEx>
        <w:trPr>
          <w:trHeight w:val="570" w:hRule="atLeast"/>
          <w:jc w:val="center"/>
        </w:trPr>
        <w:tc>
          <w:tcPr>
            <w:tcW w:w="6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5169"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保证单位正常运转，在农业农村厅指导下开展农村能源推广工作</w:t>
            </w:r>
          </w:p>
        </w:tc>
        <w:tc>
          <w:tcPr>
            <w:tcW w:w="4308"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 w:cs="Times New Roman"/>
                <w:color w:val="000000"/>
                <w:sz w:val="20"/>
                <w:szCs w:val="20"/>
                <w:lang w:val="en-US" w:eastAsia="zh-CN"/>
              </w:rPr>
            </w:pPr>
            <w:r>
              <w:rPr>
                <w:rFonts w:hint="eastAsia" w:ascii="Times New Roman" w:hAnsi="Times New Roman" w:eastAsia="仿宋" w:cs="Times New Roman"/>
                <w:color w:val="000000"/>
                <w:sz w:val="20"/>
                <w:szCs w:val="20"/>
                <w:lang w:val="en-US" w:eastAsia="zh-CN"/>
              </w:rPr>
              <w:t>保证单位正常运转，在农业农村厅指导下开展农村能源推广工作</w:t>
            </w:r>
          </w:p>
        </w:tc>
      </w:tr>
      <w:tr>
        <w:tblPrEx>
          <w:tblLayout w:type="fixed"/>
          <w:tblCellMar>
            <w:top w:w="0" w:type="dxa"/>
            <w:left w:w="108" w:type="dxa"/>
            <w:bottom w:w="0" w:type="dxa"/>
            <w:right w:w="108" w:type="dxa"/>
          </w:tblCellMar>
        </w:tblPrEx>
        <w:trPr>
          <w:jc w:val="center"/>
        </w:trPr>
        <w:tc>
          <w:tcPr>
            <w:tcW w:w="616" w:type="dxa"/>
            <w:vMerge w:val="restart"/>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绩</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指</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标</w:t>
            </w:r>
          </w:p>
          <w:p>
            <w:pPr>
              <w:widowControl/>
              <w:spacing w:line="240" w:lineRule="exact"/>
              <w:jc w:val="center"/>
              <w:rPr>
                <w:rFonts w:hint="default" w:ascii="Times New Roman" w:hAnsi="Times New Roman" w:eastAsia="仿宋_GB2312" w:cs="Times New Roman"/>
                <w:color w:val="000000"/>
                <w:sz w:val="20"/>
                <w:szCs w:val="20"/>
              </w:rPr>
            </w:pPr>
          </w:p>
        </w:tc>
        <w:tc>
          <w:tcPr>
            <w:tcW w:w="102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一级指标</w:t>
            </w:r>
          </w:p>
        </w:tc>
        <w:tc>
          <w:tcPr>
            <w:tcW w:w="114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二级指标</w:t>
            </w:r>
          </w:p>
        </w:tc>
        <w:tc>
          <w:tcPr>
            <w:tcW w:w="181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三级指标</w:t>
            </w:r>
          </w:p>
        </w:tc>
        <w:tc>
          <w:tcPr>
            <w:tcW w:w="1187"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年度指标值</w:t>
            </w:r>
          </w:p>
        </w:tc>
        <w:tc>
          <w:tcPr>
            <w:tcW w:w="1752" w:type="dxa"/>
            <w:tcBorders>
              <w:top w:val="nil"/>
              <w:left w:val="nil"/>
              <w:bottom w:val="single" w:color="auto" w:sz="4" w:space="0"/>
              <w:right w:val="single" w:color="auto" w:sz="4" w:space="0"/>
            </w:tcBorders>
            <w:noWrap w:val="0"/>
            <w:vAlign w:val="center"/>
          </w:tcPr>
          <w:p>
            <w:pPr>
              <w:widowControl/>
              <w:spacing w:line="240" w:lineRule="exac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实际完成值</w:t>
            </w:r>
          </w:p>
        </w:tc>
        <w:tc>
          <w:tcPr>
            <w:tcW w:w="62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分值</w:t>
            </w:r>
          </w:p>
        </w:tc>
        <w:tc>
          <w:tcPr>
            <w:tcW w:w="88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16"/>
                <w:szCs w:val="16"/>
                <w:lang w:eastAsia="zh-CN"/>
              </w:rPr>
              <w:t>自评</w:t>
            </w:r>
            <w:r>
              <w:rPr>
                <w:rFonts w:hint="default" w:ascii="Times New Roman" w:hAnsi="Times New Roman" w:eastAsia="仿宋_GB2312" w:cs="Times New Roman"/>
                <w:color w:val="000000"/>
                <w:sz w:val="16"/>
                <w:szCs w:val="16"/>
              </w:rPr>
              <w:t>得分</w:t>
            </w:r>
          </w:p>
        </w:tc>
        <w:tc>
          <w:tcPr>
            <w:tcW w:w="1044"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偏差原因分析及改进措施</w:t>
            </w:r>
          </w:p>
        </w:tc>
      </w:tr>
      <w:tr>
        <w:tblPrEx>
          <w:tblLayout w:type="fixed"/>
          <w:tblCellMar>
            <w:top w:w="0" w:type="dxa"/>
            <w:left w:w="108" w:type="dxa"/>
            <w:bottom w:w="0" w:type="dxa"/>
            <w:right w:w="108" w:type="dxa"/>
          </w:tblCellMar>
        </w:tblPrEx>
        <w:trPr>
          <w:trHeight w:val="442" w:hRule="atLeast"/>
          <w:jc w:val="center"/>
        </w:trPr>
        <w:tc>
          <w:tcPr>
            <w:tcW w:w="61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29"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产出指标</w:t>
            </w:r>
          </w:p>
          <w:p>
            <w:pPr>
              <w:widowControl/>
              <w:spacing w:line="240" w:lineRule="exact"/>
              <w:jc w:val="center"/>
              <w:rPr>
                <w:rFonts w:hint="default" w:ascii="Times New Roman" w:hAnsi="Times New Roman" w:eastAsia="仿宋_GB2312" w:cs="Times New Roman"/>
                <w:color w:val="000000"/>
                <w:sz w:val="20"/>
                <w:szCs w:val="20"/>
              </w:rPr>
            </w:pP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(50分)</w:t>
            </w:r>
          </w:p>
        </w:tc>
        <w:tc>
          <w:tcPr>
            <w:tcW w:w="1140"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数量指标</w:t>
            </w:r>
          </w:p>
        </w:tc>
        <w:tc>
          <w:tcPr>
            <w:tcW w:w="181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编写技术手册</w:t>
            </w:r>
          </w:p>
        </w:tc>
        <w:tc>
          <w:tcPr>
            <w:tcW w:w="11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rPr>
            </w:pPr>
            <w:r>
              <w:rPr>
                <w:rFonts w:hint="eastAsia" w:ascii="Times New Roman" w:hAnsi="Times New Roman" w:eastAsia="仿宋_GB2312" w:cs="Times New Roman"/>
                <w:color w:val="000000"/>
                <w:sz w:val="20"/>
                <w:szCs w:val="20"/>
                <w:lang w:val="en-US" w:eastAsia="zh-CN"/>
              </w:rPr>
              <w:t>≥1份</w:t>
            </w:r>
          </w:p>
        </w:tc>
        <w:tc>
          <w:tcPr>
            <w:tcW w:w="1752"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1份</w:t>
            </w:r>
          </w:p>
        </w:tc>
        <w:tc>
          <w:tcPr>
            <w:tcW w:w="62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15</w:t>
            </w:r>
          </w:p>
        </w:tc>
        <w:tc>
          <w:tcPr>
            <w:tcW w:w="88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rPr>
            </w:pPr>
            <w:r>
              <w:rPr>
                <w:rFonts w:hint="eastAsia" w:ascii="Times New Roman" w:hAnsi="Times New Roman" w:eastAsia="仿宋_GB2312" w:cs="Times New Roman"/>
                <w:color w:val="000000"/>
                <w:sz w:val="20"/>
                <w:szCs w:val="20"/>
                <w:lang w:val="en-US" w:eastAsia="zh-CN"/>
              </w:rPr>
              <w:t>15</w:t>
            </w:r>
          </w:p>
        </w:tc>
        <w:tc>
          <w:tcPr>
            <w:tcW w:w="104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442" w:hRule="atLeast"/>
          <w:jc w:val="center"/>
        </w:trPr>
        <w:tc>
          <w:tcPr>
            <w:tcW w:w="61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29" w:type="dxa"/>
            <w:vMerge w:val="continue"/>
            <w:tcBorders>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140" w:type="dxa"/>
            <w:vMerge w:val="continue"/>
            <w:tcBorders>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81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全省可再生能源统计</w:t>
            </w:r>
          </w:p>
        </w:tc>
        <w:tc>
          <w:tcPr>
            <w:tcW w:w="11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填报户用沼气池100000口</w:t>
            </w:r>
          </w:p>
        </w:tc>
        <w:tc>
          <w:tcPr>
            <w:tcW w:w="17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填报户用沼气池154742口</w:t>
            </w:r>
          </w:p>
        </w:tc>
        <w:tc>
          <w:tcPr>
            <w:tcW w:w="62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15</w:t>
            </w:r>
          </w:p>
        </w:tc>
        <w:tc>
          <w:tcPr>
            <w:tcW w:w="88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15</w:t>
            </w:r>
          </w:p>
        </w:tc>
        <w:tc>
          <w:tcPr>
            <w:tcW w:w="104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29"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14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质量指标</w:t>
            </w:r>
          </w:p>
        </w:tc>
        <w:tc>
          <w:tcPr>
            <w:tcW w:w="1813"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eastAsia="zh-CN"/>
              </w:rPr>
            </w:pPr>
            <w:r>
              <w:rPr>
                <w:rFonts w:hint="eastAsia" w:ascii="Times New Roman" w:hAnsi="Times New Roman" w:eastAsia="仿宋_GB2312" w:cs="Times New Roman"/>
                <w:color w:val="000000"/>
                <w:sz w:val="20"/>
                <w:szCs w:val="20"/>
                <w:lang w:val="en-US" w:eastAsia="zh-CN"/>
              </w:rPr>
              <w:t>开展农村沼气“安全生产月”活动</w:t>
            </w:r>
          </w:p>
        </w:tc>
        <w:tc>
          <w:tcPr>
            <w:tcW w:w="11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按要求完成</w:t>
            </w:r>
          </w:p>
        </w:tc>
        <w:tc>
          <w:tcPr>
            <w:tcW w:w="17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完成</w:t>
            </w:r>
          </w:p>
        </w:tc>
        <w:tc>
          <w:tcPr>
            <w:tcW w:w="62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10</w:t>
            </w:r>
          </w:p>
        </w:tc>
        <w:tc>
          <w:tcPr>
            <w:tcW w:w="88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10</w:t>
            </w:r>
          </w:p>
        </w:tc>
        <w:tc>
          <w:tcPr>
            <w:tcW w:w="104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543" w:hRule="atLeast"/>
          <w:jc w:val="center"/>
        </w:trPr>
        <w:tc>
          <w:tcPr>
            <w:tcW w:w="61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29"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140" w:type="dxa"/>
            <w:tcBorders>
              <w:top w:val="single" w:color="auto" w:sz="4" w:space="0"/>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时效指标</w:t>
            </w:r>
          </w:p>
        </w:tc>
        <w:tc>
          <w:tcPr>
            <w:tcW w:w="181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lang w:val="en-US" w:eastAsia="zh-CN"/>
              </w:rPr>
              <w:t>完成全省可再生能源统计的汇总审核上报和统计分析工作</w:t>
            </w:r>
          </w:p>
        </w:tc>
        <w:tc>
          <w:tcPr>
            <w:tcW w:w="11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年内完成</w:t>
            </w:r>
          </w:p>
        </w:tc>
        <w:tc>
          <w:tcPr>
            <w:tcW w:w="1752"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已完成</w:t>
            </w:r>
          </w:p>
        </w:tc>
        <w:tc>
          <w:tcPr>
            <w:tcW w:w="62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88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rPr>
            </w:pPr>
            <w:r>
              <w:rPr>
                <w:rFonts w:hint="eastAsia" w:ascii="Times New Roman" w:hAnsi="Times New Roman" w:eastAsia="仿宋_GB2312" w:cs="Times New Roman"/>
                <w:color w:val="000000"/>
                <w:sz w:val="20"/>
                <w:szCs w:val="20"/>
                <w:lang w:val="en-US" w:eastAsia="zh-CN"/>
              </w:rPr>
              <w:t>10</w:t>
            </w:r>
          </w:p>
        </w:tc>
        <w:tc>
          <w:tcPr>
            <w:tcW w:w="104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29" w:type="dxa"/>
            <w:vMerge w:val="restart"/>
            <w:tcBorders>
              <w:top w:val="single" w:color="auto" w:sz="4" w:space="0"/>
              <w:left w:val="nil"/>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效益指标</w:t>
            </w:r>
          </w:p>
          <w:p>
            <w:pPr>
              <w:widowControl/>
              <w:spacing w:line="240" w:lineRule="exact"/>
              <w:jc w:val="left"/>
              <w:rPr>
                <w:rFonts w:hint="default" w:ascii="Times New Roman" w:hAnsi="Times New Roman" w:eastAsia="仿宋_GB2312" w:cs="Times New Roman"/>
                <w:color w:val="000000"/>
                <w:sz w:val="20"/>
                <w:szCs w:val="20"/>
              </w:rPr>
            </w:pPr>
          </w:p>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（30分）</w:t>
            </w:r>
          </w:p>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114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经济效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益指标</w:t>
            </w:r>
          </w:p>
        </w:tc>
        <w:tc>
          <w:tcPr>
            <w:tcW w:w="181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协助完成生态农场的申报和评审</w:t>
            </w:r>
          </w:p>
        </w:tc>
        <w:tc>
          <w:tcPr>
            <w:tcW w:w="11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≥10家</w:t>
            </w:r>
          </w:p>
        </w:tc>
        <w:tc>
          <w:tcPr>
            <w:tcW w:w="1752"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13个国家级生态农场已公示</w:t>
            </w:r>
          </w:p>
        </w:tc>
        <w:tc>
          <w:tcPr>
            <w:tcW w:w="62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10</w:t>
            </w:r>
          </w:p>
        </w:tc>
        <w:tc>
          <w:tcPr>
            <w:tcW w:w="88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10</w:t>
            </w:r>
          </w:p>
        </w:tc>
        <w:tc>
          <w:tcPr>
            <w:tcW w:w="104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29"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14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社会效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益指标</w:t>
            </w:r>
          </w:p>
        </w:tc>
        <w:tc>
          <w:tcPr>
            <w:tcW w:w="181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协助举办沼气安全生产培训班</w:t>
            </w:r>
          </w:p>
        </w:tc>
        <w:tc>
          <w:tcPr>
            <w:tcW w:w="11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按时完成</w:t>
            </w:r>
          </w:p>
        </w:tc>
        <w:tc>
          <w:tcPr>
            <w:tcW w:w="1752"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完成</w:t>
            </w:r>
          </w:p>
        </w:tc>
        <w:tc>
          <w:tcPr>
            <w:tcW w:w="62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88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rPr>
            </w:pPr>
            <w:r>
              <w:rPr>
                <w:rFonts w:hint="eastAsia" w:ascii="Times New Roman" w:hAnsi="Times New Roman" w:eastAsia="仿宋_GB2312" w:cs="Times New Roman"/>
                <w:color w:val="000000"/>
                <w:sz w:val="20"/>
                <w:szCs w:val="20"/>
                <w:lang w:val="en-US" w:eastAsia="zh-CN"/>
              </w:rPr>
              <w:t>10</w:t>
            </w:r>
          </w:p>
        </w:tc>
        <w:tc>
          <w:tcPr>
            <w:tcW w:w="104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573" w:hRule="atLeast"/>
          <w:jc w:val="center"/>
        </w:trPr>
        <w:tc>
          <w:tcPr>
            <w:tcW w:w="616" w:type="dxa"/>
            <w:vMerge w:val="continue"/>
            <w:tcBorders>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029" w:type="dxa"/>
            <w:vMerge w:val="continue"/>
            <w:tcBorders>
              <w:left w:val="nil"/>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可持续影响指标</w:t>
            </w:r>
          </w:p>
        </w:tc>
        <w:tc>
          <w:tcPr>
            <w:tcW w:w="181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 w:cs="Times New Roman"/>
                <w:color w:val="000000"/>
                <w:sz w:val="20"/>
                <w:szCs w:val="20"/>
                <w:lang w:eastAsia="zh-CN"/>
              </w:rPr>
            </w:pPr>
            <w:r>
              <w:rPr>
                <w:rFonts w:hint="eastAsia" w:ascii="仿宋" w:hAnsi="仿宋" w:eastAsia="仿宋" w:cs="仿宋"/>
                <w:sz w:val="19"/>
                <w:szCs w:val="19"/>
                <w:lang w:val="en-US" w:eastAsia="zh-CN"/>
              </w:rPr>
              <w:t>完成全省可再生能源统计的汇总审核上报和统计分析工作</w:t>
            </w:r>
          </w:p>
        </w:tc>
        <w:tc>
          <w:tcPr>
            <w:tcW w:w="1187"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eastAsia="zh-CN"/>
              </w:rPr>
            </w:pPr>
            <w:r>
              <w:rPr>
                <w:rFonts w:hint="eastAsia" w:ascii="Times New Roman" w:hAnsi="Times New Roman" w:eastAsia="仿宋_GB2312" w:cs="Times New Roman"/>
                <w:color w:val="000000"/>
                <w:sz w:val="20"/>
                <w:szCs w:val="20"/>
                <w:lang w:val="en-US" w:eastAsia="zh-CN"/>
              </w:rPr>
              <w:t>完成</w:t>
            </w:r>
          </w:p>
        </w:tc>
        <w:tc>
          <w:tcPr>
            <w:tcW w:w="175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eastAsia="zh-CN"/>
              </w:rPr>
            </w:pPr>
            <w:r>
              <w:rPr>
                <w:rFonts w:hint="eastAsia" w:ascii="Times New Roman" w:hAnsi="Times New Roman" w:eastAsia="仿宋_GB2312" w:cs="Times New Roman"/>
                <w:color w:val="000000"/>
                <w:sz w:val="20"/>
                <w:szCs w:val="20"/>
                <w:lang w:val="en-US" w:eastAsia="zh-CN"/>
              </w:rPr>
              <w:t>完成</w:t>
            </w:r>
          </w:p>
        </w:tc>
        <w:tc>
          <w:tcPr>
            <w:tcW w:w="62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88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10</w:t>
            </w:r>
          </w:p>
        </w:tc>
        <w:tc>
          <w:tcPr>
            <w:tcW w:w="104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trHeight w:val="754" w:hRule="atLeast"/>
          <w:jc w:val="center"/>
        </w:trPr>
        <w:tc>
          <w:tcPr>
            <w:tcW w:w="61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29" w:type="dxa"/>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满意度</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指标</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（10分）</w:t>
            </w:r>
          </w:p>
        </w:tc>
        <w:tc>
          <w:tcPr>
            <w:tcW w:w="1140" w:type="dxa"/>
            <w:tcBorders>
              <w:top w:val="single" w:color="auto" w:sz="4" w:space="0"/>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服务对象满意度指标</w:t>
            </w:r>
          </w:p>
        </w:tc>
        <w:tc>
          <w:tcPr>
            <w:tcW w:w="181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default" w:ascii="Times New Roman" w:hAnsi="Times New Roman" w:eastAsia="仿宋_GB2312" w:cs="Times New Roman"/>
                <w:color w:val="000000"/>
                <w:sz w:val="20"/>
                <w:szCs w:val="20"/>
              </w:rPr>
              <w:t>服务对象的满意程度</w:t>
            </w:r>
          </w:p>
        </w:tc>
        <w:tc>
          <w:tcPr>
            <w:tcW w:w="11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90%以上</w:t>
            </w:r>
          </w:p>
        </w:tc>
        <w:tc>
          <w:tcPr>
            <w:tcW w:w="1752"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90%</w:t>
            </w:r>
          </w:p>
        </w:tc>
        <w:tc>
          <w:tcPr>
            <w:tcW w:w="62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10</w:t>
            </w:r>
          </w:p>
        </w:tc>
        <w:tc>
          <w:tcPr>
            <w:tcW w:w="88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10</w:t>
            </w:r>
          </w:p>
        </w:tc>
        <w:tc>
          <w:tcPr>
            <w:tcW w:w="104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trHeight w:val="458" w:hRule="atLeast"/>
          <w:jc w:val="center"/>
        </w:trPr>
        <w:tc>
          <w:tcPr>
            <w:tcW w:w="7537" w:type="dxa"/>
            <w:gridSpan w:val="6"/>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总分</w:t>
            </w:r>
          </w:p>
        </w:tc>
        <w:tc>
          <w:tcPr>
            <w:tcW w:w="62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100</w:t>
            </w:r>
          </w:p>
        </w:tc>
        <w:tc>
          <w:tcPr>
            <w:tcW w:w="888" w:type="dxa"/>
            <w:tcBorders>
              <w:top w:val="nil"/>
              <w:left w:val="nil"/>
              <w:bottom w:val="single" w:color="auto" w:sz="4" w:space="0"/>
              <w:right w:val="single" w:color="auto" w:sz="4" w:space="0"/>
            </w:tcBorders>
            <w:noWrap w:val="0"/>
            <w:vAlign w:val="center"/>
          </w:tcPr>
          <w:p>
            <w:pPr>
              <w:widowControl/>
              <w:spacing w:line="240" w:lineRule="exact"/>
              <w:ind w:firstLine="200" w:firstLineChars="100"/>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100</w:t>
            </w:r>
          </w:p>
        </w:tc>
        <w:tc>
          <w:tcPr>
            <w:tcW w:w="104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bl>
    <w:p>
      <w:pPr>
        <w:jc w:val="both"/>
        <w:rPr>
          <w:rFonts w:hint="default" w:ascii="Times New Roman" w:hAnsi="Times New Roman" w:eastAsia="仿宋_GB2312" w:cs="Times New Roman"/>
          <w:sz w:val="22"/>
          <w:szCs w:val="22"/>
        </w:rPr>
      </w:pPr>
    </w:p>
    <w:p>
      <w:pPr>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8AFB4D6"/>
    <w:multiLevelType w:val="singleLevel"/>
    <w:tmpl w:val="E8AFB4D6"/>
    <w:lvl w:ilvl="0" w:tentative="0">
      <w:start w:val="7"/>
      <w:numFmt w:val="chineseCounting"/>
      <w:suff w:val="nothing"/>
      <w:lvlText w:val="%1、"/>
      <w:lvlJc w:val="left"/>
      <w:rPr>
        <w:rFonts w:hint="eastAsia"/>
      </w:rPr>
    </w:lvl>
  </w:abstractNum>
  <w:abstractNum w:abstractNumId="1">
    <w:nsid w:val="36F409D1"/>
    <w:multiLevelType w:val="singleLevel"/>
    <w:tmpl w:val="36F409D1"/>
    <w:lvl w:ilvl="0" w:tentative="0">
      <w:start w:val="1"/>
      <w:numFmt w:val="chineseCounting"/>
      <w:suff w:val="nothing"/>
      <w:lvlText w:val="%1、"/>
      <w:lvlJc w:val="left"/>
      <w:rPr>
        <w:rFonts w:hint="eastAsia"/>
      </w:rPr>
    </w:lvl>
  </w:abstractNum>
  <w:abstractNum w:abstractNumId="2">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8CE42CB"/>
    <w:multiLevelType w:val="singleLevel"/>
    <w:tmpl w:val="48CE42CB"/>
    <w:lvl w:ilvl="0" w:tentative="0">
      <w:start w:val="1"/>
      <w:numFmt w:val="chineseCounting"/>
      <w:suff w:val="nothing"/>
      <w:lvlText w:val="（%1）"/>
      <w:lvlJc w:val="left"/>
      <w:pPr>
        <w:ind w:left="580" w:leftChars="0" w:firstLine="0" w:firstLineChars="0"/>
      </w:pPr>
      <w:rPr>
        <w:rFonts w:hint="eastAsia"/>
      </w:rPr>
    </w:lvl>
  </w:abstractNum>
  <w:abstractNum w:abstractNumId="4">
    <w:nsid w:val="5EC9EE8F"/>
    <w:multiLevelType w:val="singleLevel"/>
    <w:tmpl w:val="5EC9EE8F"/>
    <w:lvl w:ilvl="0" w:tentative="0">
      <w:start w:val="4"/>
      <w:numFmt w:val="decimal"/>
      <w:suff w:val="nothing"/>
      <w:lvlText w:val="%1、"/>
      <w:lvlJc w:val="left"/>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2E23824"/>
    <w:rsid w:val="0C42372C"/>
    <w:rsid w:val="0C771F51"/>
    <w:rsid w:val="0D8863DD"/>
    <w:rsid w:val="0E1D64CA"/>
    <w:rsid w:val="0EDB757E"/>
    <w:rsid w:val="14F07C8A"/>
    <w:rsid w:val="1ABE3841"/>
    <w:rsid w:val="1D97DEFF"/>
    <w:rsid w:val="1DFF72E5"/>
    <w:rsid w:val="1EFC6F07"/>
    <w:rsid w:val="22755121"/>
    <w:rsid w:val="24665C22"/>
    <w:rsid w:val="25C61A56"/>
    <w:rsid w:val="273805AC"/>
    <w:rsid w:val="283A19CA"/>
    <w:rsid w:val="298875B4"/>
    <w:rsid w:val="2A60312C"/>
    <w:rsid w:val="2FDF85B8"/>
    <w:rsid w:val="2FFFEE04"/>
    <w:rsid w:val="31990EA4"/>
    <w:rsid w:val="33EC13B7"/>
    <w:rsid w:val="34DF85B0"/>
    <w:rsid w:val="3B8F36BC"/>
    <w:rsid w:val="3CAC31EF"/>
    <w:rsid w:val="491FF225"/>
    <w:rsid w:val="4C747DFF"/>
    <w:rsid w:val="4FFD214C"/>
    <w:rsid w:val="535040B8"/>
    <w:rsid w:val="5777D4F5"/>
    <w:rsid w:val="59DD8326"/>
    <w:rsid w:val="5A525C46"/>
    <w:rsid w:val="5DEF592A"/>
    <w:rsid w:val="5FC6BB1E"/>
    <w:rsid w:val="5FF720F1"/>
    <w:rsid w:val="61334FA8"/>
    <w:rsid w:val="67FF5C0B"/>
    <w:rsid w:val="6A9C5A9B"/>
    <w:rsid w:val="6EFC0924"/>
    <w:rsid w:val="6F407267"/>
    <w:rsid w:val="6FB74722"/>
    <w:rsid w:val="6FEF8B7E"/>
    <w:rsid w:val="71A6591B"/>
    <w:rsid w:val="737D59BA"/>
    <w:rsid w:val="74977E19"/>
    <w:rsid w:val="75FA404B"/>
    <w:rsid w:val="77C37683"/>
    <w:rsid w:val="79FF515B"/>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qFormat="1" w:unhideWhenUsed="0" w:uiPriority="0" w:semiHidden="0"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index 6"/>
    <w:basedOn w:val="1"/>
    <w:next w:val="1"/>
    <w:qFormat/>
    <w:uiPriority w:val="0"/>
    <w:pPr>
      <w:widowControl w:val="0"/>
      <w:ind w:left="2100"/>
      <w:jc w:val="both"/>
    </w:pPr>
    <w:rPr>
      <w:rFonts w:ascii="Calibri" w:hAnsi="Calibri" w:eastAsia="宋体" w:cs="Times New Roman"/>
      <w:kern w:val="2"/>
      <w:sz w:val="21"/>
      <w:lang w:val="en-US" w:eastAsia="zh-CN" w:bidi="ar-SA"/>
    </w:rPr>
  </w:style>
  <w:style w:type="paragraph" w:styleId="6">
    <w:name w:val="Balloon Text"/>
    <w:basedOn w:val="1"/>
    <w:link w:val="16"/>
    <w:semiHidden/>
    <w:unhideWhenUsed/>
    <w:qFormat/>
    <w:uiPriority w:val="99"/>
    <w:rPr>
      <w:sz w:val="18"/>
      <w:szCs w:val="18"/>
    </w:rPr>
  </w:style>
  <w:style w:type="paragraph" w:styleId="7">
    <w:name w:val="footer"/>
    <w:basedOn w:val="1"/>
    <w:link w:val="13"/>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11">
    <w:name w:val="page number"/>
    <w:basedOn w:val="10"/>
    <w:qFormat/>
    <w:uiPriority w:val="0"/>
  </w:style>
  <w:style w:type="character" w:customStyle="1" w:styleId="12">
    <w:name w:val="页眉 Char"/>
    <w:basedOn w:val="10"/>
    <w:link w:val="8"/>
    <w:qFormat/>
    <w:uiPriority w:val="99"/>
    <w:rPr>
      <w:sz w:val="18"/>
      <w:szCs w:val="18"/>
    </w:rPr>
  </w:style>
  <w:style w:type="character" w:customStyle="1" w:styleId="13">
    <w:name w:val="页脚 Char"/>
    <w:basedOn w:val="10"/>
    <w:link w:val="7"/>
    <w:qFormat/>
    <w:uiPriority w:val="99"/>
    <w:rPr>
      <w:sz w:val="18"/>
      <w:szCs w:val="18"/>
    </w:rPr>
  </w:style>
  <w:style w:type="paragraph" w:customStyle="1" w:styleId="1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框文本 Char"/>
    <w:basedOn w:val="10"/>
    <w:link w:val="6"/>
    <w:semiHidden/>
    <w:qFormat/>
    <w:uiPriority w:val="99"/>
    <w:rPr>
      <w:sz w:val="18"/>
      <w:szCs w:val="18"/>
    </w:rPr>
  </w:style>
  <w:style w:type="character" w:customStyle="1" w:styleId="17">
    <w:name w:val="font01"/>
    <w:basedOn w:val="10"/>
    <w:qFormat/>
    <w:uiPriority w:val="0"/>
    <w:rPr>
      <w:rFonts w:hint="eastAsia" w:ascii="宋体" w:hAnsi="宋体" w:eastAsia="宋体" w:cs="宋体"/>
      <w:color w:val="000000"/>
      <w:sz w:val="22"/>
      <w:szCs w:val="22"/>
      <w:u w:val="none"/>
    </w:rPr>
  </w:style>
  <w:style w:type="character" w:customStyle="1" w:styleId="18">
    <w:name w:val="font21"/>
    <w:basedOn w:val="10"/>
    <w:qFormat/>
    <w:uiPriority w:val="0"/>
    <w:rPr>
      <w:rFonts w:hint="eastAsia" w:ascii="宋体" w:hAnsi="宋体" w:eastAsia="宋体" w:cs="宋体"/>
      <w:color w:val="000000"/>
      <w:sz w:val="24"/>
      <w:szCs w:val="24"/>
      <w:u w:val="none"/>
    </w:rPr>
  </w:style>
  <w:style w:type="character" w:customStyle="1" w:styleId="19">
    <w:name w:val="font11"/>
    <w:basedOn w:val="1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14</TotalTime>
  <ScaleCrop>false</ScaleCrop>
  <LinksUpToDate>false</LinksUpToDate>
  <CharactersWithSpaces>9008</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lenovo</cp:lastModifiedBy>
  <cp:lastPrinted>2024-08-08T10:20:00Z</cp:lastPrinted>
  <dcterms:modified xsi:type="dcterms:W3CDTF">2024-09-06T07:12:00Z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