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sz w:val="84"/>
          <w:szCs w:val="84"/>
        </w:rPr>
      </w:pPr>
    </w:p>
    <w:p>
      <w:pPr>
        <w:pStyle w:val="16"/>
        <w:jc w:val="center"/>
        <w:rPr>
          <w:sz w:val="84"/>
          <w:szCs w:val="84"/>
        </w:rPr>
      </w:pPr>
      <w:r>
        <w:rPr>
          <w:rFonts w:hint="eastAsia"/>
          <w:sz w:val="84"/>
          <w:szCs w:val="84"/>
        </w:rPr>
        <w:tab/>
      </w:r>
    </w:p>
    <w:p>
      <w:pPr>
        <w:pStyle w:val="16"/>
        <w:jc w:val="center"/>
        <w:rPr>
          <w:rFonts w:ascii="方正小标宋_GBK" w:hAnsi="方正小标宋_GBK" w:eastAsia="方正小标宋_GBK" w:cs="方正小标宋_GBK"/>
          <w:sz w:val="76"/>
          <w:szCs w:val="84"/>
        </w:rPr>
      </w:pPr>
      <w:r>
        <w:rPr>
          <w:rFonts w:hint="eastAsia" w:ascii="方正小标宋_GBK" w:hAnsi="方正小标宋_GBK" w:eastAsia="方正小标宋_GBK" w:cs="方正小标宋_GBK"/>
          <w:sz w:val="76"/>
          <w:szCs w:val="84"/>
        </w:rPr>
        <w:t>2023年度</w:t>
      </w:r>
    </w:p>
    <w:p>
      <w:pPr>
        <w:pStyle w:val="16"/>
        <w:jc w:val="center"/>
        <w:rPr>
          <w:rFonts w:ascii="方正小标宋_GBK" w:hAnsi="方正小标宋_GBK" w:eastAsia="方正小标宋_GBK" w:cs="方正小标宋_GBK"/>
          <w:sz w:val="56"/>
          <w:szCs w:val="56"/>
        </w:rPr>
      </w:pPr>
      <w:r>
        <w:rPr>
          <w:rFonts w:hint="eastAsia" w:ascii="方正小标宋_GBK" w:hAnsi="方正小标宋_GBK" w:eastAsia="方正小标宋_GBK" w:cs="方正小标宋_GBK"/>
          <w:sz w:val="76"/>
          <w:szCs w:val="84"/>
        </w:rPr>
        <w:t>湖南省农村经营管理服务站单位部门决算</w:t>
      </w: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32"/>
          <w:szCs w:val="32"/>
        </w:rPr>
      </w:pPr>
    </w:p>
    <w:p>
      <w:pPr>
        <w:pStyle w:val="16"/>
        <w:jc w:val="center"/>
        <w:rPr>
          <w:sz w:val="32"/>
          <w:szCs w:val="32"/>
        </w:rPr>
      </w:pPr>
    </w:p>
    <w:p>
      <w:pPr>
        <w:widowControl/>
        <w:jc w:val="left"/>
        <w:rPr>
          <w:rFonts w:ascii="黑体" w:eastAsia="黑体" w:cs="黑体"/>
          <w:b/>
          <w:color w:val="000000"/>
          <w:kern w:val="0"/>
          <w:sz w:val="36"/>
          <w:szCs w:val="28"/>
        </w:rPr>
      </w:pPr>
      <w:r>
        <w:rPr>
          <w:b/>
          <w:sz w:val="36"/>
          <w:szCs w:val="28"/>
        </w:rPr>
        <w:br w:type="page"/>
      </w:r>
    </w:p>
    <w:p>
      <w:pPr>
        <w:pStyle w:val="16"/>
        <w:spacing w:line="500" w:lineRule="exact"/>
        <w:ind w:left="-420" w:leftChars="-200" w:right="-508" w:rightChars="-242" w:firstLine="0" w:firstLineChars="0"/>
        <w:jc w:val="center"/>
        <w:rPr>
          <w:b/>
          <w:sz w:val="36"/>
          <w:szCs w:val="28"/>
        </w:rPr>
      </w:pPr>
      <w:r>
        <w:rPr>
          <w:rFonts w:hint="eastAsia"/>
          <w:b/>
          <w:sz w:val="36"/>
          <w:szCs w:val="28"/>
        </w:rPr>
        <w:t>目  录</w:t>
      </w:r>
    </w:p>
    <w:p>
      <w:pPr>
        <w:pStyle w:val="16"/>
        <w:spacing w:line="500" w:lineRule="exact"/>
        <w:rPr>
          <w:rFonts w:hint="eastAsia" w:hAnsi="黑体"/>
          <w:bCs/>
          <w:sz w:val="28"/>
          <w:szCs w:val="28"/>
        </w:rPr>
      </w:pPr>
    </w:p>
    <w:p>
      <w:pPr>
        <w:pStyle w:val="16"/>
        <w:spacing w:line="500" w:lineRule="exact"/>
        <w:rPr>
          <w:rFonts w:hAnsi="黑体"/>
          <w:bCs/>
          <w:sz w:val="28"/>
          <w:szCs w:val="28"/>
        </w:rPr>
      </w:pPr>
      <w:r>
        <w:rPr>
          <w:rFonts w:hint="eastAsia" w:hAnsi="黑体"/>
          <w:bCs/>
          <w:sz w:val="28"/>
          <w:szCs w:val="28"/>
        </w:rPr>
        <w:t>第一部分 湖南省农村经营管理服务站单位概况</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6"/>
        <w:spacing w:line="500" w:lineRule="exact"/>
        <w:rPr>
          <w:rFonts w:hAnsi="黑体"/>
          <w:bCs/>
          <w:sz w:val="28"/>
          <w:szCs w:val="28"/>
        </w:rPr>
      </w:pPr>
      <w:r>
        <w:rPr>
          <w:rFonts w:hint="eastAsia" w:hAnsi="黑体"/>
          <w:bCs/>
          <w:sz w:val="28"/>
          <w:szCs w:val="28"/>
        </w:rPr>
        <w:t>第二部分 部门决算表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6"/>
        <w:spacing w:line="500" w:lineRule="exact"/>
        <w:rPr>
          <w:rFonts w:hAnsi="黑体"/>
          <w:bCs/>
          <w:sz w:val="28"/>
          <w:szCs w:val="28"/>
        </w:rPr>
      </w:pPr>
      <w:r>
        <w:rPr>
          <w:rFonts w:hint="eastAsia" w:hAnsi="黑体"/>
          <w:bCs/>
          <w:sz w:val="28"/>
          <w:szCs w:val="28"/>
        </w:rPr>
        <w:t>第三部分 部门决算情况说明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6"/>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pPr>
        <w:pStyle w:val="16"/>
        <w:spacing w:line="500" w:lineRule="exact"/>
        <w:rPr>
          <w:rFonts w:hAnsi="黑体"/>
          <w:bCs/>
          <w:sz w:val="28"/>
          <w:szCs w:val="28"/>
        </w:rPr>
      </w:pPr>
      <w:r>
        <w:rPr>
          <w:rFonts w:hint="eastAsia" w:hAnsi="黑体"/>
          <w:bCs/>
          <w:sz w:val="28"/>
          <w:szCs w:val="28"/>
        </w:rPr>
        <w:t>第四部分 名词解释</w:t>
      </w:r>
    </w:p>
    <w:p>
      <w:pPr>
        <w:pStyle w:val="16"/>
        <w:spacing w:line="500" w:lineRule="exact"/>
        <w:rPr>
          <w:rFonts w:hAnsi="黑体"/>
          <w:bCs/>
          <w:sz w:val="28"/>
          <w:szCs w:val="28"/>
        </w:rPr>
      </w:pPr>
      <w:r>
        <w:rPr>
          <w:rFonts w:hint="eastAsia" w:hAnsi="黑体"/>
          <w:bCs/>
          <w:sz w:val="28"/>
          <w:szCs w:val="28"/>
        </w:rPr>
        <w:t>第五部分 附件</w:t>
      </w:r>
    </w:p>
    <w:p>
      <w:pPr>
        <w:pStyle w:val="16"/>
        <w:spacing w:line="500" w:lineRule="exact"/>
        <w:rPr>
          <w:rFonts w:hAnsi="黑体"/>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widowControl/>
        <w:jc w:val="left"/>
        <w:rPr>
          <w:rFonts w:ascii="方正小标宋_GBK" w:hAnsi="方正小标宋_GBK" w:eastAsia="方正小标宋_GBK" w:cs="方正小标宋_GBK"/>
          <w:color w:val="000000"/>
          <w:kern w:val="0"/>
          <w:sz w:val="84"/>
          <w:szCs w:val="84"/>
        </w:rPr>
      </w:pPr>
      <w:r>
        <w:rPr>
          <w:rFonts w:ascii="方正小标宋_GBK" w:hAnsi="方正小标宋_GBK" w:eastAsia="方正小标宋_GBK" w:cs="方正小标宋_GBK"/>
          <w:sz w:val="84"/>
          <w:szCs w:val="84"/>
        </w:rPr>
        <w:br w:type="page"/>
      </w: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76"/>
          <w:szCs w:val="76"/>
        </w:rPr>
      </w:pPr>
      <w:r>
        <w:rPr>
          <w:rFonts w:hint="eastAsia" w:ascii="方正小标宋_GBK" w:hAnsi="方正小标宋_GBK" w:eastAsia="方正小标宋_GBK" w:cs="方正小标宋_GBK"/>
          <w:sz w:val="76"/>
          <w:szCs w:val="76"/>
        </w:rPr>
        <w:t xml:space="preserve">第一部分 </w:t>
      </w:r>
    </w:p>
    <w:p>
      <w:pPr>
        <w:pStyle w:val="16"/>
        <w:jc w:val="center"/>
        <w:rPr>
          <w:rFonts w:ascii="方正小标宋_GBK" w:hAnsi="方正小标宋_GBK" w:eastAsia="方正小标宋_GBK" w:cs="方正小标宋_GBK"/>
          <w:sz w:val="76"/>
          <w:szCs w:val="76"/>
        </w:rPr>
      </w:pPr>
    </w:p>
    <w:p>
      <w:pPr>
        <w:pStyle w:val="16"/>
        <w:jc w:val="center"/>
        <w:rPr>
          <w:rFonts w:ascii="方正小标宋_GBK" w:hAnsi="方正小标宋_GBK" w:eastAsia="方正小标宋_GBK" w:cs="方正小标宋_GBK"/>
          <w:sz w:val="76"/>
          <w:szCs w:val="76"/>
        </w:rPr>
      </w:pPr>
      <w:r>
        <w:rPr>
          <w:rFonts w:hint="eastAsia" w:ascii="方正小标宋_GBK" w:hAnsi="方正小标宋_GBK" w:eastAsia="方正小标宋_GBK" w:cs="方正小标宋_GBK"/>
          <w:sz w:val="76"/>
          <w:szCs w:val="76"/>
        </w:rPr>
        <w:t>湖南省农村经营管理服务站单位概况</w:t>
      </w: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widowControl/>
        <w:jc w:val="left"/>
        <w:rPr>
          <w:sz w:val="72"/>
          <w:szCs w:val="72"/>
        </w:rPr>
      </w:pPr>
      <w:r>
        <w:rPr>
          <w:sz w:val="72"/>
          <w:szCs w:val="72"/>
        </w:rPr>
        <w:br w:type="page"/>
      </w:r>
    </w:p>
    <w:p>
      <w:pPr>
        <w:jc w:val="center"/>
        <w:rPr>
          <w:sz w:val="72"/>
          <w:szCs w:val="72"/>
        </w:rPr>
      </w:pPr>
    </w:p>
    <w:p>
      <w:pPr>
        <w:pStyle w:val="17"/>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（一）农村宅基地改革与管理相关工作；</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（二）农村集体经济组织财务审计工作；</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（三）农村土地承包经营纠纷仲裁工作；</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（四）农民负担监测；</w:t>
      </w:r>
    </w:p>
    <w:p>
      <w:pPr>
        <w:widowControl/>
        <w:spacing w:line="600" w:lineRule="exact"/>
        <w:rPr>
          <w:rFonts w:ascii="Times New Roman" w:hAnsi="Times New Roman" w:eastAsia="仿宋_GB2312" w:cs="仿宋_GB2312"/>
          <w:sz w:val="32"/>
          <w:szCs w:val="32"/>
        </w:rPr>
      </w:pPr>
      <w:r>
        <w:rPr>
          <w:rFonts w:hint="eastAsia" w:ascii="Times New Roman" w:hAnsi="Times New Roman" w:eastAsia="仿宋_GB2312" w:cs="仿宋_GB2312"/>
          <w:bCs/>
          <w:kern w:val="0"/>
          <w:sz w:val="32"/>
          <w:szCs w:val="32"/>
        </w:rPr>
        <w:t>（五）农经统计工作及相关培训工作</w:t>
      </w:r>
      <w:r>
        <w:rPr>
          <w:rFonts w:hint="eastAsia" w:cs="Times New Roman" w:asciiTheme="minorEastAsia" w:hAnsiTheme="minorEastAsia"/>
          <w:sz w:val="32"/>
          <w:szCs w:val="32"/>
        </w:rPr>
        <w:t>。</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（一）内设机构设置。湖南省农村经营管理服务站内设机构包括：办公室、农村宅基地改革与管理、农村集体经济财务审计、土地纠纷仲裁等科室。</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（二）决算单位构成。湖南省农村经营管理服务站2023年部门决算汇总公开单位构成包括：湖南省农村经营管理服务站本级。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6"/>
        <w:jc w:val="center"/>
        <w:rPr>
          <w:rFonts w:hint="eastAsia"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84"/>
          <w:szCs w:val="84"/>
        </w:rPr>
      </w:pPr>
    </w:p>
    <w:p>
      <w:pPr>
        <w:pStyle w:val="16"/>
        <w:jc w:val="center"/>
        <w:rPr>
          <w:rFonts w:ascii="方正小标宋_GBK" w:hAnsi="方正小标宋_GBK" w:eastAsia="方正小标宋_GBK" w:cs="方正小标宋_GBK"/>
          <w:sz w:val="76"/>
          <w:szCs w:val="76"/>
        </w:rPr>
      </w:pPr>
      <w:r>
        <w:rPr>
          <w:rFonts w:hint="eastAsia" w:ascii="方正小标宋_GBK" w:hAnsi="方正小标宋_GBK" w:eastAsia="方正小标宋_GBK" w:cs="方正小标宋_GBK"/>
          <w:sz w:val="76"/>
          <w:szCs w:val="76"/>
        </w:rPr>
        <w:t>第二部分</w:t>
      </w:r>
    </w:p>
    <w:p>
      <w:pPr>
        <w:pStyle w:val="16"/>
        <w:jc w:val="center"/>
        <w:rPr>
          <w:rFonts w:ascii="方正小标宋_GBK" w:hAnsi="方正小标宋_GBK" w:eastAsia="方正小标宋_GBK" w:cs="方正小标宋_GBK"/>
          <w:sz w:val="76"/>
          <w:szCs w:val="76"/>
        </w:rPr>
      </w:pPr>
    </w:p>
    <w:p>
      <w:pPr>
        <w:pStyle w:val="16"/>
        <w:jc w:val="center"/>
        <w:rPr>
          <w:sz w:val="72"/>
          <w:szCs w:val="72"/>
        </w:rPr>
      </w:pPr>
      <w:r>
        <w:rPr>
          <w:rFonts w:hint="eastAsia" w:ascii="方正小标宋_GBK" w:hAnsi="方正小标宋_GBK" w:eastAsia="方正小标宋_GBK" w:cs="方正小标宋_GBK"/>
          <w:sz w:val="76"/>
          <w:szCs w:val="76"/>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pStyle w:val="16"/>
        <w:rPr>
          <w:sz w:val="72"/>
          <w:szCs w:val="72"/>
        </w:rPr>
        <w:sectPr>
          <w:pgSz w:w="11906" w:h="16838"/>
          <w:pgMar w:top="1814" w:right="1588" w:bottom="1247" w:left="968" w:header="851" w:footer="992" w:gutter="0"/>
          <w:cols w:space="425" w:num="1"/>
          <w:docGrid w:type="linesAndChars" w:linePitch="312" w:charSpace="0"/>
        </w:sectPr>
      </w:pPr>
    </w:p>
    <w:p>
      <w:pPr>
        <w:jc w:val="center"/>
        <w:rPr>
          <w:rFonts w:hint="eastAsia" w:ascii="华文中宋" w:hAnsi="华文中宋" w:eastAsia="华文中宋" w:cs="华文中宋"/>
          <w:color w:val="000000"/>
          <w:kern w:val="0"/>
          <w:sz w:val="32"/>
          <w:szCs w:val="32"/>
        </w:rPr>
      </w:pPr>
      <w:r>
        <w:rPr>
          <w:rFonts w:hint="eastAsia" w:ascii="华文中宋" w:hAnsi="华文中宋" w:eastAsia="华文中宋" w:cs="华文中宋"/>
          <w:color w:val="000000"/>
          <w:kern w:val="0"/>
          <w:sz w:val="32"/>
          <w:szCs w:val="32"/>
        </w:rPr>
        <w:t>收入支出决算总表</w:t>
      </w:r>
    </w:p>
    <w:p>
      <w:pPr>
        <w:ind w:firstLine="5200" w:firstLineChars="260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公开01表</w:t>
      </w:r>
    </w:p>
    <w:p>
      <w:pPr>
        <w:ind w:firstLine="400" w:firstLineChars="200"/>
        <w:jc w:val="both"/>
      </w:pPr>
      <w:r>
        <w:rPr>
          <w:rFonts w:hint="eastAsia" w:ascii="宋体" w:hAnsi="宋体" w:eastAsia="宋体" w:cs="宋体"/>
          <w:color w:val="000000"/>
          <w:kern w:val="0"/>
          <w:sz w:val="20"/>
          <w:szCs w:val="20"/>
        </w:rPr>
        <w:t xml:space="preserve">部门：湖南省农村经营管理服务站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单位：万元</w:t>
      </w:r>
    </w:p>
    <w:tbl>
      <w:tblPr>
        <w:tblStyle w:val="12"/>
        <w:tblW w:w="14190" w:type="dxa"/>
        <w:tblInd w:w="0" w:type="dxa"/>
        <w:tblLayout w:type="fixed"/>
        <w:tblCellMar>
          <w:top w:w="0" w:type="dxa"/>
          <w:left w:w="0" w:type="dxa"/>
          <w:bottom w:w="0" w:type="dxa"/>
          <w:right w:w="0" w:type="dxa"/>
        </w:tblCellMar>
      </w:tblPr>
      <w:tblGrid>
        <w:gridCol w:w="275"/>
        <w:gridCol w:w="277"/>
        <w:gridCol w:w="313"/>
        <w:gridCol w:w="1167"/>
        <w:gridCol w:w="959"/>
        <w:gridCol w:w="1418"/>
        <w:gridCol w:w="1559"/>
        <w:gridCol w:w="1480"/>
        <w:gridCol w:w="1497"/>
        <w:gridCol w:w="1559"/>
        <w:gridCol w:w="2126"/>
        <w:gridCol w:w="1560"/>
      </w:tblGrid>
      <w:tr>
        <w:tblPrEx>
          <w:tblLayout w:type="fixed"/>
          <w:tblCellMar>
            <w:top w:w="0" w:type="dxa"/>
            <w:left w:w="0" w:type="dxa"/>
            <w:bottom w:w="0" w:type="dxa"/>
            <w:right w:w="0" w:type="dxa"/>
          </w:tblCellMar>
        </w:tblPrEx>
        <w:trPr>
          <w:trHeight w:val="435" w:hRule="atLeast"/>
        </w:trPr>
        <w:tc>
          <w:tcPr>
            <w:tcW w:w="14190" w:type="dxa"/>
            <w:gridSpan w:val="12"/>
            <w:tcBorders>
              <w:top w:val="nil"/>
              <w:left w:val="nil"/>
              <w:bottom w:val="nil"/>
              <w:right w:val="nil"/>
            </w:tcBorders>
            <w:shd w:val="clear" w:color="auto" w:fill="auto"/>
            <w:noWrap/>
            <w:tcMar>
              <w:top w:w="15" w:type="dxa"/>
              <w:left w:w="15" w:type="dxa"/>
              <w:bottom w:w="0" w:type="dxa"/>
              <w:right w:w="15" w:type="dxa"/>
            </w:tcMar>
            <w:vAlign w:val="center"/>
          </w:tcPr>
          <w:tbl>
            <w:tblPr>
              <w:tblStyle w:val="12"/>
              <w:tblW w:w="13527" w:type="dxa"/>
              <w:jc w:val="center"/>
              <w:tblInd w:w="0" w:type="dxa"/>
              <w:tblLayout w:type="fixed"/>
              <w:tblCellMar>
                <w:top w:w="0" w:type="dxa"/>
                <w:left w:w="108" w:type="dxa"/>
                <w:bottom w:w="0" w:type="dxa"/>
                <w:right w:w="108" w:type="dxa"/>
              </w:tblCellMar>
            </w:tblPr>
            <w:tblGrid>
              <w:gridCol w:w="4106"/>
              <w:gridCol w:w="679"/>
              <w:gridCol w:w="1332"/>
              <w:gridCol w:w="4762"/>
              <w:gridCol w:w="1549"/>
              <w:gridCol w:w="1099"/>
            </w:tblGrid>
            <w:tr>
              <w:tblPrEx>
                <w:tblLayout w:type="fixed"/>
                <w:tblCellMar>
                  <w:top w:w="0" w:type="dxa"/>
                  <w:left w:w="108" w:type="dxa"/>
                  <w:bottom w:w="0" w:type="dxa"/>
                  <w:right w:w="108" w:type="dxa"/>
                </w:tblCellMar>
              </w:tblPrEx>
              <w:trPr>
                <w:trHeight w:val="448" w:hRule="atLeast"/>
                <w:jc w:val="center"/>
              </w:trPr>
              <w:tc>
                <w:tcPr>
                  <w:tcW w:w="611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741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支出</w:t>
                  </w:r>
                </w:p>
              </w:tc>
            </w:tr>
            <w:tr>
              <w:tblPrEx>
                <w:tblLayout w:type="fixed"/>
                <w:tblCellMar>
                  <w:top w:w="0" w:type="dxa"/>
                  <w:left w:w="108" w:type="dxa"/>
                  <w:bottom w:w="0" w:type="dxa"/>
                  <w:right w:w="108" w:type="dxa"/>
                </w:tblCellMar>
              </w:tblPrEx>
              <w:trPr>
                <w:trHeight w:val="62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1011.83</w:t>
                  </w: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一、一般公共服务支出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kern w:val="0"/>
                      <w:sz w:val="22"/>
                      <w:lang w:val="en-US" w:eastAsia="zh-CN"/>
                    </w:rPr>
                    <w:t>32</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二、外交支出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3</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三、国防支出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4</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四、上级补助收入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四、公共安全支出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5</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五、事业收入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五、教育支出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6</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六、经营收入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六、科学技术支出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7</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七、附属单位上缴收入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七、文化旅游体育与传媒支出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八、其他收入</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lang w:val="en-US" w:eastAsia="zh-CN"/>
                    </w:rPr>
                    <w:t>8</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八、社会保障和就业支出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3</w:t>
                  </w:r>
                  <w:r>
                    <w:rPr>
                      <w:rFonts w:hint="eastAsia" w:ascii="宋体" w:hAnsi="宋体" w:eastAsia="宋体" w:cs="宋体"/>
                      <w:color w:val="000000"/>
                      <w:kern w:val="0"/>
                      <w:sz w:val="22"/>
                      <w:lang w:val="en-US" w:eastAsia="zh-CN"/>
                    </w:rPr>
                    <w:t>9</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16.15</w:t>
                  </w: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九、卫生健康支出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40</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pStyle w:val="4"/>
                    <w:jc w:val="cente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十、节能环保支出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41</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pStyle w:val="4"/>
                    <w:jc w:val="cente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十一、城乡社区支出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42</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pStyle w:val="4"/>
                    <w:jc w:val="cente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十二、农林水支出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4</w:t>
                  </w:r>
                  <w:r>
                    <w:rPr>
                      <w:rFonts w:hint="eastAsia" w:ascii="宋体" w:hAnsi="宋体" w:eastAsia="宋体" w:cs="宋体"/>
                      <w:color w:val="000000"/>
                      <w:kern w:val="0"/>
                      <w:sz w:val="22"/>
                      <w:lang w:val="en-US" w:eastAsia="zh-CN"/>
                    </w:rPr>
                    <w:t>3</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931.16</w:t>
                  </w: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十三、交通运输支出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4</w:t>
                  </w:r>
                  <w:r>
                    <w:rPr>
                      <w:rFonts w:hint="eastAsia" w:ascii="宋体" w:hAnsi="宋体" w:eastAsia="宋体" w:cs="宋体"/>
                      <w:color w:val="000000"/>
                      <w:sz w:val="22"/>
                      <w:lang w:val="en-US" w:eastAsia="zh-CN"/>
                    </w:rPr>
                    <w:t>4</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十四、资源勘探工业信息等支出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4</w:t>
                  </w:r>
                  <w:r>
                    <w:rPr>
                      <w:rFonts w:hint="eastAsia" w:ascii="宋体" w:hAnsi="宋体" w:eastAsia="宋体" w:cs="宋体"/>
                      <w:color w:val="000000"/>
                      <w:kern w:val="0"/>
                      <w:sz w:val="22"/>
                      <w:lang w:val="en-US" w:eastAsia="zh-CN"/>
                    </w:rPr>
                    <w:t>5</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十五、商业服务业等支出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4</w:t>
                  </w:r>
                  <w:r>
                    <w:rPr>
                      <w:rFonts w:hint="eastAsia" w:ascii="宋体" w:hAnsi="宋体" w:eastAsia="宋体" w:cs="宋体"/>
                      <w:color w:val="000000"/>
                      <w:kern w:val="0"/>
                      <w:sz w:val="22"/>
                      <w:lang w:val="en-US" w:eastAsia="zh-CN"/>
                    </w:rPr>
                    <w:t>6</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十六、金融支出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4</w:t>
                  </w:r>
                  <w:r>
                    <w:rPr>
                      <w:rFonts w:hint="eastAsia" w:ascii="宋体" w:hAnsi="宋体" w:eastAsia="宋体" w:cs="宋体"/>
                      <w:color w:val="000000"/>
                      <w:kern w:val="0"/>
                      <w:sz w:val="22"/>
                      <w:lang w:val="en-US" w:eastAsia="zh-CN"/>
                    </w:rPr>
                    <w:t>7</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十七、援助其他地区支出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4</w:t>
                  </w:r>
                  <w:r>
                    <w:rPr>
                      <w:rFonts w:hint="eastAsia" w:ascii="宋体" w:hAnsi="宋体" w:eastAsia="宋体" w:cs="宋体"/>
                      <w:color w:val="000000"/>
                      <w:kern w:val="0"/>
                      <w:sz w:val="22"/>
                      <w:lang w:val="en-US" w:eastAsia="zh-CN"/>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8</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十八、自然资源海洋气象等支出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4</w:t>
                  </w:r>
                  <w:r>
                    <w:rPr>
                      <w:rFonts w:hint="eastAsia" w:ascii="宋体" w:hAnsi="宋体" w:eastAsia="宋体" w:cs="宋体"/>
                      <w:color w:val="000000"/>
                      <w:kern w:val="0"/>
                      <w:sz w:val="22"/>
                      <w:lang w:val="en-US" w:eastAsia="zh-CN"/>
                    </w:rPr>
                    <w:t>9</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十九、住房保障支出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50</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二十、粮油物资储备支出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51</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二十一、国有资本经营预算支出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5</w:t>
                  </w:r>
                  <w:r>
                    <w:rPr>
                      <w:rFonts w:hint="eastAsia" w:ascii="宋体" w:hAnsi="宋体" w:eastAsia="宋体" w:cs="宋体"/>
                      <w:color w:val="000000"/>
                      <w:kern w:val="0"/>
                      <w:sz w:val="22"/>
                      <w:lang w:val="en-US" w:eastAsia="zh-CN"/>
                    </w:rPr>
                    <w:t>2</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二十二、灾害防治及应急管理支出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5</w:t>
                  </w:r>
                  <w:r>
                    <w:rPr>
                      <w:rFonts w:hint="eastAsia" w:ascii="宋体" w:hAnsi="宋体" w:eastAsia="宋体" w:cs="宋体"/>
                      <w:color w:val="000000"/>
                      <w:kern w:val="0"/>
                      <w:sz w:val="22"/>
                      <w:lang w:val="en-US" w:eastAsia="zh-CN"/>
                    </w:rPr>
                    <w:t>3</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2</w:t>
                  </w:r>
                  <w:r>
                    <w:rPr>
                      <w:rFonts w:hint="eastAsia" w:ascii="宋体" w:hAnsi="宋体" w:eastAsia="宋体" w:cs="宋体"/>
                      <w:color w:val="000000"/>
                      <w:sz w:val="22"/>
                      <w:lang w:val="en-US" w:eastAsia="zh-CN"/>
                    </w:rPr>
                    <w:t>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二十三、其他支出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5</w:t>
                  </w:r>
                  <w:r>
                    <w:rPr>
                      <w:rFonts w:hint="eastAsia" w:ascii="宋体" w:hAnsi="宋体" w:eastAsia="宋体" w:cs="宋体"/>
                      <w:color w:val="000000"/>
                      <w:sz w:val="22"/>
                      <w:lang w:val="en-US" w:eastAsia="zh-CN"/>
                    </w:rPr>
                    <w:t>4</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二十四、债务还本支出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5</w:t>
                  </w:r>
                  <w:r>
                    <w:rPr>
                      <w:rFonts w:hint="eastAsia" w:ascii="宋体" w:hAnsi="宋体" w:eastAsia="宋体" w:cs="宋体"/>
                      <w:color w:val="000000"/>
                      <w:sz w:val="22"/>
                      <w:lang w:val="en-US" w:eastAsia="zh-CN"/>
                    </w:rPr>
                    <w:t>5</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二十五、债务付息支出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5</w:t>
                  </w:r>
                  <w:r>
                    <w:rPr>
                      <w:rFonts w:hint="eastAsia" w:ascii="宋体" w:hAnsi="宋体" w:eastAsia="宋体" w:cs="宋体"/>
                      <w:color w:val="000000"/>
                      <w:sz w:val="22"/>
                      <w:lang w:val="en-US" w:eastAsia="zh-CN"/>
                    </w:rPr>
                    <w:t>6</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21"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w:t>
                  </w:r>
                  <w:r>
                    <w:rPr>
                      <w:rFonts w:hint="eastAsia" w:ascii="宋体" w:hAnsi="宋体" w:eastAsia="宋体" w:cs="宋体"/>
                      <w:color w:val="000000"/>
                      <w:kern w:val="0"/>
                      <w:sz w:val="22"/>
                      <w:lang w:val="en-US" w:eastAsia="zh-CN"/>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kern w:val="0"/>
                      <w:sz w:val="22"/>
                    </w:rPr>
                  </w:pPr>
                  <w:r>
                    <w:rPr>
                      <w:rFonts w:hint="eastAsia" w:ascii="宋体" w:hAnsi="宋体" w:eastAsia="宋体" w:cs="宋体"/>
                      <w:color w:val="000000"/>
                      <w:kern w:val="0"/>
                      <w:sz w:val="22"/>
                    </w:rPr>
                    <w:t>二十六、抗疫特别国债安排的支出</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5</w:t>
                  </w:r>
                  <w:r>
                    <w:rPr>
                      <w:rFonts w:hint="eastAsia" w:ascii="宋体" w:hAnsi="宋体" w:eastAsia="宋体" w:cs="宋体"/>
                      <w:color w:val="000000"/>
                      <w:sz w:val="22"/>
                      <w:lang w:val="en-US" w:eastAsia="zh-CN"/>
                    </w:rPr>
                    <w:t>7</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2</w:t>
                  </w:r>
                  <w:r>
                    <w:rPr>
                      <w:rFonts w:hint="eastAsia" w:ascii="宋体" w:hAnsi="宋体" w:eastAsia="宋体" w:cs="宋体"/>
                      <w:color w:val="000000"/>
                      <w:sz w:val="22"/>
                      <w:lang w:val="en-US" w:eastAsia="zh-CN"/>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rPr>
                  </w:pPr>
                  <w:r>
                    <w:rPr>
                      <w:rFonts w:ascii="宋体" w:hAnsi="宋体" w:eastAsia="宋体" w:cs="宋体"/>
                      <w:color w:val="000000"/>
                      <w:sz w:val="22"/>
                    </w:rPr>
                    <w:t>1011.83</w:t>
                  </w: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本年支出合计</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5</w:t>
                  </w:r>
                  <w:r>
                    <w:rPr>
                      <w:rFonts w:hint="eastAsia" w:ascii="宋体" w:hAnsi="宋体" w:eastAsia="宋体" w:cs="宋体"/>
                      <w:color w:val="000000"/>
                      <w:sz w:val="22"/>
                      <w:lang w:val="en-US" w:eastAsia="zh-CN"/>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947.31</w:t>
                  </w: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使用非财政拨款结余（含专用结余）</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2</w:t>
                  </w:r>
                  <w:r>
                    <w:rPr>
                      <w:rFonts w:hint="eastAsia" w:ascii="宋体" w:hAnsi="宋体" w:eastAsia="宋体" w:cs="宋体"/>
                      <w:color w:val="000000"/>
                      <w:sz w:val="22"/>
                      <w:lang w:val="en-US" w:eastAsia="zh-CN"/>
                    </w:rPr>
                    <w:t>8</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结余分配</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5</w:t>
                  </w:r>
                  <w:r>
                    <w:rPr>
                      <w:rFonts w:hint="eastAsia" w:ascii="宋体" w:hAnsi="宋体" w:eastAsia="宋体" w:cs="宋体"/>
                      <w:color w:val="000000"/>
                      <w:sz w:val="22"/>
                      <w:lang w:val="en-US" w:eastAsia="zh-CN"/>
                    </w:rPr>
                    <w:t>9</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62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年初结转和结余</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sz w:val="22"/>
                    </w:rPr>
                    <w:t>2</w:t>
                  </w:r>
                  <w:r>
                    <w:rPr>
                      <w:rFonts w:hint="eastAsia" w:ascii="宋体" w:hAnsi="宋体" w:eastAsia="宋体" w:cs="宋体"/>
                      <w:color w:val="000000"/>
                      <w:sz w:val="22"/>
                      <w:lang w:val="en-US" w:eastAsia="zh-CN"/>
                    </w:rPr>
                    <w:t>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rPr>
                  </w:pPr>
                  <w:r>
                    <w:rPr>
                      <w:rFonts w:ascii="宋体" w:hAnsi="宋体" w:eastAsia="宋体" w:cs="宋体"/>
                      <w:color w:val="000000"/>
                      <w:sz w:val="22"/>
                    </w:rPr>
                    <w:t>57.97</w:t>
                  </w: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年末结转和结余</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60</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220" w:firstLineChars="100"/>
                    <w:jc w:val="right"/>
                    <w:rPr>
                      <w:rFonts w:ascii="宋体" w:hAnsi="宋体" w:eastAsia="宋体" w:cs="宋体"/>
                      <w:color w:val="000000"/>
                      <w:sz w:val="22"/>
                    </w:rPr>
                  </w:pPr>
                  <w:r>
                    <w:rPr>
                      <w:rFonts w:ascii="宋体" w:hAnsi="宋体" w:eastAsia="宋体" w:cs="宋体"/>
                      <w:color w:val="000000"/>
                      <w:sz w:val="22"/>
                    </w:rPr>
                    <w:t>122.49</w:t>
                  </w:r>
                </w:p>
              </w:tc>
            </w:tr>
            <w:tr>
              <w:tblPrEx>
                <w:tblLayout w:type="fixed"/>
                <w:tblCellMar>
                  <w:top w:w="0" w:type="dxa"/>
                  <w:left w:w="108" w:type="dxa"/>
                  <w:bottom w:w="0" w:type="dxa"/>
                  <w:right w:w="108" w:type="dxa"/>
                </w:tblCellMar>
              </w:tblPrEx>
              <w:trPr>
                <w:trHeight w:val="487"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30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rPr>
                  </w:pPr>
                </w:p>
              </w:tc>
              <w:tc>
                <w:tcPr>
                  <w:tcW w:w="4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rPr>
                  </w:pP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61</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220" w:firstLineChars="100"/>
                    <w:jc w:val="right"/>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48" w:hRule="atLeast"/>
                <w:jc w:val="center"/>
              </w:trPr>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31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1069.80</w:t>
                  </w:r>
                </w:p>
              </w:tc>
              <w:tc>
                <w:tcPr>
                  <w:tcW w:w="4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15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62</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1069.80</w:t>
                  </w:r>
                </w:p>
              </w:tc>
            </w:tr>
          </w:tbl>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注：1.本表反映部门本年度的总收支和年末结转结余情况。</w:t>
            </w:r>
          </w:p>
          <w:p>
            <w:pPr>
              <w:widowControl/>
              <w:numPr>
                <w:ilvl w:val="0"/>
                <w:numId w:val="2"/>
              </w:numPr>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本套报表金额单位转换时可能存在尾数误差。</w:t>
            </w: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275"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277"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48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237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48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497"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4409" w:type="dxa"/>
            <w:gridSpan w:val="6"/>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color w:val="000000"/>
                <w:kern w:val="0"/>
                <w:sz w:val="20"/>
                <w:szCs w:val="20"/>
              </w:rPr>
              <w:t>部门：湖南省农村经营管理服务站</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48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p>
        </w:tc>
        <w:tc>
          <w:tcPr>
            <w:tcW w:w="1497"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2991" w:type="dxa"/>
            <w:gridSpan w:val="5"/>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41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48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49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212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5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865"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2126" w:type="dxa"/>
            <w:gridSpan w:val="2"/>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49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65" w:type="dxa"/>
            <w:gridSpan w:val="3"/>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2126" w:type="dxa"/>
            <w:gridSpan w:val="2"/>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49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2991" w:type="dxa"/>
            <w:gridSpan w:val="5"/>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41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4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4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212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5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2991" w:type="dxa"/>
            <w:gridSpan w:val="5"/>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rPr>
                <w:rFonts w:ascii="宋体" w:hAnsi="宋体" w:eastAsia="宋体" w:cs="宋体"/>
                <w:sz w:val="24"/>
                <w:szCs w:val="24"/>
              </w:rPr>
            </w:pPr>
            <w:r>
              <w:rPr>
                <w:rFonts w:hint="eastAsia"/>
              </w:rPr>
              <w:t>1011.83</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rPr>
                <w:rFonts w:ascii="宋体" w:hAnsi="宋体" w:eastAsia="宋体" w:cs="宋体"/>
                <w:sz w:val="24"/>
                <w:szCs w:val="24"/>
              </w:rPr>
            </w:pPr>
            <w:r>
              <w:rPr>
                <w:rFonts w:hint="eastAsia"/>
              </w:rPr>
              <w:t>1011.83</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208</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社会保险和就业支出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15.67</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15.67</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20808</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抚恤金</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15.67</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15.67</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2080801</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死亡抚恤</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15.67</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15.67</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213</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农林水支出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996.16</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996.16</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21301</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农业农村</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996.16</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996.16</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2130101</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行政运行</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516.03</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516.03</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9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left"/>
            </w:pPr>
            <w:r>
              <w:rPr>
                <w:rFonts w:hint="eastAsia"/>
              </w:rPr>
              <w:t>2130199</w:t>
            </w: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tabs>
                <w:tab w:val="center" w:pos="887"/>
                <w:tab w:val="right" w:pos="2105"/>
              </w:tabs>
              <w:jc w:val="center"/>
            </w:pPr>
            <w:r>
              <w:rPr>
                <w:rFonts w:hint="eastAsia"/>
              </w:rPr>
              <w:t>其他农业农村支出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480.13</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tabs>
                <w:tab w:val="center" w:pos="887"/>
                <w:tab w:val="right" w:pos="2105"/>
              </w:tabs>
              <w:jc w:val="center"/>
            </w:pPr>
            <w:r>
              <w:rPr>
                <w:rFonts w:hint="eastAsia"/>
              </w:rPr>
              <w:t>480.13</w:t>
            </w: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65"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4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4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212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615" w:hRule="atLeast"/>
        </w:trPr>
        <w:tc>
          <w:tcPr>
            <w:tcW w:w="14190" w:type="dxa"/>
            <w:gridSpan w:val="12"/>
            <w:tcBorders>
              <w:top w:val="nil"/>
              <w:left w:val="nil"/>
              <w:bottom w:val="nil"/>
              <w:right w:val="nil"/>
            </w:tcBorders>
            <w:shd w:val="clear" w:color="auto" w:fill="auto"/>
            <w:tcMar>
              <w:top w:w="15" w:type="dxa"/>
              <w:left w:w="15" w:type="dxa"/>
              <w:bottom w:w="0" w:type="dxa"/>
              <w:right w:w="15" w:type="dxa"/>
            </w:tcMar>
            <w:vAlign w:val="center"/>
          </w:tcPr>
          <w:p>
            <w:pPr>
              <w:jc w:val="left"/>
              <w:rPr>
                <w:rFonts w:ascii="宋体" w:hAnsi="宋体" w:eastAsia="宋体" w:cs="宋体"/>
                <w:sz w:val="24"/>
                <w:szCs w:val="24"/>
              </w:rPr>
            </w:pPr>
            <w:r>
              <w:rPr>
                <w:rFonts w:hint="eastAsia"/>
              </w:rPr>
              <w:t>注：本表反映部门本年度取得的各项收入情况。</w:t>
            </w:r>
          </w:p>
        </w:tc>
      </w:tr>
    </w:tbl>
    <w:p>
      <w:r>
        <w:br w:type="page"/>
      </w:r>
    </w:p>
    <w:tbl>
      <w:tblPr>
        <w:tblStyle w:val="12"/>
        <w:tblW w:w="14190" w:type="dxa"/>
        <w:jc w:val="center"/>
        <w:tblInd w:w="0" w:type="dxa"/>
        <w:tblLayout w:type="fixed"/>
        <w:tblCellMar>
          <w:top w:w="0" w:type="dxa"/>
          <w:left w:w="108" w:type="dxa"/>
          <w:bottom w:w="0" w:type="dxa"/>
          <w:right w:w="108" w:type="dxa"/>
        </w:tblCellMar>
      </w:tblPr>
      <w:tblGrid>
        <w:gridCol w:w="1234"/>
        <w:gridCol w:w="263"/>
        <w:gridCol w:w="1413"/>
        <w:gridCol w:w="1641"/>
        <w:gridCol w:w="379"/>
        <w:gridCol w:w="1039"/>
        <w:gridCol w:w="952"/>
        <w:gridCol w:w="749"/>
        <w:gridCol w:w="1242"/>
        <w:gridCol w:w="33"/>
        <w:gridCol w:w="1748"/>
        <w:gridCol w:w="210"/>
        <w:gridCol w:w="1538"/>
        <w:gridCol w:w="453"/>
        <w:gridCol w:w="1296"/>
      </w:tblGrid>
      <w:tr>
        <w:tblPrEx>
          <w:tblLayout w:type="fixed"/>
          <w:tblCellMar>
            <w:top w:w="0" w:type="dxa"/>
            <w:left w:w="108" w:type="dxa"/>
            <w:bottom w:w="0" w:type="dxa"/>
            <w:right w:w="108" w:type="dxa"/>
          </w:tblCellMar>
        </w:tblPrEx>
        <w:trPr>
          <w:trHeight w:val="807" w:hRule="atLeast"/>
          <w:jc w:val="center"/>
        </w:trPr>
        <w:tc>
          <w:tcPr>
            <w:tcW w:w="14190" w:type="dxa"/>
            <w:gridSpan w:val="15"/>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jc w:val="center"/>
        </w:trPr>
        <w:tc>
          <w:tcPr>
            <w:tcW w:w="123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2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9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03" w:hRule="atLeast"/>
          <w:jc w:val="center"/>
        </w:trPr>
        <w:tc>
          <w:tcPr>
            <w:tcW w:w="14190" w:type="dxa"/>
            <w:gridSpan w:val="15"/>
            <w:tcBorders>
              <w:top w:val="nil"/>
              <w:left w:val="nil"/>
              <w:bottom w:val="nil"/>
              <w:right w:val="nil"/>
            </w:tcBorders>
            <w:shd w:val="clear" w:color="000000" w:fill="FFFFFF"/>
            <w:noWrap/>
            <w:vAlign w:val="center"/>
          </w:tcPr>
          <w:p>
            <w:pPr>
              <w:widowControl/>
              <w:ind w:left="13000" w:hanging="13000" w:hangingChars="6500"/>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部门：湖南省农村经营管理服务站                                                                                                                  单位：万元</w:t>
            </w:r>
          </w:p>
        </w:tc>
      </w:tr>
      <w:tr>
        <w:tblPrEx>
          <w:tblLayout w:type="fixed"/>
          <w:tblCellMar>
            <w:top w:w="0" w:type="dxa"/>
            <w:left w:w="108" w:type="dxa"/>
            <w:bottom w:w="0" w:type="dxa"/>
            <w:right w:w="108" w:type="dxa"/>
          </w:tblCellMar>
        </w:tblPrEx>
        <w:trPr>
          <w:trHeight w:val="397" w:hRule="exact"/>
          <w:jc w:val="center"/>
        </w:trPr>
        <w:tc>
          <w:tcPr>
            <w:tcW w:w="4551"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41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701"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275"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74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48"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74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397" w:hRule="exact"/>
          <w:jc w:val="center"/>
        </w:trPr>
        <w:tc>
          <w:tcPr>
            <w:tcW w:w="1497"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054" w:type="dxa"/>
            <w:gridSpan w:val="2"/>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2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3054" w:type="dxa"/>
            <w:gridSpan w:val="2"/>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2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c>
          <w:tcPr>
            <w:tcW w:w="17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4551"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41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70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275"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4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4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749"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397" w:hRule="exact"/>
          <w:jc w:val="center"/>
        </w:trPr>
        <w:tc>
          <w:tcPr>
            <w:tcW w:w="4551"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947.31</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496.68</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450.62</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社会保险和就业支出</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16.15</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20808</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抚恤金</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2080801</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死亡抚恤</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20899</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其他社会保障和就业支出</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2089999</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其他社会保障和就业支出</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农林水支出</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931.16</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481.01</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21301</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农业农村</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931.16</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481.01</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2130101</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行政运行</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tabs>
                <w:tab w:val="center" w:pos="902"/>
                <w:tab w:val="right" w:pos="2164"/>
              </w:tabs>
              <w:jc w:val="center"/>
              <w:rPr>
                <w:rFonts w:ascii="宋体" w:hAnsi="宋体" w:eastAsia="宋体" w:cs="宋体"/>
                <w:kern w:val="0"/>
                <w:sz w:val="24"/>
                <w:szCs w:val="24"/>
              </w:rPr>
            </w:pPr>
            <w:r>
              <w:rPr>
                <w:rFonts w:hint="eastAsia" w:ascii="宋体" w:hAnsi="宋体" w:eastAsia="宋体" w:cs="宋体"/>
                <w:kern w:val="0"/>
                <w:sz w:val="24"/>
                <w:szCs w:val="24"/>
              </w:rPr>
              <w:t>481.02</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tabs>
                <w:tab w:val="center" w:pos="887"/>
                <w:tab w:val="right" w:pos="2135"/>
              </w:tabs>
              <w:jc w:val="center"/>
              <w:rPr>
                <w:rFonts w:ascii="宋体" w:hAnsi="宋体" w:eastAsia="宋体" w:cs="宋体"/>
                <w:kern w:val="0"/>
                <w:sz w:val="24"/>
                <w:szCs w:val="24"/>
              </w:rPr>
            </w:pPr>
            <w:r>
              <w:rPr>
                <w:rFonts w:hint="eastAsia" w:ascii="宋体" w:hAnsi="宋体" w:eastAsia="宋体" w:cs="宋体"/>
                <w:kern w:val="0"/>
                <w:sz w:val="24"/>
                <w:szCs w:val="24"/>
              </w:rPr>
              <w:t>481.01</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49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2130199</w:t>
            </w:r>
          </w:p>
        </w:tc>
        <w:tc>
          <w:tcPr>
            <w:tcW w:w="305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其他农业农村支出</w:t>
            </w:r>
          </w:p>
        </w:tc>
        <w:tc>
          <w:tcPr>
            <w:tcW w:w="141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27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c>
          <w:tcPr>
            <w:tcW w:w="174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8"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4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828" w:hRule="atLeast"/>
          <w:jc w:val="center"/>
        </w:trPr>
        <w:tc>
          <w:tcPr>
            <w:tcW w:w="14190" w:type="dxa"/>
            <w:gridSpan w:val="15"/>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rPr>
          <w:rFonts w:ascii="Times New Roman" w:hAnsi="Times New Roman" w:eastAsia="方正小标宋_GBK" w:cs="Times New Roman"/>
          <w:color w:val="000000"/>
          <w:kern w:val="0"/>
          <w:sz w:val="36"/>
          <w:szCs w:val="21"/>
        </w:rPr>
      </w:pPr>
    </w:p>
    <w:tbl>
      <w:tblPr>
        <w:tblStyle w:val="12"/>
        <w:tblW w:w="14007" w:type="dxa"/>
        <w:tblInd w:w="0" w:type="dxa"/>
        <w:tblLayout w:type="fixed"/>
        <w:tblCellMar>
          <w:top w:w="0" w:type="dxa"/>
          <w:left w:w="108" w:type="dxa"/>
          <w:bottom w:w="0" w:type="dxa"/>
          <w:right w:w="108" w:type="dxa"/>
        </w:tblCellMar>
      </w:tblPr>
      <w:tblGrid>
        <w:gridCol w:w="3013"/>
        <w:gridCol w:w="436"/>
        <w:gridCol w:w="1078"/>
        <w:gridCol w:w="496"/>
        <w:gridCol w:w="2598"/>
        <w:gridCol w:w="709"/>
        <w:gridCol w:w="240"/>
        <w:gridCol w:w="435"/>
        <w:gridCol w:w="352"/>
        <w:gridCol w:w="1221"/>
        <w:gridCol w:w="20"/>
        <w:gridCol w:w="1374"/>
        <w:gridCol w:w="469"/>
        <w:gridCol w:w="925"/>
        <w:gridCol w:w="641"/>
      </w:tblGrid>
      <w:tr>
        <w:tblPrEx>
          <w:tblLayout w:type="fixed"/>
          <w:tblCellMar>
            <w:top w:w="0" w:type="dxa"/>
            <w:left w:w="108" w:type="dxa"/>
            <w:bottom w:w="0" w:type="dxa"/>
            <w:right w:w="108" w:type="dxa"/>
          </w:tblCellMar>
        </w:tblPrEx>
        <w:trPr>
          <w:trHeight w:val="285" w:hRule="atLeast"/>
        </w:trPr>
        <w:tc>
          <w:tcPr>
            <w:tcW w:w="3013"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3"/>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641"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4007" w:type="dxa"/>
            <w:gridSpan w:val="15"/>
            <w:tcBorders>
              <w:top w:val="nil"/>
              <w:left w:val="nil"/>
              <w:bottom w:val="nil"/>
              <w:right w:val="nil"/>
            </w:tcBorders>
            <w:shd w:val="clear" w:color="auto" w:fill="auto"/>
            <w:noWrap/>
            <w:vAlign w:val="center"/>
          </w:tcPr>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01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35"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449" w:type="dxa"/>
            <w:gridSpan w:val="2"/>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部门：湖南省农村经营管理服务站</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35"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color w:val="000000"/>
                <w:kern w:val="0"/>
                <w:sz w:val="20"/>
                <w:szCs w:val="20"/>
              </w:rPr>
              <w:t>单位：万元</w:t>
            </w:r>
            <w:r>
              <w:rPr>
                <w:rFonts w:hint="eastAsia" w:ascii="宋体" w:hAnsi="宋体" w:eastAsia="宋体" w:cs="宋体"/>
                <w:kern w:val="0"/>
                <w:sz w:val="24"/>
                <w:szCs w:val="24"/>
              </w:rPr>
              <w:t>　</w:t>
            </w:r>
          </w:p>
          <w:p>
            <w:pPr>
              <w:widowControl/>
              <w:jc w:val="right"/>
              <w:rPr>
                <w:rFonts w:ascii="宋体" w:hAnsi="宋体" w:eastAsia="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452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收入</w:t>
            </w:r>
          </w:p>
        </w:tc>
        <w:tc>
          <w:tcPr>
            <w:tcW w:w="9480" w:type="dxa"/>
            <w:gridSpan w:val="12"/>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支出</w:t>
            </w:r>
          </w:p>
        </w:tc>
      </w:tr>
      <w:tr>
        <w:tblPrEx>
          <w:tblLayout w:type="fixed"/>
          <w:tblCellMar>
            <w:top w:w="0" w:type="dxa"/>
            <w:left w:w="108" w:type="dxa"/>
            <w:bottom w:w="0" w:type="dxa"/>
            <w:right w:w="108" w:type="dxa"/>
          </w:tblCellMar>
        </w:tblPrEx>
        <w:trPr>
          <w:trHeight w:val="630"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金额</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项    目</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合计</w:t>
            </w:r>
          </w:p>
        </w:tc>
        <w:tc>
          <w:tcPr>
            <w:tcW w:w="124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一般公共预算财政拨款</w:t>
            </w:r>
          </w:p>
        </w:tc>
        <w:tc>
          <w:tcPr>
            <w:tcW w:w="184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政府性基金预算财政拨款</w:t>
            </w:r>
          </w:p>
        </w:tc>
        <w:tc>
          <w:tcPr>
            <w:tcW w:w="156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1</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栏    次</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　</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2</w:t>
            </w: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3</w:t>
            </w: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4</w:t>
            </w: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4"/>
              </w:rPr>
            </w:pPr>
            <w:r>
              <w:rPr>
                <w:rFonts w:hint="eastAsia" w:ascii="宋体" w:hAnsi="宋体" w:eastAsia="宋体" w:cs="宋体"/>
                <w:kern w:val="0"/>
                <w:sz w:val="20"/>
                <w:szCs w:val="24"/>
              </w:rPr>
              <w:t>5</w:t>
            </w: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1011.83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一、一般公共服务支出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33</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二、外交支出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34</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三、国防支出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35</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四、公共安全支出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36</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五、教育支出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37</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FFFFFF"/>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六、科学技术支出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38</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val="en-US" w:eastAsia="zh-CN"/>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FFFFFF"/>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七、文化旅游体育与传媒支出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39</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lang w:val="en-US" w:eastAsia="zh-CN"/>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八、社会保障和就业支出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40</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16.15</w:t>
            </w: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16.15</w:t>
            </w: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val="en-US" w:eastAsia="zh-CN"/>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九、卫生健康支出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41</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十、节能环保支出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42</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十一、城乡社区支出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43</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十二、农林水支出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44</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931.16</w:t>
            </w: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931.16</w:t>
            </w: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十三、交通运输支出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45</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十四、资源勘探工业信息等支出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46</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十五、商业服务业等支出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47</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十六、金融支出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48</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十七、援助其他地区支出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49</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十八、自然资源海洋气象等支出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50</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十九、住房保障支出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51</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二十、粮油物资储备支出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52</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二十一、国有资本经营预算支出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53</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二十二、灾害防治及应急管理支出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54</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二十三、其他支出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55</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二十四、债务还本支出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56</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二十五、债务付息支出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57</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highlight w:val="red"/>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二十六、抗疫特别国债安排的支出</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58</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0"/>
              </w:rPr>
            </w:pPr>
            <w:r>
              <w:rPr>
                <w:rFonts w:hint="eastAsia" w:ascii="宋体" w:hAnsi="宋体" w:eastAsia="宋体" w:cs="宋体"/>
                <w:b/>
                <w:bCs/>
                <w:kern w:val="0"/>
                <w:sz w:val="20"/>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1011.83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ind w:firstLine="800" w:firstLineChars="400"/>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本年支出合计</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59</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r>
              <w:rPr>
                <w:rFonts w:hint="eastAsia" w:ascii="宋体" w:hAnsi="宋体" w:eastAsia="宋体" w:cs="宋体"/>
                <w:color w:val="000000"/>
                <w:kern w:val="0"/>
                <w:sz w:val="20"/>
              </w:rPr>
              <w:t>947.31</w:t>
            </w: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r>
              <w:rPr>
                <w:rFonts w:hint="eastAsia" w:ascii="宋体" w:hAnsi="宋体" w:eastAsia="宋体" w:cs="宋体"/>
                <w:color w:val="000000"/>
                <w:kern w:val="0"/>
                <w:sz w:val="20"/>
              </w:rPr>
              <w:t>947.31</w:t>
            </w: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57.97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ind w:firstLine="400" w:firstLineChars="200"/>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年末财政拨款结转和结余</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60</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r>
              <w:rPr>
                <w:rFonts w:hint="eastAsia" w:ascii="宋体" w:hAnsi="宋体" w:eastAsia="宋体" w:cs="宋体"/>
                <w:color w:val="000000"/>
                <w:kern w:val="0"/>
                <w:sz w:val="20"/>
              </w:rPr>
              <w:t>122.49</w:t>
            </w: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r>
              <w:rPr>
                <w:rFonts w:hint="eastAsia" w:ascii="宋体" w:hAnsi="宋体" w:eastAsia="宋体" w:cs="宋体"/>
                <w:color w:val="000000"/>
                <w:kern w:val="0"/>
                <w:sz w:val="20"/>
              </w:rPr>
              <w:t>122.49</w:t>
            </w: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57.97</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20"/>
              </w:rPr>
            </w:pPr>
            <w:r>
              <w:rPr>
                <w:rFonts w:hint="eastAsia" w:ascii="宋体" w:hAnsi="宋体" w:eastAsia="宋体" w:cs="宋体"/>
                <w:color w:val="000000"/>
                <w:kern w:val="0"/>
                <w:sz w:val="20"/>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61</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62</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r>
              <w:rPr>
                <w:rFonts w:hint="eastAsia" w:ascii="宋体" w:hAnsi="宋体" w:eastAsia="宋体" w:cs="宋体"/>
                <w:kern w:val="0"/>
                <w:sz w:val="20"/>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rPr>
            </w:pPr>
            <w:r>
              <w:rPr>
                <w:rFonts w:hint="eastAsia" w:ascii="宋体" w:hAnsi="宋体" w:eastAsia="宋体" w:cs="宋体"/>
                <w:kern w:val="0"/>
                <w:sz w:val="20"/>
              </w:rPr>
              <w:t>　</w:t>
            </w:r>
          </w:p>
        </w:tc>
        <w:tc>
          <w:tcPr>
            <w:tcW w:w="309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rPr>
            </w:pPr>
            <w:r>
              <w:rPr>
                <w:rFonts w:hint="eastAsia" w:ascii="宋体" w:hAnsi="宋体" w:eastAsia="宋体" w:cs="宋体"/>
                <w:kern w:val="0"/>
                <w:sz w:val="20"/>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63</w:t>
            </w:r>
          </w:p>
        </w:tc>
        <w:tc>
          <w:tcPr>
            <w:tcW w:w="1027"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24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rPr>
            </w:pPr>
          </w:p>
        </w:tc>
      </w:tr>
      <w:tr>
        <w:tblPrEx>
          <w:tblLayout w:type="fixed"/>
          <w:tblCellMar>
            <w:top w:w="0" w:type="dxa"/>
            <w:left w:w="108" w:type="dxa"/>
            <w:bottom w:w="0" w:type="dxa"/>
            <w:right w:w="108" w:type="dxa"/>
          </w:tblCellMar>
        </w:tblPrEx>
        <w:trPr>
          <w:trHeight w:val="402" w:hRule="atLeast"/>
        </w:trPr>
        <w:tc>
          <w:tcPr>
            <w:tcW w:w="3013"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0"/>
              </w:rPr>
            </w:pPr>
            <w:r>
              <w:rPr>
                <w:rFonts w:hint="eastAsia" w:ascii="宋体" w:hAnsi="宋体" w:eastAsia="宋体" w:cs="宋体"/>
                <w:b/>
                <w:bCs/>
                <w:kern w:val="0"/>
                <w:sz w:val="20"/>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rPr>
              <w:t xml:space="preserve">1069.80 </w:t>
            </w:r>
          </w:p>
        </w:tc>
        <w:tc>
          <w:tcPr>
            <w:tcW w:w="3094"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0"/>
              </w:rPr>
            </w:pPr>
            <w:r>
              <w:rPr>
                <w:rFonts w:hint="eastAsia" w:ascii="宋体" w:hAnsi="宋体" w:eastAsia="宋体" w:cs="宋体"/>
                <w:b/>
                <w:bCs/>
                <w:kern w:val="0"/>
                <w:sz w:val="20"/>
              </w:rPr>
              <w:t>总计</w:t>
            </w:r>
          </w:p>
        </w:tc>
        <w:tc>
          <w:tcPr>
            <w:tcW w:w="709"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0"/>
                <w:lang w:val="en-US" w:eastAsia="zh-CN"/>
              </w:rPr>
            </w:pPr>
            <w:r>
              <w:rPr>
                <w:rFonts w:hint="eastAsia" w:ascii="宋体" w:hAnsi="宋体" w:eastAsia="宋体" w:cs="宋体"/>
                <w:kern w:val="0"/>
                <w:sz w:val="20"/>
                <w:lang w:val="en-US" w:eastAsia="zh-CN"/>
              </w:rPr>
              <w:t>64</w:t>
            </w:r>
          </w:p>
        </w:tc>
        <w:tc>
          <w:tcPr>
            <w:tcW w:w="1027" w:type="dxa"/>
            <w:gridSpan w:val="3"/>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rPr>
              <w:t>1069.80</w:t>
            </w:r>
          </w:p>
        </w:tc>
        <w:tc>
          <w:tcPr>
            <w:tcW w:w="1241" w:type="dxa"/>
            <w:gridSpan w:val="2"/>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rPr>
              <w:t>1069.80</w:t>
            </w:r>
          </w:p>
        </w:tc>
        <w:tc>
          <w:tcPr>
            <w:tcW w:w="1843"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0"/>
              </w:rPr>
            </w:pPr>
          </w:p>
        </w:tc>
        <w:tc>
          <w:tcPr>
            <w:tcW w:w="15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0"/>
              </w:rPr>
            </w:pPr>
          </w:p>
        </w:tc>
      </w:tr>
      <w:tr>
        <w:tblPrEx>
          <w:tblLayout w:type="fixed"/>
          <w:tblCellMar>
            <w:top w:w="0" w:type="dxa"/>
            <w:left w:w="108" w:type="dxa"/>
            <w:bottom w:w="0" w:type="dxa"/>
            <w:right w:w="108" w:type="dxa"/>
          </w:tblCellMar>
        </w:tblPrEx>
        <w:trPr>
          <w:trHeight w:val="585" w:hRule="atLeast"/>
        </w:trPr>
        <w:tc>
          <w:tcPr>
            <w:tcW w:w="14007" w:type="dxa"/>
            <w:gridSpan w:val="15"/>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hint="eastAsia" w:ascii="Times New Roman" w:hAnsi="Times New Roman" w:eastAsia="方正小标宋_GBK" w:cs="Times New Roman"/>
          <w:kern w:val="0"/>
          <w:sz w:val="36"/>
          <w:szCs w:val="36"/>
        </w:rPr>
      </w:pPr>
    </w:p>
    <w:p>
      <w:pPr>
        <w:widowControl/>
        <w:jc w:val="center"/>
        <w:rPr>
          <w:rFonts w:hint="eastAsia"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湖南省农村经营管理服务站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12"/>
        <w:tblW w:w="14219" w:type="dxa"/>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947.31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496.68</w:t>
            </w: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450.62</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社会保险和就业支出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16.15</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20808</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抚恤金</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2080801</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死亡抚恤</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15.67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20899</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2089999</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0.48</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931.16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481.01</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21301</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农业农村</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931.16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481.01</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2130101</w:t>
            </w:r>
          </w:p>
        </w:tc>
        <w:tc>
          <w:tcPr>
            <w:tcW w:w="352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行政运行</w:t>
            </w:r>
          </w:p>
        </w:tc>
        <w:tc>
          <w:tcPr>
            <w:tcW w:w="3000" w:type="dxa"/>
            <w:tcBorders>
              <w:top w:val="nil"/>
              <w:left w:val="nil"/>
              <w:bottom w:val="single" w:color="auto" w:sz="4" w:space="0"/>
              <w:right w:val="single" w:color="auto" w:sz="4" w:space="0"/>
            </w:tcBorders>
            <w:shd w:val="clear" w:color="auto" w:fill="auto"/>
            <w:vAlign w:val="center"/>
          </w:tcPr>
          <w:p>
            <w:pPr>
              <w:widowControl/>
              <w:tabs>
                <w:tab w:val="center" w:pos="902"/>
                <w:tab w:val="right" w:pos="2164"/>
              </w:tabs>
              <w:jc w:val="center"/>
              <w:rPr>
                <w:rFonts w:ascii="宋体" w:hAnsi="宋体" w:eastAsia="宋体" w:cs="宋体"/>
                <w:kern w:val="0"/>
                <w:sz w:val="24"/>
                <w:szCs w:val="24"/>
              </w:rPr>
            </w:pPr>
            <w:r>
              <w:rPr>
                <w:rFonts w:hint="eastAsia" w:ascii="宋体" w:hAnsi="宋体" w:eastAsia="宋体" w:cs="宋体"/>
                <w:kern w:val="0"/>
                <w:sz w:val="24"/>
                <w:szCs w:val="24"/>
              </w:rPr>
              <w:t>481.02</w:t>
            </w:r>
          </w:p>
        </w:tc>
        <w:tc>
          <w:tcPr>
            <w:tcW w:w="3492" w:type="dxa"/>
            <w:tcBorders>
              <w:top w:val="nil"/>
              <w:left w:val="nil"/>
              <w:bottom w:val="single" w:color="auto" w:sz="4" w:space="0"/>
              <w:right w:val="single" w:color="auto" w:sz="4" w:space="0"/>
            </w:tcBorders>
            <w:shd w:val="clear" w:color="auto" w:fill="auto"/>
            <w:vAlign w:val="center"/>
          </w:tcPr>
          <w:p>
            <w:pPr>
              <w:widowControl/>
              <w:tabs>
                <w:tab w:val="center" w:pos="887"/>
                <w:tab w:val="right" w:pos="2135"/>
              </w:tabs>
              <w:jc w:val="left"/>
              <w:rPr>
                <w:rFonts w:ascii="宋体" w:hAnsi="宋体" w:eastAsia="宋体" w:cs="宋体"/>
                <w:kern w:val="0"/>
                <w:sz w:val="24"/>
                <w:szCs w:val="24"/>
              </w:rPr>
            </w:pPr>
            <w:r>
              <w:rPr>
                <w:rFonts w:hint="eastAsia" w:ascii="宋体" w:hAnsi="宋体" w:eastAsia="宋体" w:cs="宋体"/>
                <w:kern w:val="0"/>
                <w:sz w:val="24"/>
                <w:szCs w:val="24"/>
              </w:rPr>
              <w:tab/>
            </w:r>
            <w:r>
              <w:rPr>
                <w:rFonts w:hint="eastAsia" w:ascii="宋体" w:hAnsi="宋体" w:eastAsia="宋体" w:cs="宋体"/>
                <w:kern w:val="0"/>
                <w:sz w:val="24"/>
                <w:szCs w:val="24"/>
              </w:rPr>
              <w:t xml:space="preserve">           481.01</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450" w:hRule="atLeast"/>
        </w:trPr>
        <w:tc>
          <w:tcPr>
            <w:tcW w:w="1200"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2130199</w:t>
            </w:r>
          </w:p>
        </w:tc>
        <w:tc>
          <w:tcPr>
            <w:tcW w:w="3527" w:type="dxa"/>
            <w:tcBorders>
              <w:top w:val="nil"/>
              <w:left w:val="nil"/>
              <w:bottom w:val="single" w:color="auto" w:sz="8"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其他农业农村支出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c>
          <w:tcPr>
            <w:tcW w:w="3492" w:type="dxa"/>
            <w:tcBorders>
              <w:top w:val="nil"/>
              <w:left w:val="nil"/>
              <w:bottom w:val="single" w:color="auto" w:sz="8"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0　</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450.14</w:t>
            </w:r>
          </w:p>
        </w:tc>
      </w:tr>
      <w:tr>
        <w:tblPrEx>
          <w:tblLayout w:type="fixed"/>
          <w:tblCellMar>
            <w:top w:w="0" w:type="dxa"/>
            <w:left w:w="108" w:type="dxa"/>
            <w:bottom w:w="0" w:type="dxa"/>
            <w:right w:w="108" w:type="dxa"/>
          </w:tblCellMar>
        </w:tblPrEx>
        <w:trPr>
          <w:trHeight w:val="645" w:hRule="atLeast"/>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2"/>
        <w:tblW w:w="14823" w:type="dxa"/>
        <w:tblInd w:w="0" w:type="dxa"/>
        <w:tblLayout w:type="fixed"/>
        <w:tblCellMar>
          <w:top w:w="0" w:type="dxa"/>
          <w:left w:w="108" w:type="dxa"/>
          <w:bottom w:w="0" w:type="dxa"/>
          <w:right w:w="108" w:type="dxa"/>
        </w:tblCellMar>
      </w:tblPr>
      <w:tblGrid>
        <w:gridCol w:w="939"/>
        <w:gridCol w:w="3345"/>
        <w:gridCol w:w="881"/>
        <w:gridCol w:w="1072"/>
        <w:gridCol w:w="2301"/>
        <w:gridCol w:w="981"/>
        <w:gridCol w:w="879"/>
        <w:gridCol w:w="3509"/>
        <w:gridCol w:w="916"/>
      </w:tblGrid>
      <w:tr>
        <w:tblPrEx>
          <w:tblLayout w:type="fixed"/>
          <w:tblCellMar>
            <w:top w:w="0" w:type="dxa"/>
            <w:left w:w="108" w:type="dxa"/>
            <w:bottom w:w="0" w:type="dxa"/>
            <w:right w:w="108" w:type="dxa"/>
          </w:tblCellMar>
        </w:tblPrEx>
        <w:trPr>
          <w:trHeight w:val="113" w:hRule="atLeast"/>
        </w:trPr>
        <w:tc>
          <w:tcPr>
            <w:tcW w:w="14823"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湖南省农村经营管理服务站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4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7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87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5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hint="default" w:ascii="宋体" w:hAnsi="宋体" w:eastAsia="宋体" w:cs="宋体"/>
                <w:color w:val="000000"/>
                <w:szCs w:val="21"/>
                <w:lang w:val="en-US" w:eastAsia="zh-CN"/>
              </w:rPr>
            </w:pPr>
            <w:r>
              <w:rPr>
                <w:rFonts w:hint="eastAsia" w:ascii="宋体" w:hAnsi="宋体" w:eastAsia="宋体" w:cs="宋体"/>
                <w:color w:val="000000"/>
                <w:kern w:val="0"/>
                <w:szCs w:val="21"/>
                <w:lang w:val="en-US" w:eastAsia="zh-CN"/>
              </w:rPr>
              <w:t>116.80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73.85</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6.7</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54.51</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19.8</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49.7</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0.26</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20.10 </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1.64</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1.10 </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30.83</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7.73</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65"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1.5</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25.36</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14.69</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0.74</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15.67</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7.90 </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26.10 </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3.39</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14.62</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56.13</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 xml:space="preserve">13.50 </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39909</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ascii="宋体" w:hAnsi="宋体" w:eastAsia="宋体" w:cs="宋体"/>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Layout w:type="fixed"/>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资本性赠与</w:t>
                  </w:r>
                </w:p>
              </w:tc>
            </w:tr>
          </w:tbl>
          <w:p>
            <w:pPr>
              <w:widowControl/>
              <w:jc w:val="left"/>
              <w:rPr>
                <w:rFonts w:ascii="宋体" w:hAnsi="宋体" w:eastAsia="宋体" w:cs="宋体"/>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资本性赠与</w:t>
                  </w:r>
                </w:p>
              </w:tc>
            </w:tr>
          </w:tbl>
          <w:p>
            <w:pPr>
              <w:widowControl/>
              <w:jc w:val="left"/>
              <w:rPr>
                <w:rFonts w:ascii="宋体" w:hAnsi="宋体" w:eastAsia="宋体" w:cs="宋体"/>
                <w:color w:val="000000"/>
                <w:kern w:val="0"/>
                <w:szCs w:val="20"/>
              </w:rPr>
            </w:pP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39910</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12.77</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6.48</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93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8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31.64</w:t>
            </w:r>
          </w:p>
        </w:tc>
        <w:tc>
          <w:tcPr>
            <w:tcW w:w="8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Cs w:val="21"/>
              </w:rPr>
            </w:pPr>
            <w:r>
              <w:rPr>
                <w:rFonts w:hint="eastAsia" w:ascii="宋体" w:hAnsi="宋体" w:eastAsia="宋体" w:cs="宋体"/>
                <w:color w:val="000000"/>
                <w:kern w:val="0"/>
                <w:szCs w:val="21"/>
              </w:rPr>
              <w:t>0</w:t>
            </w:r>
          </w:p>
        </w:tc>
      </w:tr>
      <w:tr>
        <w:tblPrEx>
          <w:tblLayout w:type="fixed"/>
          <w:tblCellMar>
            <w:top w:w="0" w:type="dxa"/>
            <w:left w:w="108" w:type="dxa"/>
            <w:bottom w:w="0" w:type="dxa"/>
            <w:right w:w="108" w:type="dxa"/>
          </w:tblCellMar>
        </w:tblPrEx>
        <w:trPr>
          <w:trHeight w:val="284" w:hRule="exact"/>
        </w:trPr>
        <w:tc>
          <w:tcPr>
            <w:tcW w:w="42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881"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20"/>
              </w:rPr>
            </w:pPr>
            <w:r>
              <w:rPr>
                <w:rFonts w:hint="eastAsia" w:ascii="宋体" w:hAnsi="宋体" w:eastAsia="宋体" w:cs="宋体"/>
                <w:color w:val="000000"/>
                <w:kern w:val="0"/>
                <w:szCs w:val="21"/>
              </w:rPr>
              <w:t>379.89</w:t>
            </w:r>
          </w:p>
        </w:tc>
        <w:tc>
          <w:tcPr>
            <w:tcW w:w="874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kern w:val="0"/>
                <w:szCs w:val="18"/>
              </w:rPr>
            </w:pPr>
            <w:r>
              <w:rPr>
                <w:rFonts w:hint="eastAsia" w:ascii="宋体" w:hAnsi="宋体" w:eastAsia="宋体" w:cs="宋体"/>
                <w:color w:val="000000"/>
                <w:kern w:val="0"/>
                <w:szCs w:val="21"/>
              </w:rPr>
              <w:t xml:space="preserve">116.80 </w:t>
            </w:r>
          </w:p>
        </w:tc>
      </w:tr>
      <w:tr>
        <w:tblPrEx>
          <w:tblLayout w:type="fixed"/>
          <w:tblCellMar>
            <w:top w:w="0" w:type="dxa"/>
            <w:left w:w="108" w:type="dxa"/>
            <w:bottom w:w="0" w:type="dxa"/>
            <w:right w:w="108" w:type="dxa"/>
          </w:tblCellMar>
        </w:tblPrEx>
        <w:trPr>
          <w:trHeight w:val="284" w:hRule="exact"/>
        </w:trPr>
        <w:tc>
          <w:tcPr>
            <w:tcW w:w="14823"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jc w:val="center"/>
        <w:rPr>
          <w:rFonts w:hint="eastAsia" w:ascii="华文中宋" w:hAnsi="华文中宋" w:eastAsia="华文中宋" w:cs="华文中宋"/>
          <w:color w:val="000000"/>
          <w:kern w:val="0"/>
          <w:sz w:val="32"/>
          <w:szCs w:val="32"/>
        </w:rPr>
      </w:pPr>
    </w:p>
    <w:p>
      <w:pPr>
        <w:jc w:val="center"/>
      </w:pPr>
      <w:r>
        <w:rPr>
          <w:rFonts w:hint="eastAsia" w:ascii="华文中宋" w:hAnsi="华文中宋" w:eastAsia="华文中宋" w:cs="华文中宋"/>
          <w:color w:val="000000"/>
          <w:kern w:val="0"/>
          <w:sz w:val="32"/>
          <w:szCs w:val="32"/>
        </w:rPr>
        <w:t>政府性基金预算财政拨款收入支出决算表</w:t>
      </w:r>
    </w:p>
    <w:tbl>
      <w:tblPr>
        <w:tblStyle w:val="12"/>
        <w:tblW w:w="12862" w:type="dxa"/>
        <w:jc w:val="center"/>
        <w:tblInd w:w="0" w:type="dxa"/>
        <w:tblLayout w:type="fixed"/>
        <w:tblCellMar>
          <w:top w:w="0" w:type="dxa"/>
          <w:left w:w="108" w:type="dxa"/>
          <w:bottom w:w="0" w:type="dxa"/>
          <w:right w:w="108" w:type="dxa"/>
        </w:tblCellMar>
      </w:tblPr>
      <w:tblGrid>
        <w:gridCol w:w="817"/>
        <w:gridCol w:w="28"/>
        <w:gridCol w:w="1393"/>
        <w:gridCol w:w="2115"/>
        <w:gridCol w:w="2192"/>
        <w:gridCol w:w="2105"/>
        <w:gridCol w:w="2106"/>
        <w:gridCol w:w="2106"/>
      </w:tblGrid>
      <w:tr>
        <w:tblPrEx>
          <w:tblLayout w:type="fixed"/>
          <w:tblCellMar>
            <w:top w:w="0" w:type="dxa"/>
            <w:left w:w="108" w:type="dxa"/>
            <w:bottom w:w="0" w:type="dxa"/>
            <w:right w:w="108" w:type="dxa"/>
          </w:tblCellMar>
        </w:tblPrEx>
        <w:trPr>
          <w:trHeight w:val="690" w:hRule="atLeast"/>
          <w:jc w:val="center"/>
        </w:trPr>
        <w:tc>
          <w:tcPr>
            <w:tcW w:w="817"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w:t>
            </w:r>
          </w:p>
        </w:tc>
        <w:tc>
          <w:tcPr>
            <w:tcW w:w="5728" w:type="dxa"/>
            <w:gridSpan w:val="4"/>
            <w:tcBorders>
              <w:top w:val="nil"/>
              <w:left w:val="nil"/>
              <w:bottom w:val="nil"/>
              <w:right w:val="nil"/>
            </w:tcBorders>
            <w:shd w:val="clear" w:color="auto" w:fill="FFFFFF"/>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湖南省农村经营管理服务站</w:t>
            </w:r>
          </w:p>
        </w:tc>
        <w:tc>
          <w:tcPr>
            <w:tcW w:w="210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r>
      <w:tr>
        <w:tblPrEx>
          <w:tblLayout w:type="fixed"/>
          <w:tblCellMar>
            <w:top w:w="0" w:type="dxa"/>
            <w:left w:w="108" w:type="dxa"/>
            <w:bottom w:w="0" w:type="dxa"/>
            <w:right w:w="108" w:type="dxa"/>
          </w:tblCellMar>
        </w:tblPrEx>
        <w:trPr>
          <w:trHeight w:val="459" w:hRule="atLeast"/>
          <w:jc w:val="center"/>
        </w:trPr>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9"/>
                <w:rFonts w:hint="default"/>
              </w:rPr>
              <w:t xml:space="preserve">   </w:t>
            </w:r>
            <w:r>
              <w:rPr>
                <w:rStyle w:val="20"/>
                <w:rFonts w:hint="default"/>
              </w:rPr>
              <w:t>目</w:t>
            </w:r>
          </w:p>
        </w:tc>
        <w:tc>
          <w:tcPr>
            <w:tcW w:w="21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1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3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609" w:hRule="atLeast"/>
          <w:jc w:val="center"/>
        </w:trPr>
        <w:tc>
          <w:tcPr>
            <w:tcW w:w="8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409" w:hRule="atLeast"/>
          <w:jc w:val="center"/>
        </w:trPr>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r>
      <w:tr>
        <w:tblPrEx>
          <w:tblLayout w:type="fixed"/>
          <w:tblCellMar>
            <w:top w:w="0" w:type="dxa"/>
            <w:left w:w="108" w:type="dxa"/>
            <w:bottom w:w="0" w:type="dxa"/>
            <w:right w:w="108" w:type="dxa"/>
          </w:tblCellMar>
        </w:tblPrEx>
        <w:trPr>
          <w:trHeight w:val="509" w:hRule="atLeast"/>
          <w:jc w:val="center"/>
        </w:trPr>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bl>
    <w:p>
      <w:pPr>
        <w:keepNext w:val="0"/>
        <w:keepLines w:val="0"/>
        <w:widowControl/>
        <w:suppressLineNumbers w:val="0"/>
        <w:ind w:firstLine="1440" w:firstLineChars="60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widowControl/>
        <w:ind w:firstLine="1440" w:firstLineChars="600"/>
        <w:jc w:val="both"/>
        <w:rPr>
          <w:rFonts w:ascii="Times New Roman" w:hAnsi="Times New Roman" w:eastAsia="方正小标宋_GBK" w:cs="Times New Roman"/>
          <w:color w:val="000000"/>
          <w:kern w:val="0"/>
          <w:sz w:val="36"/>
          <w:szCs w:val="36"/>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p>
      <w:pPr>
        <w:widowControl/>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br w:type="page"/>
      </w:r>
    </w:p>
    <w:p>
      <w:pPr>
        <w:widowControl/>
        <w:jc w:val="center"/>
        <w:rPr>
          <w:rFonts w:ascii="Times New Roman" w:hAnsi="Times New Roman" w:eastAsia="方正小标宋_GBK" w:cs="Times New Roman"/>
          <w:color w:val="000000"/>
          <w:kern w:val="0"/>
          <w:sz w:val="36"/>
          <w:szCs w:val="36"/>
        </w:rPr>
      </w:pPr>
    </w:p>
    <w:tbl>
      <w:tblPr>
        <w:tblStyle w:val="12"/>
        <w:tblW w:w="14474" w:type="dxa"/>
        <w:tblInd w:w="93" w:type="dxa"/>
        <w:tblLayout w:type="fixed"/>
        <w:tblCellMar>
          <w:top w:w="0" w:type="dxa"/>
          <w:left w:w="108" w:type="dxa"/>
          <w:bottom w:w="0" w:type="dxa"/>
          <w:right w:w="108" w:type="dxa"/>
        </w:tblCellMar>
      </w:tblPr>
      <w:tblGrid>
        <w:gridCol w:w="1260"/>
        <w:gridCol w:w="66"/>
        <w:gridCol w:w="701"/>
        <w:gridCol w:w="494"/>
        <w:gridCol w:w="1261"/>
        <w:gridCol w:w="537"/>
        <w:gridCol w:w="724"/>
        <w:gridCol w:w="1261"/>
        <w:gridCol w:w="1261"/>
        <w:gridCol w:w="69"/>
        <w:gridCol w:w="745"/>
        <w:gridCol w:w="447"/>
        <w:gridCol w:w="828"/>
        <w:gridCol w:w="433"/>
        <w:gridCol w:w="560"/>
        <w:gridCol w:w="302"/>
        <w:gridCol w:w="399"/>
        <w:gridCol w:w="574"/>
        <w:gridCol w:w="687"/>
        <w:gridCol w:w="731"/>
        <w:gridCol w:w="425"/>
        <w:gridCol w:w="709"/>
      </w:tblGrid>
      <w:tr>
        <w:tblPrEx>
          <w:tblLayout w:type="fixed"/>
          <w:tblCellMar>
            <w:top w:w="0" w:type="dxa"/>
            <w:left w:w="108" w:type="dxa"/>
            <w:bottom w:w="0" w:type="dxa"/>
            <w:right w:w="108" w:type="dxa"/>
          </w:tblCellMar>
        </w:tblPrEx>
        <w:trPr>
          <w:gridAfter w:val="1"/>
          <w:wAfter w:w="709" w:type="dxa"/>
          <w:trHeight w:val="963" w:hRule="atLeast"/>
        </w:trPr>
        <w:tc>
          <w:tcPr>
            <w:tcW w:w="13765" w:type="dxa"/>
            <w:gridSpan w:val="21"/>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gridAfter w:val="1"/>
          <w:wAfter w:w="709" w:type="dxa"/>
          <w:trHeight w:val="417" w:hRule="atLeast"/>
        </w:trPr>
        <w:tc>
          <w:tcPr>
            <w:tcW w:w="1326"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gridSpan w:val="3"/>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gridSpan w:val="4"/>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gridSpan w:val="6"/>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816" w:type="dxa"/>
            <w:gridSpan w:val="5"/>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gridAfter w:val="1"/>
          <w:wAfter w:w="709" w:type="dxa"/>
          <w:trHeight w:val="417" w:hRule="atLeast"/>
        </w:trPr>
        <w:tc>
          <w:tcPr>
            <w:tcW w:w="1326" w:type="dxa"/>
            <w:gridSpan w:val="2"/>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w:t>
            </w:r>
          </w:p>
        </w:tc>
        <w:tc>
          <w:tcPr>
            <w:tcW w:w="6308" w:type="dxa"/>
            <w:gridSpan w:val="8"/>
            <w:tcBorders>
              <w:top w:val="nil"/>
              <w:left w:val="nil"/>
              <w:bottom w:val="nil"/>
              <w:right w:val="nil"/>
            </w:tcBorders>
            <w:shd w:val="clear" w:color="auto" w:fill="FFFFFF"/>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湖南省农村经营管理服务站</w:t>
            </w:r>
          </w:p>
        </w:tc>
        <w:tc>
          <w:tcPr>
            <w:tcW w:w="3315" w:type="dxa"/>
            <w:gridSpan w:val="6"/>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816" w:type="dxa"/>
            <w:gridSpan w:val="5"/>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709"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Fonts w:hint="eastAsia" w:ascii="宋体" w:hAnsi="宋体" w:eastAsia="宋体" w:cs="宋体"/>
                <w:color w:val="000000"/>
                <w:kern w:val="0"/>
                <w:sz w:val="22"/>
              </w:rPr>
              <w:t xml:space="preserve">   </w:t>
            </w:r>
            <w:r>
              <w:rPr>
                <w:rStyle w:val="21"/>
                <w:rFonts w:hint="default"/>
              </w:rPr>
              <w:t>目</w:t>
            </w:r>
          </w:p>
        </w:tc>
        <w:tc>
          <w:tcPr>
            <w:tcW w:w="944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kern w:val="0"/>
                <w:sz w:val="24"/>
                <w:szCs w:val="24"/>
              </w:rPr>
              <w:t>合计</w:t>
            </w:r>
          </w:p>
        </w:tc>
        <w:tc>
          <w:tcPr>
            <w:tcW w:w="331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81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81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81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709"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gridAfter w:val="1"/>
          <w:wAfter w:w="709"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highlight w:val="red"/>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highlight w:val="red"/>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highlight w:val="red"/>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highlight w:val="red"/>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highlight w:val="red"/>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highlight w:val="red"/>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highlight w:val="red"/>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r>
      <w:tr>
        <w:tblPrEx>
          <w:tblLayout w:type="fixed"/>
          <w:tblCellMar>
            <w:top w:w="0" w:type="dxa"/>
            <w:left w:w="108" w:type="dxa"/>
            <w:bottom w:w="0" w:type="dxa"/>
            <w:right w:w="108" w:type="dxa"/>
          </w:tblCellMar>
        </w:tblPrEx>
        <w:trPr>
          <w:gridAfter w:val="1"/>
          <w:wAfter w:w="709" w:type="dxa"/>
          <w:trHeight w:val="548" w:hRule="atLeast"/>
        </w:trPr>
        <w:tc>
          <w:tcPr>
            <w:tcW w:w="20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highlight w:val="red"/>
              </w:rPr>
            </w:pPr>
          </w:p>
        </w:tc>
        <w:tc>
          <w:tcPr>
            <w:tcW w:w="22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c>
          <w:tcPr>
            <w:tcW w:w="28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highlight w:val="red"/>
              </w:rPr>
            </w:pPr>
          </w:p>
        </w:tc>
      </w:tr>
      <w:tr>
        <w:tblPrEx>
          <w:tblLayout w:type="fixed"/>
          <w:tblCellMar>
            <w:top w:w="0" w:type="dxa"/>
            <w:left w:w="108" w:type="dxa"/>
            <w:bottom w:w="0" w:type="dxa"/>
            <w:right w:w="108" w:type="dxa"/>
          </w:tblCellMar>
        </w:tblPrEx>
        <w:trPr>
          <w:gridAfter w:val="1"/>
          <w:wAfter w:w="709" w:type="dxa"/>
          <w:trHeight w:val="976" w:hRule="atLeast"/>
        </w:trPr>
        <w:tc>
          <w:tcPr>
            <w:tcW w:w="13765" w:type="dxa"/>
            <w:gridSpan w:val="21"/>
            <w:tcBorders>
              <w:top w:val="nil"/>
              <w:left w:val="nil"/>
              <w:bottom w:val="nil"/>
              <w:right w:val="nil"/>
            </w:tcBorders>
            <w:shd w:val="clear" w:color="auto" w:fill="auto"/>
            <w:vAlign w:val="center"/>
          </w:tcPr>
          <w:p>
            <w:pPr>
              <w:widowControl/>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highlight w:val="red"/>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p>
            <w:pPr>
              <w:widowControl/>
              <w:jc w:val="left"/>
              <w:textAlignment w:val="center"/>
              <w:rPr>
                <w:rFonts w:ascii="宋体" w:hAnsi="宋体" w:eastAsia="宋体" w:cs="宋体"/>
                <w:color w:val="000000"/>
                <w:kern w:val="0"/>
                <w:sz w:val="24"/>
                <w:szCs w:val="24"/>
                <w:highlight w:val="red"/>
              </w:rPr>
            </w:pPr>
          </w:p>
        </w:tc>
      </w:tr>
      <w:tr>
        <w:tblPrEx>
          <w:tblLayout w:type="fixed"/>
          <w:tblCellMar>
            <w:top w:w="0" w:type="dxa"/>
            <w:left w:w="108" w:type="dxa"/>
            <w:bottom w:w="0" w:type="dxa"/>
            <w:right w:w="108" w:type="dxa"/>
          </w:tblCellMar>
        </w:tblPrEx>
        <w:trPr>
          <w:trHeight w:val="840" w:hRule="atLeast"/>
        </w:trPr>
        <w:tc>
          <w:tcPr>
            <w:tcW w:w="14474" w:type="dxa"/>
            <w:gridSpan w:val="2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3"/>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3"/>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126" w:type="dxa"/>
            <w:gridSpan w:val="5"/>
            <w:tcBorders>
              <w:top w:val="nil"/>
              <w:left w:val="nil"/>
              <w:bottom w:val="nil"/>
              <w:right w:val="nil"/>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w:t>
            </w:r>
          </w:p>
        </w:tc>
        <w:tc>
          <w:tcPr>
            <w:tcW w:w="5044" w:type="dxa"/>
            <w:gridSpan w:val="7"/>
            <w:tcBorders>
              <w:top w:val="nil"/>
              <w:left w:val="nil"/>
              <w:bottom w:val="nil"/>
              <w:right w:val="nil"/>
            </w:tcBorders>
            <w:shd w:val="clear" w:color="auto" w:fill="FFFFFF"/>
            <w:vAlign w:val="center"/>
          </w:tcPr>
          <w:p>
            <w:pPr>
              <w:jc w:val="both"/>
              <w:rPr>
                <w:rFonts w:ascii="宋体" w:hAnsi="宋体" w:eastAsia="宋体" w:cs="宋体"/>
                <w:color w:val="000000"/>
                <w:sz w:val="20"/>
                <w:szCs w:val="20"/>
              </w:rPr>
            </w:pPr>
            <w:r>
              <w:rPr>
                <w:rFonts w:hint="eastAsia" w:ascii="宋体" w:hAnsi="宋体" w:eastAsia="宋体" w:cs="宋体"/>
                <w:color w:val="000000"/>
                <w:sz w:val="20"/>
                <w:szCs w:val="20"/>
              </w:rPr>
              <w:t>湖南省农村经营管理服务站</w:t>
            </w:r>
          </w:p>
        </w:tc>
        <w:tc>
          <w:tcPr>
            <w:tcW w:w="126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3"/>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3"/>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261"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865" w:type="dxa"/>
            <w:gridSpan w:val="3"/>
            <w:tcBorders>
              <w:top w:val="nil"/>
              <w:left w:val="nil"/>
              <w:bottom w:val="nil"/>
              <w:right w:val="nil"/>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690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8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6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8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购置费</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运行维护费</w:t>
            </w:r>
          </w:p>
        </w:tc>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0.74</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0.74</w:t>
            </w:r>
          </w:p>
        </w:tc>
      </w:tr>
      <w:tr>
        <w:tblPrEx>
          <w:tblLayout w:type="fixed"/>
          <w:tblCellMar>
            <w:top w:w="0" w:type="dxa"/>
            <w:left w:w="108" w:type="dxa"/>
            <w:bottom w:w="0" w:type="dxa"/>
            <w:right w:w="108" w:type="dxa"/>
          </w:tblCellMar>
        </w:tblPrEx>
        <w:trPr>
          <w:trHeight w:val="1226" w:hRule="atLeast"/>
        </w:trPr>
        <w:tc>
          <w:tcPr>
            <w:tcW w:w="14474" w:type="dxa"/>
            <w:gridSpan w:val="2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pStyle w:val="16"/>
        <w:jc w:val="center"/>
        <w:rPr>
          <w:sz w:val="72"/>
          <w:szCs w:val="72"/>
        </w:rPr>
        <w:sectPr>
          <w:pgSz w:w="16838" w:h="11906" w:orient="landscape"/>
          <w:pgMar w:top="720" w:right="720" w:bottom="720" w:left="720" w:header="851" w:footer="992" w:gutter="0"/>
          <w:cols w:space="425" w:num="1"/>
          <w:docGrid w:type="linesAndChars" w:linePitch="312" w:charSpace="0"/>
        </w:sectPr>
      </w:pPr>
    </w:p>
    <w:p>
      <w:pPr>
        <w:pStyle w:val="16"/>
        <w:jc w:val="center"/>
        <w:rPr>
          <w:sz w:val="72"/>
          <w:szCs w:val="7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6"/>
        <w:jc w:val="center"/>
        <w:rPr>
          <w:rFonts w:ascii="方正小标宋_GBK" w:hAnsi="方正小标宋_GBK" w:eastAsia="方正小标宋_GBK" w:cs="方正小标宋_GBK"/>
          <w:sz w:val="70"/>
          <w:szCs w:val="70"/>
        </w:rPr>
      </w:pPr>
    </w:p>
    <w:p>
      <w:pPr>
        <w:pStyle w:val="16"/>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pPr>
        <w:widowControl/>
        <w:jc w:val="left"/>
        <w:rPr>
          <w:rFonts w:asciiTheme="minorEastAsia" w:hAnsiTheme="minorEastAsia"/>
          <w:sz w:val="32"/>
          <w:szCs w:val="32"/>
        </w:rPr>
      </w:pPr>
      <w:r>
        <w:rPr>
          <w:rFonts w:hint="eastAsia" w:ascii="方正小标宋_GBK" w:hAnsi="方正小标宋_GBK" w:eastAsia="方正小标宋_GBK" w:cs="方正小标宋_GBK"/>
          <w:sz w:val="70"/>
          <w:szCs w:val="70"/>
        </w:rPr>
        <w:br w:type="page"/>
      </w:r>
    </w:p>
    <w:p>
      <w:pPr>
        <w:pStyle w:val="16"/>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6"/>
        <w:spacing w:line="600" w:lineRule="exact"/>
        <w:ind w:firstLine="640" w:firstLineChars="200"/>
        <w:rPr>
          <w:rFonts w:ascii="Times New Roman" w:hAnsi="Times New Roman" w:eastAsia="仿宋_GB2312"/>
          <w:color w:val="0000FF"/>
          <w:sz w:val="32"/>
          <w:szCs w:val="32"/>
        </w:rPr>
      </w:pPr>
      <w:r>
        <w:rPr>
          <w:rFonts w:hint="eastAsia" w:ascii="Times New Roman" w:hAnsi="Times New Roman" w:eastAsia="仿宋_GB2312"/>
          <w:sz w:val="32"/>
          <w:szCs w:val="32"/>
        </w:rPr>
        <w:t>2023年度收、支总计1069.80万元。与上年相比，减少110.41万元，减少9.36%，</w:t>
      </w:r>
      <w:r>
        <w:rPr>
          <w:rFonts w:hint="eastAsia" w:ascii="Times New Roman" w:hAnsi="Times New Roman" w:eastAsia="仿宋_GB2312"/>
          <w:sz w:val="32"/>
          <w:szCs w:val="32"/>
          <w:lang w:eastAsia="zh-CN"/>
        </w:rPr>
        <w:t>主要</w:t>
      </w:r>
      <w:r>
        <w:rPr>
          <w:rFonts w:hint="eastAsia" w:ascii="Times New Roman" w:hAnsi="Times New Roman" w:eastAsia="仿宋_GB2312"/>
          <w:color w:val="000000" w:themeColor="text1"/>
          <w:sz w:val="32"/>
          <w:szCs w:val="32"/>
          <w:lang w:eastAsia="zh-CN"/>
          <w14:textFill>
            <w14:solidFill>
              <w14:schemeClr w14:val="tx1"/>
            </w14:solidFill>
          </w14:textFill>
        </w:rPr>
        <w:t>是因</w:t>
      </w:r>
      <w:r>
        <w:rPr>
          <w:rFonts w:hint="eastAsia" w:ascii="Times New Roman" w:hAnsi="Times New Roman" w:eastAsia="仿宋_GB2312"/>
          <w:color w:val="000000" w:themeColor="text1"/>
          <w:sz w:val="32"/>
          <w:szCs w:val="32"/>
          <w:lang w:val="en-US" w:eastAsia="zh-CN"/>
          <w14:textFill>
            <w14:solidFill>
              <w14:schemeClr w14:val="tx1"/>
            </w14:solidFill>
          </w14:textFill>
        </w:rPr>
        <w:t>2023</w:t>
      </w:r>
      <w:r>
        <w:rPr>
          <w:rFonts w:hint="eastAsia" w:ascii="Times New Roman" w:hAnsi="Times New Roman" w:eastAsia="仿宋_GB2312"/>
          <w:color w:val="000000" w:themeColor="text1"/>
          <w:sz w:val="32"/>
          <w:szCs w:val="32"/>
          <w:lang w:eastAsia="zh-CN"/>
          <w14:textFill>
            <w14:solidFill>
              <w14:schemeClr w14:val="tx1"/>
            </w14:solidFill>
          </w14:textFill>
        </w:rPr>
        <w:t>年人员调出及人员经费</w:t>
      </w:r>
      <w:r>
        <w:rPr>
          <w:rFonts w:hint="eastAsia" w:ascii="Times New Roman" w:hAnsi="Times New Roman" w:eastAsia="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olor w:val="000000" w:themeColor="text1"/>
          <w:sz w:val="32"/>
          <w:szCs w:val="32"/>
          <w:lang w:eastAsia="zh-CN"/>
          <w14:textFill>
            <w14:solidFill>
              <w14:schemeClr w14:val="tx1"/>
            </w14:solidFill>
          </w14:textFill>
        </w:rPr>
        <w:t>绩效奖金</w:t>
      </w:r>
      <w:r>
        <w:rPr>
          <w:rFonts w:hint="eastAsia" w:ascii="Times New Roman" w:hAnsi="Times New Roman" w:eastAsia="仿宋_GB2312"/>
          <w:color w:val="000000" w:themeColor="text1"/>
          <w:sz w:val="32"/>
          <w:szCs w:val="32"/>
          <w:lang w:val="en-US" w:eastAsia="zh-CN"/>
          <w14:textFill>
            <w14:solidFill>
              <w14:schemeClr w14:val="tx1"/>
            </w14:solidFill>
          </w14:textFill>
        </w:rPr>
        <w:t>)政策性调整等</w:t>
      </w:r>
      <w:r>
        <w:rPr>
          <w:rFonts w:hint="eastAsia" w:ascii="Times New Roman" w:hAnsi="Times New Roman" w:eastAsia="仿宋_GB2312"/>
          <w:color w:val="000000" w:themeColor="text1"/>
          <w:sz w:val="32"/>
          <w:szCs w:val="32"/>
          <w14:textFill>
            <w14:solidFill>
              <w14:schemeClr w14:val="tx1"/>
            </w14:solidFill>
          </w14:textFill>
        </w:rPr>
        <w:t>。</w:t>
      </w:r>
    </w:p>
    <w:p>
      <w:pPr>
        <w:pStyle w:val="16"/>
        <w:spacing w:line="600" w:lineRule="exact"/>
        <w:ind w:firstLine="640" w:firstLineChars="200"/>
        <w:rPr>
          <w:rFonts w:hAnsi="黑体"/>
          <w:bCs/>
          <w:sz w:val="32"/>
          <w:szCs w:val="32"/>
        </w:rPr>
      </w:pPr>
      <w:r>
        <w:rPr>
          <w:rFonts w:hint="eastAsia" w:hAnsi="黑体"/>
          <w:bCs/>
          <w:sz w:val="32"/>
          <w:szCs w:val="32"/>
        </w:rPr>
        <w:t>二、收入决算情况说明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2023年度收入合计1011.83万元，其中：财政拨款收入1011.83万元，占100%；上级补助收入0万元，占0%；事业收入0万元，占0%；经营收入0万元，占0%；附属单位上缴收入0万元，占0%；其他收入0万元，占0%。</w:t>
      </w:r>
    </w:p>
    <w:p>
      <w:pPr>
        <w:pStyle w:val="16"/>
        <w:spacing w:line="600" w:lineRule="exact"/>
        <w:ind w:firstLine="640" w:firstLineChars="200"/>
        <w:rPr>
          <w:rFonts w:hAnsi="黑体"/>
          <w:bCs/>
          <w:sz w:val="32"/>
          <w:szCs w:val="32"/>
        </w:rPr>
      </w:pPr>
      <w:r>
        <w:rPr>
          <w:rFonts w:hint="eastAsia" w:hAnsi="黑体"/>
          <w:bCs/>
          <w:sz w:val="32"/>
          <w:szCs w:val="32"/>
        </w:rPr>
        <w:t>三、支出决算情况说明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2023年度支出合计947.31万元，其中：基本支出496.69万元，占52.43%；项目支出450.62万元，占47.57%；上缴上级支出0万元，占0%；经营支出0万元，占0%；对附属单位补助支出0万元，占0%。</w:t>
      </w:r>
    </w:p>
    <w:p>
      <w:pPr>
        <w:pStyle w:val="16"/>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2023年度财政拨款收、支总计1069.80万元，与上年相比，减少110.41万元,减少9.36%，</w:t>
      </w:r>
      <w:r>
        <w:rPr>
          <w:rFonts w:hint="eastAsia" w:ascii="Times New Roman" w:hAnsi="Times New Roman" w:eastAsia="仿宋_GB2312"/>
          <w:sz w:val="32"/>
          <w:szCs w:val="32"/>
          <w:lang w:eastAsia="zh-CN"/>
        </w:rPr>
        <w:t>主要</w:t>
      </w:r>
      <w:r>
        <w:rPr>
          <w:rFonts w:hint="eastAsia" w:ascii="Times New Roman" w:hAnsi="Times New Roman" w:eastAsia="仿宋_GB2312"/>
          <w:color w:val="000000" w:themeColor="text1"/>
          <w:sz w:val="32"/>
          <w:szCs w:val="32"/>
          <w:lang w:eastAsia="zh-CN"/>
          <w14:textFill>
            <w14:solidFill>
              <w14:schemeClr w14:val="tx1"/>
            </w14:solidFill>
          </w14:textFill>
        </w:rPr>
        <w:t>是因</w:t>
      </w:r>
      <w:r>
        <w:rPr>
          <w:rFonts w:hint="eastAsia" w:ascii="Times New Roman" w:hAnsi="Times New Roman" w:eastAsia="仿宋_GB2312"/>
          <w:color w:val="000000" w:themeColor="text1"/>
          <w:sz w:val="32"/>
          <w:szCs w:val="32"/>
          <w:lang w:val="en-US" w:eastAsia="zh-CN"/>
          <w14:textFill>
            <w14:solidFill>
              <w14:schemeClr w14:val="tx1"/>
            </w14:solidFill>
          </w14:textFill>
        </w:rPr>
        <w:t>2023</w:t>
      </w:r>
      <w:r>
        <w:rPr>
          <w:rFonts w:hint="eastAsia" w:ascii="Times New Roman" w:hAnsi="Times New Roman" w:eastAsia="仿宋_GB2312"/>
          <w:color w:val="000000" w:themeColor="text1"/>
          <w:sz w:val="32"/>
          <w:szCs w:val="32"/>
          <w:lang w:eastAsia="zh-CN"/>
          <w14:textFill>
            <w14:solidFill>
              <w14:schemeClr w14:val="tx1"/>
            </w14:solidFill>
          </w14:textFill>
        </w:rPr>
        <w:t>年人员调出及人员经费</w:t>
      </w:r>
      <w:r>
        <w:rPr>
          <w:rFonts w:hint="eastAsia" w:ascii="Times New Roman" w:hAnsi="Times New Roman" w:eastAsia="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olor w:val="000000" w:themeColor="text1"/>
          <w:sz w:val="32"/>
          <w:szCs w:val="32"/>
          <w:lang w:eastAsia="zh-CN"/>
          <w14:textFill>
            <w14:solidFill>
              <w14:schemeClr w14:val="tx1"/>
            </w14:solidFill>
          </w14:textFill>
        </w:rPr>
        <w:t>绩效奖金</w:t>
      </w:r>
      <w:r>
        <w:rPr>
          <w:rFonts w:hint="eastAsia" w:ascii="Times New Roman" w:hAnsi="Times New Roman" w:eastAsia="仿宋_GB2312"/>
          <w:color w:val="000000" w:themeColor="text1"/>
          <w:sz w:val="32"/>
          <w:szCs w:val="32"/>
          <w:lang w:val="en-US" w:eastAsia="zh-CN"/>
          <w14:textFill>
            <w14:solidFill>
              <w14:schemeClr w14:val="tx1"/>
            </w14:solidFill>
          </w14:textFill>
        </w:rPr>
        <w:t>)政策性调整等。</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五、一般公共预算财政拨款支出决算情况说明</w:t>
      </w:r>
    </w:p>
    <w:p>
      <w:pPr>
        <w:pStyle w:val="16"/>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（一）一般公共预算财政拨款支出决算总体情况</w:t>
      </w:r>
    </w:p>
    <w:p>
      <w:pPr>
        <w:pStyle w:val="16"/>
        <w:spacing w:line="600" w:lineRule="exact"/>
        <w:ind w:firstLine="800" w:firstLineChars="250"/>
        <w:rPr>
          <w:rFonts w:ascii="Times New Roman" w:hAnsi="Times New Roman" w:eastAsia="仿宋_GB2312"/>
          <w:color w:val="0000FF"/>
          <w:sz w:val="32"/>
          <w:szCs w:val="32"/>
        </w:rPr>
      </w:pPr>
      <w:r>
        <w:rPr>
          <w:rFonts w:hint="eastAsia" w:ascii="Times New Roman" w:hAnsi="Times New Roman" w:eastAsia="仿宋_GB2312"/>
          <w:sz w:val="32"/>
          <w:szCs w:val="32"/>
        </w:rPr>
        <w:t>2023年度财政拨款支出947.31万元，占本年支出合计的100%，与上年相比，财政拨款支出减少151.43万元，减少13.78%，</w:t>
      </w:r>
      <w:r>
        <w:rPr>
          <w:rFonts w:hint="eastAsia" w:ascii="Times New Roman" w:hAnsi="Times New Roman" w:eastAsia="仿宋_GB2312"/>
          <w:sz w:val="32"/>
          <w:szCs w:val="32"/>
          <w:lang w:eastAsia="zh-CN"/>
        </w:rPr>
        <w:t>因上年补发在职以及离、退休人员</w:t>
      </w:r>
      <w:r>
        <w:rPr>
          <w:rFonts w:hint="eastAsia" w:ascii="Times New Roman" w:hAnsi="Times New Roman" w:eastAsia="仿宋_GB2312"/>
          <w:sz w:val="32"/>
          <w:szCs w:val="32"/>
          <w:lang w:val="en-US" w:eastAsia="zh-CN"/>
        </w:rPr>
        <w:t>2021年绩效148.42万元等</w:t>
      </w:r>
      <w:r>
        <w:rPr>
          <w:rFonts w:hint="eastAsia" w:ascii="Times New Roman" w:hAnsi="Times New Roman" w:eastAsia="仿宋_GB2312"/>
          <w:color w:val="0000FF"/>
          <w:sz w:val="32"/>
          <w:szCs w:val="32"/>
        </w:rPr>
        <w:t>。</w:t>
      </w:r>
    </w:p>
    <w:p>
      <w:pPr>
        <w:pStyle w:val="16"/>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（二）一般公共预算财政拨款支出决算结构情况</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2023年度财政拨款支出947.31万元，主要用于以下方面：社会保障和就业</w:t>
      </w:r>
      <w:r>
        <w:rPr>
          <w:rFonts w:hint="eastAsia" w:ascii="Times New Roman" w:hAnsi="Times New Roman" w:eastAsia="仿宋_GB2312"/>
          <w:sz w:val="32"/>
          <w:szCs w:val="32"/>
          <w:lang w:eastAsia="zh-CN"/>
        </w:rPr>
        <w:t>（类）</w:t>
      </w:r>
      <w:r>
        <w:rPr>
          <w:rFonts w:hint="eastAsia" w:ascii="Times New Roman" w:hAnsi="Times New Roman" w:eastAsia="仿宋_GB2312"/>
          <w:sz w:val="32"/>
          <w:szCs w:val="32"/>
        </w:rPr>
        <w:t>支出16.15万元，占1.70%；农林水（类）支出931.16万元，占98.30%。</w:t>
      </w:r>
    </w:p>
    <w:p>
      <w:pPr>
        <w:pStyle w:val="16"/>
        <w:spacing w:line="600" w:lineRule="exact"/>
        <w:ind w:firstLine="800" w:firstLineChars="250"/>
        <w:rPr>
          <w:rFonts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（三）一般公共预算财政拨款支出决算具体情况</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color w:val="000000" w:themeColor="text1"/>
          <w:sz w:val="32"/>
          <w:szCs w:val="32"/>
          <w14:textFill>
            <w14:solidFill>
              <w14:schemeClr w14:val="tx1"/>
            </w14:solidFill>
          </w14:textFill>
        </w:rPr>
        <w:t>2023年度财政拨款支出年初预算数为752.33万元，支出</w:t>
      </w:r>
      <w:r>
        <w:rPr>
          <w:rFonts w:hint="eastAsia" w:ascii="Times New Roman" w:hAnsi="Times New Roman" w:eastAsia="仿宋_GB2312"/>
          <w:sz w:val="32"/>
          <w:szCs w:val="32"/>
        </w:rPr>
        <w:t>决算数为947.31万元，完成年初预算的100%，其中：</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1、社会保障和就业支出（类）其他社保保障和就业支出（款）其他社会保障和就业支出（项）。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年初预算为0.48万元，支出决算为0.48万元，完成年初预算的100%，此项工作已完成。</w:t>
      </w:r>
    </w:p>
    <w:p>
      <w:pPr>
        <w:pStyle w:val="16"/>
        <w:numPr>
          <w:ilvl w:val="0"/>
          <w:numId w:val="3"/>
        </w:numPr>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社会保障和就业支出（类）死亡抚恤（项）。</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年初预算为0万元，支出决算为15.67万元，决算数大于年初预算数的主要原因是：年中追加资金。</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3、农林水支出（类）农业农村（款）行政运行（项）。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年初预算为499.23万元，支出决算为481.02万元，完成年初预算的96.35%，决算数小于年初预算数的主要原因是：工作已完成，有少额结余。</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4、农林水支出（类）农业农村（款）行政运行（项）。</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年初预算为257.62万元，支出决算为450.14万元，完成年初预算的100%，决算数大于年初预算数的主要原因是：年中追加平安建设农村土地承包经营纠纷调解仲裁、宅基地改革与管理项目工作经费。</w:t>
      </w:r>
    </w:p>
    <w:p>
      <w:pPr>
        <w:pStyle w:val="16"/>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2023年度财政拨款基本支出496.69万元，其中：</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379.90万元，占基本支出的76.49%,主要包括基本工资、津贴补贴、奖金、伙食补助费、离休费、退休费等。</w:t>
      </w:r>
    </w:p>
    <w:p>
      <w:pPr>
        <w:pStyle w:val="16"/>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116.79万元，占基本支出的23.51%，主要包括办公费、印刷费、咨询费、手续费、物业管理费、劳务费、工会经费、福利费、其他交通费用等。</w:t>
      </w:r>
    </w:p>
    <w:p>
      <w:pPr>
        <w:pStyle w:val="16"/>
        <w:numPr>
          <w:ilvl w:val="0"/>
          <w:numId w:val="4"/>
        </w:numPr>
        <w:spacing w:line="600" w:lineRule="exact"/>
        <w:ind w:firstLine="640" w:firstLineChars="200"/>
        <w:rPr>
          <w:rFonts w:hAnsi="黑体"/>
          <w:bCs/>
          <w:sz w:val="32"/>
          <w:szCs w:val="32"/>
        </w:rPr>
      </w:pPr>
      <w:r>
        <w:rPr>
          <w:rFonts w:hint="eastAsia" w:hAnsi="黑体"/>
          <w:bCs/>
          <w:sz w:val="32"/>
          <w:szCs w:val="32"/>
        </w:rPr>
        <w:t>财政拨款三公经费支出决算情况说明</w:t>
      </w:r>
    </w:p>
    <w:p>
      <w:pPr>
        <w:pStyle w:val="16"/>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1万元，支出决算为0.74万元，完成预算的74.32%，决算数小于预算数的主要原因是支出严格控制在预算范围内。与上年相比增加0.49万元，增长197.28%，增长的主要原因是上年受疫情影响，接待任务减少。其中：</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因公出国（境）费支出预算为0万元，支出决算为0万元，上年决算数为0。</w:t>
      </w:r>
    </w:p>
    <w:p>
      <w:pPr>
        <w:pStyle w:val="16"/>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公务接待费支出预算为1万元，支出决算为0.74万元，完成预算的74.32%，决算数小于预算数的主要原因是</w:t>
      </w:r>
      <w:r>
        <w:rPr>
          <w:rFonts w:hint="eastAsia" w:ascii="Times New Roman" w:hAnsi="Times New Roman" w:eastAsia="仿宋_GB2312"/>
          <w:sz w:val="32"/>
          <w:szCs w:val="32"/>
          <w:lang w:eastAsia="zh-CN"/>
        </w:rPr>
        <w:t>支出</w:t>
      </w:r>
      <w:r>
        <w:rPr>
          <w:rFonts w:hint="eastAsia" w:ascii="Times New Roman" w:hAnsi="Times New Roman" w:eastAsia="仿宋_GB2312"/>
          <w:sz w:val="32"/>
          <w:szCs w:val="32"/>
        </w:rPr>
        <w:t>严格控制在预算范围内。与上年相比增加0.49万元，增长197.28%，增长的主要原因是上年受疫情影响，接待任务减少。</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公务用车购置费支出预算为0万元，支出决算为0万元，上年决算数为0。</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公务用车运行维护费支出预算为0万元，支出决算为0万元，上年决算数为0。</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0.74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0.74</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57</w:t>
      </w:r>
      <w:r>
        <w:rPr>
          <w:rFonts w:hint="eastAsia" w:ascii="Times New Roman" w:hAnsi="Times New Roman" w:eastAsia="仿宋_GB2312"/>
          <w:sz w:val="32"/>
          <w:szCs w:val="32"/>
        </w:rPr>
        <w:t>人次，主要是县市区汇报、衔接工作发生的接待支出。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p>
    <w:p>
      <w:pPr>
        <w:pStyle w:val="16"/>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本单位无政府性基金收支。</w:t>
      </w:r>
    </w:p>
    <w:p>
      <w:pPr>
        <w:pStyle w:val="16"/>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本部门2023年度机关运行经费支出116.79万元，比年初预算</w:t>
      </w:r>
      <w:r>
        <w:rPr>
          <w:rFonts w:hint="eastAsia" w:ascii="Times New Roman" w:hAnsi="Times New Roman" w:eastAsia="仿宋_GB2312"/>
          <w:color w:val="000000" w:themeColor="text1"/>
          <w:sz w:val="32"/>
          <w:szCs w:val="32"/>
          <w14:textFill>
            <w14:solidFill>
              <w14:schemeClr w14:val="tx1"/>
            </w14:solidFill>
          </w14:textFill>
        </w:rPr>
        <w:t>118.54万元减少1.75万元，</w:t>
      </w:r>
      <w:r>
        <w:rPr>
          <w:rFonts w:hint="eastAsia" w:ascii="Times New Roman" w:hAnsi="Times New Roman" w:eastAsia="仿宋_GB2312"/>
          <w:sz w:val="32"/>
          <w:szCs w:val="32"/>
        </w:rPr>
        <w:t>降低1.50%。主要原因是：贯彻中央“八项规定”精神和厉行节约要求，压减经费。</w:t>
      </w:r>
    </w:p>
    <w:p>
      <w:pPr>
        <w:pStyle w:val="16"/>
        <w:spacing w:line="600" w:lineRule="exact"/>
        <w:ind w:firstLine="640" w:firstLineChars="200"/>
        <w:rPr>
          <w:rFonts w:hAnsi="黑体"/>
          <w:bCs/>
          <w:sz w:val="32"/>
          <w:szCs w:val="32"/>
        </w:rPr>
      </w:pPr>
      <w:r>
        <w:rPr>
          <w:rFonts w:hint="eastAsia" w:hAnsi="黑体"/>
          <w:bCs/>
          <w:sz w:val="32"/>
          <w:szCs w:val="32"/>
        </w:rPr>
        <w:t>十、一般性支出情况说明</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2023年本部门开支会议费0万元，开支培训费114.74万元，其中：</w:t>
      </w:r>
    </w:p>
    <w:p>
      <w:pPr>
        <w:pStyle w:val="16"/>
        <w:numPr>
          <w:ilvl w:val="0"/>
          <w:numId w:val="5"/>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平安建设农村土地承包经营纠纷调解仲裁考评预评审培训班33.52万元(154人)；</w:t>
      </w:r>
    </w:p>
    <w:p>
      <w:pPr>
        <w:pStyle w:val="16"/>
        <w:numPr>
          <w:ilvl w:val="0"/>
          <w:numId w:val="5"/>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农村土地承包纠纷调解仲裁业务骨干培训班20.36万元（165人）；</w:t>
      </w:r>
    </w:p>
    <w:p>
      <w:pPr>
        <w:pStyle w:val="16"/>
        <w:numPr>
          <w:ilvl w:val="0"/>
          <w:numId w:val="5"/>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全省农村合作经济统计年报工作专题培训班12.88万元（167人）；</w:t>
      </w:r>
    </w:p>
    <w:p>
      <w:pPr>
        <w:pStyle w:val="16"/>
        <w:numPr>
          <w:ilvl w:val="0"/>
          <w:numId w:val="5"/>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全省第二期农村宅基地管理与利用专题培训班11.70万元（59人）</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5、全省农民合作社理事长培训班17.57万元（182人）；</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6、第一期宅基地管理与利用业务培训班18.71万元（185人）。</w:t>
      </w:r>
    </w:p>
    <w:p>
      <w:pPr>
        <w:pStyle w:val="16"/>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2023年本单位未举办节庆、晚会、论坛、赛事活动。</w:t>
      </w:r>
    </w:p>
    <w:p>
      <w:pPr>
        <w:pStyle w:val="16"/>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6"/>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000000" w:themeColor="text1"/>
          <w:sz w:val="32"/>
          <w:szCs w:val="32"/>
          <w14:textFill>
            <w14:solidFill>
              <w14:schemeClr w14:val="tx1"/>
            </w14:solidFill>
          </w14:textFill>
        </w:rPr>
        <w:t>本部门2023年度政府采购支出总额207.49万元，其中：政府采购货物支出49.14万元、政府采购工程支出0万元、政府采购服务支出158.35万元</w:t>
      </w:r>
      <w:r>
        <w:rPr>
          <w:rFonts w:hint="eastAsia" w:ascii="Times New Roman" w:hAnsi="Times New Roman" w:eastAsia="仿宋_GB2312"/>
          <w:sz w:val="32"/>
          <w:szCs w:val="32"/>
        </w:rPr>
        <w:t>。授予中小企业合同金额207.49万元，占政府采购支出总额的100%，其中：授予小微企业合同金额207.49万元，</w:t>
      </w:r>
      <w:r>
        <w:rPr>
          <w:rFonts w:hint="eastAsia" w:ascii="Times New Roman" w:hAnsi="Times New Roman" w:eastAsia="仿宋_GB2312"/>
          <w:color w:val="auto"/>
          <w:sz w:val="32"/>
          <w:szCs w:val="32"/>
        </w:rPr>
        <w:t>占授予中小企业合同金额的100%。货物采购授予中小企业合同金额占货物支出金额的100%，服务采购授予中小企业合同金额占服务支出金额的100%。</w:t>
      </w:r>
    </w:p>
    <w:p>
      <w:pPr>
        <w:pStyle w:val="16"/>
        <w:spacing w:line="58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6"/>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2023年12月31日，部门（单位）共有车辆0辆，其中，副部（省）级及以上领导用车0辆、主要负责人用车0辆、机要通信用车0辆、应急保障用车0辆、执法执勤用车0辆、特种专业技术用车0辆、离退休干部服务用车0辆、其他用车0辆0；单位价值100万元以上设备（不含车辆）0台（套）。</w:t>
      </w:r>
    </w:p>
    <w:p>
      <w:pPr>
        <w:pStyle w:val="16"/>
        <w:spacing w:line="58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6"/>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（一）绩效管理工作开展情况</w:t>
      </w:r>
    </w:p>
    <w:p>
      <w:pPr>
        <w:pStyle w:val="5"/>
        <w:ind w:firstLine="640" w:firstLineChars="20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确保相关信息完整、可靠，客观公正地反映项目资金实际使用和产生的绩效状况，为今后项目实施方向及管理方式改进提供指导。产出指标完成情况：绩效评价抽查项目比例≧30%，宣传活动次数（≧3），定期组织培训（≧5）；培训合格率≧95%；项目评审合格率100%。截至2023年12月31日前已完成（100%）。效益指标完成情况：社会公信力逐步提高;农业农村现代进程进一步加快。</w:t>
      </w:r>
    </w:p>
    <w:p>
      <w:pPr>
        <w:pStyle w:val="16"/>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（二）单位整体支出绩效情况</w:t>
      </w:r>
    </w:p>
    <w:p>
      <w:pPr>
        <w:pStyle w:val="16"/>
        <w:spacing w:line="600" w:lineRule="exact"/>
        <w:ind w:firstLine="640" w:firstLineChars="200"/>
        <w:jc w:val="both"/>
        <w:rPr>
          <w:rFonts w:ascii="Times New Roman" w:hAnsi="Times New Roman" w:eastAsia="仿宋_GB2312"/>
          <w:sz w:val="32"/>
          <w:szCs w:val="32"/>
        </w:rPr>
      </w:pPr>
      <w:r>
        <w:rPr>
          <w:rFonts w:hint="eastAsia" w:ascii="仿宋" w:hAnsi="仿宋" w:eastAsia="仿宋" w:cs="仿宋"/>
          <w:sz w:val="32"/>
          <w:szCs w:val="32"/>
        </w:rPr>
        <w:t>2023年，全站干部职工坚决贯彻落实上级指示精神，紧盯职责任务，认真履职，主动作为，较好完成了各项工作。农经统计工作和惠农减负宣传工作按时完成，</w:t>
      </w:r>
      <w:r>
        <w:rPr>
          <w:rFonts w:hint="eastAsia" w:ascii="仿宋" w:hAnsi="仿宋" w:eastAsia="仿宋" w:cs="Times New Roman"/>
          <w:sz w:val="32"/>
          <w:szCs w:val="32"/>
        </w:rPr>
        <w:t>农村土地承包经营纠纷调解仲裁考评工作连续8年位列全国第一等次，全省农村宅基地日常管理工作进一步规范，农村宅基地两项试点亮点突出</w:t>
      </w:r>
      <w:r>
        <w:rPr>
          <w:rFonts w:hint="eastAsia" w:ascii="仿宋" w:hAnsi="仿宋" w:eastAsia="仿宋" w:cs="仿宋"/>
          <w:sz w:val="32"/>
          <w:szCs w:val="32"/>
        </w:rPr>
        <w:t>，吴宏耀副部长来湘调研给予充分肯定，浏阳市、汨罗市先后在全国试点工作会议和培训班上作典型发言</w:t>
      </w:r>
      <w:r>
        <w:rPr>
          <w:rFonts w:hint="eastAsia" w:ascii="仿宋" w:hAnsi="仿宋" w:eastAsia="仿宋" w:cs="Times New Roman"/>
          <w:sz w:val="32"/>
          <w:szCs w:val="32"/>
        </w:rPr>
        <w:t>，</w:t>
      </w:r>
      <w:r>
        <w:rPr>
          <w:rFonts w:hint="eastAsia" w:ascii="仿宋" w:hAnsi="仿宋" w:eastAsia="仿宋" w:cs="仿宋"/>
          <w:sz w:val="32"/>
          <w:szCs w:val="32"/>
        </w:rPr>
        <w:t>全国农村宅基地两项试点工作推进会已定在湖南召开。现</w:t>
      </w:r>
      <w:r>
        <w:rPr>
          <w:rFonts w:hint="eastAsia" w:ascii="Times New Roman" w:hAnsi="Times New Roman" w:eastAsia="仿宋_GB2312"/>
          <w:sz w:val="32"/>
          <w:szCs w:val="32"/>
        </w:rPr>
        <w:t>从运行成本、管理效率、履职效能、社会效应、可持续发展能力和服务对象满意度等六个方面进行自评。</w:t>
      </w:r>
    </w:p>
    <w:p>
      <w:pPr>
        <w:pStyle w:val="16"/>
        <w:numPr>
          <w:ilvl w:val="0"/>
          <w:numId w:val="6"/>
        </w:numPr>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运行成本方面</w:t>
      </w:r>
    </w:p>
    <w:p>
      <w:pPr>
        <w:pStyle w:val="16"/>
        <w:spacing w:line="600" w:lineRule="exact"/>
        <w:ind w:firstLine="640"/>
        <w:jc w:val="both"/>
        <w:rPr>
          <w:rFonts w:ascii="Times New Roman" w:hAnsi="Times New Roman" w:eastAsia="仿宋_GB2312"/>
          <w:sz w:val="32"/>
          <w:szCs w:val="32"/>
        </w:rPr>
      </w:pPr>
      <w:r>
        <w:rPr>
          <w:rFonts w:hint="eastAsia" w:ascii="Times New Roman" w:hAnsi="Times New Roman" w:eastAsia="仿宋_GB2312"/>
          <w:sz w:val="32"/>
          <w:szCs w:val="32"/>
        </w:rPr>
        <w:t>2023年度部门财政拔款收入1069.80万元，支出947.31万元，预算执行率为88.55%。我站各项支出均合理控制在预算范围内。</w:t>
      </w:r>
    </w:p>
    <w:p>
      <w:pPr>
        <w:pStyle w:val="16"/>
        <w:numPr>
          <w:ilvl w:val="0"/>
          <w:numId w:val="6"/>
        </w:numPr>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管理效率方面</w:t>
      </w:r>
    </w:p>
    <w:p>
      <w:pPr>
        <w:adjustRightInd w:val="0"/>
        <w:snapToGrid w:val="0"/>
        <w:spacing w:line="60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不断强化农村宅基地日常管理，审批监管日益规范。一是加强组织领导。召开专项整治动员会、管理工作调度会、约谈会等，加强农村宅基地改革和管理工作指导、调度、督促；持续组织开展政策、业务培训，培训全省各级农业农村部门的业务骨干10多万人次；对市县乡建立宅基地工作机制情况进行了回头看，14个市州、122个县市区和1749个有工作任务的乡镇，都成立了领导小组，组建了工作专班。二是完善相关政策。联动相关部门，出台宅基地相关政策文件，不断完善农村宅基地管理政策法规体系。今年，我</w:t>
      </w:r>
      <w:r>
        <w:rPr>
          <w:rFonts w:hint="eastAsia" w:ascii="仿宋" w:hAnsi="仿宋" w:eastAsia="仿宋" w:cs="黑体"/>
          <w:sz w:val="32"/>
          <w:szCs w:val="32"/>
        </w:rPr>
        <w:t>们和国土资源和住建等部门一道，组织开展两次联合调研，起草制定了《关于进一步规范省级权限内建设用地审批有关事项的通知》《湖南省农村住宅建设竣工管理暂行部分》等文件。三是规范宅基地审批。指导督促县乡基层全面运行农村住房建设规划管理信息平台，举办到县乡村的实操培训班，提高利用信息平台办理业务能力，推动宅基地申请、审批、“四到场”通过系统平台全过程标准化、规范化在线完成；指导各地做好新增宅基地用地需求统计，协调落实宅基地刚性需求；开展宣传培训，提升管理队伍的政策、业务水平和农民群众的依法申请宅基地意识。四是强化巡查监管。省级组织了一次暗访调研，开展了一次交叉检查，对基层宅基地机制建立、</w:t>
      </w:r>
      <w:r>
        <w:rPr>
          <w:rFonts w:hint="eastAsia" w:ascii="仿宋" w:hAnsi="仿宋" w:eastAsia="仿宋"/>
          <w:sz w:val="32"/>
          <w:szCs w:val="32"/>
        </w:rPr>
        <w:t>制度落实、</w:t>
      </w:r>
      <w:r>
        <w:rPr>
          <w:rFonts w:hint="eastAsia" w:ascii="仿宋" w:hAnsi="仿宋" w:eastAsia="仿宋"/>
          <w:sz w:val="32"/>
          <w:szCs w:val="32"/>
          <w:lang w:val="zh-CN"/>
        </w:rPr>
        <w:t>需求保障等</w:t>
      </w:r>
      <w:r>
        <w:rPr>
          <w:rFonts w:hint="eastAsia" w:ascii="仿宋" w:hAnsi="仿宋" w:eastAsia="仿宋"/>
          <w:sz w:val="32"/>
          <w:szCs w:val="32"/>
        </w:rPr>
        <w:t>工作进行了调研督导；指导</w:t>
      </w:r>
      <w:r>
        <w:rPr>
          <w:rFonts w:hint="eastAsia" w:ascii="仿宋" w:hAnsi="仿宋" w:eastAsia="仿宋" w:cs="黑体"/>
          <w:sz w:val="32"/>
          <w:szCs w:val="32"/>
        </w:rPr>
        <w:t>县乡基层</w:t>
      </w:r>
      <w:r>
        <w:rPr>
          <w:rFonts w:hint="eastAsia" w:ascii="仿宋" w:hAnsi="仿宋" w:eastAsia="仿宋" w:cs="仿宋"/>
          <w:sz w:val="32"/>
          <w:szCs w:val="32"/>
        </w:rPr>
        <w:t>落实宅基地动态巡查，实行宅基地违法问题乡级监管、村级盯管、党员促管的网格化监管机制；</w:t>
      </w:r>
      <w:r>
        <w:rPr>
          <w:rFonts w:hint="eastAsia" w:ascii="仿宋" w:hAnsi="仿宋" w:eastAsia="仿宋" w:cs="Times New Roman"/>
          <w:sz w:val="32"/>
          <w:szCs w:val="32"/>
        </w:rPr>
        <w:t>建立了农村村民建住宅公示制度，统一设立公示牌，便于查看、核对和监督；</w:t>
      </w:r>
      <w:r>
        <w:rPr>
          <w:rFonts w:hint="eastAsia" w:ascii="仿宋" w:hAnsi="仿宋" w:eastAsia="仿宋"/>
          <w:sz w:val="32"/>
          <w:szCs w:val="32"/>
        </w:rPr>
        <w:t>在全省部署违法占用耕地建住宅监测举证平台，加强乱占耕地建住宅行为监管</w:t>
      </w:r>
      <w:r>
        <w:rPr>
          <w:rFonts w:hint="eastAsia" w:ascii="仿宋" w:hAnsi="仿宋" w:eastAsia="仿宋" w:cs="仿宋"/>
          <w:sz w:val="32"/>
          <w:szCs w:val="32"/>
        </w:rPr>
        <w:t>。</w:t>
      </w:r>
    </w:p>
    <w:p>
      <w:pPr>
        <w:pStyle w:val="16"/>
        <w:numPr>
          <w:ilvl w:val="0"/>
          <w:numId w:val="6"/>
        </w:num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履职效能方面</w:t>
      </w:r>
    </w:p>
    <w:p>
      <w:pPr>
        <w:spacing w:line="360" w:lineRule="auto"/>
        <w:ind w:firstLine="645"/>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抓紧抓实农村土地承包纠纷调解仲裁工作，确保平安建设考评实效。一是健全工作体系。 健全县、乡、村三级的农村土地承包纠纷调解仲裁体系，全省设立仲裁委员会120个，仲裁员人数2627个，1735个乡镇均成立了调解委员会,共配有调解员11212人，形成了完整的农村土地承包经营纠纷调解仲裁工作体系；印发考评实施细则，编制考评指标；指导各级制定土地承包纠纷调解专门工作方案，抽调专人组建平安建设考评工作办公室。二是提升队伍素质。制定培训工作计划，按照分级负责要求，省级举办了2期农村土地承包纠纷调解仲裁业务骨干培训班，培训学员320人。指导督促各市州、县市区制定培训计划，开展仲裁纠纷调解员培训。三是完善基础设施。指导督促各县市区及时落实仲裁办公室、仲裁庭、合议庭、档案室等场地，将仲裁工作经费核定后列入了县财政预算，购置专用电脑、打印机、复印机、摄像机、档案柜等办公用具，调配专用车辆供仲裁调查取证使用。四是确保考评实效。明确了考评工作具体部门和具体责任人，高要求实施考评。目前，我省已高质量报送考评材料，我们将按照全国考评要求，进一步补充完善相关佐证材料，确保考评工作在全国排名保持高位。</w:t>
      </w:r>
    </w:p>
    <w:p>
      <w:pPr>
        <w:pStyle w:val="8"/>
        <w:spacing w:line="620" w:lineRule="exact"/>
        <w:ind w:firstLine="640" w:firstLineChars="200"/>
        <w:jc w:val="both"/>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 xml:space="preserve">按时完成年度农经统计工作。及时下发通知，明确数据采集、填报、汇总、审核和上报各环节工作要求，对年度统计工作进行部署；邀请农业农村部和省内专家对全省市级农经统计员进行统计业务辅导；对市州上报的统计数据进行严格审核，指导基层对审核发现有异常的数据进行复核整改，按时完成部里反馈数据复核修改工作。 </w:t>
      </w:r>
    </w:p>
    <w:p>
      <w:pPr>
        <w:pStyle w:val="2"/>
        <w:ind w:left="0" w:leftChars="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 xml:space="preserve">    4、社会效益方面</w:t>
      </w:r>
    </w:p>
    <w:p>
      <w:pPr>
        <w:adjustRightInd w:val="0"/>
        <w:snapToGrid w:val="0"/>
        <w:spacing w:line="600" w:lineRule="exact"/>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扎实开展惠农减负政策宣传工作。主动与相关厅局衔接，完成惠农补贴项目备案工作，收集最新国家及省委省政府出台的惠农政策，汇编《2023年惠农补贴和农民负担监督卡》，统一印制1600万份，免费发放到全省每个农户手中，将与农民息息相关的各种涉农收费和主要惠农补贴政策交给农民，切实增强农民维权意识，提高参与监督减负惠农政策落实的积极性，促使各涉农部门自觉规范收费行为，及时按下政策发放各项惠农补贴，为减负惠农政策落实监管工作奠定了基础。</w:t>
      </w:r>
    </w:p>
    <w:p>
      <w:pPr>
        <w:pStyle w:val="4"/>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5、可持续发展能力方面</w:t>
      </w:r>
    </w:p>
    <w:p>
      <w:pPr>
        <w:ind w:firstLine="632"/>
        <w:rPr>
          <w:rFonts w:ascii="仿宋" w:eastAsia="仿宋"/>
          <w:sz w:val="32"/>
          <w:szCs w:val="32"/>
        </w:rPr>
      </w:pPr>
      <w:r>
        <w:rPr>
          <w:rFonts w:hint="eastAsia" w:ascii="仿宋" w:eastAsia="仿宋"/>
          <w:sz w:val="32"/>
          <w:szCs w:val="32"/>
        </w:rPr>
        <w:t>有序推进农村宅基地“两项试点”，取得实质性进展。一是夯实基础工作。指导试点地区抓实四项基础性工作，共摸清71万余宗宅基地底数并建立数据库，基本完成“房地一体”确权登记颁证，全域编制完成村庄规划，处置了6万多宗宅基地历史遗留问题，为宅基地规范管理和综合利用提供了基础支撑。二是深入探索实践。下发2023年重点任务清单，坚持每季度开展一次工作调度，定期组织工作评估，指导试点地区开展规定内容探索同时，聚焦全面推进乡村振兴，深入宅基地“三权分置”重点任务探索。三是提炼典型经验。加强工作调研，指导试点县市及时发现和梳理典型经验，提炼出能够在全国推广的制度模式。浏阳市宅基地跨区域流转和宅基地使用权抵押、汨罗市宅基地有偿退出、宁远县健全宅基地监管机制、凤凰县流转闲置宅基地经验在全国推介。四是试点专项整治。统筹宅基地“两项试点”，抓好专项整治的社会稳定风险评估、试点方案和应急预案编制、工作机制建立、宣传培训等基础工作，指导试点县开展数据核查和数据入库工作，分类分步实施实质性整治工作。目前，试点地区存量问题整治整体工作进度为82%，位居全国前列。</w:t>
      </w:r>
    </w:p>
    <w:p>
      <w:pPr>
        <w:pStyle w:val="5"/>
        <w:ind w:left="420" w:leftChars="200" w:firstLine="0"/>
        <w:rPr>
          <w:rFonts w:ascii="仿宋" w:eastAsia="仿宋"/>
          <w:sz w:val="32"/>
          <w:szCs w:val="32"/>
        </w:rPr>
      </w:pPr>
      <w:r>
        <w:rPr>
          <w:rFonts w:hint="eastAsia" w:ascii="仿宋" w:eastAsia="仿宋"/>
          <w:sz w:val="32"/>
          <w:szCs w:val="32"/>
        </w:rPr>
        <w:t>6、服务对象满意度方面</w:t>
      </w:r>
    </w:p>
    <w:p>
      <w:pPr>
        <w:pStyle w:val="5"/>
        <w:ind w:left="420" w:leftChars="200" w:firstLine="0"/>
        <w:rPr>
          <w:rFonts w:ascii="仿宋" w:eastAsia="仿宋"/>
          <w:sz w:val="32"/>
          <w:szCs w:val="32"/>
        </w:rPr>
      </w:pPr>
      <w:r>
        <w:rPr>
          <w:rFonts w:hint="eastAsia" w:ascii="仿宋" w:eastAsia="仿宋"/>
          <w:sz w:val="32"/>
          <w:szCs w:val="32"/>
        </w:rPr>
        <w:t>我站2023年的服务对象满意度为95%。</w:t>
      </w:r>
    </w:p>
    <w:p>
      <w:pPr>
        <w:pStyle w:val="16"/>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pStyle w:val="16"/>
        <w:spacing w:line="580" w:lineRule="exact"/>
        <w:ind w:firstLine="642"/>
        <w:rPr>
          <w:rFonts w:ascii="仿宋" w:eastAsia="仿宋" w:cstheme="minorBidi"/>
          <w:kern w:val="2"/>
          <w:sz w:val="32"/>
          <w:szCs w:val="32"/>
        </w:rPr>
      </w:pPr>
      <w:r>
        <w:rPr>
          <w:rFonts w:hint="eastAsia" w:ascii="仿宋" w:eastAsia="仿宋" w:cstheme="minorBidi"/>
          <w:kern w:val="2"/>
          <w:sz w:val="32"/>
          <w:szCs w:val="32"/>
        </w:rPr>
        <w:t>项目支出执行率有待提高，我单位项目支出预算数540.57万元，决算数450.62万元，预算执行率为83.36%，项目支出预算执行率低的主要原因是农村人居环境整治与乡村建设、农村人才培育与农村政策改革的农村宅基地改革与管理省级专项资金下达时间较晚，导致宅基地相关工作及资金支付未在年终完成。</w:t>
      </w:r>
    </w:p>
    <w:p>
      <w:pPr>
        <w:pStyle w:val="16"/>
        <w:spacing w:line="580" w:lineRule="exact"/>
        <w:ind w:firstLine="642"/>
        <w:rPr>
          <w:rFonts w:ascii="仿宋" w:eastAsia="仿宋" w:cstheme="minorBidi"/>
          <w:kern w:val="2"/>
          <w:sz w:val="32"/>
          <w:szCs w:val="32"/>
        </w:rPr>
      </w:pPr>
      <w:r>
        <w:rPr>
          <w:rFonts w:hint="eastAsia" w:ascii="仿宋" w:eastAsia="仿宋" w:cstheme="minorBidi"/>
          <w:kern w:val="2"/>
          <w:sz w:val="32"/>
          <w:szCs w:val="32"/>
        </w:rPr>
        <w:t>改进措施：下一步我单位将会通过定期对项目资金的执行情况进行分析，督促项目早规划、早启动、早实施，项目完成后及时进行结算，以提高单位项目资金的执行率。</w:t>
      </w:r>
    </w:p>
    <w:p>
      <w:pPr>
        <w:pStyle w:val="16"/>
        <w:jc w:val="both"/>
        <w:rPr>
          <w:rFonts w:ascii="仿宋" w:eastAsia="仿宋" w:cstheme="minorBidi"/>
          <w:kern w:val="2"/>
          <w:sz w:val="32"/>
          <w:szCs w:val="32"/>
        </w:rPr>
      </w:pPr>
    </w:p>
    <w:p>
      <w:pPr>
        <w:pStyle w:val="16"/>
        <w:jc w:val="center"/>
        <w:rPr>
          <w:sz w:val="72"/>
          <w:szCs w:val="72"/>
        </w:rPr>
      </w:pPr>
    </w:p>
    <w:p>
      <w:pPr>
        <w:pStyle w:val="16"/>
        <w:jc w:val="center"/>
        <w:rPr>
          <w:sz w:val="72"/>
          <w:szCs w:val="72"/>
        </w:rPr>
      </w:pPr>
    </w:p>
    <w:p>
      <w:pPr>
        <w:pStyle w:val="16"/>
        <w:jc w:val="both"/>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p>
    <w:p>
      <w:pPr>
        <w:widowControl/>
        <w:jc w:val="left"/>
        <w:rPr>
          <w:rFonts w:ascii="方正小标宋_GBK" w:hAnsi="方正小标宋_GBK" w:eastAsia="方正小标宋_GBK" w:cs="方正小标宋_GBK"/>
          <w:color w:val="000000"/>
          <w:kern w:val="0"/>
          <w:sz w:val="72"/>
          <w:szCs w:val="72"/>
        </w:rPr>
      </w:pPr>
      <w:r>
        <w:rPr>
          <w:rFonts w:ascii="方正小标宋_GBK" w:hAnsi="方正小标宋_GBK" w:eastAsia="方正小标宋_GBK" w:cs="方正小标宋_GBK"/>
          <w:sz w:val="72"/>
          <w:szCs w:val="72"/>
        </w:rPr>
        <w:br w:type="page"/>
      </w: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spacing w:line="600" w:lineRule="exact"/>
        <w:ind w:firstLine="66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4"/>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5"/>
        <w:rPr>
          <w:rFonts w:ascii="Times New Roman" w:hAnsi="Times New Roman" w:eastAsia="仿宋_GB2312" w:cs="黑体"/>
          <w:color w:val="000000"/>
          <w:kern w:val="0"/>
          <w:sz w:val="32"/>
          <w:szCs w:val="32"/>
        </w:rPr>
      </w:pPr>
    </w:p>
    <w:p>
      <w:pPr>
        <w:pStyle w:val="16"/>
        <w:jc w:val="center"/>
        <w:rPr>
          <w:rFonts w:ascii="方正小标宋_GBK" w:hAnsi="方正小标宋_GBK" w:eastAsia="方正小标宋_GBK" w:cs="方正小标宋_GBK"/>
          <w:sz w:val="72"/>
          <w:szCs w:val="72"/>
        </w:rPr>
      </w:pPr>
    </w:p>
    <w:p>
      <w:pPr>
        <w:pStyle w:val="16"/>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第五部分</w:t>
      </w:r>
    </w:p>
    <w:p>
      <w:pPr>
        <w:pStyle w:val="16"/>
        <w:jc w:val="center"/>
        <w:rPr>
          <w:rFonts w:ascii="方正小标宋_GBK" w:hAnsi="方正小标宋_GBK" w:eastAsia="方正小标宋_GBK" w:cs="方正小标宋_GBK"/>
          <w:sz w:val="70"/>
          <w:szCs w:val="70"/>
        </w:rPr>
      </w:pPr>
    </w:p>
    <w:p>
      <w:pPr>
        <w:pStyle w:val="16"/>
        <w:jc w:val="center"/>
        <w:rPr>
          <w:sz w:val="72"/>
          <w:szCs w:val="72"/>
        </w:rPr>
      </w:pPr>
      <w:r>
        <w:rPr>
          <w:rFonts w:hint="eastAsia" w:ascii="方正小标宋_GBK" w:hAnsi="方正小标宋_GBK" w:eastAsia="方正小标宋_GBK" w:cs="方正小标宋_GBK"/>
          <w:sz w:val="70"/>
          <w:szCs w:val="70"/>
        </w:rPr>
        <w:t>附 件</w:t>
      </w:r>
    </w:p>
    <w:p>
      <w:pPr>
        <w:rPr>
          <w:sz w:val="72"/>
          <w:szCs w:val="72"/>
        </w:rPr>
      </w:pPr>
      <w:r>
        <w:rPr>
          <w:sz w:val="72"/>
          <w:szCs w:val="72"/>
        </w:rPr>
        <w:br w:type="page"/>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一、2023年度单位</w:t>
      </w:r>
      <w:bookmarkStart w:id="3" w:name="_GoBack"/>
      <w:bookmarkEnd w:id="3"/>
      <w:r>
        <w:rPr>
          <w:rFonts w:hint="eastAsia" w:ascii="Times New Roman" w:hAnsi="Times New Roman" w:eastAsia="仿宋_GB2312"/>
          <w:sz w:val="32"/>
          <w:szCs w:val="32"/>
          <w:lang w:val="en-US" w:eastAsia="zh-CN"/>
        </w:rPr>
        <w:t>整体支出绩效自评报告。</w:t>
      </w:r>
    </w:p>
    <w:p>
      <w:pPr>
        <w:pStyle w:val="16"/>
        <w:spacing w:line="600" w:lineRule="exact"/>
        <w:ind w:firstLine="640" w:firstLineChars="200"/>
        <w:jc w:val="both"/>
        <w:rPr>
          <w:rFonts w:ascii="Times New Roman" w:hAnsi="Times New Roman" w:eastAsia="仿宋_GB2312"/>
          <w:sz w:val="32"/>
          <w:szCs w:val="32"/>
        </w:rPr>
      </w:pPr>
      <w:r>
        <w:rPr>
          <w:rFonts w:hint="eastAsia" w:ascii="仿宋" w:hAnsi="仿宋" w:eastAsia="仿宋" w:cs="仿宋"/>
          <w:sz w:val="32"/>
          <w:szCs w:val="32"/>
        </w:rPr>
        <w:t>2023年，全站干部职工坚决贯彻落实上级指示精神，紧盯职责任务，认真履职，主动作为，较好完成了各项工作。农经统计工作和惠农减负宣传工作按时完成，</w:t>
      </w:r>
      <w:r>
        <w:rPr>
          <w:rFonts w:hint="eastAsia" w:ascii="仿宋" w:hAnsi="仿宋" w:eastAsia="仿宋" w:cs="Times New Roman"/>
          <w:sz w:val="32"/>
          <w:szCs w:val="32"/>
        </w:rPr>
        <w:t>农村土地承包经营纠纷调解仲裁考评工作连续8年位列全国第一等次，全省农村宅基地日常管理工作进一步规范，农村宅基地两项试点亮点突出</w:t>
      </w:r>
      <w:r>
        <w:rPr>
          <w:rFonts w:hint="eastAsia" w:ascii="仿宋" w:hAnsi="仿宋" w:eastAsia="仿宋" w:cs="仿宋"/>
          <w:sz w:val="32"/>
          <w:szCs w:val="32"/>
        </w:rPr>
        <w:t>，吴宏耀副部长来湘调研给予充分肯定，浏阳市、汨罗市先后在全国试点工作会议和培训班上作典型发言</w:t>
      </w:r>
      <w:r>
        <w:rPr>
          <w:rFonts w:hint="eastAsia" w:ascii="仿宋" w:hAnsi="仿宋" w:eastAsia="仿宋" w:cs="Times New Roman"/>
          <w:sz w:val="32"/>
          <w:szCs w:val="32"/>
        </w:rPr>
        <w:t>，</w:t>
      </w:r>
      <w:r>
        <w:rPr>
          <w:rFonts w:hint="eastAsia" w:ascii="仿宋" w:hAnsi="仿宋" w:eastAsia="仿宋" w:cs="仿宋"/>
          <w:sz w:val="32"/>
          <w:szCs w:val="32"/>
        </w:rPr>
        <w:t>全国农村宅基地两项试点工作推进会已定在湖南召开。现</w:t>
      </w:r>
      <w:r>
        <w:rPr>
          <w:rFonts w:hint="eastAsia" w:ascii="Times New Roman" w:hAnsi="Times New Roman" w:eastAsia="仿宋_GB2312"/>
          <w:sz w:val="32"/>
          <w:szCs w:val="32"/>
        </w:rPr>
        <w:t>从运行成本、管理效率、履职效能、社会效应、可持续发展能力和服务对象满意度等六个方面进行自评。</w:t>
      </w:r>
    </w:p>
    <w:p>
      <w:pPr>
        <w:pStyle w:val="16"/>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1、运行成本方面</w:t>
      </w:r>
    </w:p>
    <w:p>
      <w:pPr>
        <w:pStyle w:val="16"/>
        <w:spacing w:line="600" w:lineRule="exact"/>
        <w:ind w:firstLine="640"/>
        <w:jc w:val="both"/>
        <w:rPr>
          <w:rFonts w:ascii="Times New Roman" w:hAnsi="Times New Roman" w:eastAsia="仿宋_GB2312"/>
          <w:sz w:val="32"/>
          <w:szCs w:val="32"/>
        </w:rPr>
      </w:pPr>
      <w:r>
        <w:rPr>
          <w:rFonts w:hint="eastAsia" w:ascii="Times New Roman" w:hAnsi="Times New Roman" w:eastAsia="仿宋_GB2312"/>
          <w:sz w:val="32"/>
          <w:szCs w:val="32"/>
        </w:rPr>
        <w:t>2023年度部门财政拔款收入1069.80万元，支出947.31万元，预算执行率为88.55%。我站各项支出均合理控制在预算范围内。</w:t>
      </w:r>
    </w:p>
    <w:p>
      <w:pPr>
        <w:pStyle w:val="16"/>
        <w:spacing w:line="60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2、管理效率方面</w:t>
      </w:r>
    </w:p>
    <w:p>
      <w:pPr>
        <w:adjustRightInd w:val="0"/>
        <w:snapToGrid w:val="0"/>
        <w:spacing w:line="60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不断强化农村宅基地日常管理，审批监管日益规范。一是加强组织领导。召开专项整治动员会、管理工作调度会、约谈会等，加强农村宅基地改革和管理工作指导、调度、督促；持续组织开展政策、业务培训，培训全省各级农业农村部门的业务骨干10多万人次；对市县乡建立宅基地工作机制情况进行了回头看，14个市州、122个县市区和1749个有工作任务的乡镇，都成立了领导小组，组建了工作专班。二是完善相关政策。联动相关部门，出台宅基地相关政策文件，不断完善农村宅基地管理政策法规体系。今年，我</w:t>
      </w:r>
      <w:r>
        <w:rPr>
          <w:rFonts w:hint="eastAsia" w:ascii="仿宋" w:hAnsi="仿宋" w:eastAsia="仿宋" w:cs="黑体"/>
          <w:sz w:val="32"/>
          <w:szCs w:val="32"/>
        </w:rPr>
        <w:t>们和国土资源和住建等部门一道，组织开展两次联合调研，起草制定了《关于进一步规范省级权限内建设用地审批有关事项的通知》《湖南省农村住宅建设竣工管理暂行部分》等文件。三是规范宅基地审批。指导督促县乡基层全面运行农村住房建设规划管理信息平台，举办到县乡村的实操培训班，提高利用信息平台办理业务能力，推动宅基地申请、审批、“四到场”通过系统平台全过程标准化、规范化在线完成；指导各地做好新增宅基地用地需求统计，协调落实宅基地刚性需求；开展宣传培训，提升管理队伍的政策、业务水平和农民群众的依法申请宅基地意识。四是强化巡查监管。省级组织了一次暗访调研，开展了一次交叉检查，对基层宅基地机制建立、</w:t>
      </w:r>
      <w:r>
        <w:rPr>
          <w:rFonts w:hint="eastAsia" w:ascii="仿宋" w:hAnsi="仿宋" w:eastAsia="仿宋"/>
          <w:sz w:val="32"/>
          <w:szCs w:val="32"/>
        </w:rPr>
        <w:t>制度落实、</w:t>
      </w:r>
      <w:r>
        <w:rPr>
          <w:rFonts w:hint="eastAsia" w:ascii="仿宋" w:hAnsi="仿宋" w:eastAsia="仿宋"/>
          <w:sz w:val="32"/>
          <w:szCs w:val="32"/>
          <w:lang w:val="zh-CN"/>
        </w:rPr>
        <w:t>需求保障等</w:t>
      </w:r>
      <w:r>
        <w:rPr>
          <w:rFonts w:hint="eastAsia" w:ascii="仿宋" w:hAnsi="仿宋" w:eastAsia="仿宋"/>
          <w:sz w:val="32"/>
          <w:szCs w:val="32"/>
        </w:rPr>
        <w:t>工作进行了调研督导；指导</w:t>
      </w:r>
      <w:r>
        <w:rPr>
          <w:rFonts w:hint="eastAsia" w:ascii="仿宋" w:hAnsi="仿宋" w:eastAsia="仿宋" w:cs="黑体"/>
          <w:sz w:val="32"/>
          <w:szCs w:val="32"/>
        </w:rPr>
        <w:t>县乡基层</w:t>
      </w:r>
      <w:r>
        <w:rPr>
          <w:rFonts w:hint="eastAsia" w:ascii="仿宋" w:hAnsi="仿宋" w:eastAsia="仿宋" w:cs="仿宋"/>
          <w:sz w:val="32"/>
          <w:szCs w:val="32"/>
        </w:rPr>
        <w:t>落实宅基地动态巡查，实行宅基地违法问题乡级监管、村级盯管、党员促管的网格化监管机制；</w:t>
      </w:r>
      <w:r>
        <w:rPr>
          <w:rFonts w:hint="eastAsia" w:ascii="仿宋" w:hAnsi="仿宋" w:eastAsia="仿宋" w:cs="Times New Roman"/>
          <w:sz w:val="32"/>
          <w:szCs w:val="32"/>
        </w:rPr>
        <w:t>建立了农村村民建住宅公示制度，统一设立公示牌，便于查看、核对和监督；</w:t>
      </w:r>
      <w:r>
        <w:rPr>
          <w:rFonts w:hint="eastAsia" w:ascii="仿宋" w:hAnsi="仿宋" w:eastAsia="仿宋"/>
          <w:sz w:val="32"/>
          <w:szCs w:val="32"/>
        </w:rPr>
        <w:t>在全省部署违法占用耕地建住宅监测举证平台，加强乱占耕地建住宅行为监管</w:t>
      </w:r>
      <w:r>
        <w:rPr>
          <w:rFonts w:hint="eastAsia" w:ascii="仿宋" w:hAnsi="仿宋" w:eastAsia="仿宋" w:cs="仿宋"/>
          <w:sz w:val="32"/>
          <w:szCs w:val="32"/>
        </w:rPr>
        <w:t>。</w:t>
      </w:r>
    </w:p>
    <w:p>
      <w:pPr>
        <w:pStyle w:val="16"/>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3、履职效能方面</w:t>
      </w:r>
    </w:p>
    <w:p>
      <w:pPr>
        <w:spacing w:line="360" w:lineRule="auto"/>
        <w:ind w:firstLine="645"/>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抓紧抓实农村土地承包纠纷调解仲裁工作，确保平安建设考评实效。一是健全工作体系。 健全县、乡、村三级的农村土地承包纠纷调解仲裁体系，全省设立仲裁委员会120个，仲裁员人数2627个，1735个乡镇均成立了调解委员会,共配有调解员11212人，形成了完整的农村土地承包经营纠纷调解仲裁工作体系；印发考评实施细则，编制考评指标；指导各级制定土地承包纠纷调解专门工作方案，抽调专人组建平安建设考评工作办公室。二是提升队伍素质。制定培训工作计划，按照分级负责要求，省级举办了2期农村土地承包纠纷调解仲裁业务骨干培训班，培训学员320人。指导督促各市州、县市区制定培训计划，开展仲裁纠纷调解员培训。三是完善基础设施。指导督促各县市区及时落实仲裁办公室、仲裁庭、合议庭、档案室等场地，将仲裁工作经费核定后列入了县财政预算，购置专用电脑、打印机、复印机、摄像机、档案柜等办公用具，调配专用车辆供仲裁调查取证使用。四是确保考评实效。明确了考评工作具体部门和具体责任人，高要求实施考评。目前，我省已高质量报送考评材料，我们将按照全国考评要求，进一步补充完善相关佐证材料，确保考评工作在全国排名保持高位。</w:t>
      </w:r>
    </w:p>
    <w:p>
      <w:pPr>
        <w:pStyle w:val="8"/>
        <w:spacing w:line="620" w:lineRule="exact"/>
        <w:ind w:firstLine="640" w:firstLineChars="200"/>
        <w:jc w:val="both"/>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 xml:space="preserve">按时完成年度农经统计工作。及时下发通知，明确数据采集、填报、汇总、审核和上报各环节工作要求，对年度统计工作进行部署；邀请农业农村部和省内专家对全省市级农经统计员进行统计业务辅导；对市州上报的统计数据进行严格审核，指导基层对审核发现有异常的数据进行复核整改，按时完成部里反馈数据复核修改工作。 </w:t>
      </w:r>
    </w:p>
    <w:p>
      <w:pPr>
        <w:pStyle w:val="2"/>
        <w:ind w:left="0" w:leftChars="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 xml:space="preserve">    4、社会效益方面</w:t>
      </w:r>
    </w:p>
    <w:p>
      <w:pPr>
        <w:adjustRightInd w:val="0"/>
        <w:snapToGrid w:val="0"/>
        <w:spacing w:line="600" w:lineRule="exact"/>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扎实开展惠农减负政策宣传工作。主动与相关厅局衔接，完成惠农补贴项目备案工作，收集最新国家及省委省政府出台的惠农政策，汇编《2023年惠农补贴和农民负担监督卡》，统一印制1600万份，免费发放到全省每个农户手中，将与农民息息相关的各种涉农收费和主要惠农补贴政策交给农民，切实增强农民维权意识，提高参与监督减负惠农政策落实的积极性，促使各涉农部门自觉规范收费行为，及时按下政策发放各项惠农补贴，为减负惠农政策落实监管工作奠定了基础。</w:t>
      </w:r>
    </w:p>
    <w:p>
      <w:pPr>
        <w:pStyle w:val="4"/>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5、可持续发展能力方面</w:t>
      </w:r>
    </w:p>
    <w:p>
      <w:pPr>
        <w:ind w:firstLine="632"/>
        <w:rPr>
          <w:rFonts w:ascii="仿宋" w:eastAsia="仿宋"/>
          <w:sz w:val="32"/>
          <w:szCs w:val="32"/>
        </w:rPr>
      </w:pPr>
      <w:r>
        <w:rPr>
          <w:rFonts w:hint="eastAsia" w:ascii="仿宋" w:eastAsia="仿宋"/>
          <w:sz w:val="32"/>
          <w:szCs w:val="32"/>
        </w:rPr>
        <w:t>有序推进农村宅基地“两项试点”，取得实质性进展。一是夯实基础工作。指导试点地区抓实四项基础性工作，共摸清71万余宗宅基地底数并建立数据库，基本完成“房地一体”确权登记颁证，全域编制完成村庄规划，处置了6万多宗宅基地历史遗留问题，为宅基地规范管理和综合利用提供了基础支撑。二是深入探索实践。下发2023年重点任务清单，坚持每季度开展一次工作调度，定期组织工作评估，指导试点地区开展规定内容探索同时，聚焦全面推进乡村振兴，深入宅基地“三权分置”重点任务探索。三是提炼典型经验。加强工作调研，指导试点县市及时发现和梳理典型经验，提炼出能够在全国推广的制度模式。浏阳市宅基地跨区域流转和宅基地使用权抵押、汨罗市宅基地有偿退出、宁远县健全宅基地监管机制、凤凰县流转闲置宅基地经验在全国推介。四是试点专项整治。统筹宅基地“两项试点”，抓好专项整治的社会稳定风险评估、试点方案和应急预案编制、工作机制建立、宣传培训等基础工作，指导试点县开展数据核查和数据入库工作，分类分步实施实质性整治工作。目前，试点地区存量问题整治整体工作进度为82%，位居全国前列。</w:t>
      </w:r>
    </w:p>
    <w:p>
      <w:pPr>
        <w:pStyle w:val="5"/>
        <w:ind w:left="420" w:leftChars="200" w:firstLine="0"/>
        <w:rPr>
          <w:rFonts w:ascii="仿宋" w:eastAsia="仿宋"/>
          <w:sz w:val="32"/>
          <w:szCs w:val="32"/>
        </w:rPr>
      </w:pPr>
      <w:r>
        <w:rPr>
          <w:rFonts w:hint="eastAsia" w:ascii="仿宋" w:eastAsia="仿宋"/>
          <w:sz w:val="32"/>
          <w:szCs w:val="32"/>
        </w:rPr>
        <w:t>6、服务对象满意度方面</w:t>
      </w:r>
    </w:p>
    <w:p>
      <w:pPr>
        <w:pStyle w:val="5"/>
        <w:ind w:left="420" w:leftChars="200" w:firstLine="0"/>
        <w:rPr>
          <w:rFonts w:hint="eastAsia" w:ascii="仿宋" w:eastAsia="仿宋"/>
          <w:sz w:val="32"/>
          <w:szCs w:val="32"/>
        </w:rPr>
      </w:pPr>
      <w:r>
        <w:rPr>
          <w:rFonts w:hint="eastAsia" w:ascii="仿宋" w:eastAsia="仿宋"/>
          <w:sz w:val="32"/>
          <w:szCs w:val="32"/>
        </w:rPr>
        <w:t>我站2023年的服务对象满意度为95%。</w:t>
      </w:r>
    </w:p>
    <w:p>
      <w:pPr>
        <w:spacing w:afterLines="50" w:line="600" w:lineRule="exact"/>
        <w:ind w:firstLine="1800" w:firstLineChars="500"/>
        <w:rPr>
          <w:rFonts w:ascii="Times New Roman" w:hAnsi="Times New Roman" w:eastAsia="方正小标宋_GBK" w:cs="Times New Roman"/>
          <w:sz w:val="36"/>
          <w:szCs w:val="36"/>
        </w:rPr>
      </w:pPr>
    </w:p>
    <w:p>
      <w:pPr>
        <w:spacing w:afterLines="50" w:line="600" w:lineRule="exact"/>
        <w:ind w:firstLine="1800" w:firstLineChars="500"/>
        <w:rPr>
          <w:rFonts w:ascii="Times New Roman" w:hAnsi="Times New Roman" w:eastAsia="方正小标宋_GBK" w:cs="Times New Roman"/>
          <w:sz w:val="36"/>
          <w:szCs w:val="36"/>
        </w:rPr>
      </w:pPr>
    </w:p>
    <w:p>
      <w:pPr>
        <w:spacing w:afterLines="50" w:line="600" w:lineRule="exact"/>
        <w:ind w:firstLine="1800" w:firstLineChars="500"/>
        <w:rPr>
          <w:rFonts w:ascii="Times New Roman" w:hAnsi="Times New Roman" w:eastAsia="方正小标宋_GBK" w:cs="Times New Roman"/>
          <w:sz w:val="36"/>
          <w:szCs w:val="36"/>
        </w:rPr>
      </w:pPr>
    </w:p>
    <w:p>
      <w:pPr>
        <w:spacing w:afterLines="50" w:line="600" w:lineRule="exact"/>
        <w:ind w:firstLine="1800" w:firstLineChars="500"/>
        <w:rPr>
          <w:rFonts w:ascii="Times New Roman" w:hAnsi="Times New Roman" w:eastAsia="仿宋_GB2312" w:cs="Times New Roman"/>
          <w:sz w:val="24"/>
        </w:rPr>
      </w:pPr>
      <w:r>
        <w:rPr>
          <w:rFonts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rPr>
        <w:t>3</w:t>
      </w:r>
      <w:r>
        <w:rPr>
          <w:rFonts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rPr>
        <w:t>度</w:t>
      </w:r>
      <w:r>
        <w:rPr>
          <w:rFonts w:ascii="Times New Roman" w:hAnsi="Times New Roman" w:eastAsia="方正小标宋_GBK" w:cs="Times New Roman"/>
          <w:sz w:val="36"/>
          <w:szCs w:val="36"/>
        </w:rPr>
        <w:t>整体支出绩效评价基础数据表</w:t>
      </w:r>
    </w:p>
    <w:tbl>
      <w:tblPr>
        <w:tblStyle w:val="12"/>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3</w:t>
            </w:r>
            <w:r>
              <w:rPr>
                <w:rFonts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13</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12</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92.3%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2</w:t>
            </w:r>
            <w:r>
              <w:rPr>
                <w:rFonts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3</w:t>
            </w:r>
            <w:r>
              <w:rPr>
                <w:rFonts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rPr>
              <w:t>3</w:t>
            </w:r>
            <w:r>
              <w:rPr>
                <w:rFonts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三公经费</w:t>
            </w:r>
            <w:r>
              <w:rPr>
                <w:rFonts w:hint="eastAsia" w:ascii="Times New Roman" w:hAnsi="Times New Roman" w:eastAsia="仿宋_GB2312" w:cs="Times New Roman"/>
                <w:sz w:val="20"/>
                <w:szCs w:val="20"/>
              </w:rPr>
              <w:t>:</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0.25</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0.74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0.25</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0.74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412.98</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260.57</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450.62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318.81</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194.49</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359.63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2.47</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rPr>
              <w:t>每</w:t>
            </w:r>
            <w:r>
              <w:rPr>
                <w:rFonts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94.17</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63.61</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90.99</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土地纠纷仲裁</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27.78</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30</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57.38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农村合作经济组织培育</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66.39</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33.61</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33.61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123.25</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118.54</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116.79</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9.2</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6.7</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6.7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1.9</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1.9</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1.9</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color w:val="FF0000"/>
                <w:sz w:val="20"/>
                <w:szCs w:val="20"/>
              </w:rPr>
            </w:pPr>
            <w:r>
              <w:rPr>
                <w:rFonts w:ascii="Times New Roman" w:hAnsi="Times New Roman" w:eastAsia="仿宋_GB2312" w:cs="Times New Roman"/>
                <w:color w:val="FF0000"/>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color w:val="FF0000"/>
                <w:sz w:val="20"/>
                <w:szCs w:val="20"/>
              </w:rPr>
            </w:pPr>
            <w:r>
              <w:rPr>
                <w:rFonts w:ascii="Times New Roman" w:hAnsi="Times New Roman" w:eastAsia="仿宋_GB2312" w:cs="Times New Roman"/>
                <w:color w:val="FF0000"/>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color w:val="FF0000"/>
                <w:sz w:val="20"/>
                <w:szCs w:val="20"/>
              </w:rPr>
            </w:pPr>
            <w:r>
              <w:rPr>
                <w:rFonts w:ascii="Times New Roman" w:hAnsi="Times New Roman" w:eastAsia="仿宋_GB2312" w:cs="Times New Roman"/>
                <w:color w:val="FF0000"/>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75</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207.49</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楼堂馆所控制情况</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（202</w:t>
            </w:r>
            <w:r>
              <w:rPr>
                <w:rFonts w:hint="eastAsia" w:ascii="Times New Roman" w:hAnsi="Times New Roman" w:eastAsia="仿宋_GB2312" w:cs="Times New Roman"/>
                <w:sz w:val="20"/>
                <w:szCs w:val="20"/>
              </w:rPr>
              <w:t>3</w:t>
            </w:r>
            <w:r>
              <w:rPr>
                <w:rFonts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批复规模</w:t>
            </w:r>
            <w:r>
              <w:rPr>
                <w:rFonts w:ascii="Times New Roman" w:hAnsi="Times New Roman" w:eastAsia="仿宋_GB2312" w:cs="Times New Roman"/>
                <w:bCs/>
                <w:sz w:val="20"/>
                <w:szCs w:val="20"/>
              </w:rPr>
              <w:br w:type="textWrapping"/>
            </w:r>
            <w:r>
              <w:rPr>
                <w:rFonts w:ascii="Times New Roman" w:hAnsi="Times New Roman" w:eastAsia="仿宋_GB2312" w:cs="Times New Roman"/>
                <w:bCs/>
                <w:sz w:val="20"/>
                <w:szCs w:val="20"/>
              </w:rPr>
              <w:t>（</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实际规模（</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vAlign w:val="center"/>
          </w:tcPr>
          <w:p>
            <w:pPr>
              <w:widowControl/>
              <w:spacing w:line="360" w:lineRule="exact"/>
              <w:jc w:val="left"/>
              <w:rPr>
                <w:rFonts w:ascii="Times New Roman" w:hAnsi="Times New Roman" w:eastAsia="仿宋_GB2312" w:cs="Times New Roman"/>
                <w:sz w:val="20"/>
                <w:szCs w:val="20"/>
              </w:rPr>
            </w:pPr>
            <w:r>
              <w:rPr>
                <w:rFonts w:ascii="Times New Roman" w:hAnsi="Times New Roman" w:eastAsia="仿宋_GB2312" w:cs="Times New Roman"/>
                <w:sz w:val="20"/>
                <w:szCs w:val="20"/>
              </w:rPr>
              <w:t>　1、加强宣传教育，引导单位人员养成良好的节约习惯；2、制定规章制度，建立健全节约管理制度，明确节约目的、责任和考核办法；3、建立长效机制，不断完善节约措施，形成长效的节约机制，确保节约工作持续推进。</w:t>
            </w:r>
          </w:p>
        </w:tc>
      </w:tr>
    </w:tbl>
    <w:p>
      <w:pPr>
        <w:widowControl/>
        <w:spacing w:line="400" w:lineRule="exact"/>
        <w:jc w:val="left"/>
        <w:rPr>
          <w:rFonts w:ascii="Times New Roman" w:hAnsi="Times New Roman" w:eastAsia="仿宋_GB2312" w:cs="Times New Roman"/>
          <w:sz w:val="22"/>
        </w:rPr>
      </w:pPr>
      <w:r>
        <w:rPr>
          <w:rFonts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line="400" w:lineRule="exact"/>
        <w:jc w:val="left"/>
        <w:rPr>
          <w:rFonts w:ascii="Times New Roman" w:hAnsi="Times New Roman" w:eastAsia="仿宋_GB2312" w:cs="Times New Roman"/>
          <w:sz w:val="22"/>
        </w:rPr>
      </w:pPr>
    </w:p>
    <w:p>
      <w:pPr>
        <w:widowControl/>
        <w:spacing w:line="400" w:lineRule="exact"/>
        <w:jc w:val="left"/>
        <w:rPr>
          <w:rFonts w:ascii="Times New Roman" w:hAnsi="Times New Roman" w:eastAsia="黑体" w:cs="Times New Roman"/>
          <w:sz w:val="32"/>
          <w:szCs w:val="32"/>
        </w:rPr>
      </w:pPr>
      <w:r>
        <w:rPr>
          <w:rFonts w:ascii="Times New Roman" w:hAnsi="Times New Roman" w:eastAsia="仿宋_GB2312" w:cs="Times New Roman"/>
          <w:sz w:val="22"/>
        </w:rPr>
        <w:t>填表人：        填报日期：          联系电话：            单位负责人签字：</w:t>
      </w:r>
      <w:r>
        <w:rPr>
          <w:rFonts w:ascii="Times New Roman" w:hAnsi="Times New Roman" w:eastAsia="仿宋_GB2312" w:cs="Times New Roman"/>
          <w:sz w:val="22"/>
        </w:rPr>
        <w:br w:type="page"/>
      </w:r>
    </w:p>
    <w:p>
      <w:pPr>
        <w:widowControl/>
        <w:spacing w:afterLines="50"/>
        <w:jc w:val="center"/>
        <w:rPr>
          <w:rFonts w:ascii="Times New Roman" w:hAnsi="Times New Roman" w:eastAsia="方正小标宋_GBK" w:cs="Times New Roman"/>
          <w:color w:val="000000"/>
          <w:sz w:val="36"/>
          <w:szCs w:val="36"/>
        </w:rPr>
      </w:pPr>
      <w:r>
        <w:rPr>
          <w:rFonts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rPr>
        <w:t>3</w:t>
      </w:r>
      <w:r>
        <w:rPr>
          <w:rFonts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rPr>
        <w:t>度</w:t>
      </w:r>
      <w:r>
        <w:rPr>
          <w:rFonts w:ascii="Times New Roman" w:hAnsi="Times New Roman" w:eastAsia="方正小标宋_GBK" w:cs="Times New Roman"/>
          <w:color w:val="000000"/>
          <w:sz w:val="36"/>
          <w:szCs w:val="36"/>
        </w:rPr>
        <w:t>整体支出绩效自评表</w:t>
      </w:r>
    </w:p>
    <w:tbl>
      <w:tblPr>
        <w:tblStyle w:val="12"/>
        <w:tblW w:w="10079" w:type="dxa"/>
        <w:jc w:val="center"/>
        <w:tblInd w:w="0"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rPr>
              <w:t>、单位</w:t>
            </w:r>
            <w:r>
              <w:rPr>
                <w:rFonts w:ascii="Times New Roman" w:hAnsi="Times New Roman" w:eastAsia="仿宋_GB2312" w:cs="Times New Roman"/>
                <w:color w:val="000000"/>
                <w:sz w:val="20"/>
                <w:szCs w:val="20"/>
              </w:rPr>
              <w:t>名称</w:t>
            </w:r>
          </w:p>
        </w:tc>
        <w:tc>
          <w:tcPr>
            <w:tcW w:w="688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湖南省农村经营管理服务站</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年度预</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算申请</w:t>
            </w:r>
            <w:r>
              <w:rPr>
                <w:rFonts w:ascii="Times New Roman" w:hAnsi="Times New Roman" w:eastAsia="仿宋_GB2312" w:cs="Times New Roman"/>
                <w:color w:val="000000"/>
                <w:sz w:val="20"/>
                <w:szCs w:val="20"/>
              </w:rPr>
              <w:br w:type="textWrapping"/>
            </w:r>
            <w:r>
              <w:rPr>
                <w:rFonts w:ascii="Times New Roman" w:hAnsi="Times New Roman" w:eastAsia="仿宋_GB2312" w:cs="Times New Roman"/>
                <w:color w:val="000000"/>
                <w:sz w:val="20"/>
                <w:szCs w:val="20"/>
              </w:rPr>
              <w:t>（万元）</w:t>
            </w: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27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年初预算数</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全年预算数</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全年执行数</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自评</w:t>
            </w:r>
            <w:r>
              <w:rPr>
                <w:rFonts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color w:val="000000"/>
                <w:sz w:val="20"/>
                <w:szCs w:val="20"/>
              </w:rPr>
              <w:t>年度资金总额</w:t>
            </w:r>
          </w:p>
        </w:tc>
        <w:tc>
          <w:tcPr>
            <w:tcW w:w="127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752.33</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1011.83</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947.31</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b/>
                <w:bCs/>
                <w:sz w:val="20"/>
                <w:szCs w:val="20"/>
              </w:rPr>
              <w:t>10</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93.62%</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9.5</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按收入性质分：</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trHeight w:val="134" w:hRule="atLeast"/>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rPr>
              <w:t>694.36</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rPr>
              <w:t>496.69</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ind w:firstLine="800" w:firstLineChars="4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政府性基金拨款：</w:t>
            </w:r>
          </w:p>
        </w:tc>
        <w:tc>
          <w:tcPr>
            <w:tcW w:w="4304" w:type="dxa"/>
            <w:gridSpan w:val="4"/>
            <w:tcBorders>
              <w:top w:val="nil"/>
              <w:left w:val="nil"/>
              <w:bottom w:val="single" w:color="auto" w:sz="4" w:space="0"/>
              <w:right w:val="single" w:color="auto" w:sz="4" w:space="0"/>
            </w:tcBorders>
            <w:vAlign w:val="center"/>
          </w:tcPr>
          <w:p>
            <w:pPr>
              <w:widowControl/>
              <w:spacing w:line="240" w:lineRule="exact"/>
              <w:ind w:firstLine="600" w:firstLineChars="3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rPr>
              <w:t>450.62</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ind w:firstLine="1400" w:firstLineChars="700"/>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其他资金：</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4695" w:type="dxa"/>
            <w:gridSpan w:val="4"/>
            <w:tcBorders>
              <w:top w:val="single" w:color="auto" w:sz="4" w:space="0"/>
              <w:left w:val="nil"/>
              <w:bottom w:val="single" w:color="auto" w:sz="4" w:space="0"/>
              <w:right w:val="single" w:color="000000" w:sz="4" w:space="0"/>
            </w:tcBorders>
            <w:vAlign w:val="center"/>
          </w:tcPr>
          <w:p>
            <w:pPr>
              <w:widowControl/>
              <w:spacing w:line="240" w:lineRule="exac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完成宅基地改革与管理、农村集体经济组织财务审计、土地承包经营纠纷仲裁、农民负担监测、农经统计等相关工作。</w:t>
            </w:r>
          </w:p>
        </w:tc>
        <w:tc>
          <w:tcPr>
            <w:tcW w:w="4304"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有序推进农村宅基地“两项试点”工作；不断强化宅基地日常管理；抓紧抓实农村土地承包纠纷调解仲裁工作；按时完成年度农经统计工作；扎实开展惠农减负政策宣传工作。</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绩</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标</w:t>
            </w:r>
          </w:p>
          <w:p>
            <w:pPr>
              <w:widowControl/>
              <w:spacing w:line="240" w:lineRule="exact"/>
              <w:jc w:val="center"/>
              <w:rPr>
                <w:rFonts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一级指标</w:t>
            </w:r>
          </w:p>
        </w:tc>
        <w:tc>
          <w:tcPr>
            <w:tcW w:w="10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二级指标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三级指标</w:t>
            </w:r>
          </w:p>
        </w:tc>
        <w:tc>
          <w:tcPr>
            <w:tcW w:w="1311"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年度指标值</w:t>
            </w:r>
          </w:p>
        </w:tc>
        <w:tc>
          <w:tcPr>
            <w:tcW w:w="1269"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实际完成值</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分值</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rPr>
              <w:t>自评</w:t>
            </w:r>
            <w:r>
              <w:rPr>
                <w:rFonts w:ascii="Times New Roman" w:hAnsi="Times New Roman" w:eastAsia="仿宋_GB2312" w:cs="Times New Roman"/>
                <w:color w:val="000000"/>
                <w:sz w:val="16"/>
                <w:szCs w:val="16"/>
              </w:rPr>
              <w:t>得分</w:t>
            </w:r>
          </w:p>
        </w:tc>
        <w:tc>
          <w:tcPr>
            <w:tcW w:w="1446"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产出指标</w:t>
            </w:r>
          </w:p>
          <w:p>
            <w:pPr>
              <w:widowControl/>
              <w:spacing w:line="240" w:lineRule="exact"/>
              <w:jc w:val="center"/>
              <w:rPr>
                <w:rFonts w:ascii="Times New Roman" w:hAnsi="Times New Roman" w:eastAsia="仿宋_GB2312" w:cs="Times New Roman"/>
                <w:color w:val="000000"/>
                <w:sz w:val="20"/>
                <w:szCs w:val="20"/>
              </w:rPr>
            </w:pP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(50分)</w:t>
            </w: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数量指标</w:t>
            </w: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农村宅基地制度改革试点县</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4个市县</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4个市县</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宅基地日常管理</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培训10万人次</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14个市州成立专班</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土地仲裁</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2期培训</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培训学员320人</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质量指标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改革试点</w:t>
            </w:r>
            <w:r>
              <w:rPr>
                <w:rFonts w:hint="eastAsia" w:ascii="Times New Roman" w:hAnsi="Times New Roman" w:eastAsia="仿宋_GB2312" w:cs="Times New Roman"/>
                <w:color w:val="000000"/>
                <w:sz w:val="20"/>
                <w:szCs w:val="20"/>
              </w:rPr>
              <w:t>与管理</w:t>
            </w:r>
            <w:r>
              <w:rPr>
                <w:rFonts w:ascii="Times New Roman" w:hAnsi="Times New Roman" w:eastAsia="仿宋_GB2312" w:cs="Times New Roman"/>
                <w:color w:val="000000"/>
                <w:sz w:val="20"/>
                <w:szCs w:val="20"/>
              </w:rPr>
              <w:t>工作</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有序推进</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有序推进</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宅基地日常管理</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标准化、规划化</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标准化、规划化</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土地仲裁</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考评工作全国排名保持高位</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排名保持高位</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时效指标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农村宅基地制度改革试点专项资金</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2023.1.1</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2023.12.31</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土地仲裁工作经费</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2023.1.1</w:t>
            </w: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2023.12.31</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成本指标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农村宅基地改革与管理经费</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合理规范使用</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在厉行节约的要求下控制支出</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土地仲裁工作经费</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合理规范使用</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在厉行节约的要求下控制支出</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效益指标</w:t>
            </w:r>
          </w:p>
          <w:p>
            <w:pPr>
              <w:widowControl/>
              <w:spacing w:line="240" w:lineRule="exact"/>
              <w:jc w:val="left"/>
              <w:rPr>
                <w:rFonts w:ascii="Times New Roman" w:hAnsi="Times New Roman" w:eastAsia="仿宋_GB2312" w:cs="Times New Roman"/>
                <w:color w:val="000000"/>
                <w:sz w:val="20"/>
                <w:szCs w:val="20"/>
              </w:rPr>
            </w:pPr>
          </w:p>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（30分）</w:t>
            </w:r>
          </w:p>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经济效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农村发展改革</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合理利用土地、助力乡村振兴</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合理利用土地、助力乡村振兴</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社会效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试点工作推广</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试点成功经验的推广和复制</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试点成功经验的推广和复制</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农业生产保障与服务</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成立调解委员会</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成立调解委员会</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生态效</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仿宋" w:hAnsi="仿宋" w:eastAsia="仿宋" w:cs="宋体"/>
                <w:szCs w:val="21"/>
              </w:rPr>
              <w:t>农村人居环境整治与乡村建设</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仿宋" w:hAnsi="仿宋" w:eastAsia="仿宋" w:cs="宋体"/>
                <w:szCs w:val="21"/>
              </w:rPr>
              <w:t>农村人居环境得到改善</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仿宋" w:hAnsi="仿宋" w:eastAsia="仿宋" w:cs="宋体"/>
                <w:szCs w:val="21"/>
              </w:rPr>
              <w:t>农村人居环境得到改善</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34"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可持续影响指标</w:t>
            </w:r>
          </w:p>
        </w:tc>
        <w:tc>
          <w:tcPr>
            <w:tcW w:w="12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农村发展改革</w:t>
            </w:r>
          </w:p>
        </w:tc>
        <w:tc>
          <w:tcPr>
            <w:tcW w:w="1311"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美丽乡村建设得到加强</w:t>
            </w:r>
          </w:p>
        </w:tc>
        <w:tc>
          <w:tcPr>
            <w:tcW w:w="126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美丽乡村建设得到加强</w:t>
            </w:r>
          </w:p>
        </w:tc>
        <w:tc>
          <w:tcPr>
            <w:tcW w:w="71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34" w:type="dxa"/>
            <w:vMerge w:val="continue"/>
            <w:tcBorders>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满意度</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指标</w:t>
            </w:r>
          </w:p>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（10分）</w:t>
            </w: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服务对象满意度指标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农村人才培育与农村政策改革</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rPr>
              <w:t>95</w:t>
            </w:r>
            <w:r>
              <w:rPr>
                <w:rFonts w:ascii="Times New Roman" w:hAnsi="Times New Roman" w:eastAsia="仿宋_GB2312" w:cs="Times New Roman"/>
                <w:color w:val="000000"/>
                <w:sz w:val="20"/>
                <w:szCs w:val="20"/>
              </w:rPr>
              <w:t>%</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rPr>
              <w:t>95</w:t>
            </w:r>
            <w:r>
              <w:rPr>
                <w:rFonts w:ascii="Times New Roman" w:hAnsi="Times New Roman" w:eastAsia="仿宋_GB2312" w:cs="Times New Roman"/>
                <w:color w:val="000000"/>
                <w:sz w:val="20"/>
                <w:szCs w:val="20"/>
              </w:rPr>
              <w:t>%</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right w:val="single" w:color="auto" w:sz="4" w:space="0"/>
            </w:tcBorders>
            <w:vAlign w:val="center"/>
          </w:tcPr>
          <w:p>
            <w:pPr>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农业生产保障与服务</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rPr>
              <w:t>95</w:t>
            </w:r>
            <w:r>
              <w:rPr>
                <w:rFonts w:ascii="Times New Roman" w:hAnsi="Times New Roman" w:eastAsia="仿宋_GB2312" w:cs="Times New Roman"/>
                <w:color w:val="000000"/>
                <w:sz w:val="20"/>
                <w:szCs w:val="20"/>
              </w:rPr>
              <w:t>%</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rPr>
              <w:t>95</w:t>
            </w:r>
            <w:r>
              <w:rPr>
                <w:rFonts w:ascii="Times New Roman" w:hAnsi="Times New Roman" w:eastAsia="仿宋_GB2312" w:cs="Times New Roman"/>
                <w:color w:val="000000"/>
                <w:sz w:val="20"/>
                <w:szCs w:val="20"/>
              </w:rPr>
              <w:t>%</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31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sz w:val="20"/>
                <w:szCs w:val="20"/>
              </w:rPr>
            </w:pPr>
          </w:p>
        </w:tc>
        <w:tc>
          <w:tcPr>
            <w:tcW w:w="126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sz w:val="20"/>
                <w:szCs w:val="20"/>
              </w:rPr>
            </w:pP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总分</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100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sz w:val="20"/>
                <w:szCs w:val="20"/>
              </w:rPr>
            </w:pPr>
          </w:p>
        </w:tc>
      </w:tr>
    </w:tbl>
    <w:p>
      <w:pPr>
        <w:widowControl/>
        <w:jc w:val="left"/>
        <w:rPr>
          <w:kern w:val="0"/>
          <w:sz w:val="22"/>
        </w:rPr>
      </w:pPr>
      <w:r>
        <w:rPr>
          <w:kern w:val="0"/>
          <w:sz w:val="22"/>
        </w:rPr>
        <w:t>说明：本表由农业农村厅部门本级和直属单位填写，市、县农业农村局不需填写。</w:t>
      </w:r>
    </w:p>
    <w:p>
      <w:pPr>
        <w:pStyle w:val="5"/>
        <w:ind w:left="420" w:leftChars="200" w:firstLine="0"/>
        <w:rPr>
          <w:rFonts w:ascii="Times New Roman" w:hAnsi="Times New Roman" w:eastAsia="仿宋_GB2312" w:cs="黑体"/>
          <w:color w:val="000000"/>
          <w:kern w:val="0"/>
          <w:sz w:val="32"/>
          <w:szCs w:val="32"/>
        </w:rPr>
      </w:pPr>
      <w:r>
        <w:rPr>
          <w:rFonts w:ascii="Times New Roman" w:hAnsi="Times New Roman" w:eastAsia="仿宋_GB2312" w:cs="Times New Roman"/>
          <w:sz w:val="22"/>
        </w:rPr>
        <w:t xml:space="preserve">填表人：      填报日期：         联系电话：     </w:t>
      </w:r>
      <w:r>
        <w:rPr>
          <w:rFonts w:hint="eastAsia" w:ascii="Times New Roman" w:hAnsi="Times New Roman" w:eastAsia="仿宋_GB2312" w:cs="Times New Roman"/>
          <w:sz w:val="22"/>
        </w:rPr>
        <w:t xml:space="preserve">           </w:t>
      </w:r>
      <w:r>
        <w:rPr>
          <w:rFonts w:ascii="Times New Roman" w:hAnsi="Times New Roman" w:eastAsia="仿宋_GB2312" w:cs="Times New Roman"/>
          <w:sz w:val="22"/>
        </w:rPr>
        <w:t>单位负责人签字：</w:t>
      </w:r>
      <w:r>
        <w:rPr>
          <w:rFonts w:hint="eastAsia" w:ascii="Times New Roman" w:hAnsi="Times New Roman" w:eastAsia="仿宋_GB2312" w:cs="黑体"/>
          <w:color w:val="000000"/>
          <w:kern w:val="0"/>
          <w:sz w:val="32"/>
          <w:szCs w:val="32"/>
        </w:rPr>
        <w:drawing>
          <wp:inline distT="0" distB="0" distL="114300" distR="114300">
            <wp:extent cx="6675755" cy="4452620"/>
            <wp:effectExtent l="0" t="0" r="10795" b="5080"/>
            <wp:docPr id="1" name="图片 1" descr="1725434876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5434876686"/>
                    <pic:cNvPicPr>
                      <a:picLocks noChangeAspect="1"/>
                    </pic:cNvPicPr>
                  </pic:nvPicPr>
                  <pic:blipFill>
                    <a:blip r:embed="rId4" cstate="print"/>
                    <a:stretch>
                      <a:fillRect/>
                    </a:stretch>
                  </pic:blipFill>
                  <pic:spPr>
                    <a:xfrm>
                      <a:off x="0" y="0"/>
                      <a:ext cx="6675755" cy="4452620"/>
                    </a:xfrm>
                    <a:prstGeom prst="rect">
                      <a:avLst/>
                    </a:prstGeom>
                  </pic:spPr>
                </pic:pic>
              </a:graphicData>
            </a:graphic>
          </wp:inline>
        </w:drawing>
      </w:r>
    </w:p>
    <w:sectPr>
      <w:pgSz w:w="11906" w:h="16838"/>
      <w:pgMar w:top="1701"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74FB89"/>
    <w:multiLevelType w:val="singleLevel"/>
    <w:tmpl w:val="A174FB89"/>
    <w:lvl w:ilvl="0" w:tentative="0">
      <w:start w:val="1"/>
      <w:numFmt w:val="decimal"/>
      <w:suff w:val="nothing"/>
      <w:lvlText w:val="%1、"/>
      <w:lvlJc w:val="left"/>
    </w:lvl>
  </w:abstractNum>
  <w:abstractNum w:abstractNumId="1">
    <w:nsid w:val="BFFA6845"/>
    <w:multiLevelType w:val="singleLevel"/>
    <w:tmpl w:val="BFFA6845"/>
    <w:lvl w:ilvl="0" w:tentative="0">
      <w:start w:val="2"/>
      <w:numFmt w:val="decimal"/>
      <w:suff w:val="nothing"/>
      <w:lvlText w:val="%1、"/>
      <w:lvlJc w:val="left"/>
    </w:lvl>
  </w:abstractNum>
  <w:abstractNum w:abstractNumId="2">
    <w:nsid w:val="C8BAE4BA"/>
    <w:multiLevelType w:val="singleLevel"/>
    <w:tmpl w:val="C8BAE4BA"/>
    <w:lvl w:ilvl="0" w:tentative="0">
      <w:start w:val="1"/>
      <w:numFmt w:val="decimal"/>
      <w:suff w:val="nothing"/>
      <w:lvlText w:val="%1、"/>
      <w:lvlJc w:val="left"/>
    </w:lvl>
  </w:abstractNum>
  <w:abstractNum w:abstractNumId="3">
    <w:nsid w:val="CF092B84"/>
    <w:multiLevelType w:val="multilevel"/>
    <w:tmpl w:val="CF092B84"/>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B99D85C"/>
    <w:multiLevelType w:val="singleLevel"/>
    <w:tmpl w:val="1B99D85C"/>
    <w:lvl w:ilvl="0" w:tentative="0">
      <w:start w:val="7"/>
      <w:numFmt w:val="chineseCounting"/>
      <w:suff w:val="nothing"/>
      <w:lvlText w:val="%1、"/>
      <w:lvlJc w:val="left"/>
      <w:rPr>
        <w:rFonts w:hint="eastAsia"/>
      </w:rPr>
    </w:lvl>
  </w:abstractNum>
  <w:abstractNum w:abstractNumId="5">
    <w:nsid w:val="1C50FA2E"/>
    <w:multiLevelType w:val="singleLevel"/>
    <w:tmpl w:val="1C50FA2E"/>
    <w:lvl w:ilvl="0" w:tentative="0">
      <w:start w:val="2"/>
      <w:numFmt w:val="decimal"/>
      <w:lvlText w:val="%1."/>
      <w:lvlJc w:val="left"/>
      <w:pPr>
        <w:tabs>
          <w:tab w:val="left" w:pos="286"/>
        </w:tabs>
        <w:ind w:left="454" w:firstLine="0"/>
      </w:p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yN2VmZWQ3ZDIzNWI5ZmU3N2ViOWJlYTA3ZGI0Y2EifQ=="/>
  </w:docVars>
  <w:rsids>
    <w:rsidRoot w:val="004506F9"/>
    <w:rsid w:val="0002229B"/>
    <w:rsid w:val="000273BD"/>
    <w:rsid w:val="00040CBC"/>
    <w:rsid w:val="000415B7"/>
    <w:rsid w:val="00041E3F"/>
    <w:rsid w:val="00055DAA"/>
    <w:rsid w:val="00061F7B"/>
    <w:rsid w:val="000658A3"/>
    <w:rsid w:val="00074155"/>
    <w:rsid w:val="000A3F69"/>
    <w:rsid w:val="000F1D16"/>
    <w:rsid w:val="00103957"/>
    <w:rsid w:val="00152C6D"/>
    <w:rsid w:val="00162D39"/>
    <w:rsid w:val="001678BD"/>
    <w:rsid w:val="00182373"/>
    <w:rsid w:val="001A67DB"/>
    <w:rsid w:val="001C3C29"/>
    <w:rsid w:val="001D51E5"/>
    <w:rsid w:val="001E080D"/>
    <w:rsid w:val="001E53D0"/>
    <w:rsid w:val="001F0C3B"/>
    <w:rsid w:val="001F3C55"/>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35A2D"/>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87670"/>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DF240B"/>
    <w:rsid w:val="00E00C7A"/>
    <w:rsid w:val="00E37D6C"/>
    <w:rsid w:val="00E40D7B"/>
    <w:rsid w:val="00E55B68"/>
    <w:rsid w:val="00E561AE"/>
    <w:rsid w:val="00E67BE6"/>
    <w:rsid w:val="00E8683C"/>
    <w:rsid w:val="00EA2B72"/>
    <w:rsid w:val="00F74360"/>
    <w:rsid w:val="00FB462F"/>
    <w:rsid w:val="00FE16FA"/>
    <w:rsid w:val="00FE328A"/>
    <w:rsid w:val="00FE6269"/>
    <w:rsid w:val="00FF5CD6"/>
    <w:rsid w:val="013965C4"/>
    <w:rsid w:val="017B7436"/>
    <w:rsid w:val="0213766F"/>
    <w:rsid w:val="030B26B2"/>
    <w:rsid w:val="03174F3D"/>
    <w:rsid w:val="04247911"/>
    <w:rsid w:val="050D4849"/>
    <w:rsid w:val="05A2298F"/>
    <w:rsid w:val="078A03D3"/>
    <w:rsid w:val="07BE62CF"/>
    <w:rsid w:val="086A4925"/>
    <w:rsid w:val="09E77A16"/>
    <w:rsid w:val="0B224DC6"/>
    <w:rsid w:val="0C321039"/>
    <w:rsid w:val="0CA912FB"/>
    <w:rsid w:val="0CF03566"/>
    <w:rsid w:val="0DD51C7C"/>
    <w:rsid w:val="0E7E2314"/>
    <w:rsid w:val="0EE02FCE"/>
    <w:rsid w:val="0F955B67"/>
    <w:rsid w:val="110F7B9B"/>
    <w:rsid w:val="11245914"/>
    <w:rsid w:val="112E0021"/>
    <w:rsid w:val="11BA7B07"/>
    <w:rsid w:val="13FA068E"/>
    <w:rsid w:val="14092680"/>
    <w:rsid w:val="16685D83"/>
    <w:rsid w:val="173C4B1A"/>
    <w:rsid w:val="17812E38"/>
    <w:rsid w:val="187622AE"/>
    <w:rsid w:val="18966C07"/>
    <w:rsid w:val="1A9A04D5"/>
    <w:rsid w:val="1BDB0DA5"/>
    <w:rsid w:val="1CBF4223"/>
    <w:rsid w:val="1CC85640"/>
    <w:rsid w:val="1CF85987"/>
    <w:rsid w:val="1D126A49"/>
    <w:rsid w:val="1D97DEFF"/>
    <w:rsid w:val="1DFF72E5"/>
    <w:rsid w:val="1E2D1660"/>
    <w:rsid w:val="1EC10726"/>
    <w:rsid w:val="1EFC6F07"/>
    <w:rsid w:val="1FC921BB"/>
    <w:rsid w:val="21D4251F"/>
    <w:rsid w:val="22941CAE"/>
    <w:rsid w:val="22EE7610"/>
    <w:rsid w:val="232F19D7"/>
    <w:rsid w:val="23C6233B"/>
    <w:rsid w:val="240510B5"/>
    <w:rsid w:val="248A15BB"/>
    <w:rsid w:val="249441E7"/>
    <w:rsid w:val="24BB5C18"/>
    <w:rsid w:val="25311A36"/>
    <w:rsid w:val="25904E74"/>
    <w:rsid w:val="25F767DC"/>
    <w:rsid w:val="260E2873"/>
    <w:rsid w:val="2861763D"/>
    <w:rsid w:val="2A1D0900"/>
    <w:rsid w:val="2A816FBC"/>
    <w:rsid w:val="2AA36F32"/>
    <w:rsid w:val="2AF53506"/>
    <w:rsid w:val="2B0F6376"/>
    <w:rsid w:val="2B3B1826"/>
    <w:rsid w:val="2B8925CC"/>
    <w:rsid w:val="2C15418B"/>
    <w:rsid w:val="2CA60F5C"/>
    <w:rsid w:val="2D614E83"/>
    <w:rsid w:val="2E5C7AD7"/>
    <w:rsid w:val="2F0D2C5E"/>
    <w:rsid w:val="2FDF85B8"/>
    <w:rsid w:val="2FFFEE04"/>
    <w:rsid w:val="301F283E"/>
    <w:rsid w:val="31464ABB"/>
    <w:rsid w:val="316530FD"/>
    <w:rsid w:val="319C292D"/>
    <w:rsid w:val="330B38C7"/>
    <w:rsid w:val="34515C51"/>
    <w:rsid w:val="34DF85B0"/>
    <w:rsid w:val="34EF4881"/>
    <w:rsid w:val="3699568D"/>
    <w:rsid w:val="3758201E"/>
    <w:rsid w:val="37922808"/>
    <w:rsid w:val="37A47118"/>
    <w:rsid w:val="37B26A07"/>
    <w:rsid w:val="387862DD"/>
    <w:rsid w:val="3A540249"/>
    <w:rsid w:val="3B2DF2BD"/>
    <w:rsid w:val="3B8F36BC"/>
    <w:rsid w:val="3C85293C"/>
    <w:rsid w:val="3EA16DB7"/>
    <w:rsid w:val="3FC574F3"/>
    <w:rsid w:val="401A15ED"/>
    <w:rsid w:val="41582AC1"/>
    <w:rsid w:val="41BD0482"/>
    <w:rsid w:val="4249440B"/>
    <w:rsid w:val="426254CD"/>
    <w:rsid w:val="42823479"/>
    <w:rsid w:val="438D20D6"/>
    <w:rsid w:val="440700DA"/>
    <w:rsid w:val="44C1472D"/>
    <w:rsid w:val="44FA6BE7"/>
    <w:rsid w:val="45B002FD"/>
    <w:rsid w:val="46E62229"/>
    <w:rsid w:val="47064679"/>
    <w:rsid w:val="470D3C59"/>
    <w:rsid w:val="47B21EE6"/>
    <w:rsid w:val="48EE3617"/>
    <w:rsid w:val="4907292A"/>
    <w:rsid w:val="491FF225"/>
    <w:rsid w:val="49E35145"/>
    <w:rsid w:val="4B645E12"/>
    <w:rsid w:val="4BAE3056"/>
    <w:rsid w:val="4C854292"/>
    <w:rsid w:val="4CE0596C"/>
    <w:rsid w:val="4E143B1F"/>
    <w:rsid w:val="4E5A52AA"/>
    <w:rsid w:val="4EF31987"/>
    <w:rsid w:val="4FFD214C"/>
    <w:rsid w:val="505B3C87"/>
    <w:rsid w:val="51DC4954"/>
    <w:rsid w:val="533802B0"/>
    <w:rsid w:val="53783C94"/>
    <w:rsid w:val="543D6A71"/>
    <w:rsid w:val="556C4241"/>
    <w:rsid w:val="56DC53F6"/>
    <w:rsid w:val="5777D4F5"/>
    <w:rsid w:val="57FA3D86"/>
    <w:rsid w:val="5870229A"/>
    <w:rsid w:val="589F0489"/>
    <w:rsid w:val="59DD8326"/>
    <w:rsid w:val="59EC3BA2"/>
    <w:rsid w:val="5A5C0D28"/>
    <w:rsid w:val="5ADEBCBB"/>
    <w:rsid w:val="5AF076C2"/>
    <w:rsid w:val="5D8F4F70"/>
    <w:rsid w:val="5DEF592A"/>
    <w:rsid w:val="5E0D6ED7"/>
    <w:rsid w:val="5E196F30"/>
    <w:rsid w:val="5EE94B54"/>
    <w:rsid w:val="5FB76A00"/>
    <w:rsid w:val="5FC6BB1E"/>
    <w:rsid w:val="5FF720F1"/>
    <w:rsid w:val="606721D5"/>
    <w:rsid w:val="60B91FB4"/>
    <w:rsid w:val="60D001F0"/>
    <w:rsid w:val="60D1764E"/>
    <w:rsid w:val="617763DD"/>
    <w:rsid w:val="62E71C0D"/>
    <w:rsid w:val="63684B19"/>
    <w:rsid w:val="639130C5"/>
    <w:rsid w:val="63E47698"/>
    <w:rsid w:val="63E9C39C"/>
    <w:rsid w:val="65206DF6"/>
    <w:rsid w:val="65635946"/>
    <w:rsid w:val="66154340"/>
    <w:rsid w:val="67FE35E0"/>
    <w:rsid w:val="67FF5C0B"/>
    <w:rsid w:val="69A00505"/>
    <w:rsid w:val="69D63F27"/>
    <w:rsid w:val="6A991D0B"/>
    <w:rsid w:val="6AC56475"/>
    <w:rsid w:val="6B367166"/>
    <w:rsid w:val="6C1A634D"/>
    <w:rsid w:val="6C4E249B"/>
    <w:rsid w:val="6D6F476A"/>
    <w:rsid w:val="6DA743D8"/>
    <w:rsid w:val="6DCD4836"/>
    <w:rsid w:val="6E0B62DF"/>
    <w:rsid w:val="6E5042A8"/>
    <w:rsid w:val="6EFC0924"/>
    <w:rsid w:val="6F1238D0"/>
    <w:rsid w:val="6F771D08"/>
    <w:rsid w:val="6FB74722"/>
    <w:rsid w:val="6FEF8B7E"/>
    <w:rsid w:val="71A6591B"/>
    <w:rsid w:val="733221CE"/>
    <w:rsid w:val="737D59BA"/>
    <w:rsid w:val="74C96B62"/>
    <w:rsid w:val="762D3121"/>
    <w:rsid w:val="769907B6"/>
    <w:rsid w:val="76A038F3"/>
    <w:rsid w:val="76D10930"/>
    <w:rsid w:val="76DD68F5"/>
    <w:rsid w:val="770025E3"/>
    <w:rsid w:val="77C37683"/>
    <w:rsid w:val="790E2D96"/>
    <w:rsid w:val="79FF515B"/>
    <w:rsid w:val="7ADD3367"/>
    <w:rsid w:val="7B187EFC"/>
    <w:rsid w:val="7B2A7C2F"/>
    <w:rsid w:val="7B302FF9"/>
    <w:rsid w:val="7B5A5973"/>
    <w:rsid w:val="7C232FFC"/>
    <w:rsid w:val="7CC540B3"/>
    <w:rsid w:val="7D537911"/>
    <w:rsid w:val="7DF05160"/>
    <w:rsid w:val="7E0D3F64"/>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AFBC0D9D"/>
    <w:rsid w:val="C3B4DA5A"/>
    <w:rsid w:val="CBBF11C1"/>
    <w:rsid w:val="CBFF70E0"/>
    <w:rsid w:val="CFF50B82"/>
    <w:rsid w:val="CFFFAD89"/>
    <w:rsid w:val="D4F73472"/>
    <w:rsid w:val="DFFE359E"/>
    <w:rsid w:val="DFFE4FFD"/>
    <w:rsid w:val="EEABED75"/>
    <w:rsid w:val="F56FDF51"/>
    <w:rsid w:val="F6B69F17"/>
    <w:rsid w:val="F77F1D61"/>
    <w:rsid w:val="F7FED3A9"/>
    <w:rsid w:val="F8C9DB26"/>
    <w:rsid w:val="F97E8EAE"/>
    <w:rsid w:val="F99B809B"/>
    <w:rsid w:val="FB36E1A6"/>
    <w:rsid w:val="FB3BE134"/>
    <w:rsid w:val="FBEDFE3B"/>
    <w:rsid w:val="FCFF4275"/>
    <w:rsid w:val="FD7FEEEA"/>
    <w:rsid w:val="FDFFB577"/>
    <w:rsid w:val="FEA75AD6"/>
    <w:rsid w:val="FEEA50FE"/>
    <w:rsid w:val="FF7D47A9"/>
    <w:rsid w:val="FFCF21CB"/>
    <w:rsid w:val="FFDFD292"/>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index 5"/>
    <w:basedOn w:val="1"/>
    <w:next w:val="1"/>
    <w:semiHidden/>
    <w:unhideWhenUsed/>
    <w:qFormat/>
    <w:uiPriority w:val="99"/>
    <w:pPr>
      <w:ind w:left="800" w:leftChars="800"/>
    </w:pPr>
  </w:style>
  <w:style w:type="paragraph" w:styleId="3">
    <w:name w:val="index 6"/>
    <w:basedOn w:val="1"/>
    <w:next w:val="1"/>
    <w:qFormat/>
    <w:uiPriority w:val="0"/>
    <w:pPr>
      <w:ind w:left="2100"/>
    </w:pPr>
    <w:rPr>
      <w:rFonts w:ascii="Calibri" w:hAnsi="Calibri" w:eastAsia="宋体" w:cs="Times New Roman"/>
    </w:rPr>
  </w:style>
  <w:style w:type="paragraph" w:styleId="4">
    <w:name w:val="Body Text"/>
    <w:basedOn w:val="1"/>
    <w:next w:val="5"/>
    <w:link w:val="23"/>
    <w:semiHidden/>
    <w:unhideWhenUsed/>
    <w:qFormat/>
    <w:uiPriority w:val="99"/>
    <w:pPr>
      <w:spacing w:after="120"/>
    </w:pPr>
  </w:style>
  <w:style w:type="paragraph" w:customStyle="1" w:styleId="5">
    <w:name w:val="正文首行缩进1"/>
    <w:basedOn w:val="4"/>
    <w:qFormat/>
    <w:uiPriority w:val="0"/>
    <w:pPr>
      <w:spacing w:after="0" w:line="500" w:lineRule="exact"/>
      <w:ind w:firstLine="420"/>
    </w:pPr>
    <w:rPr>
      <w:rFonts w:ascii="仿宋_GB2312"/>
      <w:sz w:val="28"/>
    </w:rPr>
  </w:style>
  <w:style w:type="paragraph" w:styleId="6">
    <w:name w:val="Body Text Indent"/>
    <w:basedOn w:val="1"/>
    <w:link w:val="24"/>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8"/>
    <w:semiHidden/>
    <w:unhideWhenUsed/>
    <w:qFormat/>
    <w:uiPriority w:val="99"/>
    <w:rPr>
      <w:sz w:val="18"/>
      <w:szCs w:val="18"/>
    </w:rPr>
  </w:style>
  <w:style w:type="paragraph" w:styleId="8">
    <w:name w:val="footer"/>
    <w:basedOn w:val="1"/>
    <w:next w:val="2"/>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11"/>
    <w:link w:val="25"/>
    <w:semiHidden/>
    <w:qFormat/>
    <w:uiPriority w:val="0"/>
    <w:pPr>
      <w:snapToGrid w:val="0"/>
      <w:jc w:val="left"/>
    </w:pPr>
    <w:rPr>
      <w:sz w:val="18"/>
      <w:szCs w:val="18"/>
    </w:rPr>
  </w:style>
  <w:style w:type="paragraph" w:styleId="11">
    <w:name w:val="Body Text First Indent 2"/>
    <w:basedOn w:val="6"/>
    <w:next w:val="3"/>
    <w:link w:val="26"/>
    <w:unhideWhenUsed/>
    <w:qFormat/>
    <w:uiPriority w:val="99"/>
    <w:pPr>
      <w:ind w:firstLine="420" w:firstLineChars="200"/>
    </w:p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7"/>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 w:type="character" w:customStyle="1" w:styleId="22">
    <w:name w:val="15"/>
    <w:basedOn w:val="13"/>
    <w:qFormat/>
    <w:uiPriority w:val="0"/>
    <w:rPr>
      <w:rFonts w:hint="default" w:ascii="Times New Roman" w:hAnsi="Times New Roman" w:eastAsia="楷体_GB2312" w:cs="Times New Roman"/>
      <w:b/>
      <w:bCs/>
      <w:kern w:val="2"/>
      <w:sz w:val="32"/>
      <w:szCs w:val="32"/>
    </w:rPr>
  </w:style>
  <w:style w:type="character" w:customStyle="1" w:styleId="23">
    <w:name w:val="正文文本 Char"/>
    <w:basedOn w:val="13"/>
    <w:link w:val="4"/>
    <w:semiHidden/>
    <w:qFormat/>
    <w:uiPriority w:val="99"/>
    <w:rPr>
      <w:rFonts w:asciiTheme="minorHAnsi" w:hAnsiTheme="minorHAnsi" w:eastAsiaTheme="minorEastAsia" w:cstheme="minorBidi"/>
      <w:kern w:val="2"/>
      <w:sz w:val="21"/>
      <w:szCs w:val="22"/>
    </w:rPr>
  </w:style>
  <w:style w:type="character" w:customStyle="1" w:styleId="24">
    <w:name w:val="正文文本缩进 Char"/>
    <w:basedOn w:val="13"/>
    <w:link w:val="6"/>
    <w:qFormat/>
    <w:uiPriority w:val="99"/>
    <w:rPr>
      <w:rFonts w:ascii="宋体" w:hAnsi="宋体" w:cs="宋体"/>
      <w:sz w:val="24"/>
      <w:szCs w:val="22"/>
    </w:rPr>
  </w:style>
  <w:style w:type="character" w:customStyle="1" w:styleId="25">
    <w:name w:val="脚注文本 Char"/>
    <w:basedOn w:val="13"/>
    <w:link w:val="10"/>
    <w:semiHidden/>
    <w:qFormat/>
    <w:uiPriority w:val="0"/>
    <w:rPr>
      <w:rFonts w:asciiTheme="minorHAnsi" w:hAnsiTheme="minorHAnsi" w:eastAsiaTheme="minorEastAsia" w:cstheme="minorBidi"/>
      <w:kern w:val="2"/>
      <w:sz w:val="18"/>
      <w:szCs w:val="18"/>
    </w:rPr>
  </w:style>
  <w:style w:type="character" w:customStyle="1" w:styleId="26">
    <w:name w:val="正文首行缩进 2 Char"/>
    <w:basedOn w:val="24"/>
    <w:link w:val="1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12824</Words>
  <Characters>14694</Characters>
  <Lines>126</Lines>
  <Paragraphs>35</Paragraphs>
  <TotalTime>5</TotalTime>
  <ScaleCrop>false</ScaleCrop>
  <LinksUpToDate>false</LinksUpToDate>
  <CharactersWithSpaces>15815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2024-09-05T01:46:00Z</dcterms:created>
  <dc:creator>李航 null</dc:creator>
  <cp:lastModifiedBy>lenovo</cp:lastModifiedBy>
  <cp:lastPrinted>2024-08-09T02:20:00Z</cp:lastPrinted>
  <dcterms:modified xsi:type="dcterms:W3CDTF">2024-09-06T07:12:40Z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E30115425B52459E806F8F0B20DCE0DC_12</vt:lpwstr>
  </property>
</Properties>
</file>