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sz w:val="56"/>
          <w:szCs w:val="56"/>
        </w:rPr>
      </w:pPr>
    </w:p>
    <w:p>
      <w:pPr>
        <w:pStyle w:val="14"/>
        <w:jc w:val="center"/>
        <w:rPr>
          <w:sz w:val="56"/>
          <w:szCs w:val="56"/>
        </w:rPr>
      </w:pPr>
    </w:p>
    <w:p>
      <w:pPr>
        <w:pStyle w:val="14"/>
        <w:jc w:val="center"/>
        <w:rPr>
          <w:sz w:val="84"/>
          <w:szCs w:val="84"/>
        </w:rPr>
      </w:pPr>
    </w:p>
    <w:p>
      <w:pPr>
        <w:pStyle w:val="14"/>
        <w:jc w:val="center"/>
        <w:rPr>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4"/>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湖南省农机事务中心</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4"/>
        <w:jc w:val="center"/>
        <w:rPr>
          <w:rFonts w:hint="eastAsia" w:ascii="方正小标宋_GBK" w:hAnsi="方正小标宋_GBK" w:eastAsia="方正小标宋_GBK" w:cs="方正小标宋_GBK"/>
          <w:sz w:val="56"/>
          <w:szCs w:val="56"/>
        </w:rPr>
      </w:pPr>
    </w:p>
    <w:p>
      <w:pPr>
        <w:pStyle w:val="14"/>
        <w:jc w:val="center"/>
        <w:rPr>
          <w:sz w:val="56"/>
          <w:szCs w:val="56"/>
        </w:rPr>
      </w:pPr>
    </w:p>
    <w:p>
      <w:pPr>
        <w:pStyle w:val="14"/>
        <w:jc w:val="center"/>
        <w:rPr>
          <w:sz w:val="56"/>
          <w:szCs w:val="56"/>
        </w:rPr>
      </w:pPr>
    </w:p>
    <w:p>
      <w:pPr>
        <w:pStyle w:val="14"/>
        <w:jc w:val="center"/>
        <w:rPr>
          <w:sz w:val="56"/>
          <w:szCs w:val="56"/>
        </w:rPr>
      </w:pPr>
    </w:p>
    <w:p>
      <w:pPr>
        <w:pStyle w:val="14"/>
        <w:jc w:val="center"/>
        <w:rPr>
          <w:sz w:val="32"/>
          <w:szCs w:val="32"/>
        </w:rPr>
      </w:pPr>
    </w:p>
    <w:p>
      <w:pPr>
        <w:pStyle w:val="14"/>
        <w:jc w:val="center"/>
        <w:rPr>
          <w:sz w:val="32"/>
          <w:szCs w:val="32"/>
        </w:rPr>
      </w:pPr>
    </w:p>
    <w:p>
      <w:pPr>
        <w:pStyle w:val="14"/>
        <w:jc w:val="center"/>
        <w:rPr>
          <w:sz w:val="32"/>
          <w:szCs w:val="32"/>
        </w:rPr>
      </w:pPr>
    </w:p>
    <w:p>
      <w:pPr>
        <w:pStyle w:val="14"/>
        <w:spacing w:line="500" w:lineRule="exact"/>
        <w:jc w:val="center"/>
        <w:rPr>
          <w:b/>
          <w:sz w:val="36"/>
          <w:szCs w:val="28"/>
        </w:rPr>
      </w:pPr>
      <w:r>
        <w:rPr>
          <w:rFonts w:hint="eastAsia"/>
          <w:b/>
          <w:sz w:val="36"/>
          <w:szCs w:val="28"/>
        </w:rPr>
        <w:t>目录</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bCs/>
          <w:sz w:val="28"/>
          <w:szCs w:val="28"/>
        </w:rPr>
        <w:t>湖南省农机事务中心</w:t>
      </w:r>
      <w:r>
        <w:rPr>
          <w:rFonts w:hint="eastAsia" w:ascii="黑体" w:hAnsi="黑体" w:eastAsia="黑体" w:cs="黑体"/>
          <w:b w:val="0"/>
          <w:bCs/>
          <w:sz w:val="28"/>
          <w:szCs w:val="28"/>
        </w:rPr>
        <w:t>概况</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4"/>
        <w:spacing w:line="500" w:lineRule="exact"/>
        <w:rPr>
          <w:rFonts w:hint="eastAsia" w:ascii="黑体" w:hAnsi="黑体" w:eastAsia="黑体" w:cs="黑体"/>
          <w:b w:val="0"/>
          <w:bCs/>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湖南省农机事务中心</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both"/>
        <w:rPr>
          <w:sz w:val="72"/>
          <w:szCs w:val="72"/>
        </w:rPr>
      </w:pPr>
    </w:p>
    <w:p>
      <w:pPr>
        <w:jc w:val="both"/>
        <w:rPr>
          <w:sz w:val="72"/>
          <w:szCs w:val="72"/>
        </w:rPr>
      </w:pPr>
    </w:p>
    <w:p>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widowControl/>
        <w:spacing w:line="600" w:lineRule="exact"/>
        <w:ind w:firstLine="627" w:firstLineChars="196"/>
        <w:rPr>
          <w:rFonts w:asciiTheme="minorEastAsia" w:hAnsiTheme="minorEastAsia"/>
          <w:bCs/>
          <w:kern w:val="0"/>
          <w:sz w:val="32"/>
          <w:szCs w:val="32"/>
        </w:rPr>
      </w:pPr>
      <w:r>
        <w:rPr>
          <w:rFonts w:hint="eastAsia" w:asciiTheme="minorEastAsia" w:hAnsiTheme="minorEastAsia"/>
          <w:bCs/>
          <w:kern w:val="0"/>
          <w:sz w:val="32"/>
          <w:szCs w:val="32"/>
        </w:rPr>
        <w:t>（一）为全省农业机械化生产、农机社会化服务、农机维修、农机抗灾救灾、农机安全生产监管等相关工作提供技术支持、服务保障和相关公益服务。承担农业机械从业人员教育培训和职业技能开发工作。</w:t>
      </w:r>
    </w:p>
    <w:p>
      <w:pPr>
        <w:widowControl/>
        <w:spacing w:line="600" w:lineRule="exact"/>
        <w:ind w:firstLine="627" w:firstLineChars="196"/>
        <w:rPr>
          <w:rFonts w:asciiTheme="minorEastAsia" w:hAnsiTheme="minorEastAsia"/>
          <w:bCs/>
          <w:kern w:val="0"/>
          <w:sz w:val="32"/>
          <w:szCs w:val="32"/>
        </w:rPr>
      </w:pPr>
      <w:r>
        <w:rPr>
          <w:rFonts w:hint="eastAsia" w:asciiTheme="minorEastAsia" w:hAnsiTheme="minorEastAsia"/>
          <w:bCs/>
          <w:kern w:val="0"/>
          <w:sz w:val="32"/>
          <w:szCs w:val="32"/>
        </w:rPr>
        <w:t>（二）承担农业机械补贴政策实施相关事务性工作。</w:t>
      </w:r>
    </w:p>
    <w:p>
      <w:pPr>
        <w:widowControl/>
        <w:spacing w:line="600" w:lineRule="exact"/>
        <w:ind w:firstLine="627" w:firstLineChars="196"/>
        <w:rPr>
          <w:rFonts w:asciiTheme="minorEastAsia" w:hAnsiTheme="minorEastAsia"/>
          <w:bCs/>
          <w:kern w:val="0"/>
          <w:sz w:val="32"/>
          <w:szCs w:val="32"/>
        </w:rPr>
      </w:pPr>
      <w:r>
        <w:rPr>
          <w:rFonts w:hint="eastAsia" w:asciiTheme="minorEastAsia" w:hAnsiTheme="minorEastAsia"/>
          <w:bCs/>
          <w:kern w:val="0"/>
          <w:sz w:val="32"/>
          <w:szCs w:val="32"/>
        </w:rPr>
        <w:t>（三）承担农业机械化信息网络建设运行、农业机械化生产信息统计工作。</w:t>
      </w:r>
    </w:p>
    <w:p>
      <w:pPr>
        <w:widowControl/>
        <w:spacing w:line="600" w:lineRule="exact"/>
        <w:ind w:firstLine="627" w:firstLineChars="196"/>
        <w:rPr>
          <w:rFonts w:asciiTheme="minorEastAsia" w:hAnsiTheme="minorEastAsia"/>
          <w:bCs/>
          <w:kern w:val="0"/>
          <w:sz w:val="32"/>
          <w:szCs w:val="32"/>
        </w:rPr>
      </w:pPr>
      <w:r>
        <w:rPr>
          <w:rFonts w:hint="eastAsia" w:asciiTheme="minorEastAsia" w:hAnsiTheme="minorEastAsia"/>
          <w:bCs/>
          <w:kern w:val="0"/>
          <w:sz w:val="32"/>
          <w:szCs w:val="32"/>
        </w:rPr>
        <w:t>（四）承担农业机械新机具、新技术的引进和示范推广等相关技术性、事务性工作。承担省级支持推广的农业机械产品目录制定相关技术性、事务性工作。</w:t>
      </w:r>
    </w:p>
    <w:p>
      <w:pPr>
        <w:widowControl/>
        <w:spacing w:line="600" w:lineRule="exact"/>
        <w:ind w:firstLine="627" w:firstLineChars="196"/>
        <w:rPr>
          <w:rFonts w:asciiTheme="minorEastAsia" w:hAnsiTheme="minorEastAsia"/>
          <w:bCs/>
          <w:kern w:val="0"/>
          <w:sz w:val="32"/>
          <w:szCs w:val="32"/>
        </w:rPr>
      </w:pPr>
      <w:r>
        <w:rPr>
          <w:rFonts w:hint="eastAsia" w:asciiTheme="minorEastAsia" w:hAnsiTheme="minorEastAsia"/>
          <w:bCs/>
          <w:kern w:val="0"/>
          <w:sz w:val="32"/>
          <w:szCs w:val="32"/>
        </w:rPr>
        <w:t>（五）承担农业机械试验鉴定相关技术性工作。</w:t>
      </w:r>
    </w:p>
    <w:p>
      <w:pPr>
        <w:widowControl/>
        <w:spacing w:line="600" w:lineRule="exact"/>
        <w:ind w:firstLine="627" w:firstLineChars="196"/>
        <w:rPr>
          <w:rFonts w:hint="eastAsia" w:asciiTheme="minorEastAsia" w:hAnsiTheme="minorEastAsia" w:eastAsiaTheme="minorEastAsia"/>
          <w:bCs/>
          <w:kern w:val="0"/>
          <w:sz w:val="32"/>
          <w:szCs w:val="32"/>
          <w:lang w:val="en-US" w:eastAsia="zh-CN"/>
        </w:rPr>
      </w:pPr>
      <w:r>
        <w:rPr>
          <w:rFonts w:hint="eastAsia" w:asciiTheme="minorEastAsia" w:hAnsiTheme="minorEastAsia"/>
          <w:bCs/>
          <w:kern w:val="0"/>
          <w:sz w:val="32"/>
          <w:szCs w:val="32"/>
        </w:rPr>
        <w:t>（六）对市县农机事务中心进行业务和技术指导。联系农机行业相关学会、协会。</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27" w:firstLineChars="196"/>
        <w:rPr>
          <w:rFonts w:asciiTheme="minorEastAsia" w:hAnsiTheme="minorEastAsia"/>
          <w:bCs/>
          <w:kern w:val="0"/>
          <w:sz w:val="32"/>
          <w:szCs w:val="32"/>
        </w:rPr>
      </w:pPr>
      <w:r>
        <w:rPr>
          <w:rFonts w:hint="eastAsia" w:asciiTheme="minorEastAsia" w:hAnsiTheme="minorEastAsia"/>
          <w:bCs/>
          <w:kern w:val="0"/>
          <w:sz w:val="32"/>
          <w:szCs w:val="32"/>
        </w:rPr>
        <w:t>（一）内设机构设置。省农机事务中心内设机构包括：综合部、党群人事部、生产服务部、产业发展部、科技推广部、安全监理部、试验鉴定部。</w:t>
      </w:r>
    </w:p>
    <w:p>
      <w:pPr>
        <w:widowControl/>
        <w:spacing w:line="60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（二）决算单位构成。省农机事务中</w:t>
      </w:r>
      <w:r>
        <w:rPr>
          <w:rFonts w:hint="eastAsia" w:asciiTheme="minorEastAsia" w:hAnsiTheme="minorEastAsia"/>
          <w:bCs/>
          <w:kern w:val="0"/>
          <w:sz w:val="32"/>
          <w:szCs w:val="32"/>
          <w:highlight w:val="none"/>
        </w:rPr>
        <w:t>心</w:t>
      </w:r>
      <w:r>
        <w:rPr>
          <w:rFonts w:asciiTheme="minorEastAsia" w:hAnsiTheme="minorEastAsia"/>
          <w:bCs/>
          <w:kern w:val="0"/>
          <w:sz w:val="32"/>
          <w:szCs w:val="32"/>
          <w:highlight w:val="none"/>
        </w:rPr>
        <w:t>20</w:t>
      </w:r>
      <w:r>
        <w:rPr>
          <w:rFonts w:hint="eastAsia" w:asciiTheme="minorEastAsia" w:hAnsiTheme="minorEastAsia"/>
          <w:bCs/>
          <w:kern w:val="0"/>
          <w:sz w:val="32"/>
          <w:szCs w:val="32"/>
          <w:highlight w:val="none"/>
        </w:rPr>
        <w:t>2</w:t>
      </w:r>
      <w:r>
        <w:rPr>
          <w:rFonts w:hint="eastAsia" w:asciiTheme="minorEastAsia" w:hAnsiTheme="minorEastAsia"/>
          <w:bCs/>
          <w:kern w:val="0"/>
          <w:sz w:val="32"/>
          <w:szCs w:val="32"/>
          <w:highlight w:val="none"/>
          <w:lang w:val="en-US" w:eastAsia="zh-CN"/>
        </w:rPr>
        <w:t>3</w:t>
      </w:r>
      <w:r>
        <w:rPr>
          <w:rFonts w:hint="eastAsia" w:asciiTheme="minorEastAsia" w:hAnsiTheme="minorEastAsia"/>
          <w:bCs/>
          <w:kern w:val="0"/>
          <w:sz w:val="32"/>
          <w:szCs w:val="32"/>
          <w:highlight w:val="none"/>
        </w:rPr>
        <w:t>年部门</w:t>
      </w:r>
      <w:r>
        <w:rPr>
          <w:rFonts w:hint="eastAsia" w:asciiTheme="minorEastAsia" w:hAnsiTheme="minorEastAsia"/>
          <w:bCs/>
          <w:kern w:val="0"/>
          <w:sz w:val="32"/>
          <w:szCs w:val="32"/>
        </w:rPr>
        <w:t>决算汇总公开单位构成包括：省农机事务中心本级。</w:t>
      </w:r>
    </w:p>
    <w:p>
      <w:pPr>
        <w:jc w:val="left"/>
        <w:rPr>
          <w:rFonts w:ascii="仿宋_GB2312" w:eastAsia="仿宋_GB2312" w:hAnsiTheme="minorEastAsia"/>
          <w:sz w:val="28"/>
          <w:szCs w:val="32"/>
        </w:rPr>
      </w:pP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both"/>
        <w:rPr>
          <w:sz w:val="72"/>
          <w:szCs w:val="72"/>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10"/>
        <w:tblpPr w:leftFromText="180" w:rightFromText="180" w:vertAnchor="text" w:horzAnchor="page" w:tblpX="832" w:tblpY="76"/>
        <w:tblOverlap w:val="never"/>
        <w:tblW w:w="148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07"/>
        <w:gridCol w:w="902"/>
        <w:gridCol w:w="1488"/>
        <w:gridCol w:w="4714"/>
        <w:gridCol w:w="902"/>
        <w:gridCol w:w="17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6" w:hRule="atLeast"/>
        </w:trPr>
        <w:tc>
          <w:tcPr>
            <w:tcW w:w="14800" w:type="dxa"/>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华文中宋" w:hAnsi="华文中宋" w:eastAsia="华文中宋" w:cs="华文中宋"/>
                <w:i w:val="0"/>
                <w:iCs w:val="0"/>
                <w:color w:val="000000"/>
                <w:sz w:val="32"/>
                <w:szCs w:val="32"/>
                <w:u w:val="none"/>
              </w:rPr>
            </w:pPr>
            <w:r>
              <w:rPr>
                <w:rFonts w:hint="eastAsia" w:ascii="华文中宋" w:hAnsi="华文中宋" w:eastAsia="华文中宋" w:cs="华文中宋"/>
                <w:i w:val="0"/>
                <w:iCs w:val="0"/>
                <w:color w:val="000000"/>
                <w:kern w:val="0"/>
                <w:sz w:val="32"/>
                <w:szCs w:val="32"/>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3" w:hRule="atLeast"/>
        </w:trPr>
        <w:tc>
          <w:tcPr>
            <w:tcW w:w="5007"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4"/>
                <w:szCs w:val="24"/>
                <w:u w:val="none"/>
              </w:rPr>
            </w:pPr>
          </w:p>
        </w:tc>
        <w:tc>
          <w:tcPr>
            <w:tcW w:w="902"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4"/>
                <w:szCs w:val="24"/>
                <w:u w:val="none"/>
              </w:rPr>
            </w:pPr>
          </w:p>
        </w:tc>
        <w:tc>
          <w:tcPr>
            <w:tcW w:w="1488"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4"/>
                <w:szCs w:val="24"/>
                <w:u w:val="none"/>
              </w:rPr>
            </w:pPr>
          </w:p>
        </w:tc>
        <w:tc>
          <w:tcPr>
            <w:tcW w:w="4714"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4"/>
                <w:szCs w:val="24"/>
                <w:u w:val="none"/>
              </w:rPr>
            </w:pPr>
          </w:p>
        </w:tc>
        <w:tc>
          <w:tcPr>
            <w:tcW w:w="902" w:type="dxa"/>
            <w:tcBorders>
              <w:top w:val="nil"/>
              <w:left w:val="nil"/>
              <w:bottom w:val="nil"/>
              <w:right w:val="nil"/>
            </w:tcBorders>
            <w:shd w:val="clear" w:color="auto" w:fill="FFFFFF"/>
            <w:noWrap/>
            <w:vAlign w:val="center"/>
          </w:tcPr>
          <w:p>
            <w:pPr>
              <w:jc w:val="right"/>
              <w:rPr>
                <w:rFonts w:hint="eastAsia" w:ascii="宋体" w:hAnsi="宋体" w:eastAsia="宋体" w:cs="宋体"/>
                <w:i w:val="0"/>
                <w:iCs w:val="0"/>
                <w:color w:val="000000"/>
                <w:sz w:val="24"/>
                <w:szCs w:val="24"/>
                <w:u w:val="none"/>
              </w:rPr>
            </w:pPr>
          </w:p>
        </w:tc>
        <w:tc>
          <w:tcPr>
            <w:tcW w:w="1787"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3" w:hRule="atLeast"/>
        </w:trPr>
        <w:tc>
          <w:tcPr>
            <w:tcW w:w="5007" w:type="dxa"/>
            <w:tcBorders>
              <w:top w:val="nil"/>
              <w:left w:val="nil"/>
              <w:bottom w:val="single" w:color="auto"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部门：湖南省农机事务中心</w:t>
            </w:r>
          </w:p>
        </w:tc>
        <w:tc>
          <w:tcPr>
            <w:tcW w:w="902" w:type="dxa"/>
            <w:tcBorders>
              <w:top w:val="nil"/>
              <w:left w:val="nil"/>
              <w:bottom w:val="single" w:color="auto" w:sz="4" w:space="0"/>
              <w:right w:val="nil"/>
            </w:tcBorders>
            <w:shd w:val="clear" w:color="auto" w:fill="FFFFFF"/>
            <w:noWrap/>
            <w:vAlign w:val="center"/>
          </w:tcPr>
          <w:p>
            <w:pPr>
              <w:jc w:val="right"/>
              <w:rPr>
                <w:rFonts w:hint="eastAsia" w:ascii="宋体" w:hAnsi="宋体" w:eastAsia="宋体" w:cs="宋体"/>
                <w:i w:val="0"/>
                <w:iCs w:val="0"/>
                <w:color w:val="000000"/>
                <w:sz w:val="24"/>
                <w:szCs w:val="24"/>
                <w:u w:val="none"/>
              </w:rPr>
            </w:pPr>
          </w:p>
        </w:tc>
        <w:tc>
          <w:tcPr>
            <w:tcW w:w="1488" w:type="dxa"/>
            <w:tcBorders>
              <w:top w:val="nil"/>
              <w:left w:val="nil"/>
              <w:bottom w:val="single" w:color="auto" w:sz="4" w:space="0"/>
              <w:right w:val="nil"/>
            </w:tcBorders>
            <w:shd w:val="clear" w:color="auto" w:fill="FFFFFF"/>
            <w:noWrap/>
            <w:vAlign w:val="center"/>
          </w:tcPr>
          <w:p>
            <w:pPr>
              <w:jc w:val="right"/>
              <w:rPr>
                <w:rFonts w:hint="eastAsia" w:ascii="宋体" w:hAnsi="宋体" w:eastAsia="宋体" w:cs="宋体"/>
                <w:i w:val="0"/>
                <w:iCs w:val="0"/>
                <w:color w:val="000000"/>
                <w:sz w:val="24"/>
                <w:szCs w:val="24"/>
                <w:u w:val="none"/>
              </w:rPr>
            </w:pPr>
          </w:p>
        </w:tc>
        <w:tc>
          <w:tcPr>
            <w:tcW w:w="4714" w:type="dxa"/>
            <w:tcBorders>
              <w:top w:val="nil"/>
              <w:left w:val="nil"/>
              <w:bottom w:val="single" w:color="auto" w:sz="4" w:space="0"/>
              <w:right w:val="nil"/>
            </w:tcBorders>
            <w:shd w:val="clear" w:color="auto" w:fill="FFFFFF"/>
            <w:noWrap/>
            <w:vAlign w:val="center"/>
          </w:tcPr>
          <w:p>
            <w:pPr>
              <w:jc w:val="right"/>
              <w:rPr>
                <w:rFonts w:hint="eastAsia" w:ascii="宋体" w:hAnsi="宋体" w:eastAsia="宋体" w:cs="宋体"/>
                <w:i w:val="0"/>
                <w:iCs w:val="0"/>
                <w:color w:val="000000"/>
                <w:sz w:val="24"/>
                <w:szCs w:val="24"/>
                <w:u w:val="none"/>
              </w:rPr>
            </w:pPr>
          </w:p>
        </w:tc>
        <w:tc>
          <w:tcPr>
            <w:tcW w:w="902" w:type="dxa"/>
            <w:tcBorders>
              <w:top w:val="nil"/>
              <w:left w:val="nil"/>
              <w:bottom w:val="single" w:color="auto" w:sz="4" w:space="0"/>
              <w:right w:val="nil"/>
            </w:tcBorders>
            <w:shd w:val="clear" w:color="auto" w:fill="FFFFFF"/>
            <w:noWrap/>
            <w:vAlign w:val="center"/>
          </w:tcPr>
          <w:p>
            <w:pPr>
              <w:jc w:val="right"/>
              <w:rPr>
                <w:rFonts w:hint="eastAsia" w:ascii="宋体" w:hAnsi="宋体" w:eastAsia="宋体" w:cs="宋体"/>
                <w:i w:val="0"/>
                <w:iCs w:val="0"/>
                <w:color w:val="000000"/>
                <w:sz w:val="24"/>
                <w:szCs w:val="24"/>
                <w:u w:val="none"/>
              </w:rPr>
            </w:pPr>
          </w:p>
        </w:tc>
        <w:tc>
          <w:tcPr>
            <w:tcW w:w="1787" w:type="dxa"/>
            <w:tcBorders>
              <w:top w:val="nil"/>
              <w:left w:val="nil"/>
              <w:bottom w:val="single" w:color="auto" w:sz="4" w:space="0"/>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5" w:hRule="atLeast"/>
        </w:trPr>
        <w:tc>
          <w:tcPr>
            <w:tcW w:w="739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w:t>
            </w:r>
          </w:p>
        </w:tc>
        <w:tc>
          <w:tcPr>
            <w:tcW w:w="74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sz w:val="22"/>
                <w:szCs w:val="22"/>
                <w:u w:val="none"/>
              </w:rPr>
            </w:pP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sz w:val="22"/>
                <w:szCs w:val="22"/>
                <w:u w:val="none"/>
              </w:rPr>
            </w:pP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一、一般公共预算财政拨款收入</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5,707.40</w:t>
            </w: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二、政府性基金预算财政拨款收入</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三、国有资本经营预算财政拨款收入</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四、上级补助收入</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五、事业收入</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六、经营收入</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七、附属单位上缴收入</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八、其他收入</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27.12</w:t>
            </w: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974.88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2"/>
                <w:szCs w:val="22"/>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2"/>
                <w:szCs w:val="22"/>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2"/>
                <w:szCs w:val="22"/>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2"/>
                <w:szCs w:val="22"/>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3,456.12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2"/>
                <w:szCs w:val="22"/>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2"/>
                <w:szCs w:val="22"/>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2"/>
                <w:szCs w:val="22"/>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2"/>
                <w:szCs w:val="22"/>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2"/>
                <w:szCs w:val="22"/>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2"/>
                <w:szCs w:val="22"/>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2"/>
                <w:szCs w:val="22"/>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2"/>
                <w:szCs w:val="22"/>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2"/>
                <w:szCs w:val="22"/>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2"/>
                <w:szCs w:val="22"/>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2"/>
                <w:szCs w:val="22"/>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center"/>
              <w:rPr>
                <w:rFonts w:hint="eastAsia" w:ascii="宋体" w:hAnsi="宋体" w:eastAsia="宋体" w:cs="宋体"/>
                <w:b/>
                <w:bCs/>
                <w:i w:val="0"/>
                <w:iCs w:val="0"/>
                <w:color w:val="000000"/>
                <w:sz w:val="20"/>
                <w:szCs w:val="20"/>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0"/>
                <w:szCs w:val="20"/>
                <w:u w:val="none"/>
              </w:rPr>
            </w:pP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0"/>
                <w:szCs w:val="20"/>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0"/>
                <w:szCs w:val="20"/>
                <w:u w:val="none"/>
              </w:rPr>
            </w:pP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0"/>
                <w:szCs w:val="20"/>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0"/>
                <w:szCs w:val="20"/>
                <w:u w:val="none"/>
              </w:rPr>
            </w:pP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5,734.52</w:t>
            </w: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4,659.00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使用非财政拨款结余和专用结余</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结余分配</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649.43</w:t>
            </w: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1,724.72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2"/>
                <w:szCs w:val="22"/>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2"/>
                <w:szCs w:val="22"/>
                <w:u w:val="none"/>
              </w:rPr>
            </w:pP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tLeast"/>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50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48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6,383.94</w:t>
            </w:r>
          </w:p>
        </w:tc>
        <w:tc>
          <w:tcPr>
            <w:tcW w:w="47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6,383.94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14800" w:type="dxa"/>
            <w:gridSpan w:val="6"/>
            <w:tcBorders>
              <w:top w:val="single" w:color="auto" w:sz="4" w:space="0"/>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3" w:hRule="atLeast"/>
        </w:trPr>
        <w:tc>
          <w:tcPr>
            <w:tcW w:w="14800" w:type="dxa"/>
            <w:gridSpan w:val="6"/>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2.本套报表金额单位转换时可能存在尾数误差。</w:t>
            </w:r>
          </w:p>
        </w:tc>
      </w:tr>
    </w:tbl>
    <w:p>
      <w:pPr>
        <w:keepNext w:val="0"/>
        <w:keepLines w:val="0"/>
        <w:widowControl/>
        <w:suppressLineNumbers w:val="0"/>
        <w:jc w:val="both"/>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sectPr>
          <w:pgSz w:w="16838" w:h="11906" w:orient="landscape"/>
          <w:pgMar w:top="720" w:right="720" w:bottom="720" w:left="720" w:header="851" w:footer="992" w:gutter="0"/>
          <w:cols w:space="425" w:num="1"/>
          <w:docGrid w:type="lines" w:linePitch="312" w:charSpace="0"/>
        </w:sectPr>
      </w:pP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p>
    <w:tbl>
      <w:tblPr>
        <w:tblStyle w:val="10"/>
        <w:tblW w:w="151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35"/>
        <w:gridCol w:w="371"/>
        <w:gridCol w:w="335"/>
        <w:gridCol w:w="3855"/>
        <w:gridCol w:w="3073"/>
        <w:gridCol w:w="1240"/>
        <w:gridCol w:w="793"/>
        <w:gridCol w:w="793"/>
        <w:gridCol w:w="793"/>
        <w:gridCol w:w="793"/>
        <w:gridCol w:w="17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18" w:hRule="atLeast"/>
        </w:trPr>
        <w:tc>
          <w:tcPr>
            <w:tcW w:w="15160" w:type="dxa"/>
            <w:gridSpan w:val="11"/>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r>
              <w:rPr>
                <w:rFonts w:hint="eastAsia" w:ascii="黑体" w:hAnsi="宋体" w:eastAsia="黑体" w:cs="黑体"/>
                <w:i w:val="0"/>
                <w:iCs w:val="0"/>
                <w:color w:val="000000"/>
                <w:kern w:val="0"/>
                <w:sz w:val="30"/>
                <w:szCs w:val="30"/>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9" w:hRule="atLeast"/>
        </w:trPr>
        <w:tc>
          <w:tcPr>
            <w:tcW w:w="133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7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3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85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07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4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9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9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9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9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779"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8" w:hRule="atLeast"/>
        </w:trPr>
        <w:tc>
          <w:tcPr>
            <w:tcW w:w="5896" w:type="dxa"/>
            <w:gridSpan w:val="4"/>
            <w:tcBorders>
              <w:top w:val="nil"/>
              <w:left w:val="nil"/>
              <w:bottom w:val="single" w:color="auto" w:sz="4" w:space="0"/>
              <w:right w:val="nil"/>
            </w:tcBorders>
            <w:shd w:val="clear" w:color="auto" w:fill="auto"/>
            <w:noWrap/>
            <w:vAlign w:val="bottom"/>
          </w:tcPr>
          <w:p>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部门：湖南省农机事务中心</w:t>
            </w:r>
          </w:p>
        </w:tc>
        <w:tc>
          <w:tcPr>
            <w:tcW w:w="3073"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40"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93"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93"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93"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93"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779" w:type="dxa"/>
            <w:tcBorders>
              <w:top w:val="nil"/>
              <w:left w:val="nil"/>
              <w:bottom w:val="single" w:color="auto" w:sz="4" w:space="0"/>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5896"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30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12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财政拨款收入</w:t>
            </w:r>
          </w:p>
        </w:tc>
        <w:tc>
          <w:tcPr>
            <w:tcW w:w="7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上级补助收入</w:t>
            </w:r>
          </w:p>
        </w:tc>
        <w:tc>
          <w:tcPr>
            <w:tcW w:w="7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事业收入</w:t>
            </w:r>
          </w:p>
        </w:tc>
        <w:tc>
          <w:tcPr>
            <w:tcW w:w="7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经营收入</w:t>
            </w:r>
          </w:p>
        </w:tc>
        <w:tc>
          <w:tcPr>
            <w:tcW w:w="7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附属单位上缴收入</w:t>
            </w:r>
          </w:p>
        </w:tc>
        <w:tc>
          <w:tcPr>
            <w:tcW w:w="17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204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385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30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7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204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855"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0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7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204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855"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0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7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5896"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30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7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5896"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30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5,734.52</w:t>
            </w:r>
          </w:p>
        </w:tc>
        <w:tc>
          <w:tcPr>
            <w:tcW w:w="12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5,707.40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7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27.12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204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38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30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994.94</w:t>
            </w:r>
          </w:p>
        </w:tc>
        <w:tc>
          <w:tcPr>
            <w:tcW w:w="12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994.94</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204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38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30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984.33</w:t>
            </w:r>
          </w:p>
        </w:tc>
        <w:tc>
          <w:tcPr>
            <w:tcW w:w="12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984.33</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204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2080502</w:t>
            </w:r>
          </w:p>
        </w:tc>
        <w:tc>
          <w:tcPr>
            <w:tcW w:w="38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事业单位离退休</w:t>
            </w:r>
          </w:p>
        </w:tc>
        <w:tc>
          <w:tcPr>
            <w:tcW w:w="30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486.33</w:t>
            </w:r>
          </w:p>
        </w:tc>
        <w:tc>
          <w:tcPr>
            <w:tcW w:w="12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486.33</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4" w:hRule="atLeast"/>
        </w:trPr>
        <w:tc>
          <w:tcPr>
            <w:tcW w:w="204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38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30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498.00</w:t>
            </w:r>
          </w:p>
        </w:tc>
        <w:tc>
          <w:tcPr>
            <w:tcW w:w="12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498.00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204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20808</w:t>
            </w:r>
          </w:p>
        </w:tc>
        <w:tc>
          <w:tcPr>
            <w:tcW w:w="38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抚恤</w:t>
            </w:r>
          </w:p>
        </w:tc>
        <w:tc>
          <w:tcPr>
            <w:tcW w:w="30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10.61</w:t>
            </w:r>
          </w:p>
        </w:tc>
        <w:tc>
          <w:tcPr>
            <w:tcW w:w="12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10.61</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204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2080801</w:t>
            </w:r>
          </w:p>
        </w:tc>
        <w:tc>
          <w:tcPr>
            <w:tcW w:w="38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死亡抚恤</w:t>
            </w:r>
          </w:p>
        </w:tc>
        <w:tc>
          <w:tcPr>
            <w:tcW w:w="30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10.61</w:t>
            </w:r>
          </w:p>
        </w:tc>
        <w:tc>
          <w:tcPr>
            <w:tcW w:w="12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10.61</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204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38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农林水支出</w:t>
            </w:r>
          </w:p>
        </w:tc>
        <w:tc>
          <w:tcPr>
            <w:tcW w:w="30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4,511.58</w:t>
            </w:r>
          </w:p>
        </w:tc>
        <w:tc>
          <w:tcPr>
            <w:tcW w:w="12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4,484.46</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204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w:t>
            </w:r>
          </w:p>
        </w:tc>
        <w:tc>
          <w:tcPr>
            <w:tcW w:w="38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农业农村</w:t>
            </w:r>
          </w:p>
        </w:tc>
        <w:tc>
          <w:tcPr>
            <w:tcW w:w="30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4,511.58</w:t>
            </w:r>
          </w:p>
        </w:tc>
        <w:tc>
          <w:tcPr>
            <w:tcW w:w="12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4,484.46</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204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2130101</w:t>
            </w:r>
          </w:p>
        </w:tc>
        <w:tc>
          <w:tcPr>
            <w:tcW w:w="38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行政运行</w:t>
            </w:r>
          </w:p>
        </w:tc>
        <w:tc>
          <w:tcPr>
            <w:tcW w:w="30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2,534.01</w:t>
            </w:r>
          </w:p>
        </w:tc>
        <w:tc>
          <w:tcPr>
            <w:tcW w:w="12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2,533.75</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204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2130106</w:t>
            </w:r>
          </w:p>
        </w:tc>
        <w:tc>
          <w:tcPr>
            <w:tcW w:w="38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科技转化与推广服务</w:t>
            </w:r>
          </w:p>
        </w:tc>
        <w:tc>
          <w:tcPr>
            <w:tcW w:w="30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1,220.71</w:t>
            </w:r>
          </w:p>
        </w:tc>
        <w:tc>
          <w:tcPr>
            <w:tcW w:w="12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1,220.71</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204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2130122</w:t>
            </w:r>
          </w:p>
        </w:tc>
        <w:tc>
          <w:tcPr>
            <w:tcW w:w="38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农业生产发展</w:t>
            </w:r>
          </w:p>
        </w:tc>
        <w:tc>
          <w:tcPr>
            <w:tcW w:w="30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756.86</w:t>
            </w:r>
          </w:p>
        </w:tc>
        <w:tc>
          <w:tcPr>
            <w:tcW w:w="12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204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38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30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12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204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38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30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12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2041"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38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30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12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7" w:hRule="atLeast"/>
        </w:trPr>
        <w:tc>
          <w:tcPr>
            <w:tcW w:w="15160" w:type="dxa"/>
            <w:gridSpan w:val="11"/>
            <w:tcBorders>
              <w:top w:val="single" w:color="auto" w:sz="4" w:space="0"/>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注：本表反映部门本年度取得的各项收入情况。</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br w:type="page"/>
      </w:r>
    </w:p>
    <w:p>
      <w:pPr>
        <w:widowControl/>
        <w:rPr>
          <w:rFonts w:ascii="Times New Roman" w:hAnsi="Times New Roman" w:eastAsia="方正小标宋_GBK" w:cs="Times New Roman"/>
          <w:color w:val="000000"/>
          <w:kern w:val="0"/>
          <w:sz w:val="36"/>
          <w:szCs w:val="36"/>
        </w:rPr>
      </w:pPr>
    </w:p>
    <w:tbl>
      <w:tblPr>
        <w:tblStyle w:val="10"/>
        <w:tblW w:w="1552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7"/>
        <w:gridCol w:w="327"/>
        <w:gridCol w:w="346"/>
        <w:gridCol w:w="4429"/>
        <w:gridCol w:w="1941"/>
        <w:gridCol w:w="2083"/>
        <w:gridCol w:w="1545"/>
        <w:gridCol w:w="1277"/>
        <w:gridCol w:w="1275"/>
        <w:gridCol w:w="19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1" w:hRule="atLeast"/>
        </w:trPr>
        <w:tc>
          <w:tcPr>
            <w:tcW w:w="15521" w:type="dxa"/>
            <w:gridSpan w:val="10"/>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r>
              <w:rPr>
                <w:rFonts w:hint="eastAsia" w:ascii="黑体" w:hAnsi="宋体" w:eastAsia="黑体" w:cs="黑体"/>
                <w:i w:val="0"/>
                <w:iCs w:val="0"/>
                <w:color w:val="000000"/>
                <w:kern w:val="0"/>
                <w:sz w:val="30"/>
                <w:szCs w:val="30"/>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3" w:hRule="atLeast"/>
        </w:trPr>
        <w:tc>
          <w:tcPr>
            <w:tcW w:w="3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4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429"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94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08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54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7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7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97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3" w:hRule="atLeast"/>
        </w:trPr>
        <w:tc>
          <w:tcPr>
            <w:tcW w:w="5429" w:type="dxa"/>
            <w:gridSpan w:val="4"/>
            <w:tcBorders>
              <w:top w:val="nil"/>
              <w:left w:val="nil"/>
              <w:bottom w:val="single" w:color="auto" w:sz="4" w:space="0"/>
              <w:right w:val="nil"/>
            </w:tcBorders>
            <w:shd w:val="clear" w:color="auto" w:fill="auto"/>
            <w:noWrap/>
            <w:vAlign w:val="bottom"/>
          </w:tcPr>
          <w:p>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部门：湖南省农机事务中心</w:t>
            </w:r>
          </w:p>
        </w:tc>
        <w:tc>
          <w:tcPr>
            <w:tcW w:w="1941"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083"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545"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77"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75"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971" w:type="dxa"/>
            <w:tcBorders>
              <w:top w:val="nil"/>
              <w:left w:val="nil"/>
              <w:bottom w:val="single" w:color="auto" w:sz="4" w:space="0"/>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3" w:hRule="atLeast"/>
        </w:trPr>
        <w:tc>
          <w:tcPr>
            <w:tcW w:w="542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9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本年支出合计</w:t>
            </w:r>
          </w:p>
        </w:tc>
        <w:tc>
          <w:tcPr>
            <w:tcW w:w="20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5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12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上缴上级支出</w:t>
            </w: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经营支出</w:t>
            </w:r>
          </w:p>
        </w:tc>
        <w:tc>
          <w:tcPr>
            <w:tcW w:w="1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 w:hRule="atLeast"/>
        </w:trPr>
        <w:tc>
          <w:tcPr>
            <w:tcW w:w="100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4429"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94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0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7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 w:hRule="atLeast"/>
        </w:trPr>
        <w:tc>
          <w:tcPr>
            <w:tcW w:w="1000"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4429"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94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0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7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1" w:hRule="atLeast"/>
        </w:trPr>
        <w:tc>
          <w:tcPr>
            <w:tcW w:w="1000"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4429"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94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0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7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2" w:hRule="atLeast"/>
        </w:trPr>
        <w:tc>
          <w:tcPr>
            <w:tcW w:w="542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9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0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2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9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2" w:hRule="atLeast"/>
        </w:trPr>
        <w:tc>
          <w:tcPr>
            <w:tcW w:w="542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4,659.00</w:t>
            </w:r>
          </w:p>
        </w:tc>
        <w:tc>
          <w:tcPr>
            <w:tcW w:w="208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3,190.76</w:t>
            </w:r>
          </w:p>
        </w:tc>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1,468.24</w:t>
            </w:r>
          </w:p>
        </w:tc>
        <w:tc>
          <w:tcPr>
            <w:tcW w:w="127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9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2" w:hRule="atLeast"/>
        </w:trPr>
        <w:tc>
          <w:tcPr>
            <w:tcW w:w="100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44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974.88</w:t>
            </w:r>
          </w:p>
        </w:tc>
        <w:tc>
          <w:tcPr>
            <w:tcW w:w="208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974.88</w:t>
            </w:r>
          </w:p>
        </w:tc>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9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2" w:hRule="atLeast"/>
        </w:trPr>
        <w:tc>
          <w:tcPr>
            <w:tcW w:w="100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44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964.27</w:t>
            </w:r>
          </w:p>
        </w:tc>
        <w:tc>
          <w:tcPr>
            <w:tcW w:w="208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964.27</w:t>
            </w:r>
          </w:p>
        </w:tc>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9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2" w:hRule="atLeast"/>
        </w:trPr>
        <w:tc>
          <w:tcPr>
            <w:tcW w:w="100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2080502</w:t>
            </w:r>
          </w:p>
        </w:tc>
        <w:tc>
          <w:tcPr>
            <w:tcW w:w="44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事业单位离退休</w:t>
            </w:r>
          </w:p>
        </w:tc>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466.27</w:t>
            </w:r>
          </w:p>
        </w:tc>
        <w:tc>
          <w:tcPr>
            <w:tcW w:w="208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466.27</w:t>
            </w:r>
          </w:p>
        </w:tc>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9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18" w:hRule="atLeast"/>
        </w:trPr>
        <w:tc>
          <w:tcPr>
            <w:tcW w:w="100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44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498.00</w:t>
            </w:r>
          </w:p>
        </w:tc>
        <w:tc>
          <w:tcPr>
            <w:tcW w:w="208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498.00</w:t>
            </w:r>
          </w:p>
        </w:tc>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9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2" w:hRule="atLeast"/>
        </w:trPr>
        <w:tc>
          <w:tcPr>
            <w:tcW w:w="100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20808</w:t>
            </w:r>
          </w:p>
        </w:tc>
        <w:tc>
          <w:tcPr>
            <w:tcW w:w="44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抚恤</w:t>
            </w:r>
          </w:p>
        </w:tc>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10.61</w:t>
            </w:r>
          </w:p>
        </w:tc>
        <w:tc>
          <w:tcPr>
            <w:tcW w:w="208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10.61</w:t>
            </w:r>
          </w:p>
        </w:tc>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9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2" w:hRule="atLeast"/>
        </w:trPr>
        <w:tc>
          <w:tcPr>
            <w:tcW w:w="100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2080801</w:t>
            </w:r>
          </w:p>
        </w:tc>
        <w:tc>
          <w:tcPr>
            <w:tcW w:w="44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死亡抚恤</w:t>
            </w:r>
          </w:p>
        </w:tc>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10.61</w:t>
            </w:r>
          </w:p>
        </w:tc>
        <w:tc>
          <w:tcPr>
            <w:tcW w:w="208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10.61</w:t>
            </w:r>
          </w:p>
        </w:tc>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9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2" w:hRule="atLeast"/>
        </w:trPr>
        <w:tc>
          <w:tcPr>
            <w:tcW w:w="100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44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农林水支出</w:t>
            </w:r>
          </w:p>
        </w:tc>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3,456.12</w:t>
            </w:r>
          </w:p>
        </w:tc>
        <w:tc>
          <w:tcPr>
            <w:tcW w:w="208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1,987.88</w:t>
            </w:r>
          </w:p>
        </w:tc>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1,468.24</w:t>
            </w:r>
          </w:p>
        </w:tc>
        <w:tc>
          <w:tcPr>
            <w:tcW w:w="127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9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2" w:hRule="atLeast"/>
        </w:trPr>
        <w:tc>
          <w:tcPr>
            <w:tcW w:w="100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w:t>
            </w:r>
          </w:p>
        </w:tc>
        <w:tc>
          <w:tcPr>
            <w:tcW w:w="44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农业农村</w:t>
            </w:r>
          </w:p>
        </w:tc>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3,456.12</w:t>
            </w:r>
          </w:p>
        </w:tc>
        <w:tc>
          <w:tcPr>
            <w:tcW w:w="208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1,987.88</w:t>
            </w:r>
          </w:p>
        </w:tc>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1,468.24</w:t>
            </w:r>
          </w:p>
        </w:tc>
        <w:tc>
          <w:tcPr>
            <w:tcW w:w="127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9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2" w:hRule="atLeast"/>
        </w:trPr>
        <w:tc>
          <w:tcPr>
            <w:tcW w:w="100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2130101</w:t>
            </w:r>
          </w:p>
        </w:tc>
        <w:tc>
          <w:tcPr>
            <w:tcW w:w="44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行政运行</w:t>
            </w:r>
          </w:p>
        </w:tc>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2,221.66</w:t>
            </w:r>
          </w:p>
        </w:tc>
        <w:tc>
          <w:tcPr>
            <w:tcW w:w="208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1,987.88</w:t>
            </w:r>
          </w:p>
        </w:tc>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233.78</w:t>
            </w:r>
          </w:p>
        </w:tc>
        <w:tc>
          <w:tcPr>
            <w:tcW w:w="127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9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2" w:hRule="atLeast"/>
        </w:trPr>
        <w:tc>
          <w:tcPr>
            <w:tcW w:w="100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2130106</w:t>
            </w:r>
          </w:p>
        </w:tc>
        <w:tc>
          <w:tcPr>
            <w:tcW w:w="44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科技转化与推广服务</w:t>
            </w:r>
          </w:p>
        </w:tc>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461.23</w:t>
            </w:r>
          </w:p>
        </w:tc>
        <w:tc>
          <w:tcPr>
            <w:tcW w:w="208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461.23</w:t>
            </w:r>
          </w:p>
        </w:tc>
        <w:tc>
          <w:tcPr>
            <w:tcW w:w="127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9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2" w:hRule="atLeast"/>
        </w:trPr>
        <w:tc>
          <w:tcPr>
            <w:tcW w:w="100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2130122</w:t>
            </w:r>
          </w:p>
        </w:tc>
        <w:tc>
          <w:tcPr>
            <w:tcW w:w="44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农业生产发展</w:t>
            </w:r>
          </w:p>
        </w:tc>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773.23</w:t>
            </w:r>
          </w:p>
        </w:tc>
        <w:tc>
          <w:tcPr>
            <w:tcW w:w="208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773.23</w:t>
            </w:r>
          </w:p>
        </w:tc>
        <w:tc>
          <w:tcPr>
            <w:tcW w:w="127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9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2" w:hRule="atLeast"/>
        </w:trPr>
        <w:tc>
          <w:tcPr>
            <w:tcW w:w="100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44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208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9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2" w:hRule="atLeast"/>
        </w:trPr>
        <w:tc>
          <w:tcPr>
            <w:tcW w:w="100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44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208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9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2" w:hRule="atLeast"/>
        </w:trPr>
        <w:tc>
          <w:tcPr>
            <w:tcW w:w="100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44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208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9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2" w:hRule="atLeast"/>
        </w:trPr>
        <w:tc>
          <w:tcPr>
            <w:tcW w:w="15521" w:type="dxa"/>
            <w:gridSpan w:val="10"/>
            <w:tcBorders>
              <w:top w:val="single" w:color="auto" w:sz="4" w:space="0"/>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注：本表反映部门本年度各项支出情况。</w:t>
            </w:r>
          </w:p>
        </w:tc>
      </w:tr>
    </w:tbl>
    <w:p>
      <w:pPr>
        <w:widowControl/>
        <w:jc w:val="both"/>
        <w:rPr>
          <w:rFonts w:ascii="Times New Roman" w:hAnsi="Times New Roman" w:eastAsia="方正小标宋_GBK" w:cs="Times New Roman"/>
          <w:color w:val="000000"/>
          <w:kern w:val="0"/>
          <w:sz w:val="36"/>
          <w:szCs w:val="21"/>
        </w:rPr>
      </w:pPr>
    </w:p>
    <w:tbl>
      <w:tblPr>
        <w:tblStyle w:val="10"/>
        <w:tblW w:w="156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57"/>
        <w:gridCol w:w="536"/>
        <w:gridCol w:w="1422"/>
        <w:gridCol w:w="4050"/>
        <w:gridCol w:w="536"/>
        <w:gridCol w:w="1207"/>
        <w:gridCol w:w="1422"/>
        <w:gridCol w:w="1050"/>
        <w:gridCol w:w="16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9" w:hRule="atLeast"/>
        </w:trPr>
        <w:tc>
          <w:tcPr>
            <w:tcW w:w="15660" w:type="dxa"/>
            <w:gridSpan w:val="9"/>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r>
              <w:rPr>
                <w:rFonts w:hint="eastAsia" w:ascii="黑体" w:hAnsi="宋体" w:eastAsia="黑体" w:cs="黑体"/>
                <w:i w:val="0"/>
                <w:iCs w:val="0"/>
                <w:color w:val="000000"/>
                <w:kern w:val="0"/>
                <w:sz w:val="30"/>
                <w:szCs w:val="30"/>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5" w:hRule="atLeast"/>
        </w:trPr>
        <w:tc>
          <w:tcPr>
            <w:tcW w:w="375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3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2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05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3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0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2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5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80"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5" w:hRule="atLeast"/>
        </w:trPr>
        <w:tc>
          <w:tcPr>
            <w:tcW w:w="3757" w:type="dxa"/>
            <w:tcBorders>
              <w:top w:val="nil"/>
              <w:left w:val="nil"/>
              <w:bottom w:val="single" w:color="auto" w:sz="4" w:space="0"/>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部门：湖南省农机事务中心</w:t>
            </w:r>
          </w:p>
        </w:tc>
        <w:tc>
          <w:tcPr>
            <w:tcW w:w="536"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22"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050"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36"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07"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22"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50"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80" w:type="dxa"/>
            <w:tcBorders>
              <w:top w:val="nil"/>
              <w:left w:val="nil"/>
              <w:bottom w:val="single" w:color="auto" w:sz="4" w:space="0"/>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5" w:hRule="atLeast"/>
        </w:trPr>
        <w:tc>
          <w:tcPr>
            <w:tcW w:w="571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     入</w:t>
            </w:r>
          </w:p>
        </w:tc>
        <w:tc>
          <w:tcPr>
            <w:tcW w:w="9945"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2" w:hRule="atLeast"/>
        </w:trPr>
        <w:tc>
          <w:tcPr>
            <w:tcW w:w="37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42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40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207"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42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一般公共预算财政拨款</w:t>
            </w:r>
          </w:p>
        </w:tc>
        <w:tc>
          <w:tcPr>
            <w:tcW w:w="10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政府性基金预算财政拨款</w:t>
            </w:r>
          </w:p>
        </w:tc>
        <w:tc>
          <w:tcPr>
            <w:tcW w:w="16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3" w:hRule="atLeast"/>
        </w:trPr>
        <w:tc>
          <w:tcPr>
            <w:tcW w:w="37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3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2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40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3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07"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42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5,707.40</w:t>
            </w: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974.88</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974.88</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3,419.79</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3,419.79</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shd w:val="clear" w:color="auto" w:fill="auto"/>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5,707.40</w:t>
            </w: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4,622.67</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4,622.67</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年初财政拨款结转和结余</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625.87</w:t>
            </w: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年末财政拨款结转和结余</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1,710.61</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1,710.61</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一般公共预算财政拨款</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625.87</w:t>
            </w: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政府性基金预算财政拨款</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国有资本经营预算财政拨款</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4" w:hRule="atLeast"/>
        </w:trPr>
        <w:tc>
          <w:tcPr>
            <w:tcW w:w="3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6,333.27</w:t>
            </w:r>
          </w:p>
        </w:tc>
        <w:tc>
          <w:tcPr>
            <w:tcW w:w="4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1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6,333.27</w:t>
            </w:r>
          </w:p>
        </w:tc>
        <w:tc>
          <w:tcPr>
            <w:tcW w:w="142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6,333.27</w:t>
            </w: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4" w:hRule="atLeast"/>
        </w:trPr>
        <w:tc>
          <w:tcPr>
            <w:tcW w:w="13980" w:type="dxa"/>
            <w:gridSpan w:val="8"/>
            <w:tcBorders>
              <w:top w:val="single" w:color="auto" w:sz="4" w:space="0"/>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1680" w:type="dxa"/>
            <w:tcBorders>
              <w:top w:val="single" w:color="auto" w:sz="4" w:space="0"/>
              <w:left w:val="nil"/>
              <w:bottom w:val="nil"/>
              <w:right w:val="nil"/>
            </w:tcBorders>
            <w:shd w:val="clear" w:color="auto" w:fill="auto"/>
            <w:noWrap/>
            <w:vAlign w:val="center"/>
          </w:tcPr>
          <w:p>
            <w:pPr>
              <w:jc w:val="left"/>
              <w:rPr>
                <w:rFonts w:hint="eastAsia" w:ascii="宋体" w:hAnsi="宋体" w:eastAsia="宋体" w:cs="宋体"/>
                <w:i w:val="0"/>
                <w:iCs w:val="0"/>
                <w:color w:val="000000"/>
                <w:sz w:val="20"/>
                <w:szCs w:val="20"/>
                <w:u w:val="none"/>
              </w:rPr>
            </w:pPr>
          </w:p>
        </w:tc>
      </w:tr>
    </w:tbl>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kern w:val="0"/>
          <w:sz w:val="36"/>
          <w:szCs w:val="36"/>
        </w:rPr>
      </w:pPr>
      <w:bookmarkStart w:id="0" w:name="RANGE!A1:I22"/>
      <w:bookmarkEnd w:id="0"/>
      <w:bookmarkStart w:id="1" w:name="RANGE!A1:F16"/>
    </w:p>
    <w:p>
      <w:pPr>
        <w:widowControl/>
        <w:jc w:val="both"/>
        <w:rPr>
          <w:rFonts w:ascii="Times New Roman" w:hAnsi="Times New Roman" w:eastAsia="方正小标宋_GBK" w:cs="Times New Roman"/>
          <w:kern w:val="0"/>
          <w:sz w:val="36"/>
          <w:szCs w:val="36"/>
        </w:rPr>
      </w:pPr>
    </w:p>
    <w:p>
      <w:pPr>
        <w:widowControl/>
        <w:jc w:val="both"/>
        <w:rPr>
          <w:rFonts w:ascii="Times New Roman" w:hAnsi="Times New Roman" w:eastAsia="方正小标宋_GBK" w:cs="Times New Roman"/>
          <w:kern w:val="0"/>
          <w:sz w:val="36"/>
          <w:szCs w:val="36"/>
        </w:rPr>
      </w:pPr>
    </w:p>
    <w:p>
      <w:pPr>
        <w:widowControl/>
        <w:jc w:val="both"/>
        <w:rPr>
          <w:rFonts w:ascii="Times New Roman" w:hAnsi="Times New Roman" w:eastAsia="方正小标宋_GBK" w:cs="Times New Roman"/>
          <w:kern w:val="0"/>
          <w:sz w:val="36"/>
          <w:szCs w:val="36"/>
        </w:rPr>
      </w:pPr>
    </w:p>
    <w:p>
      <w:pPr>
        <w:widowControl/>
        <w:jc w:val="both"/>
        <w:rPr>
          <w:rFonts w:ascii="Times New Roman" w:hAnsi="Times New Roman" w:eastAsia="方正小标宋_GBK" w:cs="Times New Roman"/>
          <w:kern w:val="0"/>
          <w:sz w:val="36"/>
          <w:szCs w:val="36"/>
        </w:rPr>
      </w:pPr>
    </w:p>
    <w:p>
      <w:pPr>
        <w:widowControl/>
        <w:jc w:val="both"/>
        <w:rPr>
          <w:rFonts w:ascii="Times New Roman" w:hAnsi="Times New Roman" w:eastAsia="方正小标宋_GBK" w:cs="Times New Roman"/>
          <w:kern w:val="0"/>
          <w:sz w:val="36"/>
          <w:szCs w:val="36"/>
        </w:rPr>
      </w:pPr>
    </w:p>
    <w:p>
      <w:pPr>
        <w:widowControl/>
        <w:jc w:val="both"/>
        <w:rPr>
          <w:rFonts w:ascii="Times New Roman" w:hAnsi="Times New Roman" w:eastAsia="方正小标宋_GBK" w:cs="Times New Roman"/>
          <w:kern w:val="0"/>
          <w:sz w:val="36"/>
          <w:szCs w:val="36"/>
        </w:rPr>
      </w:pPr>
    </w:p>
    <w:p>
      <w:pPr>
        <w:widowControl/>
        <w:jc w:val="both"/>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bookmarkEnd w:id="1"/>
    <w:p>
      <w:pPr>
        <w:widowControl/>
        <w:jc w:val="left"/>
        <w:rPr>
          <w:rFonts w:ascii="Times New Roman" w:hAnsi="Times New Roman" w:eastAsia="宋体" w:cs="Times New Roman"/>
          <w:color w:val="000000"/>
          <w:kern w:val="0"/>
          <w:sz w:val="20"/>
          <w:szCs w:val="20"/>
        </w:rPr>
      </w:pPr>
    </w:p>
    <w:tbl>
      <w:tblPr>
        <w:tblStyle w:val="10"/>
        <w:tblW w:w="143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02"/>
        <w:gridCol w:w="302"/>
        <w:gridCol w:w="538"/>
        <w:gridCol w:w="3950"/>
        <w:gridCol w:w="2926"/>
        <w:gridCol w:w="3155"/>
        <w:gridCol w:w="32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45" w:hRule="atLeast"/>
        </w:trPr>
        <w:tc>
          <w:tcPr>
            <w:tcW w:w="14380" w:type="dxa"/>
            <w:gridSpan w:val="7"/>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r>
              <w:rPr>
                <w:rFonts w:hint="eastAsia" w:ascii="黑体" w:hAnsi="宋体" w:eastAsia="黑体" w:cs="黑体"/>
                <w:i w:val="0"/>
                <w:iCs w:val="0"/>
                <w:color w:val="000000"/>
                <w:kern w:val="0"/>
                <w:sz w:val="30"/>
                <w:szCs w:val="30"/>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3" w:hRule="atLeast"/>
        </w:trPr>
        <w:tc>
          <w:tcPr>
            <w:tcW w:w="30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0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3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95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92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15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207"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3" w:hRule="atLeast"/>
        </w:trPr>
        <w:tc>
          <w:tcPr>
            <w:tcW w:w="5092" w:type="dxa"/>
            <w:gridSpan w:val="4"/>
            <w:tcBorders>
              <w:top w:val="nil"/>
              <w:left w:val="nil"/>
              <w:bottom w:val="single" w:color="auto" w:sz="4" w:space="0"/>
              <w:right w:val="nil"/>
            </w:tcBorders>
            <w:shd w:val="clear" w:color="auto" w:fill="auto"/>
            <w:noWrap/>
            <w:vAlign w:val="bottom"/>
          </w:tcPr>
          <w:p>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部门：湖南省农机事务中心</w:t>
            </w:r>
          </w:p>
        </w:tc>
        <w:tc>
          <w:tcPr>
            <w:tcW w:w="2926"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155" w:type="dxa"/>
            <w:tcBorders>
              <w:top w:val="nil"/>
              <w:left w:val="nil"/>
              <w:bottom w:val="single" w:color="auto"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207" w:type="dxa"/>
            <w:tcBorders>
              <w:top w:val="nil"/>
              <w:left w:val="nil"/>
              <w:bottom w:val="single" w:color="auto" w:sz="4" w:space="0"/>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2" w:hRule="atLeast"/>
        </w:trPr>
        <w:tc>
          <w:tcPr>
            <w:tcW w:w="509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928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9" w:hRule="atLeast"/>
        </w:trPr>
        <w:tc>
          <w:tcPr>
            <w:tcW w:w="114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395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9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315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320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4" w:hRule="atLeast"/>
        </w:trPr>
        <w:tc>
          <w:tcPr>
            <w:tcW w:w="1142"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95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92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15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2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9" w:hRule="atLeast"/>
        </w:trPr>
        <w:tc>
          <w:tcPr>
            <w:tcW w:w="1142"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95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92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15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2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2" w:hRule="atLeast"/>
        </w:trPr>
        <w:tc>
          <w:tcPr>
            <w:tcW w:w="509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29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1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2" w:hRule="atLeast"/>
        </w:trPr>
        <w:tc>
          <w:tcPr>
            <w:tcW w:w="509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29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4,622.67</w:t>
            </w:r>
          </w:p>
        </w:tc>
        <w:tc>
          <w:tcPr>
            <w:tcW w:w="31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3,190.72</w:t>
            </w:r>
          </w:p>
        </w:tc>
        <w:tc>
          <w:tcPr>
            <w:tcW w:w="3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1,431.95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2" w:hRule="atLeast"/>
        </w:trPr>
        <w:tc>
          <w:tcPr>
            <w:tcW w:w="11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39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29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974.88</w:t>
            </w:r>
          </w:p>
        </w:tc>
        <w:tc>
          <w:tcPr>
            <w:tcW w:w="31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974.88</w:t>
            </w:r>
          </w:p>
        </w:tc>
        <w:tc>
          <w:tcPr>
            <w:tcW w:w="3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2" w:hRule="atLeast"/>
        </w:trPr>
        <w:tc>
          <w:tcPr>
            <w:tcW w:w="11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39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29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964.27</w:t>
            </w:r>
          </w:p>
        </w:tc>
        <w:tc>
          <w:tcPr>
            <w:tcW w:w="31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964.27</w:t>
            </w:r>
          </w:p>
        </w:tc>
        <w:tc>
          <w:tcPr>
            <w:tcW w:w="3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2" w:hRule="atLeast"/>
        </w:trPr>
        <w:tc>
          <w:tcPr>
            <w:tcW w:w="11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2080502</w:t>
            </w:r>
          </w:p>
        </w:tc>
        <w:tc>
          <w:tcPr>
            <w:tcW w:w="39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事业单位离退休</w:t>
            </w:r>
          </w:p>
        </w:tc>
        <w:tc>
          <w:tcPr>
            <w:tcW w:w="29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466.27</w:t>
            </w:r>
          </w:p>
        </w:tc>
        <w:tc>
          <w:tcPr>
            <w:tcW w:w="31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466.27</w:t>
            </w:r>
          </w:p>
        </w:tc>
        <w:tc>
          <w:tcPr>
            <w:tcW w:w="3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2" w:hRule="atLeast"/>
        </w:trPr>
        <w:tc>
          <w:tcPr>
            <w:tcW w:w="11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39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29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498.00</w:t>
            </w:r>
          </w:p>
        </w:tc>
        <w:tc>
          <w:tcPr>
            <w:tcW w:w="31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498.00</w:t>
            </w:r>
          </w:p>
        </w:tc>
        <w:tc>
          <w:tcPr>
            <w:tcW w:w="3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2" w:hRule="atLeast"/>
        </w:trPr>
        <w:tc>
          <w:tcPr>
            <w:tcW w:w="11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20808</w:t>
            </w:r>
          </w:p>
        </w:tc>
        <w:tc>
          <w:tcPr>
            <w:tcW w:w="39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抚恤</w:t>
            </w:r>
          </w:p>
        </w:tc>
        <w:tc>
          <w:tcPr>
            <w:tcW w:w="29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10.61</w:t>
            </w:r>
          </w:p>
        </w:tc>
        <w:tc>
          <w:tcPr>
            <w:tcW w:w="31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10.61</w:t>
            </w:r>
          </w:p>
        </w:tc>
        <w:tc>
          <w:tcPr>
            <w:tcW w:w="3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2" w:hRule="atLeast"/>
        </w:trPr>
        <w:tc>
          <w:tcPr>
            <w:tcW w:w="11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2080801</w:t>
            </w:r>
          </w:p>
        </w:tc>
        <w:tc>
          <w:tcPr>
            <w:tcW w:w="39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死亡抚恤</w:t>
            </w:r>
          </w:p>
        </w:tc>
        <w:tc>
          <w:tcPr>
            <w:tcW w:w="29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10.61</w:t>
            </w:r>
          </w:p>
        </w:tc>
        <w:tc>
          <w:tcPr>
            <w:tcW w:w="31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10.61</w:t>
            </w:r>
          </w:p>
        </w:tc>
        <w:tc>
          <w:tcPr>
            <w:tcW w:w="3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2" w:hRule="atLeast"/>
        </w:trPr>
        <w:tc>
          <w:tcPr>
            <w:tcW w:w="11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39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农林水支出</w:t>
            </w:r>
          </w:p>
        </w:tc>
        <w:tc>
          <w:tcPr>
            <w:tcW w:w="29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3,419.79</w:t>
            </w:r>
          </w:p>
        </w:tc>
        <w:tc>
          <w:tcPr>
            <w:tcW w:w="31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1,987.84</w:t>
            </w:r>
          </w:p>
        </w:tc>
        <w:tc>
          <w:tcPr>
            <w:tcW w:w="3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1,431.95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2" w:hRule="atLeast"/>
        </w:trPr>
        <w:tc>
          <w:tcPr>
            <w:tcW w:w="11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w:t>
            </w:r>
          </w:p>
        </w:tc>
        <w:tc>
          <w:tcPr>
            <w:tcW w:w="39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农业农村</w:t>
            </w:r>
          </w:p>
        </w:tc>
        <w:tc>
          <w:tcPr>
            <w:tcW w:w="29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3,419.79</w:t>
            </w:r>
          </w:p>
        </w:tc>
        <w:tc>
          <w:tcPr>
            <w:tcW w:w="31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1,987.84</w:t>
            </w:r>
          </w:p>
        </w:tc>
        <w:tc>
          <w:tcPr>
            <w:tcW w:w="3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1,431.95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2" w:hRule="atLeast"/>
        </w:trPr>
        <w:tc>
          <w:tcPr>
            <w:tcW w:w="11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2130101</w:t>
            </w:r>
          </w:p>
        </w:tc>
        <w:tc>
          <w:tcPr>
            <w:tcW w:w="39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行政运行</w:t>
            </w:r>
          </w:p>
        </w:tc>
        <w:tc>
          <w:tcPr>
            <w:tcW w:w="29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2,221.62</w:t>
            </w:r>
          </w:p>
        </w:tc>
        <w:tc>
          <w:tcPr>
            <w:tcW w:w="31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1,987.84</w:t>
            </w:r>
          </w:p>
        </w:tc>
        <w:tc>
          <w:tcPr>
            <w:tcW w:w="3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233.78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2" w:hRule="atLeast"/>
        </w:trPr>
        <w:tc>
          <w:tcPr>
            <w:tcW w:w="11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2130106</w:t>
            </w:r>
          </w:p>
        </w:tc>
        <w:tc>
          <w:tcPr>
            <w:tcW w:w="39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科技转化与推广服务</w:t>
            </w:r>
          </w:p>
        </w:tc>
        <w:tc>
          <w:tcPr>
            <w:tcW w:w="29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461.23</w:t>
            </w:r>
          </w:p>
        </w:tc>
        <w:tc>
          <w:tcPr>
            <w:tcW w:w="31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461.23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2" w:hRule="atLeast"/>
        </w:trPr>
        <w:tc>
          <w:tcPr>
            <w:tcW w:w="11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2130122</w:t>
            </w:r>
          </w:p>
        </w:tc>
        <w:tc>
          <w:tcPr>
            <w:tcW w:w="39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农业生产发展</w:t>
            </w:r>
          </w:p>
        </w:tc>
        <w:tc>
          <w:tcPr>
            <w:tcW w:w="29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736.93</w:t>
            </w:r>
          </w:p>
        </w:tc>
        <w:tc>
          <w:tcPr>
            <w:tcW w:w="31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736.93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2" w:hRule="atLeast"/>
        </w:trPr>
        <w:tc>
          <w:tcPr>
            <w:tcW w:w="11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39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29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31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3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2" w:hRule="atLeast"/>
        </w:trPr>
        <w:tc>
          <w:tcPr>
            <w:tcW w:w="11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39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29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31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3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2" w:hRule="atLeast"/>
        </w:trPr>
        <w:tc>
          <w:tcPr>
            <w:tcW w:w="11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39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29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31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228.00</w:t>
            </w:r>
          </w:p>
        </w:tc>
        <w:tc>
          <w:tcPr>
            <w:tcW w:w="32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2" w:hRule="atLeast"/>
        </w:trPr>
        <w:tc>
          <w:tcPr>
            <w:tcW w:w="14380" w:type="dxa"/>
            <w:gridSpan w:val="7"/>
            <w:tcBorders>
              <w:top w:val="single" w:color="auto" w:sz="4" w:space="0"/>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10"/>
        <w:tblW w:w="15614" w:type="dxa"/>
        <w:tblInd w:w="0" w:type="dxa"/>
        <w:tblLayout w:type="fixed"/>
        <w:tblCellMar>
          <w:top w:w="0" w:type="dxa"/>
          <w:left w:w="108" w:type="dxa"/>
          <w:bottom w:w="0" w:type="dxa"/>
          <w:right w:w="108" w:type="dxa"/>
        </w:tblCellMar>
      </w:tblPr>
      <w:tblGrid>
        <w:gridCol w:w="941"/>
        <w:gridCol w:w="238"/>
        <w:gridCol w:w="89"/>
        <w:gridCol w:w="1220"/>
        <w:gridCol w:w="1640"/>
        <w:gridCol w:w="368"/>
        <w:gridCol w:w="779"/>
        <w:gridCol w:w="1112"/>
        <w:gridCol w:w="470"/>
        <w:gridCol w:w="1895"/>
        <w:gridCol w:w="112"/>
        <w:gridCol w:w="911"/>
        <w:gridCol w:w="1077"/>
        <w:gridCol w:w="185"/>
        <w:gridCol w:w="2073"/>
        <w:gridCol w:w="1606"/>
        <w:gridCol w:w="575"/>
        <w:gridCol w:w="323"/>
      </w:tblGrid>
      <w:tr>
        <w:tblPrEx>
          <w:tblLayout w:type="fixed"/>
          <w:tblCellMar>
            <w:top w:w="0" w:type="dxa"/>
            <w:left w:w="108" w:type="dxa"/>
            <w:bottom w:w="0" w:type="dxa"/>
            <w:right w:w="108" w:type="dxa"/>
          </w:tblCellMar>
        </w:tblPrEx>
        <w:trPr>
          <w:trHeight w:val="1089" w:hRule="atLeast"/>
        </w:trPr>
        <w:tc>
          <w:tcPr>
            <w:tcW w:w="15614" w:type="dxa"/>
            <w:gridSpan w:val="18"/>
            <w:tcBorders>
              <w:top w:val="nil"/>
              <w:left w:val="nil"/>
              <w:bottom w:val="nil"/>
              <w:right w:val="nil"/>
            </w:tcBorders>
            <w:shd w:val="clear" w:color="auto" w:fill="auto"/>
            <w:noWrap/>
            <w:vAlign w:val="center"/>
          </w:tcPr>
          <w:p>
            <w:pPr>
              <w:keepNext w:val="0"/>
              <w:keepLines w:val="0"/>
              <w:pageBreakBefore w:val="0"/>
              <w:widowControl/>
              <w:kinsoku/>
              <w:overflowPunct/>
              <w:topLinePunct w:val="0"/>
              <w:autoSpaceDE/>
              <w:autoSpaceDN/>
              <w:bidi w:val="0"/>
              <w:adjustRightInd/>
              <w:snapToGrid/>
              <w:spacing w:line="240" w:lineRule="exact"/>
              <w:jc w:val="center"/>
              <w:textAlignment w:val="auto"/>
              <w:rPr>
                <w:rFonts w:hint="eastAsia" w:ascii="黑体" w:hAnsi="黑体" w:eastAsia="黑体" w:cs="黑体"/>
                <w:color w:val="000000"/>
                <w:kern w:val="0"/>
                <w:sz w:val="22"/>
                <w:szCs w:val="36"/>
              </w:rPr>
            </w:pPr>
            <w:bookmarkStart w:id="2" w:name="RANGE!A1:I34"/>
            <w:r>
              <w:rPr>
                <w:rFonts w:hint="eastAsia" w:ascii="黑体" w:hAnsi="黑体" w:eastAsia="黑体" w:cs="黑体"/>
                <w:color w:val="000000"/>
                <w:kern w:val="0"/>
                <w:sz w:val="22"/>
                <w:szCs w:val="36"/>
              </w:rPr>
              <w:t>一般公共预算财政拨款基本支出决算明细表</w:t>
            </w:r>
            <w:bookmarkEnd w:id="2"/>
          </w:p>
          <w:p>
            <w:pPr>
              <w:keepNext w:val="0"/>
              <w:keepLines w:val="0"/>
              <w:pageBreakBefore w:val="0"/>
              <w:widowControl/>
              <w:kinsoku/>
              <w:wordWrap w:val="0"/>
              <w:overflowPunct/>
              <w:topLinePunct w:val="0"/>
              <w:autoSpaceDE/>
              <w:autoSpaceDN/>
              <w:bidi w:val="0"/>
              <w:adjustRightInd/>
              <w:snapToGrid/>
              <w:spacing w:line="240" w:lineRule="exact"/>
              <w:jc w:val="right"/>
              <w:textAlignment w:val="auto"/>
              <w:rPr>
                <w:rFonts w:hint="eastAsia" w:asciiTheme="minorEastAsia" w:hAnsiTheme="minorEastAsia" w:eastAsiaTheme="minorEastAsia" w:cstheme="minorEastAsia"/>
                <w:color w:val="000000"/>
                <w:kern w:val="0"/>
                <w:sz w:val="20"/>
                <w:szCs w:val="20"/>
              </w:rPr>
            </w:pPr>
            <w:r>
              <w:rPr>
                <w:rFonts w:hint="eastAsia" w:ascii="Times New Roman" w:hAnsi="Times New Roman" w:eastAsia="仿宋_GB2312" w:cs="Times New Roman"/>
                <w:color w:val="000000"/>
                <w:kern w:val="0"/>
                <w:szCs w:val="21"/>
              </w:rPr>
              <w:t xml:space="preserve">  </w:t>
            </w:r>
            <w:r>
              <w:rPr>
                <w:rFonts w:hint="eastAsia" w:asciiTheme="minorEastAsia" w:hAnsiTheme="minorEastAsia" w:eastAsiaTheme="minorEastAsia" w:cstheme="minorEastAsia"/>
                <w:color w:val="000000"/>
                <w:kern w:val="0"/>
                <w:sz w:val="20"/>
                <w:szCs w:val="20"/>
              </w:rPr>
              <w:t>部门：</w:t>
            </w:r>
            <w:r>
              <w:rPr>
                <w:rFonts w:hint="eastAsia" w:asciiTheme="minorEastAsia" w:hAnsiTheme="minorEastAsia" w:eastAsiaTheme="minorEastAsia" w:cstheme="minorEastAsia"/>
                <w:i w:val="0"/>
                <w:color w:val="000000"/>
                <w:kern w:val="0"/>
                <w:sz w:val="20"/>
                <w:szCs w:val="20"/>
                <w:u w:val="none"/>
                <w:lang w:val="en-US" w:eastAsia="zh-CN" w:bidi="ar"/>
              </w:rPr>
              <w:t>湖南省农机事务中心</w:t>
            </w:r>
            <w:r>
              <w:rPr>
                <w:rFonts w:hint="eastAsia" w:asciiTheme="minorEastAsia" w:hAnsiTheme="minorEastAsia" w:eastAsiaTheme="minorEastAsia" w:cstheme="minorEastAsia"/>
                <w:color w:val="000000"/>
                <w:kern w:val="0"/>
                <w:sz w:val="20"/>
                <w:szCs w:val="20"/>
              </w:rPr>
              <w:t xml:space="preserve">                                                                                                                                公开06表</w:t>
            </w:r>
          </w:p>
          <w:p>
            <w:pPr>
              <w:keepNext w:val="0"/>
              <w:keepLines w:val="0"/>
              <w:pageBreakBefore w:val="0"/>
              <w:widowControl/>
              <w:kinsoku/>
              <w:overflowPunct/>
              <w:topLinePunct w:val="0"/>
              <w:autoSpaceDE/>
              <w:autoSpaceDN/>
              <w:bidi w:val="0"/>
              <w:adjustRightInd/>
              <w:snapToGrid/>
              <w:spacing w:line="240" w:lineRule="exact"/>
              <w:jc w:val="right"/>
              <w:textAlignment w:val="auto"/>
              <w:rPr>
                <w:rFonts w:ascii="华文中宋" w:hAnsi="华文中宋" w:eastAsia="华文中宋" w:cs="宋体"/>
                <w:color w:val="000000"/>
                <w:kern w:val="0"/>
                <w:szCs w:val="32"/>
              </w:rPr>
            </w:pPr>
            <w:r>
              <w:rPr>
                <w:rFonts w:hint="eastAsia" w:asciiTheme="minorEastAsia" w:hAnsiTheme="minorEastAsia" w:eastAsiaTheme="minorEastAsia" w:cstheme="minorEastAsia"/>
                <w:color w:val="000000"/>
                <w:kern w:val="0"/>
                <w:sz w:val="20"/>
                <w:szCs w:val="20"/>
              </w:rPr>
              <w:t>单位：万元</w:t>
            </w:r>
          </w:p>
        </w:tc>
      </w:tr>
      <w:tr>
        <w:tblPrEx>
          <w:tblLayout w:type="fixed"/>
          <w:tblCellMar>
            <w:top w:w="0" w:type="dxa"/>
            <w:left w:w="108" w:type="dxa"/>
            <w:bottom w:w="0" w:type="dxa"/>
            <w:right w:w="108" w:type="dxa"/>
          </w:tblCellMar>
        </w:tblPrEx>
        <w:trPr>
          <w:trHeight w:val="113" w:hRule="atLeast"/>
        </w:trPr>
        <w:tc>
          <w:tcPr>
            <w:tcW w:w="1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28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1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3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0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3864"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8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Layout w:type="fixed"/>
          <w:tblCellMar>
            <w:top w:w="0" w:type="dxa"/>
            <w:left w:w="108" w:type="dxa"/>
            <w:bottom w:w="0" w:type="dxa"/>
            <w:right w:w="108" w:type="dxa"/>
          </w:tblCellMar>
        </w:tblPrEx>
        <w:trPr>
          <w:trHeight w:val="45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2,192.32</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504.36</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318.24</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20.00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655.94</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5.00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153.87</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148.13</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190.14</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15.00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227.70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33.00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6.34</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131.30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124.00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15.00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30.00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228.00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28.00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6.00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494.04</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10.00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12.65</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5.00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383.32</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1.42</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31.56</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7.83</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50.00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7.98</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39907</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国家赔偿费用支出</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43.86</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39908</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对民间非营利组织和群众性自治组织补贴</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8.20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23.87</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3990</w:t>
            </w:r>
            <w:r>
              <w:rPr>
                <w:rFonts w:hint="eastAsia" w:ascii="宋体" w:hAnsi="宋体" w:eastAsia="宋体" w:cs="宋体"/>
                <w:color w:val="000000"/>
                <w:kern w:val="0"/>
                <w:szCs w:val="20"/>
                <w:lang w:val="en-US" w:eastAsia="zh-CN"/>
              </w:rPr>
              <w:t>9</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经常性赠与</w:t>
            </w:r>
          </w:p>
          <w:p>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资本性赠与</w:t>
            </w:r>
          </w:p>
          <w:p>
            <w:pPr>
              <w:widowControl/>
              <w:jc w:val="left"/>
              <w:rPr>
                <w:rFonts w:hint="eastAsia" w:ascii="宋体" w:hAnsi="宋体" w:eastAsia="宋体" w:cs="宋体"/>
                <w:color w:val="000000"/>
                <w:kern w:val="0"/>
                <w:szCs w:val="20"/>
              </w:rPr>
            </w:pPr>
          </w:p>
          <w:tbl>
            <w:tblPr>
              <w:tblStyle w:val="10"/>
              <w:tblW w:w="394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pPr>
              <w:widowControl/>
              <w:jc w:val="left"/>
              <w:rPr>
                <w:rFonts w:hint="eastAsia" w:ascii="宋体" w:hAnsi="宋体" w:eastAsia="宋体" w:cs="宋体"/>
                <w:color w:val="000000"/>
                <w:kern w:val="0"/>
                <w:szCs w:val="20"/>
              </w:rPr>
            </w:pPr>
          </w:p>
          <w:tbl>
            <w:tblPr>
              <w:tblStyle w:val="10"/>
              <w:tblW w:w="394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pPr>
              <w:widowControl/>
              <w:jc w:val="left"/>
              <w:rPr>
                <w:rFonts w:ascii="宋体" w:hAnsi="宋体" w:eastAsia="宋体" w:cs="宋体"/>
                <w:color w:val="000000"/>
                <w:kern w:val="0"/>
                <w:szCs w:val="20"/>
              </w:rPr>
            </w:pP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30.00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399</w:t>
            </w:r>
            <w:r>
              <w:rPr>
                <w:rFonts w:hint="eastAsia" w:ascii="宋体" w:hAnsi="宋体" w:eastAsia="宋体" w:cs="宋体"/>
                <w:color w:val="000000"/>
                <w:kern w:val="0"/>
                <w:szCs w:val="20"/>
                <w:lang w:val="en-US" w:eastAsia="zh-CN"/>
              </w:rPr>
              <w:t>10</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 xml:space="preserve">  资本性赠与</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108.63</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39999</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其他支出</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42.49</w:t>
            </w: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898"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r>
      <w:tr>
        <w:tblPrEx>
          <w:tblLayout w:type="fixed"/>
          <w:tblCellMar>
            <w:top w:w="0" w:type="dxa"/>
            <w:left w:w="108" w:type="dxa"/>
            <w:bottom w:w="0" w:type="dxa"/>
            <w:right w:w="108" w:type="dxa"/>
          </w:tblCellMar>
        </w:tblPrEx>
        <w:trPr>
          <w:trHeight w:val="284" w:hRule="exact"/>
        </w:trPr>
        <w:tc>
          <w:tcPr>
            <w:tcW w:w="126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286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47"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c>
          <w:tcPr>
            <w:tcW w:w="111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36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102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88.24</w:t>
            </w:r>
          </w:p>
        </w:tc>
        <w:tc>
          <w:tcPr>
            <w:tcW w:w="107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86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898"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r>
      <w:tr>
        <w:tblPrEx>
          <w:tblLayout w:type="fixed"/>
          <w:tblCellMar>
            <w:top w:w="0" w:type="dxa"/>
            <w:left w:w="108" w:type="dxa"/>
            <w:bottom w:w="0" w:type="dxa"/>
            <w:right w:w="108" w:type="dxa"/>
          </w:tblCellMar>
        </w:tblPrEx>
        <w:trPr>
          <w:trHeight w:val="284" w:hRule="exact"/>
        </w:trPr>
        <w:tc>
          <w:tcPr>
            <w:tcW w:w="412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11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2,686.36</w:t>
            </w:r>
          </w:p>
        </w:tc>
        <w:tc>
          <w:tcPr>
            <w:tcW w:w="9441" w:type="dxa"/>
            <w:gridSpan w:val="9"/>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8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18"/>
              </w:rPr>
            </w:pPr>
            <w:r>
              <w:rPr>
                <w:rFonts w:hint="eastAsia" w:ascii="宋体" w:hAnsi="宋体" w:eastAsia="宋体" w:cs="宋体"/>
                <w:i w:val="0"/>
                <w:iCs w:val="0"/>
                <w:color w:val="000000"/>
                <w:kern w:val="0"/>
                <w:sz w:val="22"/>
                <w:szCs w:val="22"/>
                <w:u w:val="none"/>
                <w:lang w:val="en-US" w:eastAsia="zh-CN" w:bidi="ar"/>
              </w:rPr>
              <w:t>504.36</w:t>
            </w:r>
          </w:p>
        </w:tc>
      </w:tr>
      <w:tr>
        <w:tblPrEx>
          <w:tblLayout w:type="fixed"/>
          <w:tblCellMar>
            <w:top w:w="0" w:type="dxa"/>
            <w:left w:w="108" w:type="dxa"/>
            <w:bottom w:w="0" w:type="dxa"/>
            <w:right w:w="108" w:type="dxa"/>
          </w:tblCellMar>
        </w:tblPrEx>
        <w:trPr>
          <w:trHeight w:val="284" w:hRule="exact"/>
        </w:trPr>
        <w:tc>
          <w:tcPr>
            <w:tcW w:w="15614" w:type="dxa"/>
            <w:gridSpan w:val="18"/>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23" w:type="dxa"/>
          <w:trHeight w:val="732" w:hRule="atLeast"/>
        </w:trPr>
        <w:tc>
          <w:tcPr>
            <w:tcW w:w="15291" w:type="dxa"/>
            <w:gridSpan w:val="17"/>
            <w:tcBorders>
              <w:top w:val="nil"/>
              <w:left w:val="nil"/>
              <w:bottom w:val="nil"/>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23" w:type="dxa"/>
          <w:trHeight w:val="345" w:hRule="atLeast"/>
        </w:trPr>
        <w:tc>
          <w:tcPr>
            <w:tcW w:w="94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38"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309"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008"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361"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07"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73"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73"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81"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23" w:type="dxa"/>
          <w:trHeight w:val="655" w:hRule="atLeast"/>
        </w:trPr>
        <w:tc>
          <w:tcPr>
            <w:tcW w:w="4496" w:type="dxa"/>
            <w:gridSpan w:val="6"/>
            <w:tcBorders>
              <w:top w:val="nil"/>
              <w:left w:val="nil"/>
              <w:bottom w:val="nil"/>
              <w:right w:val="nil"/>
            </w:tcBorders>
            <w:shd w:val="clear" w:color="auto" w:fill="FFFFFF"/>
            <w:noWrap/>
            <w:vAlign w:val="center"/>
          </w:tcPr>
          <w:p>
            <w:pP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部门：湖南省农机事务中心</w:t>
            </w:r>
          </w:p>
        </w:tc>
        <w:tc>
          <w:tcPr>
            <w:tcW w:w="2361"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07"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73"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73"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81"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23" w:type="dxa"/>
          <w:trHeight w:val="459" w:hRule="atLeast"/>
        </w:trPr>
        <w:tc>
          <w:tcPr>
            <w:tcW w:w="24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7"/>
                <w:lang w:val="en-US" w:eastAsia="zh-CN" w:bidi="ar"/>
              </w:rPr>
              <w:t xml:space="preserve">   </w:t>
            </w:r>
            <w:r>
              <w:rPr>
                <w:rStyle w:val="18"/>
                <w:lang w:val="en-US" w:eastAsia="zh-CN" w:bidi="ar"/>
              </w:rPr>
              <w:t>目</w:t>
            </w:r>
          </w:p>
        </w:tc>
        <w:tc>
          <w:tcPr>
            <w:tcW w:w="200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36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25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1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23" w:type="dxa"/>
          <w:trHeight w:val="609" w:hRule="atLeast"/>
        </w:trPr>
        <w:tc>
          <w:tcPr>
            <w:tcW w:w="117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3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0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3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17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0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1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23" w:type="dxa"/>
          <w:trHeight w:val="409" w:hRule="atLeast"/>
        </w:trPr>
        <w:tc>
          <w:tcPr>
            <w:tcW w:w="11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3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7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23" w:type="dxa"/>
          <w:trHeight w:val="509" w:hRule="atLeast"/>
        </w:trPr>
        <w:tc>
          <w:tcPr>
            <w:tcW w:w="11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3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7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23" w:type="dxa"/>
          <w:trHeight w:val="509" w:hRule="atLeast"/>
        </w:trPr>
        <w:tc>
          <w:tcPr>
            <w:tcW w:w="24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3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1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0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1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23" w:type="dxa"/>
          <w:trHeight w:val="509" w:hRule="atLeast"/>
        </w:trPr>
        <w:tc>
          <w:tcPr>
            <w:tcW w:w="24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3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23" w:type="dxa"/>
          <w:trHeight w:val="509" w:hRule="atLeast"/>
        </w:trPr>
        <w:tc>
          <w:tcPr>
            <w:tcW w:w="11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23" w:type="dxa"/>
          <w:trHeight w:val="509" w:hRule="atLeast"/>
        </w:trPr>
        <w:tc>
          <w:tcPr>
            <w:tcW w:w="11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23" w:type="dxa"/>
          <w:trHeight w:val="509" w:hRule="atLeast"/>
        </w:trPr>
        <w:tc>
          <w:tcPr>
            <w:tcW w:w="11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23" w:type="dxa"/>
          <w:trHeight w:val="509" w:hRule="atLeast"/>
        </w:trPr>
        <w:tc>
          <w:tcPr>
            <w:tcW w:w="11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23" w:type="dxa"/>
          <w:trHeight w:val="509" w:hRule="atLeast"/>
        </w:trPr>
        <w:tc>
          <w:tcPr>
            <w:tcW w:w="11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23" w:type="dxa"/>
          <w:trHeight w:val="509" w:hRule="atLeast"/>
        </w:trPr>
        <w:tc>
          <w:tcPr>
            <w:tcW w:w="11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23" w:type="dxa"/>
          <w:trHeight w:val="725" w:hRule="atLeast"/>
        </w:trPr>
        <w:tc>
          <w:tcPr>
            <w:tcW w:w="15291" w:type="dxa"/>
            <w:gridSpan w:val="1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10"/>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部门：湖南省农机事务中心</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19"/>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10"/>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部门：湖南省农机事务中心</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58.42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14"/>
        <w:rPr>
          <w:sz w:val="72"/>
          <w:szCs w:val="72"/>
        </w:rPr>
      </w:pPr>
    </w:p>
    <w:p>
      <w:pPr>
        <w:pStyle w:val="14"/>
        <w:rPr>
          <w:sz w:val="72"/>
          <w:szCs w:val="72"/>
        </w:rPr>
      </w:pPr>
    </w:p>
    <w:p>
      <w:pPr>
        <w:pStyle w:val="14"/>
        <w:rPr>
          <w:sz w:val="72"/>
          <w:szCs w:val="72"/>
        </w:rPr>
      </w:pPr>
    </w:p>
    <w:p>
      <w:pPr>
        <w:pStyle w:val="14"/>
        <w:rPr>
          <w:sz w:val="72"/>
          <w:szCs w:val="72"/>
        </w:rPr>
      </w:pPr>
    </w:p>
    <w:p>
      <w:pPr>
        <w:pStyle w:val="14"/>
        <w:jc w:val="center"/>
        <w:rPr>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年度收、支总计6383.94万元。与上年相比，增加</w:t>
      </w:r>
      <w:r>
        <w:rPr>
          <w:rFonts w:hint="eastAsia" w:ascii="Times New Roman" w:hAnsi="Times New Roman" w:eastAsia="仿宋_GB2312"/>
          <w:sz w:val="32"/>
          <w:szCs w:val="32"/>
          <w:lang w:val="en-US" w:eastAsia="zh-CN"/>
        </w:rPr>
        <w:t>254.59</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4.15</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eastAsia="zh-CN"/>
        </w:rPr>
        <w:t>上年结转结余金额增加。</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年度收入合计5734.52万元，其中：财政拨款收入5707.4万元，占</w:t>
      </w:r>
      <w:r>
        <w:rPr>
          <w:rFonts w:hint="eastAsia" w:ascii="Times New Roman" w:hAnsi="Times New Roman" w:eastAsia="仿宋_GB2312"/>
          <w:sz w:val="32"/>
          <w:szCs w:val="32"/>
          <w:lang w:val="en-US" w:eastAsia="zh-CN"/>
        </w:rPr>
        <w:t>99.53</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%；其他收入27.12万元，占</w:t>
      </w:r>
      <w:r>
        <w:rPr>
          <w:rFonts w:hint="eastAsia" w:ascii="Times New Roman" w:hAnsi="Times New Roman" w:eastAsia="仿宋_GB2312"/>
          <w:sz w:val="32"/>
          <w:szCs w:val="32"/>
          <w:lang w:val="en-US" w:eastAsia="zh-CN"/>
        </w:rPr>
        <w:t>0.47</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4659.00</w:t>
      </w:r>
      <w:r>
        <w:rPr>
          <w:rFonts w:hint="eastAsia" w:ascii="Times New Roman" w:hAnsi="Times New Roman" w:eastAsia="仿宋_GB2312"/>
          <w:sz w:val="32"/>
          <w:szCs w:val="32"/>
        </w:rPr>
        <w:t>万元，其中：基本支出3190.76万元，占</w:t>
      </w:r>
      <w:r>
        <w:rPr>
          <w:rFonts w:hint="eastAsia" w:ascii="Times New Roman" w:hAnsi="Times New Roman" w:eastAsia="仿宋_GB2312"/>
          <w:sz w:val="32"/>
          <w:szCs w:val="32"/>
          <w:lang w:val="en-US" w:eastAsia="zh-CN"/>
        </w:rPr>
        <w:t>68.49</w:t>
      </w:r>
      <w:r>
        <w:rPr>
          <w:rFonts w:hint="eastAsia" w:ascii="Times New Roman" w:hAnsi="Times New Roman" w:eastAsia="仿宋_GB2312"/>
          <w:sz w:val="32"/>
          <w:szCs w:val="32"/>
        </w:rPr>
        <w:t>%；项目支出1468.24万元，占</w:t>
      </w:r>
      <w:r>
        <w:rPr>
          <w:rFonts w:hint="eastAsia" w:ascii="Times New Roman" w:hAnsi="Times New Roman" w:eastAsia="仿宋_GB2312"/>
          <w:sz w:val="32"/>
          <w:szCs w:val="32"/>
          <w:lang w:val="en-US" w:eastAsia="zh-CN"/>
        </w:rPr>
        <w:t>31.51</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4"/>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年度财政拨款收、支总计6333.27万元，与上年相比，增加</w:t>
      </w:r>
      <w:r>
        <w:rPr>
          <w:rFonts w:hint="eastAsia" w:ascii="Times New Roman" w:hAnsi="Times New Roman" w:eastAsia="仿宋_GB2312"/>
          <w:sz w:val="32"/>
          <w:szCs w:val="32"/>
          <w:lang w:val="en-US" w:eastAsia="zh-CN"/>
        </w:rPr>
        <w:t>250.86</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4.12</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eastAsia="zh-CN"/>
        </w:rPr>
        <w:t>年中追加了</w:t>
      </w:r>
      <w:r>
        <w:rPr>
          <w:rFonts w:hint="eastAsia" w:ascii="Times New Roman" w:hAnsi="Times New Roman" w:eastAsia="仿宋_GB2312"/>
          <w:sz w:val="32"/>
          <w:szCs w:val="32"/>
          <w:lang w:val="en-US" w:eastAsia="zh-CN"/>
        </w:rPr>
        <w:t>国家现代农业产业园及农业产业强镇</w:t>
      </w:r>
      <w:r>
        <w:rPr>
          <w:rFonts w:hint="eastAsia" w:ascii="Times New Roman" w:hAnsi="Times New Roman" w:eastAsia="仿宋_GB2312"/>
          <w:sz w:val="32"/>
          <w:szCs w:val="32"/>
          <w:lang w:eastAsia="zh-CN"/>
        </w:rPr>
        <w:t>项目资金。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4622.67</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72.99</w:t>
      </w:r>
      <w:r>
        <w:rPr>
          <w:rFonts w:hint="eastAsia" w:ascii="Times New Roman" w:hAnsi="Times New Roman" w:eastAsia="仿宋_GB2312"/>
          <w:sz w:val="32"/>
          <w:szCs w:val="32"/>
        </w:rPr>
        <w:t>%，与上年相比，财政拨款支出减少</w:t>
      </w:r>
      <w:r>
        <w:rPr>
          <w:rFonts w:hint="eastAsia" w:ascii="Times New Roman" w:hAnsi="Times New Roman" w:eastAsia="仿宋_GB2312"/>
          <w:sz w:val="32"/>
          <w:szCs w:val="32"/>
          <w:lang w:val="en-US" w:eastAsia="zh-CN"/>
        </w:rPr>
        <w:t>465.09</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9.14</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主要是因为：1.植保无人机试验检测系统政府采购尚未完成；2.试验鉴定专用仪器设备货款按合同约定尚未支付。</w:t>
      </w:r>
    </w:p>
    <w:p>
      <w:pPr>
        <w:pStyle w:val="14"/>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4622.67</w:t>
      </w:r>
      <w:r>
        <w:rPr>
          <w:rFonts w:hint="eastAsia" w:ascii="Times New Roman" w:hAnsi="Times New Roman" w:eastAsia="仿宋_GB2312"/>
          <w:sz w:val="32"/>
          <w:szCs w:val="32"/>
        </w:rPr>
        <w:t>万元，主要用于以下方面：社会保障和就业</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类）支出974.88万元，占</w:t>
      </w:r>
      <w:r>
        <w:rPr>
          <w:rFonts w:hint="eastAsia" w:ascii="Times New Roman" w:hAnsi="Times New Roman" w:eastAsia="仿宋_GB2312"/>
          <w:sz w:val="32"/>
          <w:szCs w:val="32"/>
          <w:lang w:val="en-US" w:eastAsia="zh-CN"/>
        </w:rPr>
        <w:t>21.09</w:t>
      </w:r>
      <w:r>
        <w:rPr>
          <w:rFonts w:hint="eastAsia" w:ascii="Times New Roman" w:hAnsi="Times New Roman" w:eastAsia="仿宋_GB2312"/>
          <w:sz w:val="32"/>
          <w:szCs w:val="32"/>
        </w:rPr>
        <w:t>%；农林水</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类）支出3419.79万元，占</w:t>
      </w:r>
      <w:r>
        <w:rPr>
          <w:rFonts w:hint="eastAsia" w:ascii="Times New Roman" w:hAnsi="Times New Roman" w:eastAsia="仿宋_GB2312"/>
          <w:sz w:val="32"/>
          <w:szCs w:val="32"/>
          <w:lang w:val="en-US" w:eastAsia="zh-CN"/>
        </w:rPr>
        <w:t>73.98</w:t>
      </w:r>
      <w:r>
        <w:rPr>
          <w:rFonts w:hint="eastAsia" w:ascii="Times New Roman" w:hAnsi="Times New Roman" w:eastAsia="仿宋_GB2312"/>
          <w:sz w:val="32"/>
          <w:szCs w:val="32"/>
        </w:rPr>
        <w:t>%；住房保障（类）支出228</w:t>
      </w:r>
      <w:r>
        <w:rPr>
          <w:rFonts w:hint="eastAsia" w:ascii="Times New Roman" w:hAnsi="Times New Roman" w:eastAsia="仿宋_GB2312"/>
          <w:sz w:val="32"/>
          <w:szCs w:val="32"/>
          <w:lang w:val="en-US" w:eastAsia="zh-CN"/>
        </w:rPr>
        <w:t>.00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4.93</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5145.49</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4622.67</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89.84</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1、社会保障和就业支出（类）行政事业单位养老支出（款）事业单位离退休（项）。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486.33</w:t>
      </w:r>
      <w:r>
        <w:rPr>
          <w:rFonts w:hint="eastAsia" w:ascii="Times New Roman" w:hAnsi="Times New Roman" w:eastAsia="仿宋_GB2312"/>
          <w:sz w:val="32"/>
          <w:szCs w:val="32"/>
        </w:rPr>
        <w:t>万元，支出决算为466.27万元，完成年初预算的9</w:t>
      </w:r>
      <w:r>
        <w:rPr>
          <w:rFonts w:hint="eastAsia" w:ascii="Times New Roman" w:hAnsi="Times New Roman" w:eastAsia="仿宋_GB2312"/>
          <w:sz w:val="32"/>
          <w:szCs w:val="32"/>
          <w:lang w:val="en-US" w:eastAsia="zh-CN"/>
        </w:rPr>
        <w:t>5.88</w:t>
      </w:r>
      <w:r>
        <w:rPr>
          <w:rFonts w:hint="eastAsia" w:ascii="Times New Roman" w:hAnsi="Times New Roman" w:eastAsia="仿宋_GB2312"/>
          <w:sz w:val="32"/>
          <w:szCs w:val="32"/>
        </w:rPr>
        <w:t>%，决算数小于年初预算数的主要原因是：本年度</w:t>
      </w:r>
      <w:r>
        <w:rPr>
          <w:rFonts w:hint="eastAsia" w:ascii="Times New Roman" w:hAnsi="Times New Roman" w:eastAsia="仿宋_GB2312"/>
          <w:sz w:val="32"/>
          <w:szCs w:val="32"/>
          <w:lang w:val="en-US" w:eastAsia="zh-CN"/>
        </w:rPr>
        <w:t>离休人员去世1人，</w:t>
      </w:r>
      <w:r>
        <w:rPr>
          <w:rFonts w:hint="eastAsia" w:ascii="Times New Roman" w:hAnsi="Times New Roman" w:eastAsia="仿宋_GB2312"/>
          <w:sz w:val="32"/>
          <w:szCs w:val="32"/>
        </w:rPr>
        <w:t>退休人员</w:t>
      </w:r>
      <w:r>
        <w:rPr>
          <w:rFonts w:hint="eastAsia" w:ascii="Times New Roman" w:hAnsi="Times New Roman" w:eastAsia="仿宋_GB2312"/>
          <w:sz w:val="32"/>
          <w:szCs w:val="32"/>
          <w:lang w:val="en-US" w:eastAsia="zh-CN"/>
        </w:rPr>
        <w:t>去世1人</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2、社会保障和就业支出（类）行政事业单位养老支出（款）机关事业单位基本养老保险缴费支出（项）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498</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498</w:t>
      </w:r>
      <w:r>
        <w:rPr>
          <w:rFonts w:hint="eastAsia" w:ascii="Times New Roman" w:hAnsi="Times New Roman" w:eastAsia="仿宋_GB2312"/>
          <w:sz w:val="32"/>
          <w:szCs w:val="32"/>
        </w:rPr>
        <w:t>万元，完成年初预算的100%。</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3、社会保障和就业支出（类）抚恤支出（款）死亡抚恤（项）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hint="eastAsia" w:ascii="Times New Roman" w:hAnsi="Times New Roman" w:eastAsia="仿宋_GB2312"/>
          <w:sz w:val="32"/>
          <w:szCs w:val="32"/>
          <w:lang w:val="en-US" w:eastAsia="zh-CN"/>
        </w:rPr>
        <w:t>10.61</w:t>
      </w:r>
      <w:r>
        <w:rPr>
          <w:rFonts w:hint="eastAsia" w:ascii="Times New Roman" w:hAnsi="Times New Roman" w:eastAsia="仿宋_GB2312"/>
          <w:sz w:val="32"/>
          <w:szCs w:val="32"/>
        </w:rPr>
        <w:t>万元，决算数大于年初预算数的主要原因是：财政年中追加了死亡抚恤金指标并完成发放。</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4、农林水支出（类）农业农村（款）行政运行（项）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w:t>
      </w:r>
      <w:r>
        <w:rPr>
          <w:rFonts w:hint="eastAsia" w:ascii="Times New Roman" w:hAnsi="Times New Roman" w:eastAsia="仿宋_GB2312"/>
          <w:sz w:val="32"/>
          <w:szCs w:val="32"/>
          <w:lang w:val="en-US" w:eastAsia="zh-CN"/>
        </w:rPr>
        <w:t>2437.1</w:t>
      </w:r>
      <w:r>
        <w:rPr>
          <w:rFonts w:hint="eastAsia" w:ascii="Times New Roman" w:hAnsi="Times New Roman" w:eastAsia="仿宋_GB2312"/>
          <w:sz w:val="32"/>
          <w:szCs w:val="32"/>
        </w:rPr>
        <w:t>万元，支出决算为2221.6</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91.16</w:t>
      </w:r>
      <w:r>
        <w:rPr>
          <w:rFonts w:hint="eastAsia" w:ascii="Times New Roman" w:hAnsi="Times New Roman" w:eastAsia="仿宋_GB2312"/>
          <w:sz w:val="32"/>
          <w:szCs w:val="32"/>
        </w:rPr>
        <w:t>%，决算</w:t>
      </w:r>
      <w:r>
        <w:rPr>
          <w:rFonts w:hint="eastAsia" w:ascii="Times New Roman" w:hAnsi="Times New Roman" w:eastAsia="仿宋_GB2312"/>
          <w:sz w:val="32"/>
          <w:szCs w:val="32"/>
          <w:lang w:val="en-US" w:eastAsia="zh-CN"/>
        </w:rPr>
        <w:t>数小</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val="en-US" w:eastAsia="zh-CN"/>
        </w:rPr>
        <w:t>本年度退休人员较多。</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5、农林水支出（类）农业农村（款）科技转化与推广服务（项）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年初预算为510.53万元，支出决算为461.23万元，完成年初预算的90.34%，决算数小于年初预算数的主要原因是：国家水田机械质量监督检测中心试验基地建设项目政府采购未完成。</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6、农林水支出（类）农业农村（款）农业生产发展（项）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年初预算为985.53万元，支出决算为736.93万元，完成年初预算的74.77%，决算数小于年初预算数的主要原因是：试验鉴定专用仪器设备货款按合同约定尚未支付。</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7、住房保障支出（类）住房改革支出（款）住房公积金（项）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年初预算为228万元，支出决算为228万元，完成年初预算的100%。</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3190.72</w:t>
      </w:r>
      <w:r>
        <w:rPr>
          <w:rFonts w:hint="eastAsia" w:ascii="Times New Roman" w:hAnsi="Times New Roman" w:eastAsia="仿宋_GB2312"/>
          <w:sz w:val="32"/>
          <w:szCs w:val="32"/>
        </w:rPr>
        <w:t>万元，其中：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rPr>
        <w:t>2686.36万元，占基本支出的</w:t>
      </w:r>
      <w:r>
        <w:rPr>
          <w:rFonts w:hint="eastAsia" w:ascii="Times New Roman" w:hAnsi="Times New Roman" w:eastAsia="仿宋_GB2312"/>
          <w:sz w:val="32"/>
          <w:szCs w:val="32"/>
          <w:lang w:val="en-US" w:eastAsia="zh-CN"/>
        </w:rPr>
        <w:t>84.19</w:t>
      </w:r>
      <w:r>
        <w:rPr>
          <w:rFonts w:hint="eastAsia" w:ascii="Times New Roman" w:hAnsi="Times New Roman" w:eastAsia="仿宋_GB2312"/>
          <w:sz w:val="32"/>
          <w:szCs w:val="32"/>
        </w:rPr>
        <w:t>%,主要包括基本工资、津贴补贴、奖金、伙食补助费、机关事业单位基本养老保险缴费、住房公积金、职工基本医疗保险缴费、公务员医疗补助缴费、离休费、医疗费补助、生活补助、奖励金等。</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rPr>
        <w:t>504.36万元，占基本支出的</w:t>
      </w:r>
      <w:r>
        <w:rPr>
          <w:rFonts w:hint="eastAsia" w:ascii="Times New Roman" w:hAnsi="Times New Roman" w:eastAsia="仿宋_GB2312"/>
          <w:sz w:val="32"/>
          <w:szCs w:val="32"/>
          <w:lang w:val="en-US" w:eastAsia="zh-CN"/>
        </w:rPr>
        <w:t>15.81</w:t>
      </w:r>
      <w:r>
        <w:rPr>
          <w:rFonts w:hint="eastAsia" w:ascii="Times New Roman" w:hAnsi="Times New Roman" w:eastAsia="仿宋_GB2312"/>
          <w:sz w:val="32"/>
          <w:szCs w:val="32"/>
        </w:rPr>
        <w:t>%，主要包括主要包括办公费、印刷费、劳务费、差旅费、维修（护）费、物业管理费、水费、电费、会议费、培训费、公务接待费、公务用车运行维护费、委托业务费、工会经费、福利费、其他交通费用等。</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highlight w:val="red"/>
        </w:rPr>
      </w:pPr>
      <w:r>
        <w:rPr>
          <w:rFonts w:hint="eastAsia" w:ascii="黑体" w:hAnsi="黑体" w:eastAsia="黑体" w:cs="黑体"/>
          <w:b w:val="0"/>
          <w:bCs/>
          <w:sz w:val="32"/>
          <w:szCs w:val="32"/>
        </w:rPr>
        <w:t>七、财政拨款三公经费支出决算情况说明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75</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58.42</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77.9</w:t>
      </w:r>
      <w:r>
        <w:rPr>
          <w:rFonts w:hint="eastAsia" w:ascii="Times New Roman" w:hAnsi="Times New Roman" w:eastAsia="仿宋_GB2312"/>
          <w:sz w:val="32"/>
          <w:szCs w:val="32"/>
        </w:rPr>
        <w:t>%，决算数小于预算数的主要原因是严格按公务接待标准和审批流程</w:t>
      </w:r>
      <w:r>
        <w:rPr>
          <w:rFonts w:hint="eastAsia" w:ascii="Times New Roman" w:hAnsi="Times New Roman" w:eastAsia="仿宋_GB2312"/>
          <w:sz w:val="32"/>
          <w:szCs w:val="32"/>
          <w:lang w:val="en-US" w:eastAsia="zh-CN"/>
        </w:rPr>
        <w:t>进行</w:t>
      </w:r>
      <w:r>
        <w:rPr>
          <w:rFonts w:hint="eastAsia" w:ascii="Times New Roman" w:hAnsi="Times New Roman" w:eastAsia="仿宋_GB2312"/>
          <w:sz w:val="32"/>
          <w:szCs w:val="32"/>
        </w:rPr>
        <w:t>接待活动</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全年接待费用较少</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8.54</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17.12</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eastAsia="zh-CN"/>
        </w:rPr>
        <w:t>按规定组织了</w:t>
      </w:r>
      <w:r>
        <w:rPr>
          <w:rFonts w:hint="eastAsia" w:ascii="Times New Roman" w:hAnsi="Times New Roman" w:eastAsia="仿宋_GB2312"/>
          <w:sz w:val="32"/>
          <w:szCs w:val="32"/>
        </w:rPr>
        <w:t>因公出国（境）</w:t>
      </w:r>
      <w:r>
        <w:rPr>
          <w:rFonts w:hint="eastAsia" w:ascii="Times New Roman" w:hAnsi="Times New Roman" w:eastAsia="仿宋_GB2312"/>
          <w:sz w:val="32"/>
          <w:szCs w:val="32"/>
          <w:lang w:eastAsia="zh-CN"/>
        </w:rPr>
        <w:t>活动</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27</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27</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27</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eastAsia="zh-CN"/>
        </w:rPr>
        <w:t>上年度无</w:t>
      </w:r>
      <w:r>
        <w:rPr>
          <w:rFonts w:hint="eastAsia" w:ascii="Times New Roman" w:hAnsi="Times New Roman" w:eastAsia="仿宋_GB2312"/>
          <w:sz w:val="32"/>
          <w:szCs w:val="32"/>
        </w:rPr>
        <w:t>因公出国（境）</w:t>
      </w:r>
      <w:r>
        <w:rPr>
          <w:rFonts w:hint="eastAsia" w:ascii="Times New Roman" w:hAnsi="Times New Roman" w:eastAsia="仿宋_GB2312"/>
          <w:sz w:val="32"/>
          <w:szCs w:val="32"/>
          <w:lang w:eastAsia="zh-CN"/>
        </w:rPr>
        <w:t>活动</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18</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1.42</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7.89</w:t>
      </w:r>
      <w:r>
        <w:rPr>
          <w:rFonts w:hint="eastAsia" w:ascii="Times New Roman" w:hAnsi="Times New Roman" w:eastAsia="仿宋_GB2312"/>
          <w:sz w:val="32"/>
          <w:szCs w:val="32"/>
        </w:rPr>
        <w:t>%，决算数小于预算数的主要原因是严格按公务接待标准和审批流程审批接待活动</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0.74</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108.82</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eastAsia="zh-CN"/>
        </w:rPr>
        <w:t>上年度因</w:t>
      </w:r>
      <w:r>
        <w:rPr>
          <w:rFonts w:hint="eastAsia" w:ascii="Times New Roman" w:hAnsi="Times New Roman" w:eastAsia="仿宋_GB2312"/>
          <w:sz w:val="32"/>
          <w:szCs w:val="32"/>
        </w:rPr>
        <w:t>疫情原因，接待活动</w:t>
      </w:r>
      <w:r>
        <w:rPr>
          <w:rFonts w:hint="eastAsia" w:ascii="Times New Roman" w:hAnsi="Times New Roman" w:eastAsia="仿宋_GB2312"/>
          <w:sz w:val="32"/>
          <w:szCs w:val="32"/>
          <w:lang w:val="en-US" w:eastAsia="zh-CN"/>
        </w:rPr>
        <w:t>较</w:t>
      </w:r>
      <w:r>
        <w:rPr>
          <w:rFonts w:hint="eastAsia" w:ascii="Times New Roman" w:hAnsi="Times New Roman" w:eastAsia="仿宋_GB2312"/>
          <w:sz w:val="32"/>
          <w:szCs w:val="32"/>
        </w:rPr>
        <w:t>少</w:t>
      </w:r>
      <w:r>
        <w:rPr>
          <w:rFonts w:hint="eastAsia" w:ascii="Times New Roman" w:hAnsi="Times New Roman" w:eastAsia="仿宋_GB2312"/>
          <w:sz w:val="32"/>
          <w:szCs w:val="32"/>
          <w:lang w:eastAsia="zh-CN"/>
        </w:rPr>
        <w:t>，本年度</w:t>
      </w:r>
      <w:r>
        <w:rPr>
          <w:rFonts w:hint="eastAsia" w:ascii="Times New Roman" w:hAnsi="Times New Roman" w:eastAsia="仿宋_GB2312"/>
          <w:sz w:val="32"/>
          <w:szCs w:val="32"/>
          <w:lang w:val="en-US" w:eastAsia="zh-CN"/>
        </w:rPr>
        <w:t>按工作需要正常</w:t>
      </w:r>
      <w:r>
        <w:rPr>
          <w:rFonts w:hint="eastAsia" w:ascii="Times New Roman" w:hAnsi="Times New Roman" w:eastAsia="仿宋_GB2312"/>
          <w:sz w:val="32"/>
          <w:szCs w:val="32"/>
          <w:lang w:eastAsia="zh-CN"/>
        </w:rPr>
        <w:t>接待</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与上年相比减少</w:t>
      </w:r>
      <w:r>
        <w:rPr>
          <w:rFonts w:hint="eastAsia" w:ascii="Times New Roman" w:hAnsi="Times New Roman" w:eastAsia="仿宋_GB2312"/>
          <w:sz w:val="32"/>
          <w:szCs w:val="32"/>
          <w:lang w:val="en-US" w:eastAsia="zh-CN"/>
        </w:rPr>
        <w:t>20.37</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%,减少的主要原因是</w:t>
      </w:r>
      <w:r>
        <w:rPr>
          <w:rFonts w:hint="eastAsia" w:ascii="Times New Roman" w:hAnsi="Times New Roman" w:eastAsia="仿宋_GB2312"/>
          <w:sz w:val="32"/>
          <w:szCs w:val="32"/>
          <w:lang w:eastAsia="zh-CN"/>
        </w:rPr>
        <w:t>上年度按规定购入公务用车一台，本年无</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30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1.17</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4.06</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eastAsia="zh-CN"/>
        </w:rPr>
        <w:t>车辆老化，维修成本高，在预算内正常开支</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1.42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2.43</w:t>
      </w:r>
      <w:r>
        <w:rPr>
          <w:rFonts w:hint="eastAsia"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27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46.22</w:t>
      </w:r>
      <w:r>
        <w:rPr>
          <w:rFonts w:hint="eastAsia"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30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51.35</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27</w:t>
      </w:r>
      <w:r>
        <w:rPr>
          <w:rFonts w:hint="eastAsia" w:ascii="Times New Roman" w:hAnsi="Times New Roman" w:eastAsia="仿宋_GB2312"/>
          <w:sz w:val="32"/>
          <w:szCs w:val="32"/>
        </w:rPr>
        <w:t>万元，全年安排因公出国（境）团组</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人次,开支内容包括：</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日本农业交流洽谈访问支出</w:t>
      </w:r>
      <w:r>
        <w:rPr>
          <w:rFonts w:hint="eastAsia" w:ascii="Times New Roman" w:hAnsi="Times New Roman" w:eastAsia="仿宋_GB2312"/>
          <w:sz w:val="32"/>
          <w:szCs w:val="32"/>
          <w:lang w:val="en-US" w:eastAsia="zh-CN"/>
        </w:rPr>
        <w:t>7.9</w:t>
      </w:r>
      <w:r>
        <w:rPr>
          <w:rFonts w:hint="eastAsia" w:ascii="Times New Roman" w:hAnsi="Times New Roman" w:eastAsia="仿宋_GB2312"/>
          <w:sz w:val="32"/>
          <w:szCs w:val="32"/>
        </w:rPr>
        <w:t>万元，主要用于参加北海道第35届国际农业机械展览会，并与日本大型农业机械企业进行洽谈</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多米尼加农机展出访交流</w:t>
      </w:r>
      <w:r>
        <w:rPr>
          <w:rFonts w:hint="eastAsia" w:ascii="Times New Roman" w:hAnsi="Times New Roman" w:eastAsia="仿宋_GB2312"/>
          <w:sz w:val="32"/>
          <w:szCs w:val="32"/>
        </w:rPr>
        <w:t>访问支出</w:t>
      </w:r>
      <w:r>
        <w:rPr>
          <w:rFonts w:hint="eastAsia" w:ascii="Times New Roman" w:hAnsi="Times New Roman" w:eastAsia="仿宋_GB2312"/>
          <w:sz w:val="32"/>
          <w:szCs w:val="32"/>
          <w:lang w:val="en-US" w:eastAsia="zh-CN"/>
        </w:rPr>
        <w:t>15.6</w:t>
      </w:r>
      <w:r>
        <w:rPr>
          <w:rFonts w:hint="eastAsia" w:ascii="Times New Roman" w:hAnsi="Times New Roman" w:eastAsia="仿宋_GB2312"/>
          <w:sz w:val="32"/>
          <w:szCs w:val="32"/>
        </w:rPr>
        <w:t>万元，主要用于我省与多米尼加共和国于10月24日在多米尼加首都圣多明各（Santo Domingo）共同开展农业合作活动，主要包括湖南农机展、农机捐赠仪式及农业对接会等</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eastAsia="zh-CN"/>
        </w:rPr>
        <w:t>南美出访交流</w:t>
      </w:r>
      <w:r>
        <w:rPr>
          <w:rFonts w:hint="eastAsia" w:ascii="Times New Roman" w:hAnsi="Times New Roman" w:eastAsia="仿宋_GB2312"/>
          <w:sz w:val="32"/>
          <w:szCs w:val="32"/>
        </w:rPr>
        <w:t>访问支出</w:t>
      </w:r>
      <w:r>
        <w:rPr>
          <w:rFonts w:hint="eastAsia" w:ascii="Times New Roman" w:hAnsi="Times New Roman" w:eastAsia="仿宋_GB2312"/>
          <w:sz w:val="32"/>
          <w:szCs w:val="32"/>
          <w:lang w:val="en-US" w:eastAsia="zh-CN"/>
        </w:rPr>
        <w:t>3.5</w:t>
      </w:r>
      <w:r>
        <w:rPr>
          <w:rFonts w:hint="eastAsia" w:ascii="Times New Roman" w:hAnsi="Times New Roman" w:eastAsia="仿宋_GB2312"/>
          <w:sz w:val="32"/>
          <w:szCs w:val="32"/>
        </w:rPr>
        <w:t>万元，主要用于为加强与南美地区侨团联谊交流，巩固推动湖南国际友成建设，扩大南美“朋友圈”，促进我省对外经贸交流合作和招商引资工作，10月24日</w:t>
      </w:r>
      <w:r>
        <w:rPr>
          <w:rFonts w:hint="eastAsia" w:ascii="Times New Roman" w:hAnsi="Times New Roman" w:eastAsia="仿宋_GB2312"/>
          <w:sz w:val="32"/>
          <w:szCs w:val="32"/>
          <w:lang w:val="en-US" w:eastAsia="zh-CN"/>
        </w:rPr>
        <w:t>-</w:t>
      </w:r>
      <w:r>
        <w:rPr>
          <w:rFonts w:hint="eastAsia" w:ascii="Times New Roman" w:hAnsi="Times New Roman" w:eastAsia="仿宋_GB2312"/>
          <w:sz w:val="32"/>
          <w:szCs w:val="32"/>
        </w:rPr>
        <w:t>11月4日随团出访巴西、阿根廷和巴拿马三国。</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1.42</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26</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104</w:t>
      </w:r>
      <w:r>
        <w:rPr>
          <w:rFonts w:hint="eastAsia" w:ascii="Times New Roman" w:hAnsi="Times New Roman" w:eastAsia="仿宋_GB2312"/>
          <w:sz w:val="32"/>
          <w:szCs w:val="32"/>
        </w:rPr>
        <w:t>人</w:t>
      </w:r>
      <w:r>
        <w:rPr>
          <w:rFonts w:hint="eastAsia" w:ascii="Times New Roman" w:hAnsi="Times New Roman" w:eastAsia="仿宋_GB2312"/>
          <w:sz w:val="32"/>
          <w:szCs w:val="32"/>
          <w:lang w:val="en-US" w:eastAsia="zh-CN"/>
        </w:rPr>
        <w:t>次</w:t>
      </w:r>
      <w:r>
        <w:rPr>
          <w:rFonts w:hint="eastAsia" w:ascii="Times New Roman" w:hAnsi="Times New Roman" w:eastAsia="仿宋_GB2312"/>
          <w:sz w:val="32"/>
          <w:szCs w:val="32"/>
        </w:rPr>
        <w:t>，主要是</w:t>
      </w:r>
      <w:r>
        <w:rPr>
          <w:rFonts w:hint="eastAsia" w:ascii="Times New Roman" w:hAnsi="Times New Roman" w:eastAsia="仿宋_GB2312"/>
          <w:sz w:val="32"/>
          <w:szCs w:val="32"/>
          <w:lang w:val="en-US" w:eastAsia="zh-CN"/>
        </w:rPr>
        <w:t>农业农村部农业机械化总站</w:t>
      </w:r>
      <w:r>
        <w:rPr>
          <w:rFonts w:hint="eastAsia" w:ascii="Times New Roman" w:hAnsi="Times New Roman" w:eastAsia="仿宋_GB2312"/>
          <w:sz w:val="32"/>
          <w:szCs w:val="32"/>
        </w:rPr>
        <w:t>来中心考察调研、各县市州农机事务中心来汇报工作、咨询补贴政策事宜等发生的接待支出</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30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湖南省农机事务中心</w:t>
      </w:r>
      <w:r>
        <w:rPr>
          <w:rFonts w:hint="eastAsia" w:ascii="Times New Roman" w:hAnsi="Times New Roman" w:eastAsia="仿宋_GB2312"/>
          <w:sz w:val="32"/>
          <w:szCs w:val="32"/>
        </w:rPr>
        <w:t>本级更新公务用车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辆。公务用车运行维护费</w:t>
      </w:r>
      <w:r>
        <w:rPr>
          <w:rFonts w:hint="eastAsia" w:ascii="Times New Roman" w:hAnsi="Times New Roman" w:eastAsia="仿宋_GB2312"/>
          <w:sz w:val="32"/>
          <w:szCs w:val="32"/>
          <w:lang w:val="en-US" w:eastAsia="zh-CN"/>
        </w:rPr>
        <w:t>30</w:t>
      </w:r>
      <w:r>
        <w:rPr>
          <w:rFonts w:hint="eastAsia" w:ascii="Times New Roman" w:hAnsi="Times New Roman" w:eastAsia="仿宋_GB2312"/>
          <w:sz w:val="32"/>
          <w:szCs w:val="32"/>
        </w:rPr>
        <w:t>万元，主要是车</w:t>
      </w:r>
      <w:r>
        <w:rPr>
          <w:rFonts w:hint="eastAsia" w:ascii="Times New Roman" w:hAnsi="Times New Roman" w:eastAsia="仿宋_GB2312"/>
          <w:sz w:val="32"/>
          <w:szCs w:val="32"/>
          <w:lang w:val="en-US" w:eastAsia="zh-CN"/>
        </w:rPr>
        <w:t>辆油费、高速公路ETC费、车辆维修费、车辆保险费等支出</w:t>
      </w:r>
      <w:r>
        <w:rPr>
          <w:rFonts w:hint="eastAsia" w:ascii="Times New Roman" w:hAnsi="Times New Roman" w:eastAsia="仿宋_GB2312"/>
          <w:sz w:val="32"/>
          <w:szCs w:val="32"/>
        </w:rPr>
        <w:t>，截止202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辆。</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本单位无政府性基金收支。</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年度机关运行经费支出</w:t>
      </w:r>
      <w:r>
        <w:rPr>
          <w:rFonts w:hint="eastAsia" w:ascii="Times New Roman" w:hAnsi="Times New Roman" w:eastAsia="仿宋_GB2312"/>
          <w:sz w:val="32"/>
          <w:szCs w:val="32"/>
          <w:lang w:val="en-US" w:eastAsia="zh-CN"/>
        </w:rPr>
        <w:t>504.36</w:t>
      </w:r>
      <w:r>
        <w:rPr>
          <w:rFonts w:hint="eastAsia" w:ascii="Times New Roman" w:hAnsi="Times New Roman" w:eastAsia="仿宋_GB2312"/>
          <w:sz w:val="32"/>
          <w:szCs w:val="32"/>
        </w:rPr>
        <w:t>万元，比上年决算数减少</w:t>
      </w:r>
      <w:r>
        <w:rPr>
          <w:rFonts w:hint="eastAsia" w:ascii="Times New Roman" w:hAnsi="Times New Roman" w:eastAsia="仿宋_GB2312"/>
          <w:sz w:val="32"/>
          <w:szCs w:val="32"/>
          <w:lang w:val="en-US" w:eastAsia="zh-CN"/>
        </w:rPr>
        <w:t>8.99</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减少</w:t>
      </w:r>
      <w:r>
        <w:rPr>
          <w:rFonts w:hint="eastAsia" w:ascii="Times New Roman" w:hAnsi="Times New Roman" w:eastAsia="仿宋_GB2312"/>
          <w:sz w:val="32"/>
          <w:szCs w:val="32"/>
          <w:lang w:val="en-US" w:eastAsia="zh-CN"/>
        </w:rPr>
        <w:t>1.75</w:t>
      </w:r>
      <w:r>
        <w:rPr>
          <w:rFonts w:hint="eastAsia" w:ascii="Times New Roman" w:hAnsi="Times New Roman" w:eastAsia="仿宋_GB2312"/>
          <w:sz w:val="32"/>
          <w:szCs w:val="32"/>
        </w:rPr>
        <w:t>%。主要原因是</w:t>
      </w:r>
      <w:r>
        <w:rPr>
          <w:rFonts w:hint="eastAsia" w:ascii="Times New Roman" w:hAnsi="Times New Roman" w:eastAsia="仿宋_GB2312"/>
          <w:sz w:val="32"/>
          <w:szCs w:val="32"/>
          <w:lang w:eastAsia="zh-CN"/>
        </w:rPr>
        <w:t>：减少了公务用车购置费用</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99.91</w:t>
      </w:r>
      <w:r>
        <w:rPr>
          <w:rFonts w:hint="eastAsia" w:ascii="Times New Roman" w:hAnsi="Times New Roman" w:eastAsia="仿宋_GB2312"/>
          <w:sz w:val="32"/>
          <w:szCs w:val="32"/>
        </w:rPr>
        <w:t>万元，主要用于：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召开全省农机事故统计报送员培训</w:t>
      </w:r>
      <w:r>
        <w:rPr>
          <w:rFonts w:hint="eastAsia" w:ascii="Times New Roman" w:hAnsi="Times New Roman" w:eastAsia="仿宋_GB2312"/>
          <w:sz w:val="32"/>
          <w:szCs w:val="32"/>
          <w:lang w:val="en-US" w:eastAsia="zh-CN"/>
        </w:rPr>
        <w:t>会</w:t>
      </w:r>
      <w:r>
        <w:rPr>
          <w:rFonts w:hint="eastAsia" w:ascii="Times New Roman" w:hAnsi="Times New Roman" w:eastAsia="仿宋_GB2312"/>
          <w:sz w:val="32"/>
          <w:szCs w:val="32"/>
        </w:rPr>
        <w:t>，人数</w:t>
      </w:r>
      <w:r>
        <w:rPr>
          <w:rFonts w:hint="eastAsia" w:ascii="Times New Roman" w:hAnsi="Times New Roman" w:eastAsia="仿宋_GB2312"/>
          <w:sz w:val="32"/>
          <w:szCs w:val="32"/>
          <w:lang w:val="en-US" w:eastAsia="zh-CN"/>
        </w:rPr>
        <w:t>154</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1.农机事故处理及采集；2.全国农机事故报送分析新系统操作使用；3.农机事故处理模拟训练，金额</w:t>
      </w:r>
      <w:r>
        <w:rPr>
          <w:rFonts w:hint="eastAsia" w:ascii="Times New Roman" w:hAnsi="Times New Roman" w:eastAsia="仿宋_GB2312"/>
          <w:sz w:val="32"/>
          <w:szCs w:val="32"/>
          <w:lang w:val="en-US" w:eastAsia="zh-CN"/>
        </w:rPr>
        <w:t>8.59</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召开2023年全省</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农机315”消费者权益日活动，人数</w:t>
      </w:r>
      <w:r>
        <w:rPr>
          <w:rFonts w:hint="eastAsia" w:ascii="Times New Roman" w:hAnsi="Times New Roman" w:eastAsia="仿宋_GB2312"/>
          <w:sz w:val="32"/>
          <w:szCs w:val="32"/>
          <w:lang w:val="en-US" w:eastAsia="zh-CN"/>
        </w:rPr>
        <w:t>110</w:t>
      </w:r>
      <w:r>
        <w:rPr>
          <w:rFonts w:hint="eastAsia" w:ascii="Times New Roman" w:hAnsi="Times New Roman" w:eastAsia="仿宋_GB2312"/>
          <w:sz w:val="32"/>
          <w:szCs w:val="32"/>
        </w:rPr>
        <w:t>人，内容包括宣读倡议书、农机生产和销售企业代表宣读承诺书、通报2022年湖南省农机推广鉴定获证产品证后监督等情况，金额</w:t>
      </w:r>
      <w:r>
        <w:rPr>
          <w:rFonts w:hint="eastAsia" w:ascii="Times New Roman" w:hAnsi="Times New Roman" w:eastAsia="仿宋_GB2312"/>
          <w:sz w:val="32"/>
          <w:szCs w:val="32"/>
          <w:lang w:val="en-US" w:eastAsia="zh-CN"/>
        </w:rPr>
        <w:t>1.67</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召开双季稻机械化生产高产高效技术集成模式现场培训会，人数</w:t>
      </w:r>
      <w:r>
        <w:rPr>
          <w:rFonts w:hint="eastAsia" w:ascii="Times New Roman" w:hAnsi="Times New Roman" w:eastAsia="仿宋_GB2312"/>
          <w:sz w:val="32"/>
          <w:szCs w:val="32"/>
          <w:lang w:val="en-US" w:eastAsia="zh-CN"/>
        </w:rPr>
        <w:t>52</w:t>
      </w:r>
      <w:r>
        <w:rPr>
          <w:rFonts w:hint="eastAsia" w:ascii="Times New Roman" w:hAnsi="Times New Roman" w:eastAsia="仿宋_GB2312"/>
          <w:sz w:val="32"/>
          <w:szCs w:val="32"/>
        </w:rPr>
        <w:t>人，内容为双季稻机械化生产高产高效技术集成模式宣讲</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机械化生产高产高效技术集成模式试验示范工作介绍</w:t>
      </w:r>
      <w:r>
        <w:rPr>
          <w:rFonts w:hint="eastAsia" w:ascii="Times New Roman" w:hAnsi="Times New Roman" w:eastAsia="仿宋_GB2312"/>
          <w:sz w:val="32"/>
          <w:szCs w:val="32"/>
          <w:lang w:val="en-US" w:eastAsia="zh-CN"/>
        </w:rPr>
        <w:t>等</w:t>
      </w:r>
      <w:r>
        <w:rPr>
          <w:rFonts w:hint="eastAsia" w:ascii="Times New Roman" w:hAnsi="Times New Roman" w:eastAsia="仿宋_GB2312"/>
          <w:sz w:val="32"/>
          <w:szCs w:val="32"/>
        </w:rPr>
        <w:t>，金额</w:t>
      </w:r>
      <w:r>
        <w:rPr>
          <w:rFonts w:hint="eastAsia" w:ascii="Times New Roman" w:hAnsi="Times New Roman" w:eastAsia="仿宋_GB2312"/>
          <w:sz w:val="32"/>
          <w:szCs w:val="32"/>
          <w:lang w:val="en-US" w:eastAsia="zh-CN"/>
        </w:rPr>
        <w:t>1.79</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召开全省春季农业生产暨水稻机插机抛现场推进会，人数</w:t>
      </w:r>
      <w:r>
        <w:rPr>
          <w:rFonts w:hint="eastAsia" w:ascii="Times New Roman" w:hAnsi="Times New Roman" w:eastAsia="仿宋_GB2312"/>
          <w:sz w:val="32"/>
          <w:szCs w:val="32"/>
          <w:lang w:val="en-US" w:eastAsia="zh-CN"/>
        </w:rPr>
        <w:t>103</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eastAsia="zh-CN"/>
        </w:rPr>
        <w:t>：1</w:t>
      </w:r>
      <w:r>
        <w:rPr>
          <w:rFonts w:hint="eastAsia" w:ascii="Times New Roman" w:hAnsi="Times New Roman" w:eastAsia="仿宋_GB2312"/>
          <w:sz w:val="32"/>
          <w:szCs w:val="32"/>
          <w:lang w:val="en-US" w:eastAsia="zh-CN"/>
        </w:rPr>
        <w:t>.</w:t>
      </w:r>
      <w:r>
        <w:rPr>
          <w:rFonts w:hint="eastAsia" w:ascii="Times New Roman" w:hAnsi="Times New Roman" w:eastAsia="仿宋_GB2312"/>
          <w:sz w:val="32"/>
          <w:szCs w:val="32"/>
          <w:lang w:eastAsia="zh-CN"/>
        </w:rPr>
        <w:t>规模经营主体“产加销一体化”发展模式现场；2</w:t>
      </w:r>
      <w:r>
        <w:rPr>
          <w:rFonts w:hint="eastAsia" w:ascii="Times New Roman" w:hAnsi="Times New Roman" w:eastAsia="仿宋_GB2312"/>
          <w:sz w:val="32"/>
          <w:szCs w:val="32"/>
          <w:lang w:val="en-US" w:eastAsia="zh-CN"/>
        </w:rPr>
        <w:t>.</w:t>
      </w:r>
      <w:r>
        <w:rPr>
          <w:rFonts w:hint="eastAsia" w:ascii="Times New Roman" w:hAnsi="Times New Roman" w:eastAsia="仿宋_GB2312"/>
          <w:sz w:val="32"/>
          <w:szCs w:val="32"/>
          <w:lang w:eastAsia="zh-CN"/>
        </w:rPr>
        <w:t>观摩省级粮食生产万亩综合示范片现场；3</w:t>
      </w:r>
      <w:r>
        <w:rPr>
          <w:rFonts w:hint="eastAsia" w:ascii="Times New Roman" w:hAnsi="Times New Roman" w:eastAsia="仿宋_GB2312"/>
          <w:sz w:val="32"/>
          <w:szCs w:val="32"/>
          <w:lang w:val="en-US" w:eastAsia="zh-CN"/>
        </w:rPr>
        <w:t>.</w:t>
      </w:r>
      <w:r>
        <w:rPr>
          <w:rFonts w:hint="eastAsia" w:ascii="Times New Roman" w:hAnsi="Times New Roman" w:eastAsia="仿宋_GB2312"/>
          <w:sz w:val="32"/>
          <w:szCs w:val="32"/>
          <w:lang w:eastAsia="zh-CN"/>
        </w:rPr>
        <w:t>观摩集中育秧和稻田翻耕深水灭蛹示范现场；4</w:t>
      </w:r>
      <w:r>
        <w:rPr>
          <w:rFonts w:hint="eastAsia" w:ascii="Times New Roman" w:hAnsi="Times New Roman" w:eastAsia="仿宋_GB2312"/>
          <w:sz w:val="32"/>
          <w:szCs w:val="32"/>
          <w:lang w:val="en-US" w:eastAsia="zh-CN"/>
        </w:rPr>
        <w:t>.</w:t>
      </w:r>
      <w:r>
        <w:rPr>
          <w:rFonts w:hint="eastAsia" w:ascii="Times New Roman" w:hAnsi="Times New Roman" w:eastAsia="仿宋_GB2312"/>
          <w:sz w:val="32"/>
          <w:szCs w:val="32"/>
          <w:lang w:eastAsia="zh-CN"/>
        </w:rPr>
        <w:t>大豆玉米带状复合种植示范现场</w:t>
      </w:r>
      <w:r>
        <w:rPr>
          <w:rFonts w:hint="eastAsia" w:ascii="Times New Roman" w:hAnsi="Times New Roman" w:eastAsia="仿宋_GB2312"/>
          <w:sz w:val="32"/>
          <w:szCs w:val="32"/>
        </w:rPr>
        <w:t>，金额</w:t>
      </w:r>
      <w:r>
        <w:rPr>
          <w:rFonts w:hint="eastAsia" w:ascii="Times New Roman" w:hAnsi="Times New Roman" w:eastAsia="仿宋_GB2312"/>
          <w:sz w:val="32"/>
          <w:szCs w:val="32"/>
          <w:lang w:val="en-US" w:eastAsia="zh-CN"/>
        </w:rPr>
        <w:t>4.83</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召开全省农机安全监理人员培训班一二期，人数</w:t>
      </w:r>
      <w:r>
        <w:rPr>
          <w:rFonts w:hint="eastAsia" w:ascii="Times New Roman" w:hAnsi="Times New Roman" w:eastAsia="仿宋_GB2312"/>
          <w:sz w:val="32"/>
          <w:szCs w:val="32"/>
          <w:lang w:val="en-US" w:eastAsia="zh-CN"/>
        </w:rPr>
        <w:t>215</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依照</w:t>
      </w:r>
      <w:r>
        <w:rPr>
          <w:rFonts w:hint="eastAsia" w:ascii="Times New Roman" w:hAnsi="Times New Roman" w:eastAsia="仿宋_GB2312"/>
          <w:sz w:val="32"/>
          <w:szCs w:val="32"/>
        </w:rPr>
        <w:t>农业农村部关于农机安全监理人员持证上岗的要求，全面推进农机安全监理队伍建设，对全省农机安全监理员、检验员、考试员和事故处理员进行培训，金额</w:t>
      </w:r>
      <w:r>
        <w:rPr>
          <w:rFonts w:hint="eastAsia" w:ascii="Times New Roman" w:hAnsi="Times New Roman" w:eastAsia="仿宋_GB2312"/>
          <w:sz w:val="32"/>
          <w:szCs w:val="32"/>
          <w:lang w:val="en-US" w:eastAsia="zh-CN"/>
        </w:rPr>
        <w:t>16.92</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召开全省水稻机插育秧技术培训一二期，人数</w:t>
      </w:r>
      <w:r>
        <w:rPr>
          <w:rFonts w:hint="eastAsia" w:ascii="Times New Roman" w:hAnsi="Times New Roman" w:eastAsia="仿宋_GB2312"/>
          <w:sz w:val="32"/>
          <w:szCs w:val="32"/>
          <w:lang w:val="en-US" w:eastAsia="zh-CN"/>
        </w:rPr>
        <w:t>152</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培训</w:t>
      </w:r>
      <w:r>
        <w:rPr>
          <w:rFonts w:hint="eastAsia" w:ascii="Times New Roman" w:hAnsi="Times New Roman" w:eastAsia="仿宋_GB2312"/>
          <w:sz w:val="32"/>
          <w:szCs w:val="32"/>
        </w:rPr>
        <w:t>水稻机插育秧技术、精量无盘分层机插秧育秧技术、大钵体毯状苗机插秧育秧技术和水稻机抛育秧技术、新机具新技术，金额</w:t>
      </w:r>
      <w:r>
        <w:rPr>
          <w:rFonts w:hint="eastAsia" w:ascii="Times New Roman" w:hAnsi="Times New Roman" w:eastAsia="仿宋_GB2312"/>
          <w:sz w:val="32"/>
          <w:szCs w:val="32"/>
          <w:lang w:val="en-US" w:eastAsia="zh-CN"/>
        </w:rPr>
        <w:t>17.64</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召开2023年湖南武陵山区水稻机械栽植现场培训会，人数</w:t>
      </w:r>
      <w:r>
        <w:rPr>
          <w:rFonts w:hint="eastAsia" w:ascii="Times New Roman" w:hAnsi="Times New Roman" w:eastAsia="仿宋_GB2312"/>
          <w:sz w:val="32"/>
          <w:szCs w:val="32"/>
          <w:lang w:val="en-US" w:eastAsia="zh-CN"/>
        </w:rPr>
        <w:t>90</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进行</w:t>
      </w:r>
      <w:r>
        <w:rPr>
          <w:rFonts w:hint="eastAsia" w:ascii="Times New Roman" w:hAnsi="Times New Roman" w:eastAsia="仿宋_GB2312"/>
          <w:sz w:val="32"/>
          <w:szCs w:val="32"/>
        </w:rPr>
        <w:t>适宜丘陵山区机械化育秧技术和小农机作业演示，金额</w:t>
      </w:r>
      <w:r>
        <w:rPr>
          <w:rFonts w:hint="eastAsia" w:ascii="Times New Roman" w:hAnsi="Times New Roman" w:eastAsia="仿宋_GB2312"/>
          <w:sz w:val="32"/>
          <w:szCs w:val="32"/>
          <w:lang w:val="en-US" w:eastAsia="zh-CN"/>
        </w:rPr>
        <w:t>3.65</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召开全省设施农业示范基地建设工作推进会，人数</w:t>
      </w:r>
      <w:r>
        <w:rPr>
          <w:rFonts w:hint="eastAsia" w:ascii="Times New Roman" w:hAnsi="Times New Roman" w:eastAsia="仿宋_GB2312"/>
          <w:sz w:val="32"/>
          <w:szCs w:val="32"/>
          <w:lang w:val="en-US" w:eastAsia="zh-CN"/>
        </w:rPr>
        <w:t>120</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1</w:t>
      </w:r>
      <w:r>
        <w:rPr>
          <w:rFonts w:hint="eastAsia" w:ascii="Times New Roman" w:hAnsi="Times New Roman" w:eastAsia="仿宋_GB2312"/>
          <w:sz w:val="32"/>
          <w:szCs w:val="32"/>
          <w:lang w:val="en-US" w:eastAsia="zh-CN"/>
        </w:rPr>
        <w:t>.</w:t>
      </w:r>
      <w:r>
        <w:rPr>
          <w:rFonts w:hint="eastAsia" w:ascii="Times New Roman" w:hAnsi="Times New Roman" w:eastAsia="仿宋_GB2312"/>
          <w:sz w:val="32"/>
          <w:szCs w:val="32"/>
        </w:rPr>
        <w:t>安排部署2023年设施农业示范基地建设工作；2</w:t>
      </w:r>
      <w:r>
        <w:rPr>
          <w:rFonts w:hint="eastAsia" w:ascii="Times New Roman" w:hAnsi="Times New Roman" w:eastAsia="仿宋_GB2312"/>
          <w:sz w:val="32"/>
          <w:szCs w:val="32"/>
          <w:lang w:val="en-US" w:eastAsia="zh-CN"/>
        </w:rPr>
        <w:t>.</w:t>
      </w:r>
      <w:r>
        <w:rPr>
          <w:rFonts w:hint="eastAsia" w:ascii="Times New Roman" w:hAnsi="Times New Roman" w:eastAsia="仿宋_GB2312"/>
          <w:sz w:val="32"/>
          <w:szCs w:val="32"/>
        </w:rPr>
        <w:t>邀请相关专家指导蔬菜、水果机械化、设施化、智慧化生产，金额</w:t>
      </w:r>
      <w:r>
        <w:rPr>
          <w:rFonts w:hint="eastAsia" w:ascii="Times New Roman" w:hAnsi="Times New Roman" w:eastAsia="仿宋_GB2312"/>
          <w:sz w:val="32"/>
          <w:szCs w:val="32"/>
          <w:lang w:val="en-US" w:eastAsia="zh-CN"/>
        </w:rPr>
        <w:t>3.27</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召开第三期“送训下基层”全省大豆玉米带状复合种植机械化培训班，人数</w:t>
      </w:r>
      <w:r>
        <w:rPr>
          <w:rFonts w:hint="eastAsia" w:ascii="Times New Roman" w:hAnsi="Times New Roman" w:eastAsia="仿宋_GB2312"/>
          <w:sz w:val="32"/>
          <w:szCs w:val="32"/>
          <w:lang w:val="en-US" w:eastAsia="zh-CN"/>
        </w:rPr>
        <w:t>85</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进一步推动大豆玉米带状复合种植技术推广工作，提高技术到位率、普及率</w:t>
      </w:r>
      <w:r>
        <w:rPr>
          <w:rFonts w:hint="eastAsia" w:ascii="Times New Roman" w:hAnsi="Times New Roman" w:eastAsia="仿宋_GB2312"/>
          <w:sz w:val="32"/>
          <w:szCs w:val="32"/>
        </w:rPr>
        <w:t>，金额</w:t>
      </w:r>
      <w:r>
        <w:rPr>
          <w:rFonts w:hint="eastAsia" w:ascii="Times New Roman" w:hAnsi="Times New Roman" w:eastAsia="仿宋_GB2312"/>
          <w:sz w:val="32"/>
          <w:szCs w:val="32"/>
          <w:lang w:val="en-US" w:eastAsia="zh-CN"/>
        </w:rPr>
        <w:t>4.67</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召开田间日活动暨全省农机事务中心主要负责人培训，人数</w:t>
      </w:r>
      <w:r>
        <w:rPr>
          <w:rFonts w:hint="eastAsia" w:ascii="Times New Roman" w:hAnsi="Times New Roman" w:eastAsia="仿宋_GB2312"/>
          <w:sz w:val="32"/>
          <w:szCs w:val="32"/>
          <w:lang w:val="en-US" w:eastAsia="zh-CN"/>
        </w:rPr>
        <w:t>200</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开展农业机械展示，主要农作物（水稻）全程机械化生产现场演示，试乘试驾体验、有奖问答、农机常见故障排除与维修等参与式、体验式、互动式活动等项目</w:t>
      </w:r>
      <w:r>
        <w:rPr>
          <w:rFonts w:hint="eastAsia" w:ascii="Times New Roman" w:hAnsi="Times New Roman" w:eastAsia="仿宋_GB2312"/>
          <w:sz w:val="32"/>
          <w:szCs w:val="32"/>
        </w:rPr>
        <w:t>，金额</w:t>
      </w:r>
      <w:r>
        <w:rPr>
          <w:rFonts w:hint="eastAsia" w:ascii="Times New Roman" w:hAnsi="Times New Roman" w:eastAsia="仿宋_GB2312"/>
          <w:sz w:val="32"/>
          <w:szCs w:val="32"/>
          <w:lang w:val="en-US" w:eastAsia="zh-CN"/>
        </w:rPr>
        <w:t>11.85</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召开2023年第一批农机购置应用补贴新机具现场集中演示评价会，人数</w:t>
      </w: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人，内容为对自愿参与购置补贴的省内外农机生产企业进行集中现场演示和归档评审，金额</w:t>
      </w:r>
      <w:r>
        <w:rPr>
          <w:rFonts w:hint="eastAsia" w:ascii="Times New Roman" w:hAnsi="Times New Roman" w:eastAsia="仿宋_GB2312"/>
          <w:sz w:val="32"/>
          <w:szCs w:val="32"/>
          <w:lang w:val="en-US" w:eastAsia="zh-CN"/>
        </w:rPr>
        <w:t>9.03</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召开2021-2022年农机统计年报数据会审，人数</w:t>
      </w:r>
      <w:r>
        <w:rPr>
          <w:rFonts w:hint="eastAsia" w:ascii="Times New Roman" w:hAnsi="Times New Roman" w:eastAsia="仿宋_GB2312"/>
          <w:sz w:val="32"/>
          <w:szCs w:val="32"/>
          <w:lang w:val="en-US" w:eastAsia="zh-CN"/>
        </w:rPr>
        <w:t>75</w:t>
      </w:r>
      <w:r>
        <w:rPr>
          <w:rFonts w:hint="eastAsia" w:ascii="Times New Roman" w:hAnsi="Times New Roman" w:eastAsia="仿宋_GB2312"/>
          <w:sz w:val="32"/>
          <w:szCs w:val="32"/>
        </w:rPr>
        <w:t>人，内容为对经农机化司审核反馈意见的2021-2022年农机化统计直报系统数据，组织各市州进行集中会审，金额</w:t>
      </w:r>
      <w:r>
        <w:rPr>
          <w:rFonts w:hint="eastAsia" w:ascii="Times New Roman" w:hAnsi="Times New Roman" w:eastAsia="仿宋_GB2312"/>
          <w:sz w:val="32"/>
          <w:szCs w:val="32"/>
          <w:lang w:val="en-US" w:eastAsia="zh-CN"/>
        </w:rPr>
        <w:t>5.98</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召2023年第二批农机购置补贴演示评价开，人数</w:t>
      </w:r>
      <w:r>
        <w:rPr>
          <w:rFonts w:hint="eastAsia" w:ascii="Times New Roman" w:hAnsi="Times New Roman" w:eastAsia="仿宋_GB2312"/>
          <w:sz w:val="32"/>
          <w:szCs w:val="32"/>
          <w:lang w:val="en-US" w:eastAsia="zh-CN"/>
        </w:rPr>
        <w:t>17</w:t>
      </w:r>
      <w:r>
        <w:rPr>
          <w:rFonts w:hint="eastAsia" w:ascii="Times New Roman" w:hAnsi="Times New Roman" w:eastAsia="仿宋_GB2312"/>
          <w:sz w:val="32"/>
          <w:szCs w:val="32"/>
        </w:rPr>
        <w:t>人，内容为对2023年第二批农机购置补贴新机具开展现场演示评价，金额</w:t>
      </w:r>
      <w:r>
        <w:rPr>
          <w:rFonts w:hint="eastAsia" w:ascii="Times New Roman" w:hAnsi="Times New Roman" w:eastAsia="仿宋_GB2312"/>
          <w:sz w:val="32"/>
          <w:szCs w:val="32"/>
          <w:lang w:val="en-US" w:eastAsia="zh-CN"/>
        </w:rPr>
        <w:t>5.09</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开支培训费</w:t>
      </w:r>
      <w:r>
        <w:rPr>
          <w:rFonts w:hint="eastAsia" w:ascii="Times New Roman" w:hAnsi="Times New Roman" w:eastAsia="仿宋_GB2312"/>
          <w:sz w:val="32"/>
          <w:szCs w:val="32"/>
          <w:lang w:val="en-US" w:eastAsia="zh-CN"/>
        </w:rPr>
        <w:t>112.59</w:t>
      </w:r>
      <w:r>
        <w:rPr>
          <w:rFonts w:hint="eastAsia" w:ascii="Times New Roman" w:hAnsi="Times New Roman" w:eastAsia="仿宋_GB2312"/>
          <w:sz w:val="32"/>
          <w:szCs w:val="32"/>
        </w:rPr>
        <w:t>万元，主要用于：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开展农机维修职业技能培训（襄阳），人数</w:t>
      </w:r>
      <w:r>
        <w:rPr>
          <w:rFonts w:hint="eastAsia" w:ascii="Times New Roman" w:hAnsi="Times New Roman" w:eastAsia="仿宋_GB2312"/>
          <w:sz w:val="32"/>
          <w:szCs w:val="32"/>
          <w:lang w:val="en-US" w:eastAsia="zh-CN"/>
        </w:rPr>
        <w:t>60</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开展高速插秧机理论知识、部品认知，保养及故障解析、智能驾驶操作培训；收割机部品认知，保养及实机驾驶操作培训；拖拉机部品认知，保养及实机驾驶操作培训等</w:t>
      </w:r>
      <w:r>
        <w:rPr>
          <w:rFonts w:hint="eastAsia" w:ascii="Times New Roman" w:hAnsi="Times New Roman" w:eastAsia="仿宋_GB2312"/>
          <w:sz w:val="32"/>
          <w:szCs w:val="32"/>
        </w:rPr>
        <w:t>，金额</w:t>
      </w:r>
      <w:r>
        <w:rPr>
          <w:rFonts w:hint="eastAsia" w:ascii="Times New Roman" w:hAnsi="Times New Roman" w:eastAsia="仿宋_GB2312"/>
          <w:sz w:val="32"/>
          <w:szCs w:val="32"/>
          <w:lang w:val="en-US" w:eastAsia="zh-CN"/>
        </w:rPr>
        <w:t>8.72</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开展全省水稻机插育秧技术培训一二期，人数</w:t>
      </w:r>
      <w:r>
        <w:rPr>
          <w:rFonts w:hint="eastAsia" w:ascii="Times New Roman" w:hAnsi="Times New Roman" w:eastAsia="仿宋_GB2312"/>
          <w:sz w:val="32"/>
          <w:szCs w:val="32"/>
          <w:lang w:val="en-US" w:eastAsia="zh-CN"/>
        </w:rPr>
        <w:t>152</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培训水稻机插育秧技术、精量无盘分层机插秧育秧技术、大钵体毯状苗机插秧育秧技术和水稻机抛育秧技术、新机具新技术</w:t>
      </w:r>
      <w:r>
        <w:rPr>
          <w:rFonts w:hint="eastAsia" w:ascii="Times New Roman" w:hAnsi="Times New Roman" w:eastAsia="仿宋_GB2312"/>
          <w:sz w:val="32"/>
          <w:szCs w:val="32"/>
        </w:rPr>
        <w:t>，金额</w:t>
      </w:r>
      <w:r>
        <w:rPr>
          <w:rFonts w:hint="eastAsia" w:ascii="Times New Roman" w:hAnsi="Times New Roman" w:eastAsia="仿宋_GB2312"/>
          <w:sz w:val="32"/>
          <w:szCs w:val="32"/>
          <w:lang w:val="en-US" w:eastAsia="zh-CN"/>
        </w:rPr>
        <w:t>2.12</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开展全省农机安全监理人员培训班</w:t>
      </w:r>
      <w:r>
        <w:rPr>
          <w:rFonts w:hint="eastAsia" w:ascii="Times New Roman" w:hAnsi="Times New Roman" w:eastAsia="仿宋_GB2312"/>
          <w:sz w:val="32"/>
          <w:szCs w:val="32"/>
          <w:lang w:val="en-US" w:eastAsia="zh-CN"/>
        </w:rPr>
        <w:t>四次</w:t>
      </w:r>
      <w:r>
        <w:rPr>
          <w:rFonts w:hint="eastAsia" w:ascii="Times New Roman" w:hAnsi="Times New Roman" w:eastAsia="仿宋_GB2312"/>
          <w:sz w:val="32"/>
          <w:szCs w:val="32"/>
        </w:rPr>
        <w:t>，人数</w:t>
      </w:r>
      <w:r>
        <w:rPr>
          <w:rFonts w:hint="eastAsia" w:ascii="Times New Roman" w:hAnsi="Times New Roman" w:eastAsia="仿宋_GB2312"/>
          <w:sz w:val="32"/>
          <w:szCs w:val="32"/>
          <w:lang w:val="en-US" w:eastAsia="zh-CN"/>
        </w:rPr>
        <w:t>397</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依照</w:t>
      </w:r>
      <w:r>
        <w:rPr>
          <w:rFonts w:hint="eastAsia" w:ascii="Times New Roman" w:hAnsi="Times New Roman" w:eastAsia="仿宋_GB2312"/>
          <w:sz w:val="32"/>
          <w:szCs w:val="32"/>
        </w:rPr>
        <w:t>农业农村部关于农机安全监理人员持证上岗的要求，全面推进农机安全监理队伍建设，对全省农机安全监理员、检验员、考试员和事故处理员进行培训，金额</w:t>
      </w:r>
      <w:r>
        <w:rPr>
          <w:rFonts w:hint="eastAsia" w:ascii="Times New Roman" w:hAnsi="Times New Roman" w:eastAsia="仿宋_GB2312"/>
          <w:sz w:val="32"/>
          <w:szCs w:val="32"/>
          <w:lang w:val="en-US" w:eastAsia="zh-CN"/>
        </w:rPr>
        <w:t>14.92</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开展2023年湖南省丘陵山区农机技术人才培训班，人数</w:t>
      </w:r>
      <w:r>
        <w:rPr>
          <w:rFonts w:hint="eastAsia" w:ascii="Times New Roman" w:hAnsi="Times New Roman" w:eastAsia="仿宋_GB2312"/>
          <w:sz w:val="32"/>
          <w:szCs w:val="32"/>
          <w:lang w:val="en-US" w:eastAsia="zh-CN"/>
        </w:rPr>
        <w:t>90</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了解</w:t>
      </w:r>
      <w:r>
        <w:rPr>
          <w:rFonts w:hint="eastAsia" w:ascii="Times New Roman" w:hAnsi="Times New Roman" w:eastAsia="仿宋_GB2312"/>
          <w:sz w:val="32"/>
          <w:szCs w:val="32"/>
        </w:rPr>
        <w:t>果园生产机械化现状与发展；</w:t>
      </w:r>
      <w:r>
        <w:rPr>
          <w:rFonts w:hint="eastAsia" w:ascii="Times New Roman" w:hAnsi="Times New Roman" w:eastAsia="仿宋_GB2312"/>
          <w:sz w:val="32"/>
          <w:szCs w:val="32"/>
          <w:lang w:val="en-US" w:eastAsia="zh-CN"/>
        </w:rPr>
        <w:t>进行</w:t>
      </w:r>
      <w:r>
        <w:rPr>
          <w:rFonts w:hint="eastAsia" w:ascii="Times New Roman" w:hAnsi="Times New Roman" w:eastAsia="仿宋_GB2312"/>
          <w:sz w:val="32"/>
          <w:szCs w:val="32"/>
        </w:rPr>
        <w:t>水肥一体化、迷雾系统、轨道车等现场演示，部分机具拆解</w:t>
      </w:r>
      <w:r>
        <w:rPr>
          <w:rFonts w:hint="eastAsia" w:ascii="Times New Roman" w:hAnsi="Times New Roman" w:eastAsia="仿宋_GB2312"/>
          <w:sz w:val="32"/>
          <w:szCs w:val="32"/>
          <w:lang w:val="en-US" w:eastAsia="zh-CN"/>
        </w:rPr>
        <w:t>培训等</w:t>
      </w:r>
      <w:r>
        <w:rPr>
          <w:rFonts w:hint="eastAsia" w:ascii="Times New Roman" w:hAnsi="Times New Roman" w:eastAsia="仿宋_GB2312"/>
          <w:sz w:val="32"/>
          <w:szCs w:val="32"/>
        </w:rPr>
        <w:t>，金额</w:t>
      </w:r>
      <w:r>
        <w:rPr>
          <w:rFonts w:hint="eastAsia" w:ascii="Times New Roman" w:hAnsi="Times New Roman" w:eastAsia="仿宋_GB2312"/>
          <w:sz w:val="32"/>
          <w:szCs w:val="32"/>
          <w:lang w:val="en-US" w:eastAsia="zh-CN"/>
        </w:rPr>
        <w:t>5.11</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开展田间日活动暨全省农机事务中心主要负责人培训，人数</w:t>
      </w:r>
      <w:r>
        <w:rPr>
          <w:rFonts w:hint="eastAsia" w:ascii="Times New Roman" w:hAnsi="Times New Roman" w:eastAsia="仿宋_GB2312"/>
          <w:sz w:val="32"/>
          <w:szCs w:val="32"/>
          <w:lang w:val="en-US" w:eastAsia="zh-CN"/>
        </w:rPr>
        <w:t>200</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进行农业机械展示，主要农作物（水稻）全程机械化生产现场演示，试乘试驾体验、有奖问答、农机常见故障排除与维修等参与式、体验式、互动式活动等项目</w:t>
      </w:r>
      <w:r>
        <w:rPr>
          <w:rFonts w:hint="eastAsia" w:ascii="Times New Roman" w:hAnsi="Times New Roman" w:eastAsia="仿宋_GB2312"/>
          <w:sz w:val="32"/>
          <w:szCs w:val="32"/>
        </w:rPr>
        <w:t>，金额</w:t>
      </w:r>
      <w:r>
        <w:rPr>
          <w:rFonts w:hint="eastAsia" w:ascii="Times New Roman" w:hAnsi="Times New Roman" w:eastAsia="仿宋_GB2312"/>
          <w:sz w:val="32"/>
          <w:szCs w:val="32"/>
          <w:lang w:val="en-US" w:eastAsia="zh-CN"/>
        </w:rPr>
        <w:t>6.72</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开展油菜机械化生产高产高效技术集成模式现场培训班，人数</w:t>
      </w:r>
      <w:r>
        <w:rPr>
          <w:rFonts w:hint="eastAsia" w:ascii="Times New Roman" w:hAnsi="Times New Roman" w:eastAsia="仿宋_GB2312"/>
          <w:sz w:val="32"/>
          <w:szCs w:val="32"/>
          <w:lang w:val="en-US" w:eastAsia="zh-CN"/>
        </w:rPr>
        <w:t>45</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进行油菜机械化生产高产高效技术集成模式宣讲、油菜机械化生产高产高效技术集成模式试验田测产、油菜机收损失率实地检测</w:t>
      </w:r>
      <w:r>
        <w:rPr>
          <w:rFonts w:hint="eastAsia" w:ascii="Times New Roman" w:hAnsi="Times New Roman" w:eastAsia="仿宋_GB2312"/>
          <w:sz w:val="32"/>
          <w:szCs w:val="32"/>
        </w:rPr>
        <w:t>，金额</w:t>
      </w:r>
      <w:r>
        <w:rPr>
          <w:rFonts w:hint="eastAsia" w:ascii="Times New Roman" w:hAnsi="Times New Roman" w:eastAsia="仿宋_GB2312"/>
          <w:sz w:val="32"/>
          <w:szCs w:val="32"/>
          <w:lang w:val="en-US" w:eastAsia="zh-CN"/>
        </w:rPr>
        <w:t>1.56</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开展全省农机专业能手及稻油机收减损培训班一二期，人数</w:t>
      </w:r>
      <w:r>
        <w:rPr>
          <w:rFonts w:hint="eastAsia" w:ascii="Times New Roman" w:hAnsi="Times New Roman" w:eastAsia="仿宋_GB2312"/>
          <w:sz w:val="32"/>
          <w:szCs w:val="32"/>
          <w:lang w:val="en-US" w:eastAsia="zh-CN"/>
        </w:rPr>
        <w:t>216</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培训拖拉机及耕整地机械、水稻种植机械、水稻收割机、油菜直播机、烘干机械基本理论、日常维护、常见故障与修理和水稻机收减损技术</w:t>
      </w:r>
      <w:r>
        <w:rPr>
          <w:rFonts w:hint="eastAsia" w:ascii="Times New Roman" w:hAnsi="Times New Roman" w:eastAsia="仿宋_GB2312"/>
          <w:sz w:val="32"/>
          <w:szCs w:val="32"/>
        </w:rPr>
        <w:t>，金额</w:t>
      </w:r>
      <w:r>
        <w:rPr>
          <w:rFonts w:hint="eastAsia" w:ascii="Times New Roman" w:hAnsi="Times New Roman" w:eastAsia="仿宋_GB2312"/>
          <w:sz w:val="32"/>
          <w:szCs w:val="32"/>
          <w:lang w:val="en-US" w:eastAsia="zh-CN"/>
        </w:rPr>
        <w:t>16.41</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开展2023农业机械试验鉴定规范实施培训班，人数</w:t>
      </w:r>
      <w:r>
        <w:rPr>
          <w:rFonts w:hint="eastAsia" w:ascii="Times New Roman" w:hAnsi="Times New Roman" w:eastAsia="仿宋_GB2312"/>
          <w:sz w:val="32"/>
          <w:szCs w:val="32"/>
          <w:lang w:val="en-US" w:eastAsia="zh-CN"/>
        </w:rPr>
        <w:t>92</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按照</w:t>
      </w:r>
      <w:r>
        <w:rPr>
          <w:rFonts w:hint="eastAsia" w:ascii="Times New Roman" w:hAnsi="Times New Roman" w:eastAsia="仿宋_GB2312"/>
          <w:sz w:val="32"/>
          <w:szCs w:val="32"/>
        </w:rPr>
        <w:t>农机推广鉴定制度和程序及受理新要求、我省农机研发新形势、农业机械试验鉴定受理的相关要求及受理平台介绍，鉴定证书变更管理，证后监督工作及农机专项鉴定大纲制修订要求等内容，金额</w:t>
      </w:r>
      <w:r>
        <w:rPr>
          <w:rFonts w:hint="eastAsia" w:ascii="Times New Roman" w:hAnsi="Times New Roman" w:eastAsia="仿宋_GB2312"/>
          <w:sz w:val="32"/>
          <w:szCs w:val="32"/>
          <w:lang w:val="en-US" w:eastAsia="zh-CN"/>
        </w:rPr>
        <w:t>3.27</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开展油菜机械种植技术现场培训，人数</w:t>
      </w:r>
      <w:r>
        <w:rPr>
          <w:rFonts w:hint="eastAsia" w:ascii="Times New Roman" w:hAnsi="Times New Roman" w:eastAsia="仿宋_GB2312"/>
          <w:sz w:val="32"/>
          <w:szCs w:val="32"/>
          <w:lang w:val="en-US" w:eastAsia="zh-CN"/>
        </w:rPr>
        <w:t>181</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进行油菜毯苗移栽育秧技术及实操、油菜毯苗移栽机械结构和操作、油菜施肥旋耕开沟起垄播种一体机直播、油菜机械化种植后田间管理等</w:t>
      </w:r>
      <w:r>
        <w:rPr>
          <w:rFonts w:hint="eastAsia" w:ascii="Times New Roman" w:hAnsi="Times New Roman" w:eastAsia="仿宋_GB2312"/>
          <w:sz w:val="32"/>
          <w:szCs w:val="32"/>
        </w:rPr>
        <w:t>，金额</w:t>
      </w:r>
      <w:r>
        <w:rPr>
          <w:rFonts w:hint="eastAsia" w:ascii="Times New Roman" w:hAnsi="Times New Roman" w:eastAsia="仿宋_GB2312"/>
          <w:sz w:val="32"/>
          <w:szCs w:val="32"/>
          <w:lang w:val="en-US" w:eastAsia="zh-CN"/>
        </w:rPr>
        <w:t>6.38</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开展种田能手培训一二期，人数</w:t>
      </w:r>
      <w:r>
        <w:rPr>
          <w:rFonts w:hint="eastAsia" w:ascii="Times New Roman" w:hAnsi="Times New Roman" w:eastAsia="仿宋_GB2312"/>
          <w:sz w:val="32"/>
          <w:szCs w:val="32"/>
          <w:lang w:val="en-US" w:eastAsia="zh-CN"/>
        </w:rPr>
        <w:t>152</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培训高效植保、绿肥种植、油菜高产技术、水稻为机育秧和高产栽培技术等</w:t>
      </w:r>
      <w:r>
        <w:rPr>
          <w:rFonts w:hint="eastAsia" w:ascii="Times New Roman" w:hAnsi="Times New Roman" w:eastAsia="仿宋_GB2312"/>
          <w:sz w:val="32"/>
          <w:szCs w:val="32"/>
        </w:rPr>
        <w:t>，金额</w:t>
      </w:r>
      <w:r>
        <w:rPr>
          <w:rFonts w:hint="eastAsia" w:ascii="Times New Roman" w:hAnsi="Times New Roman" w:eastAsia="仿宋_GB2312"/>
          <w:sz w:val="32"/>
          <w:szCs w:val="32"/>
          <w:lang w:val="en-US" w:eastAsia="zh-CN"/>
        </w:rPr>
        <w:t>9.68</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开展现代农机合作社理事长培训，人数</w:t>
      </w:r>
      <w:r>
        <w:rPr>
          <w:rFonts w:hint="eastAsia" w:ascii="Times New Roman" w:hAnsi="Times New Roman" w:eastAsia="仿宋_GB2312"/>
          <w:sz w:val="32"/>
          <w:szCs w:val="32"/>
          <w:lang w:val="en-US" w:eastAsia="zh-CN"/>
        </w:rPr>
        <w:t>222</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培训合作社管理、财务管理、市场营销等知识；优秀理事长分享交流等</w:t>
      </w:r>
      <w:r>
        <w:rPr>
          <w:rFonts w:hint="eastAsia" w:ascii="Times New Roman" w:hAnsi="Times New Roman" w:eastAsia="仿宋_GB2312"/>
          <w:sz w:val="32"/>
          <w:szCs w:val="32"/>
        </w:rPr>
        <w:t>，金额</w:t>
      </w:r>
      <w:r>
        <w:rPr>
          <w:rFonts w:hint="eastAsia" w:ascii="Times New Roman" w:hAnsi="Times New Roman" w:eastAsia="仿宋_GB2312"/>
          <w:sz w:val="32"/>
          <w:szCs w:val="32"/>
          <w:lang w:val="en-US" w:eastAsia="zh-CN"/>
        </w:rPr>
        <w:t>12.52</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开展</w:t>
      </w:r>
      <w:r>
        <w:rPr>
          <w:rFonts w:hint="eastAsia" w:ascii="Times New Roman" w:hAnsi="Times New Roman" w:eastAsia="仿宋_GB2312"/>
          <w:sz w:val="32"/>
          <w:szCs w:val="32"/>
          <w:lang w:val="en-US" w:eastAsia="zh-CN"/>
        </w:rPr>
        <w:t>送训下基层培训班三次</w:t>
      </w:r>
      <w:r>
        <w:rPr>
          <w:rFonts w:hint="eastAsia" w:ascii="Times New Roman" w:hAnsi="Times New Roman" w:eastAsia="仿宋_GB2312"/>
          <w:sz w:val="32"/>
          <w:szCs w:val="32"/>
        </w:rPr>
        <w:t>，人数</w:t>
      </w:r>
      <w:r>
        <w:rPr>
          <w:rFonts w:hint="eastAsia" w:ascii="Times New Roman" w:hAnsi="Times New Roman" w:eastAsia="仿宋_GB2312"/>
          <w:sz w:val="32"/>
          <w:szCs w:val="32"/>
          <w:lang w:val="en-US" w:eastAsia="zh-CN"/>
        </w:rPr>
        <w:t>298</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培训</w:t>
      </w:r>
      <w:r>
        <w:rPr>
          <w:rFonts w:hint="eastAsia" w:ascii="Times New Roman" w:hAnsi="Times New Roman" w:eastAsia="仿宋_GB2312"/>
          <w:sz w:val="32"/>
          <w:szCs w:val="32"/>
        </w:rPr>
        <w:t>柑橘种植相关技术</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果园机械应用操作</w:t>
      </w:r>
      <w:r>
        <w:rPr>
          <w:rFonts w:hint="eastAsia" w:ascii="Times New Roman" w:hAnsi="Times New Roman" w:eastAsia="仿宋_GB2312"/>
          <w:sz w:val="32"/>
          <w:szCs w:val="32"/>
          <w:lang w:val="en-US" w:eastAsia="zh-CN"/>
        </w:rPr>
        <w:t>等</w:t>
      </w:r>
      <w:r>
        <w:rPr>
          <w:rFonts w:hint="eastAsia" w:ascii="Times New Roman" w:hAnsi="Times New Roman" w:eastAsia="仿宋_GB2312"/>
          <w:sz w:val="32"/>
          <w:szCs w:val="32"/>
        </w:rPr>
        <w:t>，金额</w:t>
      </w:r>
      <w:r>
        <w:rPr>
          <w:rFonts w:hint="eastAsia" w:ascii="Times New Roman" w:hAnsi="Times New Roman" w:eastAsia="仿宋_GB2312"/>
          <w:sz w:val="32"/>
          <w:szCs w:val="32"/>
          <w:lang w:val="en-US" w:eastAsia="zh-CN"/>
        </w:rPr>
        <w:t>13.04</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开展2023年湖南省农机维修职业技能培训班</w:t>
      </w:r>
      <w:r>
        <w:rPr>
          <w:rFonts w:hint="eastAsia" w:ascii="Times New Roman" w:hAnsi="Times New Roman" w:eastAsia="仿宋_GB2312"/>
          <w:sz w:val="32"/>
          <w:szCs w:val="32"/>
          <w:lang w:val="en-US" w:eastAsia="zh-CN"/>
        </w:rPr>
        <w:t>两次</w:t>
      </w:r>
      <w:r>
        <w:rPr>
          <w:rFonts w:hint="eastAsia" w:ascii="Times New Roman" w:hAnsi="Times New Roman" w:eastAsia="仿宋_GB2312"/>
          <w:sz w:val="32"/>
          <w:szCs w:val="32"/>
        </w:rPr>
        <w:t>，人数</w:t>
      </w:r>
      <w:r>
        <w:rPr>
          <w:rFonts w:hint="eastAsia" w:ascii="Times New Roman" w:hAnsi="Times New Roman" w:eastAsia="仿宋_GB2312"/>
          <w:sz w:val="32"/>
          <w:szCs w:val="32"/>
          <w:lang w:val="en-US" w:eastAsia="zh-CN"/>
        </w:rPr>
        <w:t>122</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val="en-US" w:eastAsia="zh-CN"/>
        </w:rPr>
        <w:t>培训抛秧机、拖拉机、联合收获机、大型谷物烘干机、混流式批式循环谷物烘干机等知识</w:t>
      </w:r>
      <w:r>
        <w:rPr>
          <w:rFonts w:hint="eastAsia" w:ascii="Times New Roman" w:hAnsi="Times New Roman" w:eastAsia="仿宋_GB2312"/>
          <w:sz w:val="32"/>
          <w:szCs w:val="32"/>
        </w:rPr>
        <w:t>，金额</w:t>
      </w:r>
      <w:r>
        <w:rPr>
          <w:rFonts w:hint="eastAsia" w:ascii="Times New Roman" w:hAnsi="Times New Roman" w:eastAsia="仿宋_GB2312"/>
          <w:sz w:val="32"/>
          <w:szCs w:val="32"/>
          <w:lang w:val="en-US" w:eastAsia="zh-CN"/>
        </w:rPr>
        <w:t>8.81</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707.82</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453.24</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254.58</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707.82</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707.82</w:t>
      </w:r>
      <w:r>
        <w:rPr>
          <w:rFonts w:hint="eastAsia" w:ascii="Times New Roman" w:hAnsi="Times New Roman" w:eastAsia="仿宋_GB2312"/>
          <w:sz w:val="32"/>
          <w:szCs w:val="32"/>
        </w:rPr>
        <w:t>万元，占</w:t>
      </w:r>
      <w:r>
        <w:rPr>
          <w:rFonts w:hint="eastAsia" w:ascii="Times New Roman" w:hAnsi="Times New Roman" w:eastAsia="仿宋_GB2312"/>
          <w:sz w:val="32"/>
          <w:szCs w:val="32"/>
          <w:lang w:eastAsia="zh-CN"/>
        </w:rPr>
        <w:t>授予中小企业合同金额</w:t>
      </w:r>
      <w:r>
        <w:rPr>
          <w:rFonts w:hint="eastAsia" w:ascii="Times New Roman" w:hAnsi="Times New Roman" w:eastAsia="仿宋_GB2312"/>
          <w:sz w:val="32"/>
          <w:szCs w:val="32"/>
        </w:rPr>
        <w:t>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%。货物采购授予中小企业合同金额占货物支出金额的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%，服务采购授予中小企业合同金额占服务支出金额的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截至202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w:t>
      </w:r>
      <w:r>
        <w:rPr>
          <w:rFonts w:hint="eastAsia" w:ascii="Times New Roman" w:hAnsi="Times New Roman" w:eastAsia="仿宋_GB2312"/>
          <w:sz w:val="32"/>
          <w:szCs w:val="32"/>
          <w:lang w:val="en-US" w:eastAsia="zh-CN"/>
        </w:rPr>
        <w:t>本</w:t>
      </w:r>
      <w:r>
        <w:rPr>
          <w:rFonts w:hint="eastAsia" w:ascii="Times New Roman" w:hAnsi="Times New Roman" w:eastAsia="仿宋_GB2312"/>
          <w:sz w:val="32"/>
          <w:szCs w:val="32"/>
          <w:lang w:eastAsia="zh-CN"/>
        </w:rPr>
        <w:t>单位</w:t>
      </w:r>
      <w:r>
        <w:rPr>
          <w:rFonts w:hint="eastAsia" w:ascii="Times New Roman" w:hAnsi="Times New Roman" w:eastAsia="仿宋_GB2312"/>
          <w:sz w:val="32"/>
          <w:szCs w:val="32"/>
        </w:rPr>
        <w:t>共有车辆</w:t>
      </w: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辆，其中</w:t>
      </w:r>
      <w:r>
        <w:rPr>
          <w:rFonts w:hint="eastAsia" w:ascii="Times New Roman" w:hAnsi="Times New Roman" w:eastAsia="仿宋_GB2312"/>
          <w:sz w:val="32"/>
          <w:szCs w:val="32"/>
          <w:lang w:eastAsia="zh-CN"/>
        </w:rPr>
        <w:t>，副部（省）级及以上领导用车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主要</w:t>
      </w:r>
      <w:r>
        <w:rPr>
          <w:rFonts w:hint="eastAsia" w:ascii="Times New Roman" w:hAnsi="Times New Roman" w:eastAsia="仿宋_GB2312"/>
          <w:sz w:val="32"/>
          <w:szCs w:val="32"/>
          <w:lang w:eastAsia="zh-CN"/>
        </w:rPr>
        <w:t>负责人</w:t>
      </w:r>
      <w:r>
        <w:rPr>
          <w:rFonts w:hint="eastAsia" w:ascii="Times New Roman" w:hAnsi="Times New Roman" w:eastAsia="仿宋_GB2312"/>
          <w:sz w:val="32"/>
          <w:szCs w:val="32"/>
        </w:rPr>
        <w:t>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机要通信用车</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离退休干部服务用车</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其他用车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辆；单位价值100万元以上设备</w:t>
      </w:r>
      <w:r>
        <w:rPr>
          <w:rFonts w:hint="eastAsia" w:ascii="Times New Roman" w:hAnsi="Times New Roman" w:eastAsia="仿宋_GB2312"/>
          <w:sz w:val="32"/>
          <w:szCs w:val="32"/>
          <w:lang w:eastAsia="zh-CN"/>
        </w:rPr>
        <w:t>（不含车辆）</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严控运行成本</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2023年“三公”经费年初预算数75万元，实际支出58.42万元，其中：公务接待费支出1.42万元、公务用车运行维护费30万元、车辆购置费支出0万元、因公出国（境）费27万元，较年初预算节约16.58万元，节约比为22.11%。2023年基本支出中的水费、电费、差旅费等均合理控制在预算以内。</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提高管理效率</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一是进一步规范财务管理。加强对项目资金的管控，优化绩效管理，严格按省农业农村厅新颁发的绩效管理办法规范项目资金使用。加强对政府采购项目的管控，严格按流程采购，与纪检联合，做到公开、高效。加强预算管理，积极与各部门沟通，以过去年度数据为依托，将各项预算做细做准；在执行过程中，利用项目资金进度表，实时掌握执行动态，按季度总结、跟进，保证执行进度。</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二是开展试验论证。联合岳阳市汨罗市、益阳市赫山区和长沙市浏阳市、衡阳市衡阳县、邵阳市洞口县分别开展了双季稻、油菜机械化生产高产高效技术集成模式试验示范，较当地往年传统机械化生产模式，汨罗市试验区2022-2023年</w:t>
      </w:r>
      <w:r>
        <w:rPr>
          <w:rFonts w:hint="eastAsia" w:ascii="Times New Roman" w:hAnsi="Times New Roman" w:eastAsia="仿宋_GB2312"/>
          <w:sz w:val="32"/>
          <w:szCs w:val="32"/>
          <w:lang w:val="zh-CN"/>
        </w:rPr>
        <w:t>晚早两季共增产116kg/亩，</w:t>
      </w:r>
      <w:r>
        <w:rPr>
          <w:rFonts w:hint="eastAsia" w:ascii="Times New Roman" w:hAnsi="Times New Roman" w:eastAsia="仿宋_GB2312"/>
          <w:sz w:val="32"/>
          <w:szCs w:val="32"/>
        </w:rPr>
        <w:t>浏阳市试验区</w:t>
      </w:r>
      <w:r>
        <w:rPr>
          <w:rFonts w:hint="eastAsia" w:ascii="Times New Roman" w:hAnsi="Times New Roman" w:eastAsia="仿宋_GB2312"/>
          <w:sz w:val="32"/>
          <w:szCs w:val="32"/>
          <w:lang w:val="zh-CN"/>
        </w:rPr>
        <w:t>油菜增产21kg/亩，汨罗市和</w:t>
      </w:r>
      <w:r>
        <w:rPr>
          <w:rFonts w:hint="eastAsia" w:ascii="Times New Roman" w:hAnsi="Times New Roman" w:eastAsia="仿宋_GB2312"/>
          <w:sz w:val="32"/>
          <w:szCs w:val="32"/>
        </w:rPr>
        <w:t>赫山区试验区2023年晚稻分别</w:t>
      </w:r>
      <w:r>
        <w:rPr>
          <w:rFonts w:hint="eastAsia" w:ascii="Times New Roman" w:hAnsi="Times New Roman" w:eastAsia="仿宋_GB2312"/>
          <w:sz w:val="32"/>
          <w:szCs w:val="32"/>
          <w:lang w:val="zh-CN"/>
        </w:rPr>
        <w:t>增产</w:t>
      </w:r>
      <w:r>
        <w:rPr>
          <w:rFonts w:hint="eastAsia" w:ascii="Times New Roman" w:hAnsi="Times New Roman" w:eastAsia="仿宋_GB2312"/>
          <w:sz w:val="32"/>
          <w:szCs w:val="32"/>
        </w:rPr>
        <w:t>46.1</w:t>
      </w:r>
      <w:r>
        <w:rPr>
          <w:rFonts w:hint="eastAsia" w:ascii="Times New Roman" w:hAnsi="Times New Roman" w:eastAsia="仿宋_GB2312"/>
          <w:sz w:val="32"/>
          <w:szCs w:val="32"/>
          <w:lang w:val="zh-CN"/>
        </w:rPr>
        <w:t>kg/亩和</w:t>
      </w:r>
      <w:r>
        <w:rPr>
          <w:rFonts w:hint="eastAsia" w:ascii="Times New Roman" w:hAnsi="Times New Roman" w:eastAsia="仿宋_GB2312"/>
          <w:sz w:val="32"/>
          <w:szCs w:val="32"/>
        </w:rPr>
        <w:t>30.7</w:t>
      </w:r>
      <w:r>
        <w:rPr>
          <w:rFonts w:hint="eastAsia" w:ascii="Times New Roman" w:hAnsi="Times New Roman" w:eastAsia="仿宋_GB2312"/>
          <w:sz w:val="32"/>
          <w:szCs w:val="32"/>
          <w:lang w:val="zh-CN"/>
        </w:rPr>
        <w:t>kg/亩，</w:t>
      </w:r>
      <w:r>
        <w:rPr>
          <w:rFonts w:hint="eastAsia" w:ascii="Times New Roman" w:hAnsi="Times New Roman" w:eastAsia="仿宋_GB2312"/>
          <w:sz w:val="32"/>
          <w:szCs w:val="32"/>
        </w:rPr>
        <w:t>为稻油机械化提单产提供技术集成可行路线。</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三是收集信息数据。协助省农业农村厅农机化管理处做好春耕、三夏、三秋农机化作业进度数据收集汇总，及时掌握农时进度和稻油机收损失等情况，为科学决策提供可靠数据支撑。据初步统计，</w:t>
      </w:r>
      <w:r>
        <w:rPr>
          <w:rFonts w:hint="eastAsia" w:ascii="Times New Roman" w:hAnsi="Times New Roman" w:eastAsia="仿宋_GB2312"/>
          <w:sz w:val="32"/>
          <w:szCs w:val="32"/>
          <w:lang w:val="zh-CN"/>
        </w:rPr>
        <w:t>202</w:t>
      </w:r>
      <w:r>
        <w:rPr>
          <w:rFonts w:hint="eastAsia" w:ascii="Times New Roman" w:hAnsi="Times New Roman" w:eastAsia="仿宋_GB2312"/>
          <w:sz w:val="32"/>
          <w:szCs w:val="32"/>
        </w:rPr>
        <w:t>3</w:t>
      </w:r>
      <w:r>
        <w:rPr>
          <w:rFonts w:hint="eastAsia" w:ascii="Times New Roman" w:hAnsi="Times New Roman" w:eastAsia="仿宋_GB2312"/>
          <w:sz w:val="32"/>
          <w:szCs w:val="32"/>
          <w:lang w:val="zh-CN"/>
        </w:rPr>
        <w:t>年，全省水稻机收损失率控制在2.</w:t>
      </w:r>
      <w:r>
        <w:rPr>
          <w:rFonts w:hint="eastAsia" w:ascii="Times New Roman" w:hAnsi="Times New Roman" w:eastAsia="仿宋_GB2312"/>
          <w:sz w:val="32"/>
          <w:szCs w:val="32"/>
        </w:rPr>
        <w:t>38</w:t>
      </w:r>
      <w:r>
        <w:rPr>
          <w:rFonts w:hint="eastAsia" w:ascii="Times New Roman" w:hAnsi="Times New Roman" w:eastAsia="仿宋_GB2312"/>
          <w:sz w:val="32"/>
          <w:szCs w:val="32"/>
          <w:lang w:val="zh-CN"/>
        </w:rPr>
        <w:t>%，低于3%的现行国家标准，全省油菜机收监测平均损失为</w:t>
      </w:r>
      <w:r>
        <w:rPr>
          <w:rFonts w:hint="eastAsia" w:ascii="Times New Roman" w:hAnsi="Times New Roman" w:eastAsia="仿宋_GB2312"/>
          <w:sz w:val="32"/>
          <w:szCs w:val="32"/>
        </w:rPr>
        <w:t>11.76%</w:t>
      </w:r>
      <w:r>
        <w:rPr>
          <w:rFonts w:hint="eastAsia" w:ascii="Times New Roman" w:hAnsi="Times New Roman" w:eastAsia="仿宋_GB2312"/>
          <w:sz w:val="32"/>
          <w:szCs w:val="32"/>
          <w:lang w:val="zh-CN"/>
        </w:rPr>
        <w:t>，较去年减低</w:t>
      </w:r>
      <w:r>
        <w:rPr>
          <w:rFonts w:hint="eastAsia" w:ascii="Times New Roman" w:hAnsi="Times New Roman" w:eastAsia="仿宋_GB2312"/>
          <w:sz w:val="32"/>
          <w:szCs w:val="32"/>
        </w:rPr>
        <w:t>0.6个百分点。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四是配合做好补贴政策实施。开展机具品目分档和补贴额测算调研，牵头喷滴灌、茶叶初加工、烘干中心、大米初加工、箱体养猪等5个成套设备建设规范，并均已通过部专家评审。委托会计师事务所对喷滴灌、茶叶初制加工成套设备、箱体式养猪、连栋钢架大棚、水稻有序抛秧机等6个品目28产品进行成本审计。先后2次组织专家对新进补贴机具在浏阳市进行集中展示演示评价，将660个不合格机具挡在补贴门外。</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zh-CN"/>
        </w:rPr>
      </w:pPr>
      <w:r>
        <w:rPr>
          <w:rFonts w:hint="eastAsia" w:ascii="Times New Roman" w:hAnsi="Times New Roman" w:eastAsia="仿宋_GB2312"/>
          <w:sz w:val="32"/>
          <w:szCs w:val="32"/>
        </w:rPr>
        <w:t>五是持续抓好牌证源头监管。</w:t>
      </w:r>
      <w:r>
        <w:rPr>
          <w:rFonts w:hint="eastAsia" w:ascii="Times New Roman" w:hAnsi="Times New Roman" w:eastAsia="仿宋_GB2312"/>
          <w:sz w:val="32"/>
          <w:szCs w:val="32"/>
          <w:lang w:val="zh-CN"/>
        </w:rPr>
        <w:t>印发《湖南省农机安全监理规范化建设方案（2023-2025年）》，利用中心信息化北斗考场举办4期农机监理岗位人员培训。创新农机牌证省内异地年检模式，开发“农机易办”电子证照微信小程序。</w:t>
      </w:r>
      <w:r>
        <w:rPr>
          <w:rFonts w:hint="eastAsia" w:ascii="Times New Roman" w:hAnsi="Times New Roman" w:eastAsia="仿宋_GB2312"/>
          <w:sz w:val="32"/>
          <w:szCs w:val="32"/>
        </w:rPr>
        <w:t>配合开展拖拉机顽瘴痼疾专项整治工作，</w:t>
      </w:r>
      <w:r>
        <w:rPr>
          <w:rFonts w:hint="eastAsia" w:ascii="Times New Roman" w:hAnsi="Times New Roman" w:eastAsia="仿宋_GB2312"/>
          <w:sz w:val="32"/>
          <w:szCs w:val="32"/>
          <w:lang w:val="zh-CN"/>
        </w:rPr>
        <w:t>稳步推进变型拖拉机淘汰清零工作，全省牌证注销变型拖拉机</w:t>
      </w:r>
      <w:r>
        <w:rPr>
          <w:rFonts w:hint="eastAsia" w:ascii="Times New Roman" w:hAnsi="Times New Roman" w:eastAsia="仿宋_GB2312"/>
          <w:sz w:val="32"/>
          <w:szCs w:val="32"/>
        </w:rPr>
        <w:t>2892</w:t>
      </w:r>
      <w:r>
        <w:rPr>
          <w:rFonts w:hint="eastAsia" w:ascii="Times New Roman" w:hAnsi="Times New Roman" w:eastAsia="仿宋_GB2312"/>
          <w:sz w:val="32"/>
          <w:szCs w:val="32"/>
          <w:lang w:val="zh-CN"/>
        </w:rPr>
        <w:t>台。全面启动农机安全监管平台，为10个县市区上道路拖拉机免费安装300台北斗车载终端，实现了用信息化手段紧盯“人”和“机”目标。</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提升履职效能</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zh-CN"/>
        </w:rPr>
      </w:pPr>
      <w:r>
        <w:rPr>
          <w:rFonts w:hint="eastAsia" w:ascii="Times New Roman" w:hAnsi="Times New Roman" w:eastAsia="仿宋_GB2312"/>
          <w:sz w:val="32"/>
          <w:szCs w:val="32"/>
        </w:rPr>
        <w:t>一是强化能力建设。以强化绿色农机、智能农机鉴定能力为目标，</w:t>
      </w:r>
      <w:r>
        <w:rPr>
          <w:rFonts w:hint="eastAsia" w:ascii="Times New Roman" w:hAnsi="Times New Roman" w:eastAsia="仿宋_GB2312"/>
          <w:sz w:val="32"/>
          <w:szCs w:val="32"/>
          <w:lang w:val="zh-CN"/>
        </w:rPr>
        <w:t>进一步加快国家水田机械质量检验检测中心试验基地建设，完成新购置仪器设备的安装调试，形成拖拉机等常见农机具的检测能力；协助湖南农大推进试验场地建设。进一步补齐智能农机具鉴定短板，增加无人植保机的检测鉴定资质，将无人植保机纳入2024年湖南省农业机械试验鉴定产品种类指南，探索电动拖拉机的鉴定方法。</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二是</w:t>
      </w:r>
      <w:r>
        <w:rPr>
          <w:rFonts w:hint="eastAsia" w:ascii="Times New Roman" w:hAnsi="Times New Roman" w:eastAsia="仿宋_GB2312"/>
          <w:sz w:val="32"/>
          <w:szCs w:val="32"/>
          <w:lang w:val="zh-CN"/>
        </w:rPr>
        <w:t>稳步推进农机安责险和事故预防工作</w:t>
      </w:r>
      <w:r>
        <w:rPr>
          <w:rFonts w:hint="eastAsia" w:ascii="Times New Roman" w:hAnsi="Times New Roman" w:eastAsia="仿宋_GB2312"/>
          <w:sz w:val="32"/>
          <w:szCs w:val="32"/>
        </w:rPr>
        <w:t>。规范有序推动农机安责险工作，积极加强与省农机安责险承保机构沟通协调，搞好信息互通，及时解决农机安责险推进过程出现的困难和问题，为广大农机手投保安责险提供服务。举办全省农机事故统计报送员培训班，进一步提高农机事故统计报送质量，提升农机事故统计报送人员业务能力素质。年中，在长沙举办了全省农机事故统计报送员培训班，来自各市州、县市区的146名农机事故统计报送人员参加培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三是提升农机监理设施标准化水平。印发县级农机安全监理能力建设标准，开发并在省政务云布置运行“全省农机安全监管系统”，招标采购300台车载北斗终端并在10个县免费安装试运行。</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注重社会效应</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一是成功举办第二十四届中国中部（湖南）农业博览会现代农业装备展。展会共设置舞台特展区、中心特展区、应急救灾农机设备展区、创新研发农机展区、丘陵山区农机展区、平湖农机展区等6个展区，面积超过6000m2，参展单位涵盖中联重科、中国一拖、东风井关、湖南农大等33家省内外农机生产企业、高校和科研院所，公开展示188台（套）丘陵山区适用农机具、平湖区农机具和应急救灾装备。展会期间，省委书记、省长先后来到装备展巡展，18家农机产销企业现场签约金额达到1.7亿元。展会得到了人民日报、湖南新闻联播等媒体的大力报道和各级领导的一致认可。</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二是搞好农机宣传，讲好农机故事。从挖掘农机化工作特色亮点入手，紧盯农机化重大活动、重要会议、重要农时，协同业务部门做好新闻通稿起草工作，及时加强与央视、新华社、人民日报、湖南日报、湖南卫视等重点媒体联系，</w:t>
      </w:r>
      <w:r>
        <w:rPr>
          <w:rFonts w:hint="eastAsia" w:ascii="Times New Roman" w:hAnsi="Times New Roman" w:eastAsia="仿宋_GB2312"/>
          <w:sz w:val="32"/>
          <w:szCs w:val="32"/>
          <w:lang w:val="zh-CN"/>
        </w:rPr>
        <w:t>央视新闻联播报道了</w:t>
      </w:r>
      <w:r>
        <w:rPr>
          <w:rFonts w:hint="eastAsia" w:ascii="Times New Roman" w:hAnsi="Times New Roman" w:eastAsia="仿宋_GB2312"/>
          <w:sz w:val="32"/>
          <w:szCs w:val="32"/>
        </w:rPr>
        <w:t>农夫机电的轻型履带拖拉机</w:t>
      </w:r>
      <w:r>
        <w:rPr>
          <w:rFonts w:hint="eastAsia" w:ascii="Times New Roman" w:hAnsi="Times New Roman" w:eastAsia="仿宋_GB2312"/>
          <w:sz w:val="32"/>
          <w:szCs w:val="32"/>
          <w:lang w:val="zh-CN"/>
        </w:rPr>
        <w:t>“小农机上山岗”</w:t>
      </w:r>
      <w:r>
        <w:rPr>
          <w:rFonts w:hint="eastAsia" w:ascii="Times New Roman" w:hAnsi="Times New Roman" w:eastAsia="仿宋_GB2312"/>
          <w:sz w:val="32"/>
          <w:szCs w:val="32"/>
        </w:rPr>
        <w:t>3分钟</w:t>
      </w:r>
      <w:r>
        <w:rPr>
          <w:rFonts w:hint="eastAsia" w:ascii="Times New Roman" w:hAnsi="Times New Roman" w:eastAsia="仿宋_GB2312"/>
          <w:sz w:val="32"/>
          <w:szCs w:val="32"/>
          <w:lang w:val="zh-CN"/>
        </w:rPr>
        <w:t>新闻，湖南日报发布了“湖南农业机械化调查（制造篇、推广篇）”系列深度调研报道，</w:t>
      </w:r>
      <w:r>
        <w:rPr>
          <w:rFonts w:hint="eastAsia" w:ascii="Times New Roman" w:hAnsi="Times New Roman" w:eastAsia="仿宋_GB2312"/>
          <w:sz w:val="32"/>
          <w:szCs w:val="32"/>
        </w:rPr>
        <w:t>全国农机装备补短板工作会、第24届农博会现代农机展等活动期间，湖南新闻联播连续四天对相关活动进行了系列报道。</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增强可持续发展能力</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一是加强农机信息化建设。在农机作业监测系统的基础上，</w:t>
      </w:r>
      <w:r>
        <w:rPr>
          <w:rFonts w:hint="eastAsia" w:ascii="Times New Roman" w:hAnsi="Times New Roman" w:eastAsia="仿宋_GB2312"/>
          <w:sz w:val="32"/>
          <w:szCs w:val="32"/>
          <w:lang w:val="zh-CN"/>
        </w:rPr>
        <w:t>开发“农机服务直通车”微信小程序，实现农机作业监测数据、各级惠农政策查询，合作社农产品产销、社会化服务对接，农机及技术培训等快速便捷服务。农机试验鉴定数据采集与信息化建设系统上线试运行，实现了试验数据实时上传，自动生成常见机具检测报告，有效减少了人为失误，提升了报告准确率。</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二是规范标准，积极发挥行业协会专业作用。充分发挥农机标委会和农机学会专业指导和支撑作用，围绕农业机械化技术标准推广应用，做好了一系列工作。农机标委会完成4个地方标准，制修订6个团体标准，这些标准规范了我省有关农业产业机械化生产技术，促进了农业机械化发展。</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提高服务对象满意度</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一是指导农机合作社建设。</w:t>
      </w:r>
      <w:r>
        <w:rPr>
          <w:rFonts w:hint="eastAsia" w:ascii="Times New Roman" w:hAnsi="Times New Roman" w:eastAsia="仿宋_GB2312"/>
          <w:sz w:val="32"/>
          <w:szCs w:val="32"/>
          <w:lang w:val="zh-CN"/>
        </w:rPr>
        <w:t>搭建平台，指导县市区做好农机合作社核验分类，录入合作社信息2903家，基本实现对现代社以上经营主体的动态信息掌握，进行分类管理与指导服务。结合全省理事长培训等工作，全面推广28个农机合作社在社会化服务、全产业链生产经营、绿色节本降耗增效等方面的经验做法。</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二是提升农机安全监理员队伍素质。利用省中心信息化北斗考场，举办农机安全监理岗位人员业务轮训，使参训人员在短期的培训学习中快速提升实际工作能力，通过上机理论考试和实操考试合格颁发合格证，确保了基层农机监理人员素质培训实效。</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三是强化质量管理。做好做优农机质量投诉处理工作，组织开展以“提质强农护农，助力春管春耕”为主题的“农机3·15”消费者权益日活动，发放宣传资料1000余份，接受现场咨询200多人次。</w:t>
      </w:r>
    </w:p>
    <w:p>
      <w:pPr>
        <w:pStyle w:val="14"/>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pPr>
        <w:widowControl/>
        <w:spacing w:line="600" w:lineRule="exact"/>
        <w:ind w:firstLine="627" w:firstLineChars="196"/>
        <w:rPr>
          <w:rFonts w:hint="eastAsia" w:ascii="Times New Roman" w:hAnsi="Times New Roman" w:eastAsia="楷体_GB2312"/>
          <w:b/>
          <w:bCs/>
          <w:sz w:val="32"/>
          <w:szCs w:val="32"/>
        </w:rPr>
      </w:pPr>
      <w:r>
        <w:rPr>
          <w:rFonts w:hint="eastAsia" w:ascii="Times New Roman" w:hAnsi="Times New Roman" w:eastAsia="楷体_GB2312"/>
          <w:b/>
          <w:bCs/>
          <w:sz w:val="32"/>
          <w:szCs w:val="32"/>
          <w:lang w:val="en-US" w:eastAsia="zh-CN"/>
        </w:rPr>
        <w:t>1、</w:t>
      </w:r>
      <w:r>
        <w:rPr>
          <w:rFonts w:hint="eastAsia" w:ascii="Times New Roman" w:hAnsi="Times New Roman" w:eastAsia="楷体_GB2312"/>
          <w:b/>
          <w:bCs/>
          <w:sz w:val="32"/>
          <w:szCs w:val="32"/>
        </w:rPr>
        <w:t>基本支出情况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2023年度基本支出共发生3190.72万元，其中人员经费为2686.36万元，公用经费为504.36万元。主要用于保障部门正常运转、完成日常工作任务而发生的各项支出，包括用于基本工资、津贴补贴等人员经费以及办公费、印刷费、水电费、办公设备购置等公用经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建立健全财务管理制度、内控制度，资金使用符合国家财经法规和财务管理制度规定。各项经费支出按财务制度实行审批，切实降低运行成本。特别是加强对“三公”经费、差旅费、会议费和培训费等公用经费的审核审批，公用经费较好地控制在预算范围之内，且资金使用规范、安全、有效。</w:t>
      </w:r>
    </w:p>
    <w:p>
      <w:pPr>
        <w:widowControl/>
        <w:spacing w:line="600" w:lineRule="exact"/>
        <w:ind w:firstLine="627" w:firstLineChars="196"/>
        <w:rPr>
          <w:rFonts w:hint="eastAsia" w:ascii="Times New Roman" w:hAnsi="Times New Roman" w:eastAsia="楷体_GB2312"/>
          <w:b/>
          <w:bCs/>
          <w:sz w:val="32"/>
          <w:szCs w:val="32"/>
        </w:rPr>
      </w:pPr>
      <w:r>
        <w:rPr>
          <w:rFonts w:hint="eastAsia" w:ascii="Times New Roman" w:hAnsi="Times New Roman" w:eastAsia="楷体_GB2312"/>
          <w:b/>
          <w:bCs/>
          <w:sz w:val="32"/>
          <w:szCs w:val="32"/>
          <w:lang w:val="en-US" w:eastAsia="zh-CN"/>
        </w:rPr>
        <w:t>2、</w:t>
      </w:r>
      <w:r>
        <w:rPr>
          <w:rFonts w:hint="eastAsia" w:ascii="Times New Roman" w:hAnsi="Times New Roman" w:eastAsia="楷体_GB2312"/>
          <w:b/>
          <w:bCs/>
          <w:sz w:val="32"/>
          <w:szCs w:val="32"/>
        </w:rPr>
        <w:t>项目支出情况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2023年度项目支出共发生1431.95万元，其中：省级专项资金-现代农业发展专项上年指标结余255.53万元，本年预算安排730万元，本年共支出</w:t>
      </w:r>
      <w:r>
        <w:rPr>
          <w:rFonts w:hint="eastAsia" w:ascii="Times New Roman" w:hAnsi="Times New Roman" w:eastAsia="仿宋_GB2312"/>
          <w:sz w:val="32"/>
          <w:szCs w:val="32"/>
          <w:lang w:val="en-US" w:eastAsia="zh-CN"/>
        </w:rPr>
        <w:t>736.93</w:t>
      </w:r>
      <w:r>
        <w:rPr>
          <w:rFonts w:hint="eastAsia" w:ascii="Times New Roman" w:hAnsi="Times New Roman" w:eastAsia="仿宋_GB2312"/>
          <w:sz w:val="32"/>
          <w:szCs w:val="32"/>
        </w:rPr>
        <w:t>万元。主要用于农机试验鉴定与能力建设；</w:t>
      </w:r>
      <w:r>
        <w:rPr>
          <w:rFonts w:hint="eastAsia" w:ascii="Times New Roman" w:hAnsi="Times New Roman" w:eastAsia="仿宋_GB2312"/>
          <w:sz w:val="32"/>
          <w:szCs w:val="32"/>
          <w:lang w:val="zh-CN"/>
        </w:rPr>
        <w:t>稻油机械化生产高产高效技术集成试验示范；现场集中演示机具及专家评审</w:t>
      </w:r>
      <w:r>
        <w:rPr>
          <w:rFonts w:hint="eastAsia" w:ascii="Times New Roman" w:hAnsi="Times New Roman" w:eastAsia="仿宋_GB2312"/>
          <w:sz w:val="32"/>
          <w:szCs w:val="32"/>
        </w:rPr>
        <w:t>；</w:t>
      </w:r>
      <w:r>
        <w:rPr>
          <w:rFonts w:hint="eastAsia" w:ascii="Times New Roman" w:hAnsi="Times New Roman" w:eastAsia="仿宋_GB2312"/>
          <w:sz w:val="32"/>
          <w:szCs w:val="32"/>
          <w:lang w:val="zh-CN"/>
        </w:rPr>
        <w:t>水稻机插（抛）育秧技术培训、现代农机合作社</w:t>
      </w:r>
      <w:r>
        <w:rPr>
          <w:rFonts w:hint="eastAsia" w:ascii="Times New Roman" w:hAnsi="Times New Roman" w:eastAsia="仿宋_GB2312"/>
          <w:sz w:val="32"/>
          <w:szCs w:val="32"/>
        </w:rPr>
        <w:t>“三员”培训、农机安全监理人员培训、</w:t>
      </w:r>
      <w:r>
        <w:rPr>
          <w:rFonts w:hint="eastAsia" w:ascii="Times New Roman" w:hAnsi="Times New Roman" w:eastAsia="仿宋_GB2312"/>
          <w:sz w:val="32"/>
          <w:szCs w:val="32"/>
          <w:lang w:val="zh-CN"/>
        </w:rPr>
        <w:t>“送训下基层”、农机推广鉴定培训等各类培训；拖拉机北斗导航车载定位终端安装</w:t>
      </w:r>
      <w:r>
        <w:rPr>
          <w:rFonts w:hint="eastAsia" w:ascii="Times New Roman" w:hAnsi="Times New Roman" w:eastAsia="仿宋_GB2312"/>
          <w:sz w:val="32"/>
          <w:szCs w:val="32"/>
        </w:rPr>
        <w:t>；农机相关标准制定与宣贯；农机购置与应用补贴第三方审计；农机产品质量调查；农机购置与应用补贴项目评审；</w:t>
      </w:r>
      <w:r>
        <w:rPr>
          <w:rFonts w:hint="eastAsia" w:ascii="Times New Roman" w:hAnsi="Times New Roman" w:eastAsia="仿宋_GB2312"/>
          <w:sz w:val="32"/>
          <w:szCs w:val="32"/>
          <w:lang w:val="zh-CN"/>
        </w:rPr>
        <w:t>省级拖拉机和联合收割机牌证管理系统运行维护</w:t>
      </w:r>
      <w:r>
        <w:rPr>
          <w:rFonts w:hint="eastAsia" w:ascii="Times New Roman" w:hAnsi="Times New Roman" w:eastAsia="仿宋_GB2312"/>
          <w:sz w:val="32"/>
          <w:szCs w:val="32"/>
        </w:rPr>
        <w:t>等方面。</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国家现代农业产业园及农业产业强镇项目本年预算安排800万元，支出1.25万元。因项目为年中追加，金额较大，需严格按政府采购走流程，到2023年末，项目已启动招标并支付招标代理费，预计2024年完成采购。该项目资金主要用于购买动力输出轴功率试验系统、拖拉机悬挂试验台、农业机械液压输出功率试验台、田间及道路机械可靠性监测系统、能量色散X荧光光谱仪、高性能农业机械作动机构试验平台等农业机械检测用仪器设备，以不断提升国家水田机械质量检验检测中心的检验检测能力。</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单位专项2023年预算安排</w:t>
      </w:r>
      <w:r>
        <w:rPr>
          <w:rFonts w:hint="eastAsia" w:ascii="Times New Roman" w:hAnsi="Times New Roman" w:eastAsia="仿宋_GB2312"/>
          <w:sz w:val="32"/>
          <w:szCs w:val="32"/>
          <w:lang w:val="en-US" w:eastAsia="zh-CN"/>
        </w:rPr>
        <w:t>1181.18</w:t>
      </w:r>
      <w:r>
        <w:rPr>
          <w:rFonts w:hint="eastAsia" w:ascii="Times New Roman" w:hAnsi="Times New Roman" w:eastAsia="仿宋_GB2312"/>
          <w:sz w:val="32"/>
          <w:szCs w:val="32"/>
        </w:rPr>
        <w:t>万元，支出</w:t>
      </w:r>
      <w:r>
        <w:rPr>
          <w:rFonts w:hint="eastAsia" w:ascii="Times New Roman" w:hAnsi="Times New Roman" w:eastAsia="仿宋_GB2312"/>
          <w:sz w:val="32"/>
          <w:szCs w:val="32"/>
          <w:lang w:val="en-US" w:eastAsia="zh-CN"/>
        </w:rPr>
        <w:t>693.77</w:t>
      </w:r>
      <w:r>
        <w:rPr>
          <w:rFonts w:hint="eastAsia" w:ascii="Times New Roman" w:hAnsi="Times New Roman" w:eastAsia="仿宋_GB2312"/>
          <w:sz w:val="32"/>
          <w:szCs w:val="32"/>
        </w:rPr>
        <w:t>万元，为单位业务工作经费及运行维护经费，主要用于鉴定仪器设备定检、农机示范推广工作中的差旅费、咨询费、宣传活动费、法律顾问费、办公设备采购、机关大院物业管理费及机房、大院维护与改造等费用。</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一是基本支出中的人员经费预算结余较多。因为去年退休人员较多，新进人员也多，人员经费预算有偏差，造成资金有结余。今后，预算编制应认真、反复计算，尽量做到精准。</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二是培训供需对接不够精准，培训内容及形式与生产需要结合还不够紧密，对培训内容和培训对象规范化管理也不够。在培训时间安排和课程设置上也偶尔会有交叉重叠现象，难免会有培训资源使用效率不高的问题。今</w:t>
      </w:r>
      <w:r>
        <w:rPr>
          <w:rFonts w:hint="eastAsia" w:ascii="Times New Roman" w:hAnsi="Times New Roman" w:eastAsia="仿宋_GB2312"/>
          <w:sz w:val="32"/>
          <w:szCs w:val="32"/>
          <w:lang w:eastAsia="zh-CN"/>
        </w:rPr>
        <w:t>后</w:t>
      </w:r>
      <w:r>
        <w:rPr>
          <w:rFonts w:hint="eastAsia" w:ascii="Times New Roman" w:hAnsi="Times New Roman" w:eastAsia="仿宋_GB2312"/>
          <w:sz w:val="32"/>
          <w:szCs w:val="32"/>
        </w:rPr>
        <w:t>，将进一步收集各地农机培训需求，再以需求为导向安排培训计划，培养出更多爱农业、懂农机的新农民；</w:t>
      </w:r>
      <w:r>
        <w:rPr>
          <w:rFonts w:hint="eastAsia" w:ascii="Times New Roman" w:hAnsi="Times New Roman" w:eastAsia="仿宋_GB2312"/>
          <w:sz w:val="32"/>
          <w:szCs w:val="32"/>
          <w:lang w:val="zh-CN"/>
        </w:rPr>
        <w:t>整合培训资源，</w:t>
      </w:r>
      <w:r>
        <w:rPr>
          <w:rFonts w:hint="eastAsia" w:ascii="Times New Roman" w:hAnsi="Times New Roman" w:eastAsia="仿宋_GB2312"/>
          <w:sz w:val="32"/>
          <w:szCs w:val="32"/>
        </w:rPr>
        <w:t>优化培训形式和课程设计，</w:t>
      </w:r>
      <w:r>
        <w:rPr>
          <w:rFonts w:hint="eastAsia" w:ascii="Times New Roman" w:hAnsi="Times New Roman" w:eastAsia="仿宋_GB2312"/>
          <w:sz w:val="32"/>
          <w:szCs w:val="32"/>
          <w:lang w:val="zh-CN"/>
        </w:rPr>
        <w:t>采取“田间课堂”的形式，将各类农机化技术技能培训从酒店宾馆搬到田间地头，并邀请农机“土专家”到现场进行授课，强化农机实操培训。</w:t>
      </w:r>
    </w:p>
    <w:p>
      <w:pPr>
        <w:pStyle w:val="14"/>
        <w:jc w:val="both"/>
        <w:rPr>
          <w:sz w:val="72"/>
          <w:szCs w:val="72"/>
        </w:rPr>
      </w:pPr>
    </w:p>
    <w:p>
      <w:pPr>
        <w:pStyle w:val="14"/>
        <w:jc w:val="center"/>
        <w:rPr>
          <w:sz w:val="72"/>
          <w:szCs w:val="72"/>
        </w:rPr>
      </w:pPr>
    </w:p>
    <w:p>
      <w:pPr>
        <w:pStyle w:val="14"/>
        <w:jc w:val="center"/>
        <w:rPr>
          <w:sz w:val="72"/>
          <w:szCs w:val="72"/>
        </w:rPr>
      </w:pPr>
    </w:p>
    <w:p>
      <w:pPr>
        <w:pStyle w:val="14"/>
        <w:jc w:val="both"/>
        <w:rPr>
          <w:rFonts w:hint="eastAsia" w:ascii="方正小标宋_GBK" w:hAnsi="方正小标宋_GBK" w:eastAsia="方正小标宋_GBK" w:cs="方正小标宋_GBK"/>
          <w:sz w:val="72"/>
          <w:szCs w:val="72"/>
        </w:rPr>
      </w:pPr>
    </w:p>
    <w:p>
      <w:pPr>
        <w:pStyle w:val="14"/>
        <w:jc w:val="both"/>
        <w:rPr>
          <w:rFonts w:hint="eastAsia" w:ascii="方正小标宋_GBK" w:hAnsi="方正小标宋_GBK" w:eastAsia="方正小标宋_GBK" w:cs="方正小标宋_GBK"/>
          <w:sz w:val="72"/>
          <w:szCs w:val="72"/>
        </w:rPr>
      </w:pPr>
    </w:p>
    <w:p>
      <w:pPr>
        <w:pStyle w:val="14"/>
        <w:jc w:val="both"/>
        <w:rPr>
          <w:rFonts w:hint="eastAsia" w:ascii="方正小标宋_GBK" w:hAnsi="方正小标宋_GBK" w:eastAsia="方正小标宋_GBK" w:cs="方正小标宋_GBK"/>
          <w:sz w:val="72"/>
          <w:szCs w:val="72"/>
        </w:rPr>
      </w:pPr>
    </w:p>
    <w:p>
      <w:pPr>
        <w:pStyle w:val="14"/>
        <w:jc w:val="both"/>
        <w:rPr>
          <w:rFonts w:hint="eastAsia" w:ascii="方正小标宋_GBK" w:hAnsi="方正小标宋_GBK" w:eastAsia="方正小标宋_GBK" w:cs="方正小标宋_GBK"/>
          <w:sz w:val="72"/>
          <w:szCs w:val="72"/>
        </w:rPr>
      </w:pPr>
    </w:p>
    <w:p>
      <w:pPr>
        <w:pStyle w:val="14"/>
        <w:jc w:val="both"/>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pStyle w:val="14"/>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w:t>
      </w:r>
    </w:p>
    <w:p>
      <w:pPr>
        <w:pStyle w:val="14"/>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宋体" w:hAnsi="宋体" w:eastAsia="宋体" w:cs="宋体"/>
          <w:sz w:val="32"/>
          <w:szCs w:val="32"/>
        </w:rPr>
        <w:t>“</w:t>
      </w:r>
      <w:r>
        <w:rPr>
          <w:rFonts w:hint="eastAsia" w:ascii="仿宋_GB2312" w:hAnsi="仿宋_GB2312" w:eastAsia="仿宋_GB2312" w:cs="仿宋_GB2312"/>
          <w:sz w:val="32"/>
          <w:szCs w:val="32"/>
        </w:rPr>
        <w:t>三公</w:t>
      </w:r>
      <w:r>
        <w:rPr>
          <w:rFonts w:hint="eastAsia" w:ascii="宋体" w:hAnsi="宋体" w:eastAsia="宋体" w:cs="宋体"/>
          <w:sz w:val="32"/>
          <w:szCs w:val="32"/>
        </w:rPr>
        <w:t>”</w:t>
      </w:r>
      <w:r>
        <w:rPr>
          <w:rFonts w:hint="eastAsia" w:ascii="仿宋_GB2312" w:hAnsi="仿宋_GB2312" w:eastAsia="仿宋_GB2312" w:cs="仿宋_GB2312"/>
          <w:sz w:val="32"/>
          <w:szCs w:val="32"/>
        </w:rPr>
        <w:t>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4"/>
        <w:jc w:val="center"/>
        <w:rPr>
          <w:sz w:val="72"/>
          <w:szCs w:val="72"/>
        </w:rPr>
      </w:pPr>
    </w:p>
    <w:p>
      <w:pPr>
        <w:pStyle w:val="14"/>
        <w:jc w:val="both"/>
        <w:rPr>
          <w:sz w:val="72"/>
          <w:szCs w:val="72"/>
        </w:rPr>
      </w:pPr>
    </w:p>
    <w:p>
      <w:pPr>
        <w:pStyle w:val="14"/>
        <w:jc w:val="center"/>
        <w:rPr>
          <w:sz w:val="72"/>
          <w:szCs w:val="72"/>
        </w:rPr>
      </w:pPr>
    </w:p>
    <w:p>
      <w:pPr>
        <w:pStyle w:val="14"/>
        <w:jc w:val="center"/>
        <w:rPr>
          <w:sz w:val="72"/>
          <w:szCs w:val="72"/>
        </w:rPr>
      </w:pPr>
    </w:p>
    <w:p>
      <w:pPr>
        <w:pStyle w:val="14"/>
        <w:jc w:val="both"/>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w:t>
      </w:r>
      <w:bookmarkStart w:id="3" w:name="_GoBack"/>
      <w:bookmarkEnd w:id="3"/>
      <w:r>
        <w:rPr>
          <w:rFonts w:hint="eastAsia" w:ascii="Times New Roman" w:hAnsi="Times New Roman" w:eastAsia="仿宋_GB2312"/>
          <w:sz w:val="32"/>
          <w:szCs w:val="32"/>
          <w:lang w:val="en-US" w:eastAsia="zh-CN"/>
        </w:rPr>
        <w:t>支出绩效自评报告。</w:t>
      </w:r>
    </w:p>
    <w:p>
      <w:pPr>
        <w:pStyle w:val="2"/>
        <w:spacing w:line="560" w:lineRule="atLeast"/>
        <w:ind w:left="640"/>
        <w:rPr>
          <w:rFonts w:hint="eastAsia" w:ascii="黑体" w:hAnsi="黑体" w:cs="华文细黑"/>
          <w:sz w:val="32"/>
        </w:rPr>
      </w:pPr>
      <w:r>
        <w:rPr>
          <w:rFonts w:hint="eastAsia" w:ascii="黑体" w:hAnsi="黑体" w:cs="华文细黑"/>
          <w:sz w:val="32"/>
        </w:rPr>
        <w:t>一、单位基本情况</w:t>
      </w:r>
    </w:p>
    <w:p>
      <w:pPr>
        <w:widowControl/>
        <w:spacing w:line="600" w:lineRule="exact"/>
        <w:ind w:firstLine="627" w:firstLineChars="196"/>
        <w:rPr>
          <w:rFonts w:ascii="Times New Roman" w:hAnsi="Times New Roman" w:eastAsia="楷体_GB2312"/>
          <w:b/>
          <w:bCs/>
          <w:sz w:val="32"/>
          <w:szCs w:val="32"/>
        </w:rPr>
      </w:pPr>
      <w:r>
        <w:rPr>
          <w:rFonts w:ascii="Times New Roman" w:hAnsi="Times New Roman" w:eastAsia="楷体_GB2312"/>
          <w:b/>
          <w:bCs/>
          <w:sz w:val="32"/>
          <w:szCs w:val="32"/>
        </w:rPr>
        <w:t>（一）职能职责</w:t>
      </w:r>
    </w:p>
    <w:p>
      <w:pPr>
        <w:spacing w:line="600" w:lineRule="exact"/>
        <w:ind w:firstLine="640" w:firstLineChars="200"/>
        <w:jc w:val="left"/>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1.为全省农业机械化生产、农机社会化服务、农机维修、农机抗灾救灾、农机安全生产监管等相关工作提供技术支持、服务保障和相关公益服务。承担农业机械从业人员教育培训和职业技能开发工作。</w:t>
      </w:r>
    </w:p>
    <w:p>
      <w:pPr>
        <w:spacing w:line="600" w:lineRule="exact"/>
        <w:ind w:firstLine="640" w:firstLineChars="200"/>
        <w:jc w:val="left"/>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2.承担农业机械补贴政策实施相关事务性工作。</w:t>
      </w:r>
    </w:p>
    <w:p>
      <w:pPr>
        <w:spacing w:line="600" w:lineRule="exact"/>
        <w:ind w:firstLine="640" w:firstLineChars="200"/>
        <w:jc w:val="left"/>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3.承担农业机械化信息网络建设运行、农业机械化生产 信息统计工作。</w:t>
      </w:r>
    </w:p>
    <w:p>
      <w:pPr>
        <w:spacing w:line="600" w:lineRule="exact"/>
        <w:ind w:firstLine="640" w:firstLineChars="200"/>
        <w:jc w:val="left"/>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4.承担农业机械新机具、新技术的引进和示范推广等相 关技术性、事务性工作。承担省级支持推广的农业机械产品目录 制定相关技术性、事务性工作。</w:t>
      </w:r>
    </w:p>
    <w:p>
      <w:pPr>
        <w:spacing w:line="600" w:lineRule="exact"/>
        <w:ind w:firstLine="640" w:firstLineChars="200"/>
        <w:jc w:val="left"/>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5.承担农业机械试验鉴定相关技术性工作。</w:t>
      </w:r>
    </w:p>
    <w:p>
      <w:pPr>
        <w:spacing w:line="600" w:lineRule="exact"/>
        <w:ind w:firstLine="640" w:firstLineChars="200"/>
        <w:jc w:val="left"/>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6.对市县农机事务中心进行业务和技术指导。联系农机行业相关学会、协会。</w:t>
      </w:r>
    </w:p>
    <w:p>
      <w:pPr>
        <w:spacing w:line="600" w:lineRule="exact"/>
        <w:ind w:firstLine="640" w:firstLineChars="200"/>
        <w:jc w:val="left"/>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7.承担省农业农村厅交办的其他工作。</w:t>
      </w:r>
    </w:p>
    <w:p>
      <w:pPr>
        <w:widowControl/>
        <w:spacing w:line="600" w:lineRule="exact"/>
        <w:ind w:firstLine="627" w:firstLineChars="196"/>
        <w:rPr>
          <w:rFonts w:hint="eastAsia" w:ascii="Times New Roman" w:hAnsi="Times New Roman" w:eastAsia="楷体_GB2312"/>
          <w:b/>
          <w:bCs/>
          <w:sz w:val="32"/>
          <w:szCs w:val="32"/>
        </w:rPr>
      </w:pPr>
      <w:r>
        <w:rPr>
          <w:rFonts w:ascii="Times New Roman" w:hAnsi="Times New Roman" w:eastAsia="楷体_GB2312"/>
          <w:b/>
          <w:bCs/>
          <w:sz w:val="32"/>
          <w:szCs w:val="32"/>
        </w:rPr>
        <w:t>（二）机构设置</w:t>
      </w:r>
    </w:p>
    <w:p>
      <w:pPr>
        <w:spacing w:line="600" w:lineRule="exact"/>
        <w:ind w:firstLine="640" w:firstLineChars="200"/>
        <w:jc w:val="left"/>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湖南省农机事务中心设有综合部、党群人事部、生产服务部、产业发展部、科技推广部、安全监理部、试验鉴定部。</w:t>
      </w:r>
    </w:p>
    <w:p>
      <w:pPr>
        <w:pStyle w:val="2"/>
        <w:spacing w:line="560" w:lineRule="atLeast"/>
        <w:ind w:left="640"/>
        <w:rPr>
          <w:rFonts w:hint="eastAsia" w:ascii="黑体" w:hAnsi="黑体" w:cs="华文细黑"/>
          <w:sz w:val="32"/>
        </w:rPr>
      </w:pPr>
      <w:r>
        <w:rPr>
          <w:rFonts w:hint="eastAsia" w:ascii="黑体" w:hAnsi="黑体" w:cs="华文细黑"/>
          <w:sz w:val="32"/>
        </w:rPr>
        <w:t>二、一般公共预算支出情况</w:t>
      </w:r>
    </w:p>
    <w:p>
      <w:pPr>
        <w:widowControl/>
        <w:spacing w:line="600" w:lineRule="exact"/>
        <w:ind w:firstLine="627" w:firstLineChars="196"/>
        <w:rPr>
          <w:rFonts w:hint="eastAsia" w:ascii="Times New Roman" w:hAnsi="Times New Roman" w:eastAsia="楷体_GB2312"/>
          <w:b/>
          <w:bCs/>
          <w:sz w:val="32"/>
          <w:szCs w:val="32"/>
        </w:rPr>
      </w:pPr>
      <w:r>
        <w:rPr>
          <w:rFonts w:hint="eastAsia" w:ascii="Times New Roman" w:hAnsi="Times New Roman" w:eastAsia="楷体_GB2312"/>
          <w:b/>
          <w:bCs/>
          <w:sz w:val="32"/>
          <w:szCs w:val="32"/>
        </w:rPr>
        <w:t>（一）基本支出情况</w:t>
      </w:r>
    </w:p>
    <w:p>
      <w:pPr>
        <w:spacing w:line="560" w:lineRule="atLeast"/>
        <w:ind w:firstLine="64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2023年度基本支出共发生3190.72万元，其中人员经费为2686.36万元，公用经费为504.36万元。主要用于保障部门正常运转、完成日常工作任务而发生的各项支出，包括用于基本工资、津贴补贴等人员经费以及办公费、印刷费、水电费、办公设备购置等公用经费。</w:t>
      </w:r>
    </w:p>
    <w:p>
      <w:pPr>
        <w:spacing w:line="560" w:lineRule="atLeast"/>
        <w:ind w:firstLine="64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建立健全财务管理制度、内控制度，资金使用符合国家财经法规和财务管理制度规定。各项经费支出按财务制度实行审批，切实降低运行成本。特别是加强对“三公”经费、差旅费、会议费和培训费等公用经费的审核审批，公用经费较好地控制在预算范围之内，且资金使用规范、安全、有效。</w:t>
      </w:r>
    </w:p>
    <w:p>
      <w:pPr>
        <w:widowControl/>
        <w:spacing w:line="600" w:lineRule="exact"/>
        <w:ind w:firstLine="627" w:firstLineChars="196"/>
        <w:rPr>
          <w:rFonts w:hint="eastAsia" w:ascii="Times New Roman" w:hAnsi="Times New Roman" w:eastAsia="楷体_GB2312"/>
          <w:b/>
          <w:bCs/>
          <w:sz w:val="32"/>
          <w:szCs w:val="32"/>
        </w:rPr>
      </w:pPr>
      <w:r>
        <w:rPr>
          <w:rFonts w:hint="eastAsia" w:ascii="Times New Roman" w:hAnsi="Times New Roman" w:eastAsia="楷体_GB2312"/>
          <w:b/>
          <w:bCs/>
          <w:sz w:val="32"/>
          <w:szCs w:val="32"/>
        </w:rPr>
        <w:t>（二）项目支出情况</w:t>
      </w:r>
    </w:p>
    <w:p>
      <w:pPr>
        <w:widowControl/>
        <w:spacing w:line="600" w:lineRule="exact"/>
        <w:ind w:firstLine="627" w:firstLineChars="196"/>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2023年度项目支出共发生1431.95万元，其中：省级专项资金-现代农业发展专项上年指标结余255.53万元，本年预算安排730万元，本年共支出736.93万元。主要用于农机试验鉴定与能力建设；</w:t>
      </w:r>
      <w:r>
        <w:rPr>
          <w:rFonts w:hint="eastAsia" w:ascii="Times New Roman" w:hAnsi="Times New Roman" w:eastAsia="仿宋_GB2312" w:cs="黑体"/>
          <w:color w:val="000000"/>
          <w:kern w:val="0"/>
          <w:sz w:val="32"/>
          <w:szCs w:val="32"/>
          <w:lang w:val="zh-CN" w:eastAsia="zh-CN" w:bidi="ar-SA"/>
        </w:rPr>
        <w:t>稻油机械化生产高产高效技术集成试验示范；现场集中演示机具及专家评审</w:t>
      </w:r>
      <w:r>
        <w:rPr>
          <w:rFonts w:hint="eastAsia" w:ascii="Times New Roman" w:hAnsi="Times New Roman" w:eastAsia="仿宋_GB2312" w:cs="黑体"/>
          <w:color w:val="000000"/>
          <w:kern w:val="0"/>
          <w:sz w:val="32"/>
          <w:szCs w:val="32"/>
          <w:lang w:val="en-US" w:eastAsia="zh-CN" w:bidi="ar-SA"/>
        </w:rPr>
        <w:t>；</w:t>
      </w:r>
      <w:r>
        <w:rPr>
          <w:rFonts w:hint="eastAsia" w:ascii="Times New Roman" w:hAnsi="Times New Roman" w:eastAsia="仿宋_GB2312" w:cs="黑体"/>
          <w:color w:val="000000"/>
          <w:kern w:val="0"/>
          <w:sz w:val="32"/>
          <w:szCs w:val="32"/>
          <w:lang w:val="zh-CN" w:eastAsia="zh-CN" w:bidi="ar-SA"/>
        </w:rPr>
        <w:t>水稻机插（抛）育秧技术培训、现代农机合作社</w:t>
      </w:r>
      <w:r>
        <w:rPr>
          <w:rFonts w:hint="eastAsia" w:ascii="Times New Roman" w:hAnsi="Times New Roman" w:eastAsia="仿宋_GB2312" w:cs="黑体"/>
          <w:color w:val="000000"/>
          <w:kern w:val="0"/>
          <w:sz w:val="32"/>
          <w:szCs w:val="32"/>
          <w:lang w:val="en-US" w:eastAsia="zh-CN" w:bidi="ar-SA"/>
        </w:rPr>
        <w:t>“三员”培训、农机安全监理人员培训、</w:t>
      </w:r>
      <w:r>
        <w:rPr>
          <w:rFonts w:hint="eastAsia" w:ascii="Times New Roman" w:hAnsi="Times New Roman" w:eastAsia="仿宋_GB2312" w:cs="黑体"/>
          <w:color w:val="000000"/>
          <w:kern w:val="0"/>
          <w:sz w:val="32"/>
          <w:szCs w:val="32"/>
          <w:lang w:val="zh-CN" w:eastAsia="zh-CN" w:bidi="ar-SA"/>
        </w:rPr>
        <w:t>“送训下基层”、农机推广鉴定培训等各类培训；拖拉机北斗导航车载定位终端安装</w:t>
      </w:r>
      <w:r>
        <w:rPr>
          <w:rFonts w:hint="eastAsia" w:ascii="Times New Roman" w:hAnsi="Times New Roman" w:eastAsia="仿宋_GB2312" w:cs="黑体"/>
          <w:color w:val="000000"/>
          <w:kern w:val="0"/>
          <w:sz w:val="32"/>
          <w:szCs w:val="32"/>
          <w:lang w:val="en-US" w:eastAsia="zh-CN" w:bidi="ar-SA"/>
        </w:rPr>
        <w:t>；农机相关标准制定与宣贯；农机购置与应用补贴第三方审计；农机产品质量调查；农机购置与应用补贴项目评审；</w:t>
      </w:r>
      <w:r>
        <w:rPr>
          <w:rFonts w:hint="eastAsia" w:ascii="Times New Roman" w:hAnsi="Times New Roman" w:eastAsia="仿宋_GB2312" w:cs="黑体"/>
          <w:color w:val="000000"/>
          <w:kern w:val="0"/>
          <w:sz w:val="32"/>
          <w:szCs w:val="32"/>
          <w:lang w:val="zh-CN" w:eastAsia="zh-CN" w:bidi="ar-SA"/>
        </w:rPr>
        <w:t>省级拖拉机和联合收割机牌证管理系统运行维护</w:t>
      </w:r>
      <w:r>
        <w:rPr>
          <w:rFonts w:hint="eastAsia" w:ascii="Times New Roman" w:hAnsi="Times New Roman" w:eastAsia="仿宋_GB2312" w:cs="黑体"/>
          <w:color w:val="000000"/>
          <w:kern w:val="0"/>
          <w:sz w:val="32"/>
          <w:szCs w:val="32"/>
          <w:lang w:val="en-US" w:eastAsia="zh-CN" w:bidi="ar-SA"/>
        </w:rPr>
        <w:t>等方面。</w:t>
      </w:r>
    </w:p>
    <w:p>
      <w:pPr>
        <w:spacing w:line="600" w:lineRule="exact"/>
        <w:ind w:firstLine="640" w:firstLineChars="200"/>
        <w:jc w:val="left"/>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国家现代农业产业园及农业产业强镇项目本年预算安排800万元，支出1.25万元。因项目为年中追加，金额较大，需严格按政府采购走流程，到2023年末，项目已启动招标并支付招标代理费，预计2024年完成采购。该项目资金主要用于购买动力输出轴功率试验系统、拖拉机悬挂试验台、农业机械液压输出功率试验台、田间及道路机械可靠性监测系统、能量色散X荧光光谱仪、高性能农业机械作动机构试验平台等农业机械检测用仪器设备，以不断提升国家水田机械质量检验检测中心的检验检测能力。</w:t>
      </w:r>
    </w:p>
    <w:p>
      <w:pPr>
        <w:widowControl/>
        <w:spacing w:line="600" w:lineRule="exact"/>
        <w:ind w:firstLine="627" w:firstLineChars="196"/>
        <w:jc w:val="left"/>
        <w:rPr>
          <w:rFonts w:hint="eastAsia" w:ascii="仿宋" w:hAnsi="仿宋" w:eastAsia="仿宋" w:cs="仿宋"/>
          <w:sz w:val="32"/>
          <w:szCs w:val="32"/>
        </w:rPr>
      </w:pPr>
      <w:r>
        <w:rPr>
          <w:rFonts w:hint="eastAsia" w:ascii="Times New Roman" w:hAnsi="Times New Roman" w:eastAsia="仿宋_GB2312" w:cs="黑体"/>
          <w:color w:val="000000"/>
          <w:kern w:val="0"/>
          <w:sz w:val="32"/>
          <w:szCs w:val="32"/>
          <w:lang w:val="en-US" w:eastAsia="zh-CN" w:bidi="ar-SA"/>
        </w:rPr>
        <w:t>单位专项2023年预算安排1181.18万元，支出693.77万元，为单位业务工作经费及运行维护经费， 主要用于鉴定仪器设备定检、农机示范推广工作中的差旅费、咨询费、宣传活动费、法律顾问费、办公设备采购、机关大院物业管理费及机房、大院维护与改造等费用。</w:t>
      </w:r>
    </w:p>
    <w:p>
      <w:pPr>
        <w:pStyle w:val="2"/>
        <w:spacing w:line="560" w:lineRule="atLeast"/>
        <w:ind w:left="640"/>
        <w:rPr>
          <w:rFonts w:hint="eastAsia" w:ascii="黑体" w:hAnsi="黑体" w:cs="华文细黑"/>
          <w:sz w:val="32"/>
        </w:rPr>
      </w:pPr>
      <w:r>
        <w:rPr>
          <w:rFonts w:hint="eastAsia" w:ascii="黑体" w:hAnsi="黑体" w:cs="华文细黑"/>
          <w:sz w:val="32"/>
        </w:rPr>
        <w:t>三、部门整体支出绩效情况</w:t>
      </w:r>
    </w:p>
    <w:p>
      <w:pPr>
        <w:widowControl/>
        <w:spacing w:line="600" w:lineRule="exact"/>
        <w:ind w:firstLine="627" w:firstLineChars="196"/>
        <w:rPr>
          <w:rFonts w:hint="eastAsia" w:ascii="Times New Roman" w:hAnsi="Times New Roman" w:eastAsia="楷体_GB2312"/>
          <w:b/>
          <w:bCs/>
          <w:sz w:val="32"/>
          <w:szCs w:val="32"/>
        </w:rPr>
      </w:pPr>
      <w:r>
        <w:rPr>
          <w:rFonts w:hint="eastAsia" w:ascii="Times New Roman" w:hAnsi="Times New Roman" w:eastAsia="楷体_GB2312"/>
          <w:b/>
          <w:bCs/>
          <w:sz w:val="32"/>
          <w:szCs w:val="32"/>
        </w:rPr>
        <w:t>（一）严控运行成本</w:t>
      </w:r>
    </w:p>
    <w:p>
      <w:pPr>
        <w:widowControl/>
        <w:spacing w:line="600" w:lineRule="exact"/>
        <w:ind w:firstLine="627" w:firstLineChars="196"/>
        <w:jc w:val="left"/>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2023年“三公”经费年初预算数75万元，实际支出58.42万元，其中：公务接待费支出1.42万元、公务用车运行维护费30万元、车辆购置费支出0万元、因公出国（境）费27万元，较年初预算节约16.58万元，节约比为22.11%。2023年基本支出中的水费、电费、差旅费等均合理控制在预算以内。</w:t>
      </w:r>
    </w:p>
    <w:p>
      <w:pPr>
        <w:widowControl/>
        <w:spacing w:line="600" w:lineRule="exact"/>
        <w:ind w:firstLine="627" w:firstLineChars="196"/>
        <w:rPr>
          <w:rFonts w:hint="eastAsia" w:ascii="Times New Roman" w:hAnsi="Times New Roman" w:eastAsia="楷体_GB2312"/>
          <w:b/>
          <w:bCs/>
          <w:sz w:val="32"/>
          <w:szCs w:val="32"/>
        </w:rPr>
      </w:pPr>
      <w:r>
        <w:rPr>
          <w:rFonts w:hint="eastAsia" w:ascii="Times New Roman" w:hAnsi="Times New Roman" w:eastAsia="楷体_GB2312"/>
          <w:b/>
          <w:bCs/>
          <w:sz w:val="32"/>
          <w:szCs w:val="32"/>
        </w:rPr>
        <w:t>（二）提高管理效率</w:t>
      </w:r>
    </w:p>
    <w:p>
      <w:pPr>
        <w:spacing w:line="560" w:lineRule="exact"/>
        <w:ind w:firstLine="758" w:firstLineChars="237"/>
        <w:jc w:val="left"/>
        <w:textAlignment w:val="center"/>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一是进一步规范财务管理。加强对项目资金的管控，优化绩效管理，严格按省农业农村厅新颁发的绩效管理办法规范项目资金使用。加强对政府采购项目的管控，严格按流程采购，与纪检联合，做到公开、高效。加强预算管理，积极与各部门沟通，以过去年度数据为依托，将各项预算做细做准；在执行过程中，利用项目资金进度表，实时掌握执行动态，按季度总结、跟进，保证执行进度。</w:t>
      </w:r>
    </w:p>
    <w:p>
      <w:pPr>
        <w:widowControl/>
        <w:spacing w:line="600" w:lineRule="exact"/>
        <w:ind w:firstLine="627" w:firstLineChars="196"/>
        <w:jc w:val="left"/>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二是开展试验论证。联合岳阳市汨罗市、益阳市赫山区和长沙市浏阳市、衡阳市衡阳县、邵阳市洞口县分别开展了双季稻、油菜机械化生产高产高效技术集成模式试验示范，较当地往年传统机械化生产模式，汨罗市试验区2022-2023年</w:t>
      </w:r>
      <w:r>
        <w:rPr>
          <w:rFonts w:hint="eastAsia" w:ascii="Times New Roman" w:hAnsi="Times New Roman" w:eastAsia="仿宋_GB2312" w:cs="黑体"/>
          <w:color w:val="000000"/>
          <w:kern w:val="0"/>
          <w:sz w:val="32"/>
          <w:szCs w:val="32"/>
          <w:lang w:val="zh-CN" w:eastAsia="zh-CN" w:bidi="ar-SA"/>
        </w:rPr>
        <w:t>晚早两季共增产116kg/亩，</w:t>
      </w:r>
      <w:r>
        <w:rPr>
          <w:rFonts w:hint="eastAsia" w:ascii="Times New Roman" w:hAnsi="Times New Roman" w:eastAsia="仿宋_GB2312" w:cs="黑体"/>
          <w:color w:val="000000"/>
          <w:kern w:val="0"/>
          <w:sz w:val="32"/>
          <w:szCs w:val="32"/>
          <w:lang w:val="en-US" w:eastAsia="zh-CN" w:bidi="ar-SA"/>
        </w:rPr>
        <w:t>浏阳市试验区</w:t>
      </w:r>
      <w:r>
        <w:rPr>
          <w:rFonts w:hint="eastAsia" w:ascii="Times New Roman" w:hAnsi="Times New Roman" w:eastAsia="仿宋_GB2312" w:cs="黑体"/>
          <w:color w:val="000000"/>
          <w:kern w:val="0"/>
          <w:sz w:val="32"/>
          <w:szCs w:val="32"/>
          <w:lang w:val="zh-CN" w:eastAsia="zh-CN" w:bidi="ar-SA"/>
        </w:rPr>
        <w:t>油菜增产21kg/亩，汨罗市和</w:t>
      </w:r>
      <w:r>
        <w:rPr>
          <w:rFonts w:hint="eastAsia" w:ascii="Times New Roman" w:hAnsi="Times New Roman" w:eastAsia="仿宋_GB2312" w:cs="黑体"/>
          <w:color w:val="000000"/>
          <w:kern w:val="0"/>
          <w:sz w:val="32"/>
          <w:szCs w:val="32"/>
          <w:lang w:val="en-US" w:eastAsia="zh-CN" w:bidi="ar-SA"/>
        </w:rPr>
        <w:t>赫山区试验区2023年晚稻分别</w:t>
      </w:r>
      <w:r>
        <w:rPr>
          <w:rFonts w:hint="eastAsia" w:ascii="Times New Roman" w:hAnsi="Times New Roman" w:eastAsia="仿宋_GB2312" w:cs="黑体"/>
          <w:color w:val="000000"/>
          <w:kern w:val="0"/>
          <w:sz w:val="32"/>
          <w:szCs w:val="32"/>
          <w:lang w:val="zh-CN" w:eastAsia="zh-CN" w:bidi="ar-SA"/>
        </w:rPr>
        <w:t>增产</w:t>
      </w:r>
      <w:r>
        <w:rPr>
          <w:rFonts w:hint="eastAsia" w:ascii="Times New Roman" w:hAnsi="Times New Roman" w:eastAsia="仿宋_GB2312" w:cs="黑体"/>
          <w:color w:val="000000"/>
          <w:kern w:val="0"/>
          <w:sz w:val="32"/>
          <w:szCs w:val="32"/>
          <w:lang w:val="en-US" w:eastAsia="zh-CN" w:bidi="ar-SA"/>
        </w:rPr>
        <w:t>46.1</w:t>
      </w:r>
      <w:r>
        <w:rPr>
          <w:rFonts w:hint="eastAsia" w:ascii="Times New Roman" w:hAnsi="Times New Roman" w:eastAsia="仿宋_GB2312" w:cs="黑体"/>
          <w:color w:val="000000"/>
          <w:kern w:val="0"/>
          <w:sz w:val="32"/>
          <w:szCs w:val="32"/>
          <w:lang w:val="zh-CN" w:eastAsia="zh-CN" w:bidi="ar-SA"/>
        </w:rPr>
        <w:t>kg/亩和</w:t>
      </w:r>
      <w:r>
        <w:rPr>
          <w:rFonts w:hint="eastAsia" w:ascii="Times New Roman" w:hAnsi="Times New Roman" w:eastAsia="仿宋_GB2312" w:cs="黑体"/>
          <w:color w:val="000000"/>
          <w:kern w:val="0"/>
          <w:sz w:val="32"/>
          <w:szCs w:val="32"/>
          <w:lang w:val="en-US" w:eastAsia="zh-CN" w:bidi="ar-SA"/>
        </w:rPr>
        <w:t>30.7</w:t>
      </w:r>
      <w:r>
        <w:rPr>
          <w:rFonts w:hint="eastAsia" w:ascii="Times New Roman" w:hAnsi="Times New Roman" w:eastAsia="仿宋_GB2312" w:cs="黑体"/>
          <w:color w:val="000000"/>
          <w:kern w:val="0"/>
          <w:sz w:val="32"/>
          <w:szCs w:val="32"/>
          <w:lang w:val="zh-CN" w:eastAsia="zh-CN" w:bidi="ar-SA"/>
        </w:rPr>
        <w:t>kg/亩，</w:t>
      </w:r>
      <w:r>
        <w:rPr>
          <w:rFonts w:hint="eastAsia" w:ascii="Times New Roman" w:hAnsi="Times New Roman" w:eastAsia="仿宋_GB2312" w:cs="黑体"/>
          <w:color w:val="000000"/>
          <w:kern w:val="0"/>
          <w:sz w:val="32"/>
          <w:szCs w:val="32"/>
          <w:lang w:val="en-US" w:eastAsia="zh-CN" w:bidi="ar-SA"/>
        </w:rPr>
        <w:t>为稻油机械化提单产提供技术集成可行路线。</w:t>
      </w:r>
    </w:p>
    <w:p>
      <w:pPr>
        <w:widowControl/>
        <w:spacing w:line="600" w:lineRule="exact"/>
        <w:ind w:firstLine="627" w:firstLineChars="196"/>
        <w:jc w:val="left"/>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三是收集信息数据。协助省农业农村厅农机化管理处做好春耕、三夏、三秋农机化作业进度数据收集汇总，及时掌握农时进度和稻油机收损失等情况，为科学决策提供可靠数据支撑。据初步统计，</w:t>
      </w:r>
      <w:r>
        <w:rPr>
          <w:rFonts w:hint="eastAsia" w:ascii="Times New Roman" w:hAnsi="Times New Roman" w:eastAsia="仿宋_GB2312" w:cs="黑体"/>
          <w:color w:val="000000"/>
          <w:kern w:val="0"/>
          <w:sz w:val="32"/>
          <w:szCs w:val="32"/>
          <w:lang w:val="zh-CN" w:eastAsia="zh-CN" w:bidi="ar-SA"/>
        </w:rPr>
        <w:t>202</w:t>
      </w:r>
      <w:r>
        <w:rPr>
          <w:rFonts w:hint="eastAsia" w:ascii="Times New Roman" w:hAnsi="Times New Roman" w:eastAsia="仿宋_GB2312" w:cs="黑体"/>
          <w:color w:val="000000"/>
          <w:kern w:val="0"/>
          <w:sz w:val="32"/>
          <w:szCs w:val="32"/>
          <w:lang w:val="en-US" w:eastAsia="zh-CN" w:bidi="ar-SA"/>
        </w:rPr>
        <w:t>3</w:t>
      </w:r>
      <w:r>
        <w:rPr>
          <w:rFonts w:hint="eastAsia" w:ascii="Times New Roman" w:hAnsi="Times New Roman" w:eastAsia="仿宋_GB2312" w:cs="黑体"/>
          <w:color w:val="000000"/>
          <w:kern w:val="0"/>
          <w:sz w:val="32"/>
          <w:szCs w:val="32"/>
          <w:lang w:val="zh-CN" w:eastAsia="zh-CN" w:bidi="ar-SA"/>
        </w:rPr>
        <w:t>年，全省水稻机收损失率控制在2.</w:t>
      </w:r>
      <w:r>
        <w:rPr>
          <w:rFonts w:hint="eastAsia" w:ascii="Times New Roman" w:hAnsi="Times New Roman" w:eastAsia="仿宋_GB2312" w:cs="黑体"/>
          <w:color w:val="000000"/>
          <w:kern w:val="0"/>
          <w:sz w:val="32"/>
          <w:szCs w:val="32"/>
          <w:lang w:val="en-US" w:eastAsia="zh-CN" w:bidi="ar-SA"/>
        </w:rPr>
        <w:t>38</w:t>
      </w:r>
      <w:r>
        <w:rPr>
          <w:rFonts w:hint="eastAsia" w:ascii="Times New Roman" w:hAnsi="Times New Roman" w:eastAsia="仿宋_GB2312" w:cs="黑体"/>
          <w:color w:val="000000"/>
          <w:kern w:val="0"/>
          <w:sz w:val="32"/>
          <w:szCs w:val="32"/>
          <w:lang w:val="zh-CN" w:eastAsia="zh-CN" w:bidi="ar-SA"/>
        </w:rPr>
        <w:t>%，低于3%的现行国家标准，全省油菜机收监测平均损失为</w:t>
      </w:r>
      <w:r>
        <w:rPr>
          <w:rFonts w:hint="eastAsia" w:ascii="Times New Roman" w:hAnsi="Times New Roman" w:eastAsia="仿宋_GB2312" w:cs="黑体"/>
          <w:color w:val="000000"/>
          <w:kern w:val="0"/>
          <w:sz w:val="32"/>
          <w:szCs w:val="32"/>
          <w:lang w:val="en-US" w:eastAsia="zh-CN" w:bidi="ar-SA"/>
        </w:rPr>
        <w:t>11.76%</w:t>
      </w:r>
      <w:r>
        <w:rPr>
          <w:rFonts w:hint="eastAsia" w:ascii="Times New Roman" w:hAnsi="Times New Roman" w:eastAsia="仿宋_GB2312" w:cs="黑体"/>
          <w:color w:val="000000"/>
          <w:kern w:val="0"/>
          <w:sz w:val="32"/>
          <w:szCs w:val="32"/>
          <w:lang w:val="zh-CN" w:eastAsia="zh-CN" w:bidi="ar-SA"/>
        </w:rPr>
        <w:t>，较去年减低</w:t>
      </w:r>
      <w:r>
        <w:rPr>
          <w:rFonts w:hint="eastAsia" w:ascii="Times New Roman" w:hAnsi="Times New Roman" w:eastAsia="仿宋_GB2312" w:cs="黑体"/>
          <w:color w:val="000000"/>
          <w:kern w:val="0"/>
          <w:sz w:val="32"/>
          <w:szCs w:val="32"/>
          <w:lang w:val="en-US" w:eastAsia="zh-CN" w:bidi="ar-SA"/>
        </w:rPr>
        <w:t>0.6个百分点。</w:t>
      </w:r>
    </w:p>
    <w:p>
      <w:pPr>
        <w:widowControl/>
        <w:spacing w:line="600" w:lineRule="exact"/>
        <w:ind w:firstLine="627" w:firstLineChars="196"/>
        <w:jc w:val="left"/>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四是配合做好补贴政策实施。开展机具品目分档和补贴额测算调研，牵头喷滴灌、茶叶初加工、烘干中心、大米初加工、箱体养猪等5个成套设备建设规范，并均已通过部专家评审。委托会计师事务所对喷滴灌、茶叶初制加工成套设备、箱体式养猪、连栋钢架大棚、水稻有序抛秧机等6个品目28产品进行成本审计。先后2次组织专家对新进补贴机具在浏阳市进行集中展示演示评价，将660个不合格机具挡在补贴门外。</w:t>
      </w:r>
    </w:p>
    <w:p>
      <w:pPr>
        <w:autoSpaceDE w:val="0"/>
        <w:autoSpaceDN w:val="0"/>
        <w:adjustRightInd w:val="0"/>
        <w:spacing w:line="600" w:lineRule="exact"/>
        <w:ind w:firstLine="640" w:firstLineChars="200"/>
        <w:jc w:val="left"/>
        <w:rPr>
          <w:rFonts w:hint="eastAsia" w:ascii="Times New Roman" w:hAnsi="Times New Roman" w:eastAsia="仿宋_GB2312" w:cs="黑体"/>
          <w:color w:val="000000"/>
          <w:kern w:val="0"/>
          <w:sz w:val="32"/>
          <w:szCs w:val="32"/>
          <w:lang w:val="zh-CN" w:eastAsia="zh-CN" w:bidi="ar-SA"/>
        </w:rPr>
      </w:pPr>
      <w:r>
        <w:rPr>
          <w:rFonts w:hint="eastAsia" w:ascii="Times New Roman" w:hAnsi="Times New Roman" w:eastAsia="仿宋_GB2312" w:cs="黑体"/>
          <w:color w:val="000000"/>
          <w:kern w:val="0"/>
          <w:sz w:val="32"/>
          <w:szCs w:val="32"/>
          <w:lang w:val="en-US" w:eastAsia="zh-CN" w:bidi="ar-SA"/>
        </w:rPr>
        <w:t>五是持续抓好牌证源头监管。</w:t>
      </w:r>
      <w:r>
        <w:rPr>
          <w:rFonts w:hint="eastAsia" w:ascii="Times New Roman" w:hAnsi="Times New Roman" w:eastAsia="仿宋_GB2312" w:cs="黑体"/>
          <w:color w:val="000000"/>
          <w:kern w:val="0"/>
          <w:sz w:val="32"/>
          <w:szCs w:val="32"/>
          <w:lang w:val="zh-CN" w:eastAsia="zh-CN" w:bidi="ar-SA"/>
        </w:rPr>
        <w:t>印发《湖南省农机安全监理规范化建设方案（2023-2025年）》，利用中心信息化北斗考场举办4期农机监理岗位人员培训。创新农机牌证省内异地年检模式，开发“农机易办”电子证照微信小程序。</w:t>
      </w:r>
      <w:r>
        <w:rPr>
          <w:rFonts w:hint="eastAsia" w:ascii="Times New Roman" w:hAnsi="Times New Roman" w:eastAsia="仿宋_GB2312" w:cs="黑体"/>
          <w:color w:val="000000"/>
          <w:kern w:val="0"/>
          <w:sz w:val="32"/>
          <w:szCs w:val="32"/>
          <w:lang w:val="en-US" w:eastAsia="zh-CN" w:bidi="ar-SA"/>
        </w:rPr>
        <w:t>配合开展拖拉机顽瘴痼疾专项整治工作，</w:t>
      </w:r>
      <w:r>
        <w:rPr>
          <w:rFonts w:hint="eastAsia" w:ascii="Times New Roman" w:hAnsi="Times New Roman" w:eastAsia="仿宋_GB2312" w:cs="黑体"/>
          <w:color w:val="000000"/>
          <w:kern w:val="0"/>
          <w:sz w:val="32"/>
          <w:szCs w:val="32"/>
          <w:lang w:val="zh-CN" w:eastAsia="zh-CN" w:bidi="ar-SA"/>
        </w:rPr>
        <w:t>稳步推进变型拖拉机淘汰清零工作，全省牌证注销变型拖拉机</w:t>
      </w:r>
      <w:r>
        <w:rPr>
          <w:rFonts w:hint="eastAsia" w:ascii="Times New Roman" w:hAnsi="Times New Roman" w:eastAsia="仿宋_GB2312" w:cs="黑体"/>
          <w:color w:val="000000"/>
          <w:kern w:val="0"/>
          <w:sz w:val="32"/>
          <w:szCs w:val="32"/>
          <w:lang w:val="en-US" w:eastAsia="zh-CN" w:bidi="ar-SA"/>
        </w:rPr>
        <w:t>2892</w:t>
      </w:r>
      <w:r>
        <w:rPr>
          <w:rFonts w:hint="eastAsia" w:ascii="Times New Roman" w:hAnsi="Times New Roman" w:eastAsia="仿宋_GB2312" w:cs="黑体"/>
          <w:color w:val="000000"/>
          <w:kern w:val="0"/>
          <w:sz w:val="32"/>
          <w:szCs w:val="32"/>
          <w:lang w:val="zh-CN" w:eastAsia="zh-CN" w:bidi="ar-SA"/>
        </w:rPr>
        <w:t>台。全面启动农机安全监管平台，为10个县市区上道路拖拉机免费安装300台北斗车载终端，实现了用信息化手段紧盯“人”和“机”目标。</w:t>
      </w:r>
    </w:p>
    <w:p>
      <w:pPr>
        <w:widowControl/>
        <w:spacing w:line="600" w:lineRule="exact"/>
        <w:ind w:firstLine="627" w:firstLineChars="196"/>
        <w:rPr>
          <w:rFonts w:hint="eastAsia" w:ascii="Times New Roman" w:hAnsi="Times New Roman" w:eastAsia="楷体_GB2312"/>
          <w:b/>
          <w:bCs/>
          <w:sz w:val="32"/>
          <w:szCs w:val="32"/>
          <w:lang w:val="en-US" w:eastAsia="zh-CN"/>
        </w:rPr>
      </w:pPr>
      <w:r>
        <w:rPr>
          <w:rFonts w:hint="eastAsia" w:ascii="Times New Roman" w:hAnsi="Times New Roman" w:eastAsia="楷体_GB2312"/>
          <w:b/>
          <w:bCs/>
          <w:sz w:val="32"/>
          <w:szCs w:val="32"/>
          <w:lang w:val="en-US" w:eastAsia="zh-CN"/>
        </w:rPr>
        <w:t>（三）提升履职效能</w:t>
      </w:r>
    </w:p>
    <w:p>
      <w:pPr>
        <w:autoSpaceDE w:val="0"/>
        <w:autoSpaceDN w:val="0"/>
        <w:adjustRightInd w:val="0"/>
        <w:spacing w:line="600" w:lineRule="exact"/>
        <w:ind w:firstLine="640" w:firstLineChars="200"/>
        <w:rPr>
          <w:rFonts w:hint="eastAsia" w:ascii="Times New Roman" w:hAnsi="Times New Roman" w:eastAsia="仿宋_GB2312" w:cs="黑体"/>
          <w:color w:val="000000"/>
          <w:kern w:val="0"/>
          <w:sz w:val="32"/>
          <w:szCs w:val="32"/>
          <w:lang w:val="zh-CN" w:eastAsia="zh-CN" w:bidi="ar-SA"/>
        </w:rPr>
      </w:pPr>
      <w:r>
        <w:rPr>
          <w:rFonts w:hint="eastAsia" w:ascii="Times New Roman" w:hAnsi="Times New Roman" w:eastAsia="仿宋_GB2312" w:cs="黑体"/>
          <w:color w:val="000000"/>
          <w:kern w:val="0"/>
          <w:sz w:val="32"/>
          <w:szCs w:val="32"/>
          <w:lang w:val="en-US" w:eastAsia="zh-CN" w:bidi="ar-SA"/>
        </w:rPr>
        <w:t>一是强化能力建设。以强化绿色农机、智能农机鉴定能力为目标，</w:t>
      </w:r>
      <w:r>
        <w:rPr>
          <w:rFonts w:hint="eastAsia" w:ascii="Times New Roman" w:hAnsi="Times New Roman" w:eastAsia="仿宋_GB2312" w:cs="黑体"/>
          <w:color w:val="000000"/>
          <w:kern w:val="0"/>
          <w:sz w:val="32"/>
          <w:szCs w:val="32"/>
          <w:lang w:val="zh-CN" w:eastAsia="zh-CN" w:bidi="ar-SA"/>
        </w:rPr>
        <w:t>进一步加快国家水田机械质量检验检测中心试验基地建设，完成新购置仪器设备的安装调试，形成拖拉机等常见农机具的检测能力；协助湖南农大推进试验场地建设。进一步补齐智能农机具鉴定短板，增加无人植保机的检测鉴定资质，将无人植保机纳入2024年湖南省农业机械试验鉴定产品种类指南，探索电动拖拉机的鉴定方法。</w:t>
      </w:r>
    </w:p>
    <w:p>
      <w:pPr>
        <w:spacing w:line="580" w:lineRule="exact"/>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二是</w:t>
      </w:r>
      <w:r>
        <w:rPr>
          <w:rFonts w:hint="eastAsia" w:ascii="Times New Roman" w:hAnsi="Times New Roman" w:eastAsia="仿宋_GB2312" w:cs="黑体"/>
          <w:color w:val="000000"/>
          <w:kern w:val="0"/>
          <w:sz w:val="32"/>
          <w:szCs w:val="32"/>
          <w:lang w:val="zh-CN" w:eastAsia="zh-CN" w:bidi="ar-SA"/>
        </w:rPr>
        <w:t>稳步推进农机安责险和事故预防工作</w:t>
      </w:r>
      <w:r>
        <w:rPr>
          <w:rFonts w:hint="eastAsia" w:ascii="Times New Roman" w:hAnsi="Times New Roman" w:eastAsia="仿宋_GB2312" w:cs="黑体"/>
          <w:color w:val="000000"/>
          <w:kern w:val="0"/>
          <w:sz w:val="32"/>
          <w:szCs w:val="32"/>
          <w:lang w:val="en-US" w:eastAsia="zh-CN" w:bidi="ar-SA"/>
        </w:rPr>
        <w:t>。规范有序推动农机安责险工作，积极加强与省农机安责险承保机构沟通协调，搞好信息互通，及时解决农机安责险推进过程出现的困难和问题，为广大农机手投保安责险提供服务。举办全省农机事故统计报送员培训班，进一步提高农机事故统计报送质量，提升农机事故统计报送人员业务能力素质。年中，在长沙举办了全省农机事故统计报送员培训班，来自各市州、县市区的146名农机事故统计报送人员参加培训。</w:t>
      </w:r>
    </w:p>
    <w:p>
      <w:pPr>
        <w:widowControl/>
        <w:spacing w:line="600" w:lineRule="exact"/>
        <w:ind w:firstLine="470" w:firstLineChars="147"/>
        <w:jc w:val="left"/>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三是提升农机监理设施标准化水平。印发县级农机安全监理能力建设标准，开发并在省政务云布置运行“全省农机安全监管系统”，招标采购300台车载北斗终端并在10个县免费安装试运行。</w:t>
      </w:r>
    </w:p>
    <w:p>
      <w:pPr>
        <w:widowControl/>
        <w:spacing w:line="600" w:lineRule="exact"/>
        <w:ind w:firstLine="627" w:firstLineChars="196"/>
        <w:rPr>
          <w:rFonts w:hint="eastAsia" w:ascii="Times New Roman" w:hAnsi="Times New Roman" w:eastAsia="楷体_GB2312"/>
          <w:b/>
          <w:bCs/>
          <w:sz w:val="32"/>
          <w:szCs w:val="32"/>
          <w:lang w:val="en-US" w:eastAsia="zh-CN"/>
        </w:rPr>
      </w:pPr>
      <w:r>
        <w:rPr>
          <w:rFonts w:hint="eastAsia" w:ascii="Times New Roman" w:hAnsi="Times New Roman" w:eastAsia="楷体_GB2312"/>
          <w:b/>
          <w:bCs/>
          <w:sz w:val="32"/>
          <w:szCs w:val="32"/>
          <w:lang w:val="en-US" w:eastAsia="zh-CN"/>
        </w:rPr>
        <w:t>（四）注重社会效应</w:t>
      </w:r>
    </w:p>
    <w:p>
      <w:pPr>
        <w:widowControl/>
        <w:spacing w:line="600" w:lineRule="exact"/>
        <w:ind w:firstLine="627" w:firstLineChars="196"/>
        <w:jc w:val="left"/>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一是成功举办第二十四届中国中部（湖南）农业博览会现代农业装备展。展会共设置舞台特展区、中心特展区、应急救灾农机设备展区、创新研发农机展区、丘陵山区农机展区、平湖农机展区等6个展区，面积超过6000m2，参展单位涵盖中联重科、中国一拖、东风井关、湖南农大等33家省内外农机生产企业、高校和科研院所，公开展示188台（套）丘陵山区适用农机具、平湖区农机具和应急救灾装备。展会期间，省委书记、省长先后来到装备展巡展，18家农机产销企业现场签约金额达到1.7亿元。展会得到了人民日报、湖南新闻联播等媒体的大力报道和各级领导的一致认可。</w:t>
      </w:r>
    </w:p>
    <w:p>
      <w:pPr>
        <w:widowControl/>
        <w:spacing w:line="600" w:lineRule="exact"/>
        <w:ind w:firstLine="627" w:firstLineChars="196"/>
        <w:jc w:val="left"/>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二是搞好农机宣传，讲好农机故事。从挖掘农机化工作特色亮点入手，紧盯农机化重大活动、重要会议、重要农时，协同业务部门做好新闻通稿起草工作，及时加强与央视、新华社、人民日报、湖南日报、湖南卫视等重点媒体联系，</w:t>
      </w:r>
      <w:r>
        <w:rPr>
          <w:rFonts w:hint="eastAsia" w:ascii="Times New Roman" w:hAnsi="Times New Roman" w:eastAsia="仿宋_GB2312" w:cs="黑体"/>
          <w:color w:val="000000"/>
          <w:kern w:val="0"/>
          <w:sz w:val="32"/>
          <w:szCs w:val="32"/>
          <w:lang w:val="zh-CN" w:eastAsia="zh-CN" w:bidi="ar-SA"/>
        </w:rPr>
        <w:t>央视新闻联播报道了</w:t>
      </w:r>
      <w:r>
        <w:rPr>
          <w:rFonts w:hint="eastAsia" w:ascii="Times New Roman" w:hAnsi="Times New Roman" w:eastAsia="仿宋_GB2312" w:cs="黑体"/>
          <w:color w:val="000000"/>
          <w:kern w:val="0"/>
          <w:sz w:val="32"/>
          <w:szCs w:val="32"/>
          <w:lang w:val="en-US" w:eastAsia="zh-CN" w:bidi="ar-SA"/>
        </w:rPr>
        <w:t>农夫机电的轻型履带拖拉机</w:t>
      </w:r>
      <w:r>
        <w:rPr>
          <w:rFonts w:hint="eastAsia" w:ascii="Times New Roman" w:hAnsi="Times New Roman" w:eastAsia="仿宋_GB2312" w:cs="黑体"/>
          <w:color w:val="000000"/>
          <w:kern w:val="0"/>
          <w:sz w:val="32"/>
          <w:szCs w:val="32"/>
          <w:lang w:val="zh-CN" w:eastAsia="zh-CN" w:bidi="ar-SA"/>
        </w:rPr>
        <w:t>“小农机上山岗”</w:t>
      </w:r>
      <w:r>
        <w:rPr>
          <w:rFonts w:hint="eastAsia" w:ascii="Times New Roman" w:hAnsi="Times New Roman" w:eastAsia="仿宋_GB2312" w:cs="黑体"/>
          <w:color w:val="000000"/>
          <w:kern w:val="0"/>
          <w:sz w:val="32"/>
          <w:szCs w:val="32"/>
          <w:lang w:val="en-US" w:eastAsia="zh-CN" w:bidi="ar-SA"/>
        </w:rPr>
        <w:t>3分钟</w:t>
      </w:r>
      <w:r>
        <w:rPr>
          <w:rFonts w:hint="eastAsia" w:ascii="Times New Roman" w:hAnsi="Times New Roman" w:eastAsia="仿宋_GB2312" w:cs="黑体"/>
          <w:color w:val="000000"/>
          <w:kern w:val="0"/>
          <w:sz w:val="32"/>
          <w:szCs w:val="32"/>
          <w:lang w:val="zh-CN" w:eastAsia="zh-CN" w:bidi="ar-SA"/>
        </w:rPr>
        <w:t>新闻，湖南日报发布了“湖南农业机械化调查（制造篇、推广篇）”系列深度调研报道，</w:t>
      </w:r>
      <w:r>
        <w:rPr>
          <w:rFonts w:hint="eastAsia" w:ascii="Times New Roman" w:hAnsi="Times New Roman" w:eastAsia="仿宋_GB2312" w:cs="黑体"/>
          <w:color w:val="000000"/>
          <w:kern w:val="0"/>
          <w:sz w:val="32"/>
          <w:szCs w:val="32"/>
          <w:lang w:val="en-US" w:eastAsia="zh-CN" w:bidi="ar-SA"/>
        </w:rPr>
        <w:t>全国农机装备补短板工作会、第24届农博会现代农机展等活动期间，湖南新闻联播连续四天对相关活动进行了系列报道。</w:t>
      </w:r>
    </w:p>
    <w:p>
      <w:pPr>
        <w:widowControl/>
        <w:spacing w:line="600" w:lineRule="exact"/>
        <w:ind w:firstLine="627" w:firstLineChars="196"/>
        <w:rPr>
          <w:rFonts w:hint="eastAsia" w:ascii="Times New Roman" w:hAnsi="Times New Roman" w:eastAsia="楷体_GB2312"/>
          <w:b/>
          <w:bCs/>
          <w:sz w:val="32"/>
          <w:szCs w:val="32"/>
          <w:lang w:val="en-US" w:eastAsia="zh-CN"/>
        </w:rPr>
      </w:pPr>
      <w:r>
        <w:rPr>
          <w:rFonts w:hint="eastAsia" w:ascii="Times New Roman" w:hAnsi="Times New Roman" w:eastAsia="楷体_GB2312"/>
          <w:b/>
          <w:bCs/>
          <w:sz w:val="32"/>
          <w:szCs w:val="32"/>
          <w:lang w:val="en-US" w:eastAsia="zh-CN"/>
        </w:rPr>
        <w:t>（五）增强可持续发展能力</w:t>
      </w:r>
    </w:p>
    <w:p>
      <w:pPr>
        <w:pStyle w:val="3"/>
        <w:widowControl/>
        <w:spacing w:beforeAutospacing="0" w:afterAutospacing="0" w:line="580" w:lineRule="exact"/>
        <w:ind w:firstLine="640" w:firstLineChars="200"/>
        <w:rPr>
          <w:rFonts w:hint="eastAsia" w:ascii="Times New Roman" w:hAnsi="Times New Roman" w:eastAsia="仿宋_GB2312" w:cs="黑体"/>
          <w:b w:val="0"/>
          <w:bCs w:val="0"/>
          <w:color w:val="000000"/>
          <w:kern w:val="0"/>
          <w:sz w:val="32"/>
          <w:szCs w:val="32"/>
          <w:lang w:val="en-US" w:eastAsia="zh-CN" w:bidi="ar-SA"/>
        </w:rPr>
      </w:pPr>
      <w:r>
        <w:rPr>
          <w:rFonts w:hint="eastAsia" w:ascii="Times New Roman" w:hAnsi="Times New Roman" w:eastAsia="仿宋_GB2312" w:cs="黑体"/>
          <w:b w:val="0"/>
          <w:bCs w:val="0"/>
          <w:color w:val="000000"/>
          <w:kern w:val="0"/>
          <w:sz w:val="32"/>
          <w:szCs w:val="32"/>
          <w:lang w:val="en-US" w:eastAsia="zh-CN" w:bidi="ar-SA"/>
        </w:rPr>
        <w:t>一是加强农机信息化建设。在农机作业监测系统的基础上，</w:t>
      </w:r>
      <w:r>
        <w:rPr>
          <w:rFonts w:hint="eastAsia" w:ascii="Times New Roman" w:hAnsi="Times New Roman" w:eastAsia="仿宋_GB2312" w:cs="黑体"/>
          <w:b w:val="0"/>
          <w:bCs w:val="0"/>
          <w:color w:val="000000"/>
          <w:kern w:val="0"/>
          <w:sz w:val="32"/>
          <w:szCs w:val="32"/>
          <w:lang w:val="zh-CN" w:eastAsia="zh-CN" w:bidi="ar-SA"/>
        </w:rPr>
        <w:t>开发“农机服务直通车”微信小程序，实现农机作业监测数据、各级惠农政策查询，合作社农产品产销、社会化服务对接，农机及技术培训等快速便捷服务。农机试验鉴定数据采集与信息化建设系统上线试运行，实现了试验数据实时上传，自动生成常见机具检测报告，有效减少了人为失误，提升了报告准确率。</w:t>
      </w:r>
    </w:p>
    <w:p>
      <w:pPr>
        <w:widowControl/>
        <w:spacing w:line="600" w:lineRule="exact"/>
        <w:ind w:firstLine="627" w:firstLineChars="196"/>
        <w:jc w:val="left"/>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b w:val="0"/>
          <w:bCs w:val="0"/>
          <w:color w:val="000000"/>
          <w:kern w:val="0"/>
          <w:sz w:val="32"/>
          <w:szCs w:val="32"/>
          <w:lang w:val="en-US" w:eastAsia="zh-CN" w:bidi="ar-SA"/>
        </w:rPr>
        <w:t>二是规范标准，积极发挥行业</w:t>
      </w:r>
      <w:r>
        <w:rPr>
          <w:rFonts w:hint="eastAsia" w:ascii="Times New Roman" w:hAnsi="Times New Roman" w:eastAsia="仿宋_GB2312" w:cs="黑体"/>
          <w:color w:val="000000"/>
          <w:kern w:val="0"/>
          <w:sz w:val="32"/>
          <w:szCs w:val="32"/>
          <w:lang w:val="en-US" w:eastAsia="zh-CN" w:bidi="ar-SA"/>
        </w:rPr>
        <w:t>协会专业作用。充分发挥农机标委会和农机学会专业指导和支撑作用，围绕农业机械化技术标准推广应用，做好了一系列工作。农机标委会完成4个地方标准，制修订6个团体标准，这些标准规范了我省有关农业产业机械化生产技术，促进了农业机械化发展。</w:t>
      </w:r>
    </w:p>
    <w:p>
      <w:pPr>
        <w:widowControl/>
        <w:spacing w:line="600" w:lineRule="exact"/>
        <w:ind w:firstLine="627" w:firstLineChars="196"/>
        <w:rPr>
          <w:rFonts w:hint="eastAsia" w:ascii="Times New Roman" w:hAnsi="Times New Roman" w:eastAsia="楷体_GB2312"/>
          <w:b/>
          <w:bCs/>
          <w:sz w:val="32"/>
          <w:szCs w:val="32"/>
          <w:lang w:val="en-US" w:eastAsia="zh-CN"/>
        </w:rPr>
      </w:pPr>
      <w:r>
        <w:rPr>
          <w:rFonts w:hint="eastAsia" w:ascii="Times New Roman" w:hAnsi="Times New Roman" w:eastAsia="楷体_GB2312"/>
          <w:b/>
          <w:bCs/>
          <w:sz w:val="32"/>
          <w:szCs w:val="32"/>
          <w:lang w:val="en-US" w:eastAsia="zh-CN"/>
        </w:rPr>
        <w:t>（六）提高服务对象满意度</w:t>
      </w:r>
    </w:p>
    <w:p>
      <w:pPr>
        <w:autoSpaceDE w:val="0"/>
        <w:autoSpaceDN w:val="0"/>
        <w:adjustRightInd w:val="0"/>
        <w:spacing w:line="580" w:lineRule="exact"/>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一是指导农机合作社建设。</w:t>
      </w:r>
      <w:r>
        <w:rPr>
          <w:rFonts w:hint="eastAsia" w:ascii="Times New Roman" w:hAnsi="Times New Roman" w:eastAsia="仿宋_GB2312" w:cs="黑体"/>
          <w:color w:val="000000"/>
          <w:kern w:val="0"/>
          <w:sz w:val="32"/>
          <w:szCs w:val="32"/>
          <w:lang w:val="zh-CN" w:eastAsia="zh-CN" w:bidi="ar-SA"/>
        </w:rPr>
        <w:t>搭建平台，指导县市区做好农机合作社核验分类，录入合作社信息2903家，基本实现对现代社以上经营主体的动态信息掌握，进行分类管理与指导服务。结合全省理事长培训等工作，全面推广28个农机合作社在社会化服务、全产业链生产经营、绿色节本降耗增效等方面的经验做法。</w:t>
      </w:r>
    </w:p>
    <w:p>
      <w:pPr>
        <w:widowControl/>
        <w:spacing w:line="600" w:lineRule="exact"/>
        <w:ind w:firstLine="627" w:firstLineChars="196"/>
        <w:jc w:val="left"/>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二是提升农机安全监理员队伍素质。利用省中心信息化北斗考场，举办农机安全监理岗位人员业务轮训，使参训人员在短期的培训学习中快速提升实际工作能力，通过上机理论考试和实操考试合格颁发合格证，确保了基层农机监理人员素质培训实效。</w:t>
      </w:r>
    </w:p>
    <w:p>
      <w:pPr>
        <w:widowControl/>
        <w:spacing w:line="600" w:lineRule="exact"/>
        <w:ind w:firstLine="470" w:firstLineChars="147"/>
        <w:jc w:val="left"/>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三是强化质量管理。做好做优农机质量投诉处理工作，组织开展以“提质强农护农，助力春管春耕”为主题的“农机3·15”消费者权益日活动，发放宣传资料1000余份，接受现场咨询200多人次。</w:t>
      </w:r>
    </w:p>
    <w:p>
      <w:pPr>
        <w:pStyle w:val="2"/>
        <w:spacing w:line="560" w:lineRule="atLeast"/>
        <w:ind w:left="640"/>
        <w:rPr>
          <w:rFonts w:hint="eastAsia" w:ascii="黑体" w:hAnsi="黑体" w:cs="华文细黑"/>
          <w:sz w:val="32"/>
          <w:lang w:val="en-US" w:eastAsia="zh-CN"/>
        </w:rPr>
      </w:pPr>
      <w:r>
        <w:rPr>
          <w:rFonts w:hint="eastAsia" w:ascii="黑体" w:hAnsi="黑体" w:cs="华文细黑"/>
          <w:sz w:val="32"/>
          <w:lang w:val="en-US" w:eastAsia="zh-CN"/>
        </w:rPr>
        <w:t>四、存在问题和原因分析及下步打算</w:t>
      </w:r>
    </w:p>
    <w:p>
      <w:pPr>
        <w:spacing w:line="560" w:lineRule="atLeast"/>
        <w:ind w:firstLine="64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一是基本支出中的人员经费预算结余较多。因为去年退休人员较多，新进人员也多，人员经费预算有偏差，造成资金有结余。今后，预算编制应认真、反复计算，尽量做到精准。</w:t>
      </w:r>
    </w:p>
    <w:p>
      <w:pPr>
        <w:spacing w:line="560" w:lineRule="atLeast"/>
        <w:ind w:firstLine="640"/>
        <w:rPr>
          <w:rFonts w:hint="eastAsia" w:ascii="Times New Roman" w:hAnsi="Times New Roman" w:eastAsia="仿宋_GB2312" w:cs="黑体"/>
          <w:color w:val="000000"/>
          <w:kern w:val="0"/>
          <w:sz w:val="32"/>
          <w:szCs w:val="32"/>
          <w:lang w:val="zh-CN" w:eastAsia="zh-CN" w:bidi="ar-SA"/>
        </w:rPr>
      </w:pPr>
      <w:r>
        <w:rPr>
          <w:rFonts w:hint="eastAsia" w:ascii="Times New Roman" w:hAnsi="Times New Roman" w:eastAsia="仿宋_GB2312" w:cs="黑体"/>
          <w:color w:val="000000"/>
          <w:kern w:val="0"/>
          <w:sz w:val="32"/>
          <w:szCs w:val="32"/>
          <w:lang w:val="en-US" w:eastAsia="zh-CN" w:bidi="ar-SA"/>
        </w:rPr>
        <w:t>二是培训供需对接不够精准，培训内容及形式与生产需要结合还不够紧密，对培训内容和培训对象规范化管理也不够。在培训时间安排和课程设置上也偶尔会有交叉重叠现象，难免会有培训资源使用效率不高的问题。今后，将进一步收集各地农机培训需求，再以需求为导向安排培训计划，培养出更多爱农业、懂农机的新农民；</w:t>
      </w:r>
      <w:r>
        <w:rPr>
          <w:rFonts w:hint="eastAsia" w:ascii="Times New Roman" w:hAnsi="Times New Roman" w:eastAsia="仿宋_GB2312" w:cs="黑体"/>
          <w:color w:val="000000"/>
          <w:kern w:val="0"/>
          <w:sz w:val="32"/>
          <w:szCs w:val="32"/>
          <w:lang w:val="zh-CN" w:eastAsia="zh-CN" w:bidi="ar-SA"/>
        </w:rPr>
        <w:t>整合培训资源，</w:t>
      </w:r>
      <w:r>
        <w:rPr>
          <w:rFonts w:hint="eastAsia" w:ascii="Times New Roman" w:hAnsi="Times New Roman" w:eastAsia="仿宋_GB2312" w:cs="黑体"/>
          <w:color w:val="000000"/>
          <w:kern w:val="0"/>
          <w:sz w:val="32"/>
          <w:szCs w:val="32"/>
          <w:lang w:val="en-US" w:eastAsia="zh-CN" w:bidi="ar-SA"/>
        </w:rPr>
        <w:t>优化培训形式和课程设计，</w:t>
      </w:r>
      <w:r>
        <w:rPr>
          <w:rFonts w:hint="eastAsia" w:ascii="Times New Roman" w:hAnsi="Times New Roman" w:eastAsia="仿宋_GB2312" w:cs="黑体"/>
          <w:color w:val="000000"/>
          <w:kern w:val="0"/>
          <w:sz w:val="32"/>
          <w:szCs w:val="32"/>
          <w:lang w:val="zh-CN" w:eastAsia="zh-CN" w:bidi="ar-SA"/>
        </w:rPr>
        <w:t>采取“田间课堂”的形式，将各类农机化技术技能培训从酒店宾馆搬到田间地头，并邀请农机“土专家”到现场进行授课，强化农机实操培训。</w:t>
      </w:r>
    </w:p>
    <w:p>
      <w:pPr>
        <w:spacing w:after="120" w:afterLines="50" w:line="600" w:lineRule="exact"/>
        <w:rPr>
          <w:rFonts w:ascii="Times New Roman" w:hAnsi="Times New Roman" w:eastAsia="黑体"/>
          <w:sz w:val="32"/>
          <w:szCs w:val="32"/>
        </w:rPr>
      </w:pPr>
    </w:p>
    <w:p>
      <w:pPr>
        <w:spacing w:after="120" w:afterLines="50" w:line="600" w:lineRule="exact"/>
        <w:rPr>
          <w:rFonts w:ascii="Times New Roman" w:hAnsi="Times New Roman" w:eastAsia="黑体"/>
          <w:sz w:val="32"/>
          <w:szCs w:val="32"/>
        </w:rPr>
      </w:pPr>
    </w:p>
    <w:p>
      <w:pPr>
        <w:spacing w:after="120" w:afterLines="50" w:line="600" w:lineRule="exact"/>
        <w:rPr>
          <w:rFonts w:ascii="Times New Roman" w:hAnsi="Times New Roman" w:eastAsia="黑体"/>
          <w:sz w:val="32"/>
          <w:szCs w:val="32"/>
        </w:rPr>
      </w:pPr>
    </w:p>
    <w:p>
      <w:pPr>
        <w:spacing w:after="120" w:afterLines="50" w:line="600" w:lineRule="exact"/>
        <w:rPr>
          <w:rFonts w:ascii="Times New Roman" w:hAnsi="Times New Roman" w:eastAsia="黑体"/>
          <w:sz w:val="32"/>
          <w:szCs w:val="32"/>
        </w:rPr>
      </w:pPr>
    </w:p>
    <w:p>
      <w:pPr>
        <w:spacing w:after="120" w:afterLines="50" w:line="600" w:lineRule="exact"/>
        <w:rPr>
          <w:rFonts w:ascii="Times New Roman" w:hAnsi="Times New Roman" w:eastAsia="黑体"/>
          <w:sz w:val="32"/>
          <w:szCs w:val="32"/>
        </w:rPr>
      </w:pPr>
    </w:p>
    <w:p>
      <w:pPr>
        <w:spacing w:after="120" w:afterLines="50" w:line="600" w:lineRule="exact"/>
        <w:rPr>
          <w:rFonts w:ascii="Times New Roman" w:hAnsi="Times New Roman" w:eastAsia="黑体"/>
          <w:sz w:val="32"/>
          <w:szCs w:val="32"/>
        </w:rPr>
      </w:pPr>
    </w:p>
    <w:p>
      <w:pPr>
        <w:spacing w:after="120" w:afterLines="50" w:line="600" w:lineRule="exact"/>
        <w:rPr>
          <w:rFonts w:ascii="Times New Roman" w:hAnsi="Times New Roman" w:eastAsia="黑体"/>
          <w:sz w:val="32"/>
          <w:szCs w:val="32"/>
        </w:rPr>
      </w:pPr>
    </w:p>
    <w:p>
      <w:pPr>
        <w:spacing w:after="120" w:afterLines="50" w:line="600" w:lineRule="exact"/>
        <w:rPr>
          <w:rFonts w:ascii="Times New Roman" w:hAnsi="Times New Roman" w:eastAsia="黑体"/>
          <w:sz w:val="32"/>
          <w:szCs w:val="32"/>
        </w:rPr>
      </w:pPr>
    </w:p>
    <w:p>
      <w:pPr>
        <w:spacing w:after="120" w:afterLines="50" w:line="600" w:lineRule="exact"/>
        <w:rPr>
          <w:rFonts w:ascii="Times New Roman" w:hAnsi="Times New Roman" w:eastAsia="黑体"/>
          <w:sz w:val="32"/>
          <w:szCs w:val="32"/>
        </w:rPr>
      </w:pPr>
    </w:p>
    <w:p>
      <w:pPr>
        <w:spacing w:after="120" w:afterLines="50" w:line="600" w:lineRule="exact"/>
        <w:rPr>
          <w:rFonts w:ascii="Times New Roman" w:hAnsi="Times New Roman" w:eastAsia="黑体"/>
          <w:sz w:val="32"/>
          <w:szCs w:val="32"/>
        </w:rPr>
      </w:pPr>
    </w:p>
    <w:p>
      <w:pPr>
        <w:spacing w:after="120" w:afterLines="50" w:line="600" w:lineRule="exact"/>
        <w:rPr>
          <w:rFonts w:ascii="Times New Roman" w:hAnsi="Times New Roman" w:eastAsia="黑体"/>
          <w:sz w:val="32"/>
          <w:szCs w:val="32"/>
        </w:rPr>
      </w:pPr>
    </w:p>
    <w:p>
      <w:pPr>
        <w:spacing w:after="120" w:afterLines="50" w:line="600" w:lineRule="exact"/>
        <w:rPr>
          <w:rFonts w:ascii="Times New Roman" w:hAnsi="Times New Roman" w:eastAsia="黑体"/>
          <w:sz w:val="32"/>
          <w:szCs w:val="32"/>
        </w:rPr>
      </w:pPr>
    </w:p>
    <w:p>
      <w:pPr>
        <w:spacing w:after="120" w:afterLines="50" w:line="600" w:lineRule="exact"/>
        <w:rPr>
          <w:rFonts w:ascii="Times New Roman" w:hAnsi="Times New Roman" w:eastAsia="黑体"/>
          <w:sz w:val="32"/>
          <w:szCs w:val="32"/>
        </w:rPr>
      </w:pPr>
    </w:p>
    <w:p>
      <w:pPr>
        <w:spacing w:after="120" w:afterLines="50" w:line="600" w:lineRule="exact"/>
        <w:rPr>
          <w:rFonts w:hint="eastAsia" w:ascii="Times New Roman" w:hAnsi="Times New Roman" w:eastAsia="黑体"/>
          <w:sz w:val="32"/>
          <w:szCs w:val="32"/>
          <w:lang w:val="en-US" w:eastAsia="zh-CN"/>
        </w:rPr>
      </w:pPr>
      <w:r>
        <w:rPr>
          <w:rFonts w:ascii="Times New Roman" w:hAnsi="Times New Roman" w:eastAsia="黑体"/>
          <w:sz w:val="32"/>
          <w:szCs w:val="32"/>
        </w:rPr>
        <w:t>附件</w:t>
      </w:r>
      <w:r>
        <w:rPr>
          <w:rFonts w:hint="eastAsia" w:ascii="Times New Roman" w:hAnsi="Times New Roman" w:eastAsia="黑体"/>
          <w:sz w:val="32"/>
          <w:szCs w:val="32"/>
          <w:lang w:val="en-US" w:eastAsia="zh-CN"/>
        </w:rPr>
        <w:t>1</w:t>
      </w:r>
    </w:p>
    <w:p>
      <w:pPr>
        <w:spacing w:after="120" w:afterLines="50" w:line="600" w:lineRule="exact"/>
        <w:jc w:val="center"/>
        <w:rPr>
          <w:rFonts w:ascii="Times New Roman" w:hAnsi="Times New Roman" w:eastAsia="仿宋_GB2312"/>
          <w:sz w:val="24"/>
        </w:rPr>
      </w:pPr>
      <w:r>
        <w:rPr>
          <w:rFonts w:ascii="Times New Roman" w:hAnsi="Times New Roman" w:eastAsia="方正小标宋_GBK"/>
          <w:sz w:val="36"/>
          <w:szCs w:val="36"/>
        </w:rPr>
        <w:t>202</w:t>
      </w:r>
      <w:r>
        <w:rPr>
          <w:rFonts w:hint="eastAsia" w:ascii="Times New Roman" w:hAnsi="Times New Roman" w:eastAsia="方正小标宋_GBK"/>
          <w:sz w:val="36"/>
          <w:szCs w:val="36"/>
        </w:rPr>
        <w:t>3</w:t>
      </w:r>
      <w:r>
        <w:rPr>
          <w:rFonts w:ascii="Times New Roman" w:hAnsi="Times New Roman" w:eastAsia="方正小标宋_GBK"/>
          <w:sz w:val="36"/>
          <w:szCs w:val="36"/>
        </w:rPr>
        <w:t>年</w:t>
      </w:r>
      <w:r>
        <w:rPr>
          <w:rFonts w:hint="eastAsia" w:ascii="Times New Roman" w:hAnsi="Times New Roman" w:eastAsia="方正小标宋_GBK"/>
          <w:sz w:val="36"/>
          <w:szCs w:val="36"/>
        </w:rPr>
        <w:t>度</w:t>
      </w:r>
      <w:r>
        <w:rPr>
          <w:rFonts w:ascii="Times New Roman" w:hAnsi="Times New Roman" w:eastAsia="方正小标宋_GBK"/>
          <w:sz w:val="36"/>
          <w:szCs w:val="36"/>
        </w:rPr>
        <w:t>部门整体支出绩效评价基础数据表</w:t>
      </w:r>
    </w:p>
    <w:tbl>
      <w:tblPr>
        <w:tblStyle w:val="10"/>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b/>
                <w:bCs/>
                <w:sz w:val="20"/>
                <w:szCs w:val="20"/>
              </w:rPr>
            </w:pPr>
            <w:r>
              <w:rPr>
                <w:rFonts w:ascii="Times New Roman" w:hAnsi="Times New Roman" w:eastAsia="仿宋_GB2312"/>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b/>
                <w:bCs/>
                <w:sz w:val="20"/>
                <w:szCs w:val="20"/>
              </w:rPr>
            </w:pPr>
            <w:r>
              <w:rPr>
                <w:rFonts w:ascii="Times New Roman" w:hAnsi="Times New Roman" w:eastAsia="仿宋_GB2312"/>
                <w:b/>
                <w:bCs/>
                <w:sz w:val="20"/>
                <w:szCs w:val="20"/>
              </w:rPr>
              <w:t>202</w:t>
            </w:r>
            <w:r>
              <w:rPr>
                <w:rFonts w:hint="eastAsia" w:ascii="Times New Roman" w:hAnsi="Times New Roman" w:eastAsia="仿宋_GB2312"/>
                <w:b/>
                <w:bCs/>
                <w:sz w:val="20"/>
                <w:szCs w:val="20"/>
              </w:rPr>
              <w:t>3</w:t>
            </w:r>
            <w:r>
              <w:rPr>
                <w:rFonts w:ascii="Times New Roman" w:hAnsi="Times New Roman" w:eastAsia="仿宋_GB2312"/>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b/>
                <w:bCs/>
                <w:sz w:val="20"/>
                <w:szCs w:val="20"/>
              </w:rPr>
            </w:pPr>
            <w:r>
              <w:rPr>
                <w:rFonts w:ascii="Times New Roman" w:hAnsi="Times New Roman" w:eastAsia="仿宋_GB2312"/>
                <w:b/>
                <w:bCs/>
                <w:sz w:val="20"/>
                <w:szCs w:val="20"/>
              </w:rPr>
              <w:t>控制率</w:t>
            </w:r>
          </w:p>
        </w:tc>
      </w:tr>
      <w:tr>
        <w:tblPrEx>
          <w:tblLayout w:type="fixed"/>
          <w:tblCellMar>
            <w:top w:w="0" w:type="dxa"/>
            <w:left w:w="108" w:type="dxa"/>
            <w:bottom w:w="0" w:type="dxa"/>
            <w:right w:w="108" w:type="dxa"/>
          </w:tblCellMar>
        </w:tblPrEx>
        <w:trPr>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99</w:t>
            </w: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89</w:t>
            </w: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90%</w:t>
            </w: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b/>
                <w:bCs/>
                <w:sz w:val="20"/>
                <w:szCs w:val="20"/>
              </w:rPr>
            </w:pPr>
            <w:r>
              <w:rPr>
                <w:rFonts w:ascii="Times New Roman" w:hAnsi="Times New Roman" w:eastAsia="仿宋_GB2312"/>
                <w:b/>
                <w:bCs/>
                <w:sz w:val="20"/>
                <w:szCs w:val="20"/>
              </w:rPr>
              <w:t>202</w:t>
            </w:r>
            <w:r>
              <w:rPr>
                <w:rFonts w:hint="eastAsia" w:ascii="Times New Roman" w:hAnsi="Times New Roman" w:eastAsia="仿宋_GB2312"/>
                <w:b/>
                <w:bCs/>
                <w:sz w:val="20"/>
                <w:szCs w:val="20"/>
              </w:rPr>
              <w:t>2</w:t>
            </w:r>
            <w:r>
              <w:rPr>
                <w:rFonts w:ascii="Times New Roman" w:hAnsi="Times New Roman" w:eastAsia="仿宋_GB2312"/>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b/>
                <w:bCs/>
                <w:sz w:val="20"/>
                <w:szCs w:val="20"/>
              </w:rPr>
            </w:pPr>
            <w:r>
              <w:rPr>
                <w:rFonts w:ascii="Times New Roman" w:hAnsi="Times New Roman" w:eastAsia="仿宋_GB2312"/>
                <w:b/>
                <w:bCs/>
                <w:sz w:val="20"/>
                <w:szCs w:val="20"/>
              </w:rPr>
              <w:t>202</w:t>
            </w:r>
            <w:r>
              <w:rPr>
                <w:rFonts w:hint="eastAsia" w:ascii="Times New Roman" w:hAnsi="Times New Roman" w:eastAsia="仿宋_GB2312"/>
                <w:b/>
                <w:bCs/>
                <w:sz w:val="20"/>
                <w:szCs w:val="20"/>
              </w:rPr>
              <w:t>3</w:t>
            </w:r>
            <w:r>
              <w:rPr>
                <w:rFonts w:ascii="Times New Roman" w:hAnsi="Times New Roman" w:eastAsia="仿宋_GB2312"/>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b/>
                <w:bCs/>
                <w:sz w:val="20"/>
                <w:szCs w:val="20"/>
              </w:rPr>
            </w:pPr>
            <w:r>
              <w:rPr>
                <w:rFonts w:ascii="Times New Roman" w:hAnsi="Times New Roman" w:eastAsia="仿宋_GB2312"/>
                <w:b/>
                <w:bCs/>
                <w:sz w:val="20"/>
                <w:szCs w:val="20"/>
              </w:rPr>
              <w:t>202</w:t>
            </w:r>
            <w:r>
              <w:rPr>
                <w:rFonts w:hint="eastAsia" w:ascii="Times New Roman" w:hAnsi="Times New Roman" w:eastAsia="仿宋_GB2312"/>
                <w:b/>
                <w:bCs/>
                <w:sz w:val="20"/>
                <w:szCs w:val="20"/>
              </w:rPr>
              <w:t>3</w:t>
            </w:r>
            <w:r>
              <w:rPr>
                <w:rFonts w:ascii="Times New Roman" w:hAnsi="Times New Roman" w:eastAsia="仿宋_GB2312"/>
                <w:b/>
                <w:bCs/>
                <w:sz w:val="20"/>
                <w:szCs w:val="20"/>
              </w:rPr>
              <w:t>年决算数</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sz w:val="20"/>
                <w:szCs w:val="20"/>
              </w:rPr>
            </w:pPr>
            <w:r>
              <w:rPr>
                <w:rFonts w:ascii="Times New Roman" w:hAnsi="Times New Roman" w:eastAsia="仿宋_GB2312"/>
                <w:sz w:val="20"/>
                <w:szCs w:val="20"/>
              </w:rPr>
              <w:t>三公经费</w:t>
            </w:r>
            <w:r>
              <w:rPr>
                <w:rFonts w:hint="eastAsia" w:ascii="Times New Roman" w:hAnsi="Times New Roman" w:eastAsia="仿宋_GB2312"/>
                <w:sz w:val="20"/>
                <w:szCs w:val="20"/>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49.88</w:t>
            </w: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75</w:t>
            </w: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58.42</w:t>
            </w: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49.2</w:t>
            </w: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30</w:t>
            </w: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30</w:t>
            </w: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20.37</w:t>
            </w: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0</w:t>
            </w: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0</w:t>
            </w: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28.83</w:t>
            </w: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30</w:t>
            </w: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30</w:t>
            </w: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r>
              <w:rPr>
                <w:rFonts w:hint="eastAsia" w:ascii="Times New Roman" w:hAnsi="Times New Roman" w:eastAsia="仿宋_GB2312"/>
                <w:sz w:val="20"/>
                <w:szCs w:val="20"/>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27</w:t>
            </w: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27</w:t>
            </w: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r>
              <w:rPr>
                <w:rFonts w:hint="eastAsia" w:ascii="Times New Roman" w:hAnsi="Times New Roman" w:eastAsia="仿宋_GB2312"/>
                <w:sz w:val="20"/>
                <w:szCs w:val="20"/>
              </w:rPr>
              <w:t>0.68</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18</w:t>
            </w: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1.42</w:t>
            </w: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1111.3</w:t>
            </w: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2166.71</w:t>
            </w: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14</w:t>
            </w:r>
            <w:r>
              <w:rPr>
                <w:rFonts w:hint="eastAsia" w:ascii="Times New Roman" w:hAnsi="Times New Roman" w:eastAsia="仿宋_GB2312"/>
                <w:sz w:val="20"/>
                <w:szCs w:val="20"/>
                <w:lang w:val="en-US" w:eastAsia="zh-CN"/>
              </w:rPr>
              <w:t>31</w:t>
            </w:r>
            <w:r>
              <w:rPr>
                <w:rFonts w:hint="eastAsia" w:ascii="Times New Roman" w:hAnsi="Times New Roman" w:eastAsia="仿宋_GB2312"/>
                <w:sz w:val="20"/>
                <w:szCs w:val="20"/>
              </w:rPr>
              <w:t>.</w:t>
            </w:r>
            <w:r>
              <w:rPr>
                <w:rFonts w:hint="eastAsia" w:ascii="Times New Roman" w:hAnsi="Times New Roman" w:eastAsia="仿宋_GB2312"/>
                <w:sz w:val="20"/>
                <w:szCs w:val="20"/>
                <w:lang w:val="en-US" w:eastAsia="zh-CN"/>
              </w:rPr>
              <w:t>95</w:t>
            </w: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125.1</w:t>
            </w: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310.53</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hint="eastAsia" w:ascii="Times New Roman" w:hAnsi="Times New Roman" w:eastAsia="仿宋_GB2312"/>
                <w:sz w:val="20"/>
                <w:szCs w:val="20"/>
                <w:lang w:val="en-US" w:eastAsia="zh-CN"/>
              </w:rPr>
              <w:t>461.23</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244.49</w:t>
            </w: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870.65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hint="eastAsia" w:ascii="Times New Roman" w:hAnsi="Times New Roman" w:eastAsia="仿宋_GB2312"/>
                <w:sz w:val="20"/>
                <w:szCs w:val="20"/>
                <w:lang w:val="en-US" w:eastAsia="zh-CN"/>
              </w:rPr>
              <w:t>233.77</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3、省级专项资金（</w:t>
            </w:r>
            <w:r>
              <w:rPr>
                <w:rFonts w:hint="eastAsia" w:ascii="Times New Roman" w:hAnsi="Times New Roman" w:eastAsia="仿宋_GB2312"/>
                <w:sz w:val="20"/>
                <w:szCs w:val="20"/>
              </w:rPr>
              <w:t>每</w:t>
            </w:r>
            <w:r>
              <w:rPr>
                <w:rFonts w:ascii="Times New Roman" w:hAnsi="Times New Roman" w:eastAsia="仿宋_GB2312"/>
                <w:sz w:val="20"/>
                <w:szCs w:val="20"/>
              </w:rPr>
              <w:t>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其中：现代产业发展</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742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hint="eastAsia" w:ascii="Times New Roman" w:hAnsi="Times New Roman" w:eastAsia="仿宋_GB2312"/>
                <w:sz w:val="20"/>
                <w:szCs w:val="20"/>
                <w:lang w:val="en-US" w:eastAsia="zh-CN"/>
              </w:rPr>
              <w:t>985.53</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sz w:val="20"/>
                <w:szCs w:val="20"/>
                <w:lang w:val="en-US" w:eastAsia="zh-CN"/>
              </w:rPr>
            </w:pPr>
            <w:r>
              <w:rPr>
                <w:rFonts w:hint="eastAsia" w:ascii="Times New Roman" w:hAnsi="Times New Roman" w:eastAsia="仿宋_GB2312"/>
                <w:sz w:val="20"/>
                <w:szCs w:val="20"/>
                <w:lang w:val="en-US" w:eastAsia="zh-CN"/>
              </w:rPr>
              <w:t>736.93</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513.39</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548.07</w:t>
            </w: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504.4</w:t>
            </w: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20</w:t>
            </w: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20.04</w:t>
            </w: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20.04</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78</w:t>
            </w: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r>
              <w:rPr>
                <w:rFonts w:hint="eastAsia" w:ascii="Times New Roman" w:hAnsi="Times New Roman" w:eastAsia="仿宋_GB2312"/>
                <w:sz w:val="20"/>
                <w:szCs w:val="20"/>
              </w:rPr>
              <w:t>78</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78</w:t>
            </w: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15</w:t>
            </w:r>
            <w:r>
              <w:rPr>
                <w:rFonts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r>
              <w:rPr>
                <w:rFonts w:hint="eastAsia" w:ascii="Times New Roman" w:hAnsi="Times New Roman" w:eastAsia="仿宋_GB2312"/>
                <w:sz w:val="20"/>
                <w:szCs w:val="20"/>
              </w:rPr>
              <w:t>15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15</w:t>
            </w: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351.8</w:t>
            </w: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hint="eastAsia" w:ascii="Times New Roman" w:hAnsi="Times New Roman" w:eastAsia="仿宋_GB2312"/>
                <w:sz w:val="20"/>
                <w:szCs w:val="20"/>
              </w:rPr>
              <w:t>707.82</w:t>
            </w: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p>
        </w:tc>
      </w:tr>
      <w:tr>
        <w:tblPrEx>
          <w:tblLayout w:type="fixed"/>
          <w:tblCellMar>
            <w:top w:w="0" w:type="dxa"/>
            <w:left w:w="108" w:type="dxa"/>
            <w:bottom w:w="0" w:type="dxa"/>
            <w:right w:w="108" w:type="dxa"/>
          </w:tblCellMar>
        </w:tblPrEx>
        <w:trPr>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楼堂馆所控制情况</w:t>
            </w:r>
            <w:r>
              <w:rPr>
                <w:rFonts w:ascii="Times New Roman" w:hAnsi="Times New Roman" w:eastAsia="仿宋_GB2312"/>
                <w:sz w:val="20"/>
                <w:szCs w:val="20"/>
              </w:rPr>
              <w:br w:type="textWrapping"/>
            </w:r>
            <w:r>
              <w:rPr>
                <w:rFonts w:ascii="Times New Roman" w:hAnsi="Times New Roman" w:eastAsia="仿宋_GB2312"/>
                <w:sz w:val="20"/>
                <w:szCs w:val="20"/>
              </w:rPr>
              <w:t>（202</w:t>
            </w:r>
            <w:r>
              <w:rPr>
                <w:rFonts w:hint="eastAsia" w:ascii="Times New Roman" w:hAnsi="Times New Roman" w:eastAsia="仿宋_GB2312"/>
                <w:sz w:val="20"/>
                <w:szCs w:val="20"/>
              </w:rPr>
              <w:t>3</w:t>
            </w:r>
            <w:r>
              <w:rPr>
                <w:rFonts w:ascii="Times New Roman" w:hAnsi="Times New Roman" w:eastAsia="仿宋_GB2312"/>
                <w:sz w:val="20"/>
                <w:szCs w:val="20"/>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bCs/>
                <w:sz w:val="20"/>
                <w:szCs w:val="20"/>
              </w:rPr>
            </w:pPr>
            <w:r>
              <w:rPr>
                <w:rFonts w:ascii="Times New Roman" w:hAnsi="Times New Roman" w:eastAsia="仿宋_GB2312"/>
                <w:bCs/>
                <w:sz w:val="20"/>
                <w:szCs w:val="20"/>
              </w:rPr>
              <w:t>批复规模</w:t>
            </w:r>
            <w:r>
              <w:rPr>
                <w:rFonts w:ascii="Times New Roman" w:hAnsi="Times New Roman" w:eastAsia="仿宋_GB2312"/>
                <w:bCs/>
                <w:sz w:val="20"/>
                <w:szCs w:val="20"/>
              </w:rPr>
              <w:br w:type="textWrapping"/>
            </w:r>
            <w:r>
              <w:rPr>
                <w:rFonts w:ascii="Times New Roman" w:hAnsi="Times New Roman" w:eastAsia="仿宋_GB2312"/>
                <w:bCs/>
                <w:sz w:val="20"/>
                <w:szCs w:val="20"/>
              </w:rPr>
              <w:t>（</w:t>
            </w:r>
            <w:r>
              <w:rPr>
                <w:rFonts w:ascii="Times New Roman" w:hAnsi="Times New Roman"/>
                <w:bCs/>
                <w:sz w:val="20"/>
                <w:szCs w:val="20"/>
              </w:rPr>
              <w:t>㎡</w:t>
            </w:r>
            <w:r>
              <w:rPr>
                <w:rFonts w:ascii="Times New Roman" w:hAnsi="Times New Roman" w:eastAsia="仿宋_GB2312"/>
                <w:bCs/>
                <w:sz w:val="20"/>
                <w:szCs w:val="20"/>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bCs/>
                <w:sz w:val="20"/>
                <w:szCs w:val="20"/>
              </w:rPr>
            </w:pPr>
            <w:r>
              <w:rPr>
                <w:rFonts w:ascii="Times New Roman" w:hAnsi="Times New Roman" w:eastAsia="仿宋_GB2312"/>
                <w:bCs/>
                <w:sz w:val="20"/>
                <w:szCs w:val="20"/>
              </w:rPr>
              <w:t>实际规模（</w:t>
            </w:r>
            <w:r>
              <w:rPr>
                <w:rFonts w:ascii="Times New Roman" w:hAnsi="Times New Roman"/>
                <w:bCs/>
                <w:sz w:val="20"/>
                <w:szCs w:val="20"/>
              </w:rPr>
              <w:t>㎡</w:t>
            </w:r>
            <w:r>
              <w:rPr>
                <w:rFonts w:ascii="Times New Roman" w:hAnsi="Times New Roman" w:eastAsia="仿宋_GB2312"/>
                <w:bCs/>
                <w:sz w:val="20"/>
                <w:szCs w:val="20"/>
              </w:rPr>
              <w:t>）</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bCs/>
                <w:sz w:val="20"/>
                <w:szCs w:val="20"/>
              </w:rPr>
            </w:pPr>
            <w:r>
              <w:rPr>
                <w:rFonts w:ascii="Times New Roman" w:hAnsi="Times New Roman" w:eastAsia="仿宋_GB2312"/>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bCs/>
                <w:sz w:val="20"/>
                <w:szCs w:val="20"/>
              </w:rPr>
            </w:pPr>
            <w:r>
              <w:rPr>
                <w:rFonts w:ascii="Times New Roman" w:hAnsi="Times New Roman" w:eastAsia="仿宋_GB2312"/>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bCs/>
                <w:sz w:val="20"/>
                <w:szCs w:val="20"/>
              </w:rPr>
            </w:pPr>
            <w:r>
              <w:rPr>
                <w:rFonts w:ascii="Times New Roman" w:hAnsi="Times New Roman" w:eastAsia="仿宋_GB2312"/>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bCs/>
                <w:sz w:val="20"/>
                <w:szCs w:val="20"/>
              </w:rPr>
            </w:pPr>
            <w:r>
              <w:rPr>
                <w:rFonts w:ascii="Times New Roman" w:hAnsi="Times New Roman" w:eastAsia="仿宋_GB2312"/>
                <w:bCs/>
                <w:sz w:val="20"/>
                <w:szCs w:val="20"/>
              </w:rPr>
              <w:t>投资概算控制率</w:t>
            </w:r>
          </w:p>
        </w:tc>
      </w:tr>
      <w:tr>
        <w:tblPrEx>
          <w:tblLayout w:type="fixed"/>
          <w:tblCellMar>
            <w:top w:w="0" w:type="dxa"/>
            <w:left w:w="108" w:type="dxa"/>
            <w:bottom w:w="0" w:type="dxa"/>
            <w:right w:w="108" w:type="dxa"/>
          </w:tblCellMar>
        </w:tblPrEx>
        <w:trPr>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　</w:t>
            </w:r>
          </w:p>
        </w:tc>
      </w:tr>
    </w:tbl>
    <w:p>
      <w:pPr>
        <w:widowControl/>
        <w:spacing w:line="400" w:lineRule="exact"/>
        <w:jc w:val="left"/>
        <w:rPr>
          <w:rFonts w:ascii="Times New Roman" w:hAnsi="Times New Roman" w:eastAsia="仿宋_GB2312"/>
          <w:sz w:val="22"/>
        </w:rPr>
      </w:pPr>
      <w:r>
        <w:rPr>
          <w:rFonts w:ascii="Times New Roman" w:hAnsi="Times New Roman" w:eastAsia="仿宋_GB2312"/>
          <w:sz w:val="22"/>
        </w:rPr>
        <w:t>说明：“项目支出”需要填报基本支出以外的所有项目支出情况，“公用经费”填报基本支出中的一般商品和服务支出。</w:t>
      </w:r>
    </w:p>
    <w:p>
      <w:pPr>
        <w:widowControl/>
        <w:spacing w:line="400" w:lineRule="exact"/>
        <w:jc w:val="left"/>
        <w:rPr>
          <w:rFonts w:ascii="Times New Roman" w:hAnsi="Times New Roman" w:eastAsia="仿宋_GB2312"/>
          <w:sz w:val="22"/>
        </w:rPr>
      </w:pPr>
    </w:p>
    <w:p>
      <w:pPr>
        <w:widowControl/>
        <w:spacing w:after="0" w:afterLines="0" w:line="400" w:lineRule="exact"/>
        <w:jc w:val="left"/>
        <w:rPr>
          <w:rFonts w:hint="default" w:ascii="Times New Roman" w:hAnsi="Times New Roman" w:eastAsia="黑体" w:cs="Times New Roman"/>
          <w:sz w:val="32"/>
          <w:szCs w:val="32"/>
        </w:rPr>
      </w:pPr>
    </w:p>
    <w:p>
      <w:pPr>
        <w:widowControl/>
        <w:spacing w:after="0" w:afterLines="0" w:line="400" w:lineRule="exact"/>
        <w:jc w:val="left"/>
        <w:rPr>
          <w:rFonts w:hint="default" w:ascii="Times New Roman" w:hAnsi="Times New Roman" w:eastAsia="黑体" w:cs="Times New Roman"/>
          <w:sz w:val="32"/>
          <w:szCs w:val="32"/>
        </w:rPr>
      </w:pPr>
    </w:p>
    <w:p>
      <w:pPr>
        <w:widowControl/>
        <w:spacing w:after="0" w:afterLines="0" w:line="400" w:lineRule="exact"/>
        <w:jc w:val="left"/>
        <w:rPr>
          <w:rFonts w:hint="default" w:ascii="Times New Roman" w:hAnsi="Times New Roman" w:eastAsia="黑体" w:cs="Times New Roman"/>
          <w:sz w:val="32"/>
          <w:szCs w:val="32"/>
        </w:rPr>
      </w:pPr>
    </w:p>
    <w:p>
      <w:pPr>
        <w:widowControl/>
        <w:spacing w:after="0" w:afterLines="0" w:line="400" w:lineRule="exact"/>
        <w:jc w:val="left"/>
        <w:rPr>
          <w:rFonts w:hint="default" w:ascii="Times New Roman" w:hAnsi="Times New Roman" w:eastAsia="黑体" w:cs="Times New Roman"/>
          <w:sz w:val="32"/>
          <w:szCs w:val="32"/>
        </w:rPr>
      </w:pPr>
    </w:p>
    <w:p>
      <w:pPr>
        <w:widowControl/>
        <w:spacing w:after="0" w:afterLines="0" w:line="400" w:lineRule="exact"/>
        <w:jc w:val="left"/>
        <w:rPr>
          <w:rFonts w:hint="eastAsia"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2</w:t>
      </w:r>
    </w:p>
    <w:p>
      <w:pPr>
        <w:widowControl/>
        <w:spacing w:after="120" w:afterLines="50"/>
        <w:jc w:val="center"/>
        <w:rPr>
          <w:rFonts w:hint="default" w:ascii="Times New Roman" w:hAnsi="Times New Roman" w:eastAsia="方正小标宋_GBK" w:cs="Times New Roman"/>
          <w:color w:val="000000"/>
          <w:sz w:val="36"/>
          <w:szCs w:val="36"/>
        </w:rPr>
      </w:pPr>
      <w:r>
        <w:rPr>
          <w:rFonts w:hint="default" w:ascii="Times New Roman" w:hAnsi="Times New Roman" w:eastAsia="方正小标宋_GBK" w:cs="Times New Roman"/>
          <w:color w:val="000000"/>
          <w:sz w:val="36"/>
          <w:szCs w:val="36"/>
        </w:rPr>
        <w:t>202</w:t>
      </w:r>
      <w:r>
        <w:rPr>
          <w:rFonts w:hint="eastAsia" w:ascii="Times New Roman" w:hAnsi="Times New Roman" w:eastAsia="方正小标宋_GBK" w:cs="Times New Roman"/>
          <w:color w:val="000000"/>
          <w:sz w:val="36"/>
          <w:szCs w:val="36"/>
          <w:lang w:val="en-US" w:eastAsia="zh-CN"/>
        </w:rPr>
        <w:t>3</w:t>
      </w:r>
      <w:r>
        <w:rPr>
          <w:rFonts w:hint="default" w:ascii="Times New Roman" w:hAnsi="Times New Roman" w:eastAsia="方正小标宋_GBK" w:cs="Times New Roman"/>
          <w:color w:val="000000"/>
          <w:sz w:val="36"/>
          <w:szCs w:val="36"/>
        </w:rPr>
        <w:t>年</w:t>
      </w:r>
      <w:r>
        <w:rPr>
          <w:rFonts w:hint="eastAsia" w:ascii="Times New Roman" w:hAnsi="Times New Roman" w:eastAsia="方正小标宋_GBK" w:cs="Times New Roman"/>
          <w:color w:val="000000"/>
          <w:sz w:val="36"/>
          <w:szCs w:val="36"/>
          <w:lang w:eastAsia="zh-CN"/>
        </w:rPr>
        <w:t>度</w:t>
      </w:r>
      <w:r>
        <w:rPr>
          <w:rFonts w:hint="default" w:ascii="Times New Roman" w:hAnsi="Times New Roman" w:eastAsia="方正小标宋_GBK" w:cs="Times New Roman"/>
          <w:color w:val="000000"/>
          <w:sz w:val="36"/>
          <w:szCs w:val="36"/>
        </w:rPr>
        <w:t>部门整体支出绩效自评表</w:t>
      </w:r>
    </w:p>
    <w:tbl>
      <w:tblPr>
        <w:tblStyle w:val="10"/>
        <w:tblW w:w="10119" w:type="dxa"/>
        <w:jc w:val="center"/>
        <w:tblInd w:w="0" w:type="dxa"/>
        <w:tblLayout w:type="fixed"/>
        <w:tblCellMar>
          <w:top w:w="0" w:type="dxa"/>
          <w:left w:w="108" w:type="dxa"/>
          <w:bottom w:w="0" w:type="dxa"/>
          <w:right w:w="108" w:type="dxa"/>
        </w:tblCellMar>
      </w:tblPr>
      <w:tblGrid>
        <w:gridCol w:w="1084"/>
        <w:gridCol w:w="1084"/>
        <w:gridCol w:w="1038"/>
        <w:gridCol w:w="1275"/>
        <w:gridCol w:w="1316"/>
        <w:gridCol w:w="1274"/>
        <w:gridCol w:w="718"/>
        <w:gridCol w:w="876"/>
        <w:gridCol w:w="1454"/>
      </w:tblGrid>
      <w:tr>
        <w:tblPrEx>
          <w:tblLayout w:type="fixed"/>
          <w:tblCellMar>
            <w:top w:w="0" w:type="dxa"/>
            <w:left w:w="108" w:type="dxa"/>
            <w:bottom w:w="0" w:type="dxa"/>
            <w:right w:w="108" w:type="dxa"/>
          </w:tblCellMar>
        </w:tblPrEx>
        <w:trPr>
          <w:trHeight w:val="304" w:hRule="atLeast"/>
          <w:jc w:val="center"/>
        </w:trPr>
        <w:tc>
          <w:tcPr>
            <w:tcW w:w="3206"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省级预算部门</w:t>
            </w:r>
            <w:r>
              <w:rPr>
                <w:rFonts w:hint="eastAsia" w:ascii="Times New Roman" w:hAnsi="Times New Roman" w:eastAsia="仿宋_GB2312" w:cs="Times New Roman"/>
                <w:color w:val="000000"/>
                <w:sz w:val="20"/>
                <w:szCs w:val="20"/>
                <w:lang w:eastAsia="zh-CN"/>
              </w:rPr>
              <w:t>、单位</w:t>
            </w:r>
            <w:r>
              <w:rPr>
                <w:rFonts w:hint="default" w:ascii="Times New Roman" w:hAnsi="Times New Roman" w:eastAsia="仿宋_GB2312" w:cs="Times New Roman"/>
                <w:color w:val="000000"/>
                <w:sz w:val="20"/>
                <w:szCs w:val="20"/>
              </w:rPr>
              <w:t>名称</w:t>
            </w:r>
          </w:p>
        </w:tc>
        <w:tc>
          <w:tcPr>
            <w:tcW w:w="6913"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eastAsia="zh-CN"/>
              </w:rPr>
              <w:t>湖南省农机事务中心</w:t>
            </w: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304" w:hRule="atLeast"/>
          <w:jc w:val="center"/>
        </w:trPr>
        <w:tc>
          <w:tcPr>
            <w:tcW w:w="1084"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年度预</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算申请</w:t>
            </w:r>
            <w:r>
              <w:rPr>
                <w:rFonts w:hint="default" w:ascii="Times New Roman" w:hAnsi="Times New Roman" w:eastAsia="仿宋_GB2312" w:cs="Times New Roman"/>
                <w:color w:val="000000"/>
                <w:sz w:val="20"/>
                <w:szCs w:val="20"/>
              </w:rPr>
              <w:br w:type="textWrapping"/>
            </w:r>
            <w:r>
              <w:rPr>
                <w:rFonts w:hint="default" w:ascii="Times New Roman" w:hAnsi="Times New Roman" w:eastAsia="仿宋_GB2312" w:cs="Times New Roman"/>
                <w:color w:val="000000"/>
                <w:sz w:val="20"/>
                <w:szCs w:val="20"/>
              </w:rPr>
              <w:t>（万元）</w:t>
            </w:r>
          </w:p>
        </w:tc>
        <w:tc>
          <w:tcPr>
            <w:tcW w:w="2122"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p>
        </w:tc>
        <w:tc>
          <w:tcPr>
            <w:tcW w:w="1275"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年初预算数</w:t>
            </w:r>
          </w:p>
        </w:tc>
        <w:tc>
          <w:tcPr>
            <w:tcW w:w="131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全年预算数</w:t>
            </w:r>
          </w:p>
        </w:tc>
        <w:tc>
          <w:tcPr>
            <w:tcW w:w="127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全年执行数</w:t>
            </w:r>
          </w:p>
        </w:tc>
        <w:tc>
          <w:tcPr>
            <w:tcW w:w="718"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分值</w:t>
            </w:r>
          </w:p>
        </w:tc>
        <w:tc>
          <w:tcPr>
            <w:tcW w:w="87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执行率</w:t>
            </w:r>
          </w:p>
        </w:tc>
        <w:tc>
          <w:tcPr>
            <w:tcW w:w="145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自评</w:t>
            </w:r>
            <w:r>
              <w:rPr>
                <w:rFonts w:hint="default" w:ascii="Times New Roman" w:hAnsi="Times New Roman" w:eastAsia="仿宋_GB2312" w:cs="Times New Roman"/>
                <w:sz w:val="20"/>
                <w:szCs w:val="20"/>
              </w:rPr>
              <w:t>得分</w:t>
            </w:r>
          </w:p>
        </w:tc>
      </w:tr>
      <w:tr>
        <w:tblPrEx>
          <w:tblLayout w:type="fixed"/>
          <w:tblCellMar>
            <w:top w:w="0" w:type="dxa"/>
            <w:left w:w="108" w:type="dxa"/>
            <w:bottom w:w="0" w:type="dxa"/>
            <w:right w:w="108" w:type="dxa"/>
          </w:tblCellMar>
        </w:tblPrEx>
        <w:trPr>
          <w:trHeight w:val="304" w:hRule="atLeast"/>
          <w:jc w:val="center"/>
        </w:trPr>
        <w:tc>
          <w:tcPr>
            <w:tcW w:w="1084" w:type="dxa"/>
            <w:vMerge w:val="continue"/>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122"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color w:val="000000"/>
                <w:sz w:val="20"/>
                <w:szCs w:val="20"/>
              </w:rPr>
              <w:t>年度资金总额</w:t>
            </w:r>
          </w:p>
        </w:tc>
        <w:tc>
          <w:tcPr>
            <w:tcW w:w="1275"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5145.49</w:t>
            </w:r>
          </w:p>
        </w:tc>
        <w:tc>
          <w:tcPr>
            <w:tcW w:w="131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6333.27</w:t>
            </w:r>
          </w:p>
        </w:tc>
        <w:tc>
          <w:tcPr>
            <w:tcW w:w="127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4622.67</w:t>
            </w:r>
          </w:p>
        </w:tc>
        <w:tc>
          <w:tcPr>
            <w:tcW w:w="718"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b/>
                <w:bCs/>
                <w:sz w:val="20"/>
                <w:szCs w:val="20"/>
              </w:rPr>
              <w:t>10</w:t>
            </w:r>
          </w:p>
        </w:tc>
        <w:tc>
          <w:tcPr>
            <w:tcW w:w="87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73%</w:t>
            </w:r>
          </w:p>
        </w:tc>
        <w:tc>
          <w:tcPr>
            <w:tcW w:w="1454" w:type="dxa"/>
            <w:tcBorders>
              <w:top w:val="nil"/>
              <w:left w:val="nil"/>
              <w:bottom w:val="single" w:color="auto" w:sz="4" w:space="0"/>
              <w:right w:val="single" w:color="auto" w:sz="4" w:space="0"/>
            </w:tcBorders>
            <w:noWrap w:val="0"/>
            <w:vAlign w:val="center"/>
          </w:tcPr>
          <w:p>
            <w:pPr>
              <w:spacing w:line="24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8</w:t>
            </w:r>
          </w:p>
        </w:tc>
      </w:tr>
      <w:tr>
        <w:tblPrEx>
          <w:tblLayout w:type="fixed"/>
          <w:tblCellMar>
            <w:top w:w="0" w:type="dxa"/>
            <w:left w:w="108" w:type="dxa"/>
            <w:bottom w:w="0" w:type="dxa"/>
            <w:right w:w="108" w:type="dxa"/>
          </w:tblCellMar>
        </w:tblPrEx>
        <w:trPr>
          <w:trHeight w:val="304" w:hRule="atLeast"/>
          <w:jc w:val="center"/>
        </w:trPr>
        <w:tc>
          <w:tcPr>
            <w:tcW w:w="1084"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71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按收入性质分：</w:t>
            </w:r>
          </w:p>
        </w:tc>
        <w:tc>
          <w:tcPr>
            <w:tcW w:w="4322"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按支出性质分：</w:t>
            </w:r>
          </w:p>
        </w:tc>
      </w:tr>
      <w:tr>
        <w:tblPrEx>
          <w:tblLayout w:type="fixed"/>
          <w:tblCellMar>
            <w:top w:w="0" w:type="dxa"/>
            <w:left w:w="108" w:type="dxa"/>
            <w:bottom w:w="0" w:type="dxa"/>
            <w:right w:w="108" w:type="dxa"/>
          </w:tblCellMar>
        </w:tblPrEx>
        <w:trPr>
          <w:trHeight w:val="304" w:hRule="atLeast"/>
          <w:jc w:val="center"/>
        </w:trPr>
        <w:tc>
          <w:tcPr>
            <w:tcW w:w="1084"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71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xml:space="preserve">  其中：  一般公共预算：</w:t>
            </w:r>
            <w:r>
              <w:rPr>
                <w:rFonts w:hint="eastAsia" w:ascii="Times New Roman" w:hAnsi="Times New Roman" w:eastAsia="仿宋_GB2312" w:cs="Times New Roman"/>
                <w:sz w:val="20"/>
                <w:szCs w:val="20"/>
                <w:lang w:val="en-US" w:eastAsia="zh-CN"/>
              </w:rPr>
              <w:t>6333.27</w:t>
            </w:r>
          </w:p>
        </w:tc>
        <w:tc>
          <w:tcPr>
            <w:tcW w:w="4322"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sz w:val="20"/>
                <w:szCs w:val="20"/>
              </w:rPr>
              <w:t>其中：基本支出：</w:t>
            </w:r>
            <w:r>
              <w:rPr>
                <w:rFonts w:hint="eastAsia" w:ascii="Times New Roman" w:hAnsi="Times New Roman" w:eastAsia="仿宋_GB2312" w:cs="Times New Roman"/>
                <w:sz w:val="20"/>
                <w:szCs w:val="20"/>
                <w:lang w:val="en-US" w:eastAsia="zh-CN"/>
              </w:rPr>
              <w:t>3190.72</w:t>
            </w:r>
          </w:p>
        </w:tc>
      </w:tr>
      <w:tr>
        <w:tblPrEx>
          <w:tblLayout w:type="fixed"/>
          <w:tblCellMar>
            <w:top w:w="0" w:type="dxa"/>
            <w:left w:w="108" w:type="dxa"/>
            <w:bottom w:w="0" w:type="dxa"/>
            <w:right w:w="108" w:type="dxa"/>
          </w:tblCellMar>
        </w:tblPrEx>
        <w:trPr>
          <w:trHeight w:val="304" w:hRule="atLeast"/>
          <w:jc w:val="center"/>
        </w:trPr>
        <w:tc>
          <w:tcPr>
            <w:tcW w:w="1084"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713"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政府性基金拨款：</w:t>
            </w:r>
            <w:r>
              <w:rPr>
                <w:rFonts w:hint="eastAsia" w:ascii="Times New Roman" w:hAnsi="Times New Roman" w:eastAsia="仿宋_GB2312" w:cs="Times New Roman"/>
                <w:color w:val="000000"/>
                <w:sz w:val="20"/>
                <w:szCs w:val="20"/>
                <w:lang w:val="en-US" w:eastAsia="zh-CN"/>
              </w:rPr>
              <w:t>0</w:t>
            </w:r>
          </w:p>
        </w:tc>
        <w:tc>
          <w:tcPr>
            <w:tcW w:w="4322"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sz w:val="20"/>
                <w:szCs w:val="20"/>
              </w:rPr>
              <w:t>项目支出：</w:t>
            </w:r>
            <w:r>
              <w:rPr>
                <w:rFonts w:hint="eastAsia" w:ascii="Times New Roman" w:hAnsi="Times New Roman" w:eastAsia="仿宋_GB2312" w:cs="Times New Roman"/>
                <w:sz w:val="20"/>
                <w:szCs w:val="20"/>
                <w:lang w:val="en-US" w:eastAsia="zh-CN"/>
              </w:rPr>
              <w:t>1431.95</w:t>
            </w:r>
          </w:p>
        </w:tc>
      </w:tr>
      <w:tr>
        <w:tblPrEx>
          <w:tblLayout w:type="fixed"/>
          <w:tblCellMar>
            <w:top w:w="0" w:type="dxa"/>
            <w:left w:w="108" w:type="dxa"/>
            <w:bottom w:w="0" w:type="dxa"/>
            <w:right w:w="108" w:type="dxa"/>
          </w:tblCellMar>
        </w:tblPrEx>
        <w:trPr>
          <w:trHeight w:val="304" w:hRule="atLeast"/>
          <w:jc w:val="center"/>
        </w:trPr>
        <w:tc>
          <w:tcPr>
            <w:tcW w:w="1084"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71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纳入专户管理的非税收入拨款：</w:t>
            </w:r>
            <w:r>
              <w:rPr>
                <w:rFonts w:hint="eastAsia" w:ascii="Times New Roman" w:hAnsi="Times New Roman" w:eastAsia="仿宋_GB2312" w:cs="Times New Roman"/>
                <w:color w:val="000000"/>
                <w:sz w:val="20"/>
                <w:szCs w:val="20"/>
                <w:lang w:val="en-US" w:eastAsia="zh-CN"/>
              </w:rPr>
              <w:t>0</w:t>
            </w:r>
          </w:p>
        </w:tc>
        <w:tc>
          <w:tcPr>
            <w:tcW w:w="4322"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trHeight w:val="304" w:hRule="atLeast"/>
          <w:jc w:val="center"/>
        </w:trPr>
        <w:tc>
          <w:tcPr>
            <w:tcW w:w="1084"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713"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其他资金：</w:t>
            </w:r>
          </w:p>
        </w:tc>
        <w:tc>
          <w:tcPr>
            <w:tcW w:w="4322"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trHeight w:val="304" w:hRule="atLeast"/>
          <w:jc w:val="center"/>
        </w:trPr>
        <w:tc>
          <w:tcPr>
            <w:tcW w:w="108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年度总体目标</w:t>
            </w:r>
          </w:p>
        </w:tc>
        <w:tc>
          <w:tcPr>
            <w:tcW w:w="4713"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预期目标</w:t>
            </w:r>
          </w:p>
        </w:tc>
        <w:tc>
          <w:tcPr>
            <w:tcW w:w="4322"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实际完成情况　</w:t>
            </w:r>
          </w:p>
        </w:tc>
      </w:tr>
      <w:tr>
        <w:tblPrEx>
          <w:tblLayout w:type="fixed"/>
          <w:tblCellMar>
            <w:top w:w="0" w:type="dxa"/>
            <w:left w:w="108" w:type="dxa"/>
            <w:bottom w:w="0" w:type="dxa"/>
            <w:right w:w="108" w:type="dxa"/>
          </w:tblCellMar>
        </w:tblPrEx>
        <w:trPr>
          <w:trHeight w:val="1782" w:hRule="atLeast"/>
          <w:jc w:val="center"/>
        </w:trPr>
        <w:tc>
          <w:tcPr>
            <w:tcW w:w="108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713" w:type="dxa"/>
            <w:gridSpan w:val="4"/>
            <w:tcBorders>
              <w:top w:val="single" w:color="auto" w:sz="4" w:space="0"/>
              <w:left w:val="nil"/>
              <w:bottom w:val="single" w:color="auto" w:sz="4" w:space="0"/>
              <w:right w:val="single" w:color="000000" w:sz="4" w:space="0"/>
            </w:tcBorders>
            <w:noWrap w:val="0"/>
            <w:vAlign w:val="center"/>
          </w:tcPr>
          <w:p>
            <w:pPr>
              <w:widowControl/>
              <w:spacing w:line="240" w:lineRule="auto"/>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目标1：</w:t>
            </w:r>
            <w:r>
              <w:rPr>
                <w:rFonts w:hint="eastAsia" w:ascii="Times New Roman" w:hAnsi="Times New Roman" w:eastAsia="仿宋_GB2312" w:cs="Times New Roman"/>
                <w:color w:val="000000"/>
                <w:sz w:val="20"/>
                <w:szCs w:val="20"/>
                <w:lang w:val="zh-CN"/>
              </w:rPr>
              <w:t>全力助推农机高地建设</w:t>
            </w:r>
            <w:r>
              <w:rPr>
                <w:rFonts w:hint="default" w:ascii="Times New Roman" w:hAnsi="Times New Roman" w:eastAsia="仿宋_GB2312" w:cs="Times New Roman"/>
                <w:color w:val="000000"/>
                <w:sz w:val="20"/>
                <w:szCs w:val="20"/>
              </w:rPr>
              <w:t xml:space="preserve">                                                                                                                                           目</w:t>
            </w:r>
            <w:r>
              <w:rPr>
                <w:rFonts w:hint="default" w:ascii="Times New Roman" w:hAnsi="Times New Roman" w:eastAsia="仿宋_GB2312" w:cs="Times New Roman"/>
                <w:color w:val="000000"/>
                <w:sz w:val="20"/>
                <w:szCs w:val="20"/>
                <w:lang w:val="zh-CN"/>
              </w:rPr>
              <w:t>标2：</w:t>
            </w:r>
            <w:r>
              <w:rPr>
                <w:rFonts w:hint="eastAsia" w:ascii="Times New Roman" w:hAnsi="Times New Roman" w:eastAsia="仿宋_GB2312" w:cs="Times New Roman"/>
                <w:color w:val="000000"/>
                <w:sz w:val="20"/>
                <w:szCs w:val="20"/>
                <w:lang w:val="zh-CN"/>
              </w:rPr>
              <w:t>扎实推动农机科技推广</w:t>
            </w:r>
          </w:p>
          <w:p>
            <w:pPr>
              <w:widowControl/>
              <w:spacing w:line="240" w:lineRule="auto"/>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目标3：</w:t>
            </w:r>
            <w:r>
              <w:rPr>
                <w:rFonts w:hint="eastAsia" w:ascii="Times New Roman" w:hAnsi="Times New Roman" w:eastAsia="仿宋_GB2312" w:cs="Times New Roman"/>
                <w:color w:val="000000"/>
                <w:sz w:val="20"/>
                <w:szCs w:val="20"/>
                <w:lang w:val="zh-CN"/>
              </w:rPr>
              <w:t>抓实农业机械化生产服务</w:t>
            </w:r>
          </w:p>
          <w:p>
            <w:pPr>
              <w:widowControl/>
              <w:spacing w:line="240" w:lineRule="exact"/>
              <w:jc w:val="both"/>
              <w:rPr>
                <w:rFonts w:hint="eastAsia" w:ascii="Times New Roman" w:hAnsi="Times New Roman" w:eastAsia="仿宋_GB2312" w:cs="Times New Roman"/>
                <w:color w:val="000000"/>
                <w:sz w:val="20"/>
                <w:szCs w:val="20"/>
                <w:lang w:val="zh-CN"/>
              </w:rPr>
            </w:pPr>
            <w:r>
              <w:rPr>
                <w:rFonts w:hint="default" w:ascii="Times New Roman" w:hAnsi="Times New Roman" w:eastAsia="仿宋_GB2312" w:cs="Times New Roman"/>
                <w:color w:val="000000"/>
                <w:sz w:val="20"/>
                <w:szCs w:val="20"/>
              </w:rPr>
              <w:t>目标</w:t>
            </w:r>
            <w:r>
              <w:rPr>
                <w:rFonts w:hint="eastAsia" w:ascii="Times New Roman" w:hAnsi="Times New Roman" w:eastAsia="仿宋_GB2312" w:cs="Times New Roman"/>
                <w:color w:val="000000"/>
                <w:sz w:val="20"/>
                <w:szCs w:val="20"/>
                <w:lang w:val="en-US" w:eastAsia="zh-CN"/>
              </w:rPr>
              <w:t>4</w:t>
            </w:r>
            <w:r>
              <w:rPr>
                <w:rFonts w:hint="default" w:ascii="Times New Roman" w:hAnsi="Times New Roman" w:eastAsia="仿宋_GB2312" w:cs="Times New Roman"/>
                <w:color w:val="000000"/>
                <w:sz w:val="20"/>
                <w:szCs w:val="20"/>
              </w:rPr>
              <w:t>：</w:t>
            </w:r>
            <w:r>
              <w:rPr>
                <w:rFonts w:hint="eastAsia" w:ascii="Times New Roman" w:hAnsi="Times New Roman" w:eastAsia="仿宋_GB2312" w:cs="Times New Roman"/>
                <w:color w:val="000000"/>
                <w:sz w:val="20"/>
                <w:szCs w:val="20"/>
                <w:lang w:val="zh-CN"/>
              </w:rPr>
              <w:t>有序</w:t>
            </w:r>
            <w:r>
              <w:rPr>
                <w:rFonts w:hint="eastAsia" w:ascii="Times New Roman" w:hAnsi="Times New Roman" w:eastAsia="仿宋_GB2312" w:cs="Times New Roman"/>
                <w:color w:val="000000"/>
                <w:sz w:val="20"/>
                <w:szCs w:val="20"/>
              </w:rPr>
              <w:t>开展农机</w:t>
            </w:r>
            <w:r>
              <w:rPr>
                <w:rFonts w:hint="eastAsia" w:ascii="Times New Roman" w:hAnsi="Times New Roman" w:eastAsia="仿宋_GB2312" w:cs="Times New Roman"/>
                <w:color w:val="000000"/>
                <w:sz w:val="20"/>
                <w:szCs w:val="20"/>
                <w:lang w:val="zh-CN"/>
              </w:rPr>
              <w:t>试验鉴定</w:t>
            </w:r>
          </w:p>
          <w:p>
            <w:pPr>
              <w:widowControl/>
              <w:spacing w:line="240" w:lineRule="exact"/>
              <w:jc w:val="both"/>
              <w:rPr>
                <w:rFonts w:hint="eastAsia" w:ascii="Times New Roman" w:hAnsi="Times New Roman" w:eastAsia="仿宋_GB2312" w:cs="Times New Roman"/>
                <w:color w:val="000000"/>
                <w:sz w:val="20"/>
                <w:szCs w:val="20"/>
                <w:lang w:eastAsia="zh-CN"/>
              </w:rPr>
            </w:pPr>
            <w:r>
              <w:rPr>
                <w:rFonts w:hint="default" w:ascii="Times New Roman" w:hAnsi="Times New Roman" w:eastAsia="仿宋_GB2312" w:cs="Times New Roman"/>
                <w:color w:val="000000"/>
                <w:sz w:val="20"/>
                <w:szCs w:val="20"/>
              </w:rPr>
              <w:t>目标</w:t>
            </w:r>
            <w:r>
              <w:rPr>
                <w:rFonts w:hint="eastAsia" w:ascii="Times New Roman" w:hAnsi="Times New Roman" w:eastAsia="仿宋_GB2312" w:cs="Times New Roman"/>
                <w:color w:val="000000"/>
                <w:sz w:val="20"/>
                <w:szCs w:val="20"/>
                <w:lang w:val="en-US" w:eastAsia="zh-CN"/>
              </w:rPr>
              <w:t>5</w:t>
            </w:r>
            <w:r>
              <w:rPr>
                <w:rFonts w:hint="default" w:ascii="Times New Roman" w:hAnsi="Times New Roman" w:eastAsia="仿宋_GB2312" w:cs="Times New Roman"/>
                <w:color w:val="000000"/>
                <w:sz w:val="20"/>
                <w:szCs w:val="20"/>
              </w:rPr>
              <w:t>：规范农机</w:t>
            </w:r>
            <w:r>
              <w:rPr>
                <w:rFonts w:hint="eastAsia" w:ascii="Times New Roman" w:hAnsi="Times New Roman" w:eastAsia="仿宋_GB2312" w:cs="Times New Roman"/>
                <w:color w:val="000000"/>
                <w:sz w:val="20"/>
                <w:szCs w:val="20"/>
                <w:lang w:eastAsia="zh-CN"/>
              </w:rPr>
              <w:t>安全监管</w:t>
            </w:r>
          </w:p>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目标</w:t>
            </w:r>
            <w:r>
              <w:rPr>
                <w:rFonts w:hint="eastAsia" w:ascii="Times New Roman" w:hAnsi="Times New Roman" w:eastAsia="仿宋_GB2312" w:cs="Times New Roman"/>
                <w:color w:val="000000"/>
                <w:sz w:val="20"/>
                <w:szCs w:val="20"/>
                <w:lang w:val="en-US" w:eastAsia="zh-CN"/>
              </w:rPr>
              <w:t>6</w:t>
            </w:r>
            <w:r>
              <w:rPr>
                <w:rFonts w:hint="default" w:ascii="Times New Roman" w:hAnsi="Times New Roman" w:eastAsia="仿宋_GB2312" w:cs="Times New Roman"/>
                <w:color w:val="000000"/>
                <w:sz w:val="20"/>
                <w:szCs w:val="20"/>
              </w:rPr>
              <w:t>：</w:t>
            </w:r>
            <w:r>
              <w:rPr>
                <w:rFonts w:hint="eastAsia" w:ascii="Times New Roman" w:hAnsi="Times New Roman" w:eastAsia="仿宋_GB2312" w:cs="Times New Roman"/>
                <w:color w:val="000000"/>
                <w:sz w:val="20"/>
                <w:szCs w:val="20"/>
                <w:lang w:val="zh-CN"/>
              </w:rPr>
              <w:t>持续做好补贴事务工作</w:t>
            </w:r>
          </w:p>
        </w:tc>
        <w:tc>
          <w:tcPr>
            <w:tcW w:w="4322"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eastAsia="zh-CN"/>
              </w:rPr>
              <w:t>基本完成</w:t>
            </w:r>
          </w:p>
        </w:tc>
      </w:tr>
      <w:tr>
        <w:tblPrEx>
          <w:tblLayout w:type="fixed"/>
          <w:tblCellMar>
            <w:top w:w="0" w:type="dxa"/>
            <w:left w:w="108" w:type="dxa"/>
            <w:bottom w:w="0" w:type="dxa"/>
            <w:right w:w="108" w:type="dxa"/>
          </w:tblCellMar>
        </w:tblPrEx>
        <w:trPr>
          <w:trHeight w:val="586" w:hRule="atLeast"/>
          <w:jc w:val="center"/>
        </w:trPr>
        <w:tc>
          <w:tcPr>
            <w:tcW w:w="108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绩</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标</w:t>
            </w:r>
          </w:p>
          <w:p>
            <w:pPr>
              <w:widowControl/>
              <w:spacing w:line="240" w:lineRule="exact"/>
              <w:jc w:val="center"/>
              <w:rPr>
                <w:rFonts w:hint="default" w:ascii="Times New Roman" w:hAnsi="Times New Roman" w:eastAsia="仿宋_GB2312" w:cs="Times New Roman"/>
                <w:color w:val="000000"/>
                <w:sz w:val="20"/>
                <w:szCs w:val="20"/>
              </w:rPr>
            </w:pPr>
          </w:p>
        </w:tc>
        <w:tc>
          <w:tcPr>
            <w:tcW w:w="10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一级指标</w:t>
            </w:r>
          </w:p>
        </w:tc>
        <w:tc>
          <w:tcPr>
            <w:tcW w:w="103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二级指标</w:t>
            </w:r>
          </w:p>
        </w:tc>
        <w:tc>
          <w:tcPr>
            <w:tcW w:w="127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三级指标</w:t>
            </w:r>
          </w:p>
        </w:tc>
        <w:tc>
          <w:tcPr>
            <w:tcW w:w="1316"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年度指标值</w:t>
            </w:r>
          </w:p>
        </w:tc>
        <w:tc>
          <w:tcPr>
            <w:tcW w:w="1274" w:type="dxa"/>
            <w:tcBorders>
              <w:top w:val="nil"/>
              <w:left w:val="nil"/>
              <w:bottom w:val="single" w:color="auto" w:sz="4" w:space="0"/>
              <w:right w:val="single" w:color="auto" w:sz="4" w:space="0"/>
            </w:tcBorders>
            <w:noWrap w:val="0"/>
            <w:vAlign w:val="center"/>
          </w:tcPr>
          <w:p>
            <w:pPr>
              <w:widowControl/>
              <w:spacing w:line="240" w:lineRule="exac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实际完成值</w:t>
            </w:r>
          </w:p>
        </w:tc>
        <w:tc>
          <w:tcPr>
            <w:tcW w:w="71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分值</w:t>
            </w:r>
          </w:p>
        </w:tc>
        <w:tc>
          <w:tcPr>
            <w:tcW w:w="87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16"/>
                <w:szCs w:val="16"/>
                <w:lang w:eastAsia="zh-CN"/>
              </w:rPr>
              <w:t>自评</w:t>
            </w:r>
            <w:r>
              <w:rPr>
                <w:rFonts w:hint="default" w:ascii="Times New Roman" w:hAnsi="Times New Roman" w:eastAsia="仿宋_GB2312" w:cs="Times New Roman"/>
                <w:color w:val="000000"/>
                <w:sz w:val="16"/>
                <w:szCs w:val="16"/>
              </w:rPr>
              <w:t>得分</w:t>
            </w:r>
          </w:p>
        </w:tc>
        <w:tc>
          <w:tcPr>
            <w:tcW w:w="1454"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偏差原因分析及改进措施</w:t>
            </w:r>
          </w:p>
        </w:tc>
      </w:tr>
      <w:tr>
        <w:tblPrEx>
          <w:tblLayout w:type="fixed"/>
          <w:tblCellMar>
            <w:top w:w="0" w:type="dxa"/>
            <w:left w:w="108" w:type="dxa"/>
            <w:bottom w:w="0" w:type="dxa"/>
            <w:right w:w="108" w:type="dxa"/>
          </w:tblCellMar>
        </w:tblPrEx>
        <w:trPr>
          <w:trHeight w:val="868" w:hRule="atLeast"/>
          <w:jc w:val="center"/>
        </w:trPr>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产出指标</w:t>
            </w:r>
          </w:p>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(50分)</w:t>
            </w:r>
          </w:p>
        </w:tc>
        <w:tc>
          <w:tcPr>
            <w:tcW w:w="103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数量指标</w:t>
            </w:r>
          </w:p>
        </w:tc>
        <w:tc>
          <w:tcPr>
            <w:tcW w:w="1275"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default" w:ascii="Times New Roman" w:hAnsi="Times New Roman" w:eastAsia="仿宋_GB2312" w:cs="Times New Roman"/>
                <w:color w:val="000000"/>
                <w:sz w:val="20"/>
                <w:szCs w:val="20"/>
              </w:rPr>
              <w:t>现代农机合作社三员培训班</w:t>
            </w:r>
          </w:p>
        </w:tc>
        <w:tc>
          <w:tcPr>
            <w:tcW w:w="131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380人</w:t>
            </w:r>
          </w:p>
        </w:tc>
        <w:tc>
          <w:tcPr>
            <w:tcW w:w="127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kern w:val="2"/>
                <w:sz w:val="20"/>
                <w:szCs w:val="20"/>
                <w:lang w:val="en-US" w:eastAsia="zh-CN" w:bidi="ar-SA"/>
              </w:rPr>
              <w:t>420人</w:t>
            </w:r>
          </w:p>
        </w:tc>
        <w:tc>
          <w:tcPr>
            <w:tcW w:w="7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5</w:t>
            </w:r>
          </w:p>
        </w:tc>
        <w:tc>
          <w:tcPr>
            <w:tcW w:w="87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5</w:t>
            </w:r>
          </w:p>
        </w:tc>
        <w:tc>
          <w:tcPr>
            <w:tcW w:w="1454"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1432" w:hRule="atLeast"/>
          <w:jc w:val="center"/>
        </w:trPr>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275"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kern w:val="2"/>
                <w:sz w:val="20"/>
                <w:szCs w:val="20"/>
                <w:lang w:val="en-US" w:eastAsia="zh-CN" w:bidi="ar-SA"/>
              </w:rPr>
            </w:pPr>
            <w:r>
              <w:rPr>
                <w:rFonts w:hint="default" w:ascii="Times New Roman" w:hAnsi="Times New Roman" w:eastAsia="仿宋_GB2312" w:cs="Times New Roman"/>
                <w:color w:val="000000"/>
                <w:sz w:val="20"/>
                <w:szCs w:val="20"/>
              </w:rPr>
              <w:t>农业机械试验鉴定规范实施培训班</w:t>
            </w:r>
            <w:r>
              <w:rPr>
                <w:rFonts w:hint="eastAsia" w:ascii="Times New Roman" w:hAnsi="Times New Roman" w:eastAsia="仿宋_GB2312" w:cs="Times New Roman"/>
                <w:color w:val="000000"/>
                <w:sz w:val="20"/>
                <w:szCs w:val="20"/>
                <w:lang w:eastAsia="zh-CN"/>
              </w:rPr>
              <w:t>（培训企业）</w:t>
            </w:r>
          </w:p>
        </w:tc>
        <w:tc>
          <w:tcPr>
            <w:tcW w:w="13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70家</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78家</w:t>
            </w:r>
          </w:p>
        </w:tc>
        <w:tc>
          <w:tcPr>
            <w:tcW w:w="71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5</w:t>
            </w:r>
          </w:p>
        </w:tc>
        <w:tc>
          <w:tcPr>
            <w:tcW w:w="87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5</w:t>
            </w:r>
          </w:p>
        </w:tc>
        <w:tc>
          <w:tcPr>
            <w:tcW w:w="145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586" w:hRule="atLeast"/>
          <w:jc w:val="center"/>
        </w:trPr>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27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kern w:val="2"/>
                <w:sz w:val="20"/>
                <w:szCs w:val="20"/>
                <w:lang w:val="en-US" w:eastAsia="zh-CN" w:bidi="ar-SA"/>
              </w:rPr>
              <w:t>“送训下基层”</w:t>
            </w:r>
          </w:p>
        </w:tc>
        <w:tc>
          <w:tcPr>
            <w:tcW w:w="13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kern w:val="2"/>
                <w:sz w:val="20"/>
                <w:szCs w:val="20"/>
                <w:lang w:val="en-US" w:eastAsia="zh-CN" w:bidi="ar-SA"/>
              </w:rPr>
              <w:t>500人</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kern w:val="2"/>
                <w:sz w:val="20"/>
                <w:szCs w:val="20"/>
                <w:lang w:val="en-US" w:eastAsia="zh-CN" w:bidi="ar-SA"/>
              </w:rPr>
              <w:t>540人</w:t>
            </w:r>
          </w:p>
        </w:tc>
        <w:tc>
          <w:tcPr>
            <w:tcW w:w="71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5</w:t>
            </w:r>
          </w:p>
        </w:tc>
        <w:tc>
          <w:tcPr>
            <w:tcW w:w="87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5</w:t>
            </w:r>
          </w:p>
        </w:tc>
        <w:tc>
          <w:tcPr>
            <w:tcW w:w="145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1150" w:hRule="atLeast"/>
          <w:jc w:val="center"/>
        </w:trPr>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27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监理四员培训费用</w:t>
            </w:r>
          </w:p>
        </w:tc>
        <w:tc>
          <w:tcPr>
            <w:tcW w:w="13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kern w:val="2"/>
                <w:sz w:val="20"/>
                <w:szCs w:val="20"/>
                <w:lang w:val="en-US" w:eastAsia="zh-CN" w:bidi="ar-SA"/>
              </w:rPr>
              <w:t>600人</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kern w:val="2"/>
                <w:sz w:val="20"/>
                <w:szCs w:val="20"/>
                <w:lang w:val="en-US" w:eastAsia="zh-CN" w:bidi="ar-SA"/>
              </w:rPr>
              <w:t>478人</w:t>
            </w:r>
          </w:p>
        </w:tc>
        <w:tc>
          <w:tcPr>
            <w:tcW w:w="71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87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kern w:val="2"/>
                <w:sz w:val="20"/>
                <w:szCs w:val="20"/>
                <w:lang w:val="en-US" w:eastAsia="zh-CN" w:bidi="ar-SA"/>
              </w:rPr>
              <w:t>4</w:t>
            </w:r>
          </w:p>
        </w:tc>
        <w:tc>
          <w:tcPr>
            <w:tcW w:w="145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机构改革涉及人员调整，农机监理岗位后备人员不足</w:t>
            </w:r>
          </w:p>
        </w:tc>
      </w:tr>
      <w:tr>
        <w:tblPrEx>
          <w:tblLayout w:type="fixed"/>
          <w:tblCellMar>
            <w:top w:w="0" w:type="dxa"/>
            <w:left w:w="108" w:type="dxa"/>
            <w:bottom w:w="0" w:type="dxa"/>
            <w:right w:w="108" w:type="dxa"/>
          </w:tblCellMar>
        </w:tblPrEx>
        <w:trPr>
          <w:trHeight w:val="1714" w:hRule="atLeast"/>
          <w:jc w:val="center"/>
        </w:trPr>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质量指标</w:t>
            </w:r>
          </w:p>
        </w:tc>
        <w:tc>
          <w:tcPr>
            <w:tcW w:w="12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完善农机合作社及用户服务系统及农机作业监测平台建设（%）</w:t>
            </w:r>
          </w:p>
        </w:tc>
        <w:tc>
          <w:tcPr>
            <w:tcW w:w="1316"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100%</w:t>
            </w:r>
          </w:p>
        </w:tc>
        <w:tc>
          <w:tcPr>
            <w:tcW w:w="1274"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100%</w:t>
            </w:r>
          </w:p>
        </w:tc>
        <w:tc>
          <w:tcPr>
            <w:tcW w:w="7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87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1454"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868" w:hRule="atLeast"/>
          <w:jc w:val="center"/>
        </w:trPr>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27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农机试验鉴定、检测能力保障建设</w:t>
            </w:r>
          </w:p>
        </w:tc>
        <w:tc>
          <w:tcPr>
            <w:tcW w:w="13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100%</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100%</w:t>
            </w:r>
          </w:p>
        </w:tc>
        <w:tc>
          <w:tcPr>
            <w:tcW w:w="71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87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145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586" w:hRule="atLeast"/>
          <w:jc w:val="center"/>
        </w:trPr>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时效指标</w:t>
            </w:r>
          </w:p>
        </w:tc>
        <w:tc>
          <w:tcPr>
            <w:tcW w:w="12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eastAsia="zh-CN"/>
              </w:rPr>
              <w:t>按时完成年度标准</w:t>
            </w:r>
            <w:r>
              <w:rPr>
                <w:rFonts w:hint="eastAsia" w:ascii="Times New Roman" w:hAnsi="Times New Roman" w:eastAsia="仿宋_GB2312" w:cs="Times New Roman"/>
                <w:color w:val="000000"/>
                <w:sz w:val="20"/>
                <w:szCs w:val="20"/>
                <w:lang w:val="en-US" w:eastAsia="zh-CN"/>
              </w:rPr>
              <w:t>体系</w:t>
            </w:r>
          </w:p>
        </w:tc>
        <w:tc>
          <w:tcPr>
            <w:tcW w:w="1316"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1年</w:t>
            </w:r>
          </w:p>
        </w:tc>
        <w:tc>
          <w:tcPr>
            <w:tcW w:w="1274"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1年</w:t>
            </w:r>
          </w:p>
        </w:tc>
        <w:tc>
          <w:tcPr>
            <w:tcW w:w="7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7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1454"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586" w:hRule="atLeast"/>
          <w:jc w:val="center"/>
        </w:trPr>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成本指标</w:t>
            </w:r>
          </w:p>
        </w:tc>
        <w:tc>
          <w:tcPr>
            <w:tcW w:w="12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会议、培训按标准展开</w:t>
            </w:r>
          </w:p>
        </w:tc>
        <w:tc>
          <w:tcPr>
            <w:tcW w:w="131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lang w:eastAsia="zh-CN"/>
              </w:rPr>
              <w:t>　≤</w:t>
            </w:r>
            <w:r>
              <w:rPr>
                <w:rFonts w:hint="eastAsia" w:ascii="Times New Roman" w:hAnsi="Times New Roman" w:eastAsia="仿宋_GB2312" w:cs="Times New Roman"/>
                <w:color w:val="000000"/>
                <w:sz w:val="20"/>
                <w:szCs w:val="20"/>
                <w:lang w:val="en-US" w:eastAsia="zh-CN"/>
              </w:rPr>
              <w:t>440（人/天）</w:t>
            </w:r>
          </w:p>
        </w:tc>
        <w:tc>
          <w:tcPr>
            <w:tcW w:w="127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eastAsia="zh-CN"/>
              </w:rPr>
            </w:pPr>
            <w:r>
              <w:rPr>
                <w:rFonts w:hint="default" w:ascii="Times New Roman" w:hAnsi="Times New Roman" w:eastAsia="仿宋_GB2312" w:cs="Times New Roman"/>
                <w:color w:val="000000"/>
                <w:sz w:val="20"/>
                <w:szCs w:val="20"/>
                <w:lang w:eastAsia="zh-CN"/>
              </w:rPr>
              <w:t>　≤</w:t>
            </w:r>
            <w:r>
              <w:rPr>
                <w:rFonts w:hint="eastAsia" w:ascii="Times New Roman" w:hAnsi="Times New Roman" w:eastAsia="仿宋_GB2312" w:cs="Times New Roman"/>
                <w:color w:val="000000"/>
                <w:sz w:val="20"/>
                <w:szCs w:val="20"/>
                <w:lang w:val="en-US" w:eastAsia="zh-CN"/>
              </w:rPr>
              <w:t>440（人/天）</w:t>
            </w:r>
          </w:p>
        </w:tc>
        <w:tc>
          <w:tcPr>
            <w:tcW w:w="7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7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1454"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586" w:hRule="atLeast"/>
          <w:jc w:val="center"/>
        </w:trPr>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效益指标</w:t>
            </w: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（30分）</w:t>
            </w: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03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经济效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2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油菜机械化提单产技术节本增效明显</w:t>
            </w:r>
          </w:p>
        </w:tc>
        <w:tc>
          <w:tcPr>
            <w:tcW w:w="131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default" w:ascii="Times New Roman" w:hAnsi="Times New Roman" w:eastAsia="仿宋_GB2312" w:cs="Times New Roman"/>
                <w:color w:val="000000"/>
                <w:sz w:val="20"/>
                <w:szCs w:val="20"/>
                <w:lang w:val="en-US" w:eastAsia="zh-CN"/>
              </w:rPr>
              <w:t>产量130kg/亩、节本增效50元/亩</w:t>
            </w:r>
          </w:p>
        </w:tc>
        <w:tc>
          <w:tcPr>
            <w:tcW w:w="127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产量141kg/亩、节本增效152元/亩</w:t>
            </w:r>
          </w:p>
        </w:tc>
        <w:tc>
          <w:tcPr>
            <w:tcW w:w="7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5</w:t>
            </w:r>
          </w:p>
        </w:tc>
        <w:tc>
          <w:tcPr>
            <w:tcW w:w="87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5</w:t>
            </w:r>
          </w:p>
        </w:tc>
        <w:tc>
          <w:tcPr>
            <w:tcW w:w="1454"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1432" w:hRule="atLeast"/>
          <w:jc w:val="center"/>
        </w:trPr>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27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水稻机械化提单产技术节本增效明显</w:t>
            </w:r>
          </w:p>
        </w:tc>
        <w:tc>
          <w:tcPr>
            <w:tcW w:w="13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auto"/>
                <w:sz w:val="20"/>
                <w:szCs w:val="20"/>
                <w:lang w:val="en-US" w:eastAsia="zh-CN"/>
              </w:rPr>
              <w:t>产量双季1000kg以上，节本增效100元/亩以上</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产量双季1103.8kg/亩、节本增效218.3元/亩</w:t>
            </w:r>
          </w:p>
        </w:tc>
        <w:tc>
          <w:tcPr>
            <w:tcW w:w="71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87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145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532" w:hRule="atLeast"/>
          <w:jc w:val="center"/>
        </w:trPr>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社会效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27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default" w:ascii="Times New Roman" w:hAnsi="Times New Roman" w:eastAsia="仿宋_GB2312" w:cs="Times New Roman"/>
                <w:color w:val="000000"/>
                <w:sz w:val="20"/>
                <w:szCs w:val="20"/>
                <w:lang w:val="en-US" w:eastAsia="zh-CN"/>
              </w:rPr>
              <w:t>群众</w:t>
            </w:r>
            <w:r>
              <w:rPr>
                <w:rFonts w:hint="eastAsia" w:ascii="Times New Roman" w:hAnsi="Times New Roman" w:eastAsia="仿宋_GB2312" w:cs="Times New Roman"/>
                <w:color w:val="000000"/>
                <w:sz w:val="20"/>
                <w:szCs w:val="20"/>
                <w:lang w:val="en-US" w:eastAsia="zh-CN"/>
              </w:rPr>
              <w:t>自主维权</w:t>
            </w:r>
            <w:r>
              <w:rPr>
                <w:rFonts w:hint="default" w:ascii="Times New Roman" w:hAnsi="Times New Roman" w:eastAsia="仿宋_GB2312" w:cs="Times New Roman"/>
                <w:color w:val="000000"/>
                <w:sz w:val="20"/>
                <w:szCs w:val="20"/>
                <w:lang w:val="en-US" w:eastAsia="zh-CN"/>
              </w:rPr>
              <w:t>保护意识</w:t>
            </w:r>
          </w:p>
        </w:tc>
        <w:tc>
          <w:tcPr>
            <w:tcW w:w="13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default" w:ascii="Times New Roman" w:hAnsi="Times New Roman" w:eastAsia="仿宋_GB2312" w:cs="Times New Roman"/>
                <w:color w:val="000000"/>
                <w:sz w:val="20"/>
                <w:szCs w:val="20"/>
                <w:lang w:val="en-US" w:eastAsia="zh-CN"/>
              </w:rPr>
              <w:t>显著提高</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default" w:ascii="Times New Roman" w:hAnsi="Times New Roman" w:eastAsia="仿宋_GB2312" w:cs="Times New Roman"/>
                <w:color w:val="000000"/>
                <w:sz w:val="20"/>
                <w:szCs w:val="20"/>
                <w:lang w:val="en-US" w:eastAsia="zh-CN"/>
              </w:rPr>
              <w:t>显著提高</w:t>
            </w:r>
          </w:p>
        </w:tc>
        <w:tc>
          <w:tcPr>
            <w:tcW w:w="71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5</w:t>
            </w:r>
          </w:p>
        </w:tc>
        <w:tc>
          <w:tcPr>
            <w:tcW w:w="87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5</w:t>
            </w:r>
          </w:p>
        </w:tc>
        <w:tc>
          <w:tcPr>
            <w:tcW w:w="145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868" w:hRule="atLeast"/>
          <w:jc w:val="center"/>
        </w:trPr>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27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eastAsia="zh-CN"/>
              </w:rPr>
              <w:t>企业对鉴定申报要求熟练程度</w:t>
            </w:r>
          </w:p>
        </w:tc>
        <w:tc>
          <w:tcPr>
            <w:tcW w:w="13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default" w:ascii="Times New Roman" w:hAnsi="Times New Roman" w:eastAsia="仿宋_GB2312" w:cs="Times New Roman"/>
                <w:color w:val="000000"/>
                <w:sz w:val="20"/>
                <w:szCs w:val="20"/>
                <w:lang w:val="en-US" w:eastAsia="zh-CN"/>
              </w:rPr>
              <w:t>显著提高</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default" w:ascii="Times New Roman" w:hAnsi="Times New Roman" w:eastAsia="仿宋_GB2312" w:cs="Times New Roman"/>
                <w:color w:val="000000"/>
                <w:sz w:val="20"/>
                <w:szCs w:val="20"/>
                <w:lang w:val="en-US" w:eastAsia="zh-CN"/>
              </w:rPr>
              <w:t>显著提高</w:t>
            </w:r>
          </w:p>
        </w:tc>
        <w:tc>
          <w:tcPr>
            <w:tcW w:w="71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5</w:t>
            </w:r>
          </w:p>
        </w:tc>
        <w:tc>
          <w:tcPr>
            <w:tcW w:w="87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5</w:t>
            </w:r>
          </w:p>
        </w:tc>
        <w:tc>
          <w:tcPr>
            <w:tcW w:w="145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586" w:hRule="atLeast"/>
          <w:jc w:val="center"/>
        </w:trPr>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生态效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27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lang w:val="en-US" w:eastAsia="zh-CN"/>
              </w:rPr>
              <w:t>群众</w:t>
            </w:r>
            <w:r>
              <w:rPr>
                <w:rFonts w:hint="eastAsia" w:ascii="Times New Roman" w:hAnsi="Times New Roman" w:eastAsia="仿宋_GB2312" w:cs="Times New Roman"/>
                <w:color w:val="000000"/>
                <w:sz w:val="20"/>
                <w:szCs w:val="20"/>
                <w:lang w:val="en-US" w:eastAsia="zh-CN"/>
              </w:rPr>
              <w:t>粮食减损</w:t>
            </w:r>
            <w:r>
              <w:rPr>
                <w:rFonts w:hint="default" w:ascii="Times New Roman" w:hAnsi="Times New Roman" w:eastAsia="仿宋_GB2312" w:cs="Times New Roman"/>
                <w:color w:val="000000"/>
                <w:sz w:val="20"/>
                <w:szCs w:val="20"/>
                <w:lang w:val="en-US" w:eastAsia="zh-CN"/>
              </w:rPr>
              <w:t>意识</w:t>
            </w:r>
          </w:p>
        </w:tc>
        <w:tc>
          <w:tcPr>
            <w:tcW w:w="13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default" w:ascii="Times New Roman" w:hAnsi="Times New Roman" w:eastAsia="仿宋_GB2312" w:cs="Times New Roman"/>
                <w:color w:val="000000"/>
                <w:sz w:val="20"/>
                <w:szCs w:val="20"/>
                <w:lang w:val="en-US" w:eastAsia="zh-CN"/>
              </w:rPr>
              <w:t>显著提高</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default" w:ascii="Times New Roman" w:hAnsi="Times New Roman" w:eastAsia="仿宋_GB2312" w:cs="Times New Roman"/>
                <w:color w:val="000000"/>
                <w:sz w:val="20"/>
                <w:szCs w:val="20"/>
                <w:lang w:val="en-US" w:eastAsia="zh-CN"/>
              </w:rPr>
              <w:t>显著提高</w:t>
            </w:r>
          </w:p>
        </w:tc>
        <w:tc>
          <w:tcPr>
            <w:tcW w:w="71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7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145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868" w:hRule="atLeast"/>
          <w:jc w:val="center"/>
        </w:trPr>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可持续影响指标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eastAsia="zh-CN"/>
              </w:rPr>
              <w:t>农民使用农机发展农业的积极性</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default" w:ascii="Times New Roman" w:hAnsi="Times New Roman" w:eastAsia="仿宋_GB2312" w:cs="Times New Roman"/>
                <w:color w:val="000000"/>
                <w:sz w:val="20"/>
                <w:szCs w:val="20"/>
                <w:lang w:val="en-US" w:eastAsia="zh-CN"/>
              </w:rPr>
              <w:t>显著提高</w:t>
            </w:r>
          </w:p>
        </w:tc>
        <w:tc>
          <w:tcPr>
            <w:tcW w:w="127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default" w:ascii="Times New Roman" w:hAnsi="Times New Roman" w:eastAsia="仿宋_GB2312" w:cs="Times New Roman"/>
                <w:color w:val="000000"/>
                <w:sz w:val="20"/>
                <w:szCs w:val="20"/>
                <w:lang w:val="en-US" w:eastAsia="zh-CN"/>
              </w:rPr>
              <w:t>显著提高</w:t>
            </w:r>
          </w:p>
        </w:tc>
        <w:tc>
          <w:tcPr>
            <w:tcW w:w="71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10</w:t>
            </w: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10</w:t>
            </w:r>
          </w:p>
        </w:tc>
        <w:tc>
          <w:tcPr>
            <w:tcW w:w="145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868" w:hRule="atLeast"/>
          <w:jc w:val="center"/>
        </w:trPr>
        <w:tc>
          <w:tcPr>
            <w:tcW w:w="10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满意度</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（10分）</w:t>
            </w:r>
          </w:p>
        </w:tc>
        <w:tc>
          <w:tcPr>
            <w:tcW w:w="103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服务对象满意度指标</w:t>
            </w:r>
          </w:p>
        </w:tc>
        <w:tc>
          <w:tcPr>
            <w:tcW w:w="127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eastAsia="zh-CN"/>
              </w:rPr>
              <w:t>群众满意程度</w:t>
            </w:r>
          </w:p>
        </w:tc>
        <w:tc>
          <w:tcPr>
            <w:tcW w:w="13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default" w:ascii="Times New Roman" w:hAnsi="Times New Roman" w:eastAsia="仿宋_GB2312" w:cs="Times New Roman"/>
                <w:color w:val="000000"/>
                <w:sz w:val="20"/>
                <w:szCs w:val="20"/>
                <w:lang w:val="en-US" w:eastAsia="zh-CN"/>
              </w:rPr>
              <w:t>≥</w:t>
            </w:r>
            <w:r>
              <w:rPr>
                <w:rFonts w:hint="eastAsia" w:ascii="Times New Roman" w:hAnsi="Times New Roman" w:eastAsia="仿宋_GB2312" w:cs="Times New Roman"/>
                <w:color w:val="000000"/>
                <w:sz w:val="20"/>
                <w:szCs w:val="20"/>
                <w:lang w:val="en-US" w:eastAsia="zh-CN"/>
              </w:rPr>
              <w:t>90</w:t>
            </w:r>
            <w:r>
              <w:rPr>
                <w:rFonts w:hint="default" w:ascii="Times New Roman" w:hAnsi="Times New Roman" w:eastAsia="仿宋_GB2312" w:cs="Times New Roman"/>
                <w:color w:val="000000"/>
                <w:sz w:val="20"/>
                <w:szCs w:val="20"/>
                <w:lang w:val="en-US" w:eastAsia="zh-CN"/>
              </w:rPr>
              <w:t>%</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default" w:ascii="Times New Roman" w:hAnsi="Times New Roman" w:eastAsia="仿宋_GB2312" w:cs="Times New Roman"/>
                <w:color w:val="000000"/>
                <w:sz w:val="20"/>
                <w:szCs w:val="20"/>
                <w:lang w:val="en-US" w:eastAsia="zh-CN"/>
              </w:rPr>
              <w:t>≥</w:t>
            </w:r>
            <w:r>
              <w:rPr>
                <w:rFonts w:hint="eastAsia" w:ascii="Times New Roman" w:hAnsi="Times New Roman" w:eastAsia="仿宋_GB2312" w:cs="Times New Roman"/>
                <w:color w:val="000000"/>
                <w:sz w:val="20"/>
                <w:szCs w:val="20"/>
                <w:lang w:val="en-US" w:eastAsia="zh-CN"/>
              </w:rPr>
              <w:t>98</w:t>
            </w:r>
            <w:r>
              <w:rPr>
                <w:rFonts w:hint="default" w:ascii="Times New Roman" w:hAnsi="Times New Roman" w:eastAsia="仿宋_GB2312" w:cs="Times New Roman"/>
                <w:color w:val="000000"/>
                <w:sz w:val="20"/>
                <w:szCs w:val="20"/>
                <w:lang w:val="en-US" w:eastAsia="zh-CN"/>
              </w:rPr>
              <w:t>%</w:t>
            </w:r>
          </w:p>
        </w:tc>
        <w:tc>
          <w:tcPr>
            <w:tcW w:w="71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7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10</w:t>
            </w:r>
          </w:p>
        </w:tc>
        <w:tc>
          <w:tcPr>
            <w:tcW w:w="145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362" w:hRule="atLeast"/>
          <w:jc w:val="center"/>
        </w:trPr>
        <w:tc>
          <w:tcPr>
            <w:tcW w:w="7071"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总分</w:t>
            </w:r>
          </w:p>
        </w:tc>
        <w:tc>
          <w:tcPr>
            <w:tcW w:w="71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100</w:t>
            </w:r>
          </w:p>
        </w:tc>
        <w:tc>
          <w:tcPr>
            <w:tcW w:w="87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97</w:t>
            </w:r>
          </w:p>
        </w:tc>
        <w:tc>
          <w:tcPr>
            <w:tcW w:w="145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bl>
    <w:p>
      <w:pPr>
        <w:spacing w:line="560" w:lineRule="atLeast"/>
        <w:ind w:firstLine="640"/>
        <w:rPr>
          <w:rFonts w:hint="eastAsia" w:ascii="仿宋_GB2312" w:hAnsi="仿宋_GB2312" w:eastAsia="仿宋_GB2312" w:cs="仿宋_GB2312"/>
          <w:sz w:val="32"/>
          <w:szCs w:val="32"/>
          <w:lang w:val="zh-CN"/>
        </w:rPr>
      </w:pP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pStyle w:val="14"/>
        <w:jc w:val="center"/>
        <w:rPr>
          <w:sz w:val="72"/>
          <w:szCs w:val="72"/>
        </w:rPr>
      </w:pPr>
    </w:p>
    <w:p>
      <w:pPr>
        <w:pStyle w:val="14"/>
        <w:jc w:val="center"/>
        <w:rPr>
          <w:sz w:val="72"/>
          <w:szCs w:val="72"/>
        </w:rPr>
      </w:pPr>
    </w:p>
    <w:p>
      <w:pPr>
        <w:jc w:val="left"/>
        <w:rPr>
          <w:rFonts w:cs="黑体" w:asciiTheme="minorEastAsia" w:hAnsiTheme="minorEastAsia"/>
          <w:color w:val="000000"/>
          <w:kern w:val="0"/>
          <w:sz w:val="32"/>
          <w:szCs w:val="32"/>
        </w:rPr>
      </w:pPr>
    </w:p>
    <w:sectPr>
      <w:pgSz w:w="11906" w:h="16838"/>
      <w:pgMar w:top="1440" w:right="1800" w:bottom="1440" w:left="180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2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7A5E706"/>
    <w:multiLevelType w:val="singleLevel"/>
    <w:tmpl w:val="37A5E70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lNzJmNzhlMWNlZTg0ZmI3YWU4MWU1MWMyZWUwMDg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4E0863"/>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3580109"/>
    <w:rsid w:val="03EA08A3"/>
    <w:rsid w:val="05C467A0"/>
    <w:rsid w:val="07A760B1"/>
    <w:rsid w:val="0972418C"/>
    <w:rsid w:val="09B2776D"/>
    <w:rsid w:val="09BB7E03"/>
    <w:rsid w:val="09D04097"/>
    <w:rsid w:val="0A2A37A7"/>
    <w:rsid w:val="0D69705B"/>
    <w:rsid w:val="11080B9C"/>
    <w:rsid w:val="144C52D9"/>
    <w:rsid w:val="156973A1"/>
    <w:rsid w:val="15F1161D"/>
    <w:rsid w:val="16C10E1A"/>
    <w:rsid w:val="18CA5813"/>
    <w:rsid w:val="1B051400"/>
    <w:rsid w:val="1B4C13C4"/>
    <w:rsid w:val="1BE0016A"/>
    <w:rsid w:val="1D97DEFF"/>
    <w:rsid w:val="1DFF72E5"/>
    <w:rsid w:val="1EB67C6B"/>
    <w:rsid w:val="1EFC6F07"/>
    <w:rsid w:val="212C3E51"/>
    <w:rsid w:val="21421D29"/>
    <w:rsid w:val="231D1CA3"/>
    <w:rsid w:val="24576CC9"/>
    <w:rsid w:val="24E32A79"/>
    <w:rsid w:val="268B7422"/>
    <w:rsid w:val="2AB90397"/>
    <w:rsid w:val="2F7470EF"/>
    <w:rsid w:val="2FDF85B8"/>
    <w:rsid w:val="2FFFEE04"/>
    <w:rsid w:val="304B42F4"/>
    <w:rsid w:val="308B34FF"/>
    <w:rsid w:val="312656DB"/>
    <w:rsid w:val="34DF85B0"/>
    <w:rsid w:val="36296BBD"/>
    <w:rsid w:val="371708EF"/>
    <w:rsid w:val="38D34E4A"/>
    <w:rsid w:val="39895872"/>
    <w:rsid w:val="39AE71BE"/>
    <w:rsid w:val="3B672F62"/>
    <w:rsid w:val="3B8F36BC"/>
    <w:rsid w:val="3D006348"/>
    <w:rsid w:val="3F553734"/>
    <w:rsid w:val="3F5A6C7F"/>
    <w:rsid w:val="421F2EEA"/>
    <w:rsid w:val="424520B4"/>
    <w:rsid w:val="426319EF"/>
    <w:rsid w:val="42A72893"/>
    <w:rsid w:val="42ED2FE9"/>
    <w:rsid w:val="43474960"/>
    <w:rsid w:val="44580936"/>
    <w:rsid w:val="44A64CBF"/>
    <w:rsid w:val="46E23A85"/>
    <w:rsid w:val="491FF225"/>
    <w:rsid w:val="49726249"/>
    <w:rsid w:val="49A45DCB"/>
    <w:rsid w:val="49BB7386"/>
    <w:rsid w:val="4A013C97"/>
    <w:rsid w:val="4A8B0CFA"/>
    <w:rsid w:val="4FFD214C"/>
    <w:rsid w:val="50D80DEF"/>
    <w:rsid w:val="527278FC"/>
    <w:rsid w:val="554B3BFD"/>
    <w:rsid w:val="5777D4F5"/>
    <w:rsid w:val="59117339"/>
    <w:rsid w:val="592D3CE7"/>
    <w:rsid w:val="59557A4A"/>
    <w:rsid w:val="59DD8326"/>
    <w:rsid w:val="59EC6537"/>
    <w:rsid w:val="5DEF592A"/>
    <w:rsid w:val="5FC6BB1E"/>
    <w:rsid w:val="5FF720F1"/>
    <w:rsid w:val="62735FB4"/>
    <w:rsid w:val="636357E7"/>
    <w:rsid w:val="642503DD"/>
    <w:rsid w:val="67FF5C0B"/>
    <w:rsid w:val="68371376"/>
    <w:rsid w:val="69D41F5D"/>
    <w:rsid w:val="6BC404DB"/>
    <w:rsid w:val="6EFC0924"/>
    <w:rsid w:val="6F09746C"/>
    <w:rsid w:val="6F69347E"/>
    <w:rsid w:val="6FB0625F"/>
    <w:rsid w:val="6FB74722"/>
    <w:rsid w:val="6FEF8B7E"/>
    <w:rsid w:val="719F5483"/>
    <w:rsid w:val="71A3470F"/>
    <w:rsid w:val="71A6591B"/>
    <w:rsid w:val="73437083"/>
    <w:rsid w:val="737D59BA"/>
    <w:rsid w:val="7415362F"/>
    <w:rsid w:val="748964C7"/>
    <w:rsid w:val="77C37683"/>
    <w:rsid w:val="79F91C98"/>
    <w:rsid w:val="79FF515B"/>
    <w:rsid w:val="7B876E56"/>
    <w:rsid w:val="7BF82354"/>
    <w:rsid w:val="7D12583B"/>
    <w:rsid w:val="7E9E1962"/>
    <w:rsid w:val="7E9F11B4"/>
    <w:rsid w:val="7EA61CC2"/>
    <w:rsid w:val="7EA63A70"/>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8791D38"/>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outlineLvl w:val="1"/>
    </w:pPr>
    <w:rPr>
      <w:rFonts w:eastAsia="黑体"/>
      <w:bCs/>
      <w:szCs w:val="32"/>
    </w:rPr>
  </w:style>
  <w:style w:type="paragraph" w:styleId="3">
    <w:name w:val="heading 5"/>
    <w:basedOn w:val="1"/>
    <w:next w:val="1"/>
    <w:unhideWhenUsed/>
    <w:qFormat/>
    <w:uiPriority w:val="0"/>
    <w:pPr>
      <w:spacing w:beforeAutospacing="1" w:afterAutospacing="1"/>
      <w:jc w:val="left"/>
      <w:outlineLvl w:val="4"/>
    </w:pPr>
    <w:rPr>
      <w:rFonts w:hint="eastAsia" w:ascii="宋体" w:hAnsi="宋体" w:eastAsia="宋体" w:cs="Times New Roman"/>
      <w:b/>
      <w:bCs/>
      <w:kern w:val="0"/>
      <w:sz w:val="20"/>
      <w:szCs w:val="20"/>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6"/>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6"/>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51</Pages>
  <Words>18982</Words>
  <Characters>22878</Characters>
  <Lines>63</Lines>
  <Paragraphs>18</Paragraphs>
  <TotalTime>89</TotalTime>
  <ScaleCrop>false</ScaleCrop>
  <LinksUpToDate>false</LinksUpToDate>
  <CharactersWithSpaces>23508</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2020-07-08T10:32:00Z</dcterms:created>
  <dc:creator>李航 null</dc:creator>
  <cp:lastModifiedBy>lenovo</cp:lastModifiedBy>
  <cp:lastPrinted>2024-09-05T03:41:00Z</cp:lastPrinted>
  <dcterms:modified xsi:type="dcterms:W3CDTF">2024-09-06T07:10:01Z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6CB14ED1149941B99070B2E17674AB2E_13</vt:lpwstr>
  </property>
</Properties>
</file>