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湖南省农情分析研究中心</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湖南省农情分析研究中心</w:t>
      </w:r>
      <w:r>
        <w:rPr>
          <w:rFonts w:hint="eastAsia" w:ascii="黑体" w:hAnsi="黑体" w:eastAsia="黑体" w:cs="黑体"/>
          <w:b w:val="0"/>
          <w:bCs/>
          <w:sz w:val="28"/>
          <w:szCs w:val="28"/>
        </w:rPr>
        <w:t>单位概况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湖南省农情分析研究中心</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both"/>
        <w:rPr>
          <w:sz w:val="72"/>
          <w:szCs w:val="72"/>
        </w:rPr>
      </w:pPr>
    </w:p>
    <w:p>
      <w:pPr>
        <w:pStyle w:val="13"/>
        <w:numPr>
          <w:ilvl w:val="0"/>
          <w:numId w:val="0"/>
        </w:numPr>
        <w:ind w:leftChars="0"/>
        <w:jc w:val="left"/>
        <w:rPr>
          <w:rFonts w:hint="eastAsia" w:ascii="黑体" w:hAnsi="黑体" w:eastAsia="黑体" w:cs="黑体"/>
          <w:b w:val="0"/>
          <w:bCs w:val="0"/>
          <w:sz w:val="32"/>
          <w:szCs w:val="32"/>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（一）收集、整理、分析、报送和发布农业生产动态、阶段性生产形势，反映生产中的特点、热点和存在问题。</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（二）调查分析研究农业情况，组织和指导农情监测基地县的监测工作。</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（三）编印农情简报和农业农村统计分析资料。</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（四）调查统计和报送农业灾情，指导农业防灾抗灾减灾工作。</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（五）开展全省农业农村经济形势分析。</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（六）受委托负责湖南省农业农村厅系统新闻宣传工作。</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（七）组织农业志编写和农业档案管理。</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（八）负责农业农村部、省政府和省农业农村厅安排的其他方面的工作。</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numPr>
          <w:ilvl w:val="0"/>
          <w:numId w:val="0"/>
        </w:numPr>
        <w:adjustRightInd/>
        <w:snapToGrid/>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（一）内设机构设置。湖南省农情分析研究中心内设机构包括</w:t>
      </w:r>
      <w:r>
        <w:rPr>
          <w:rFonts w:hint="eastAsia" w:ascii="Times New Roman" w:hAnsi="Times New Roman" w:eastAsia="仿宋_GB2312" w:cs="仿宋_GB2312"/>
          <w:bCs/>
          <w:kern w:val="0"/>
          <w:sz w:val="32"/>
          <w:szCs w:val="32"/>
          <w:lang w:eastAsia="zh-CN"/>
        </w:rPr>
        <w:t>：综合</w:t>
      </w:r>
      <w:r>
        <w:rPr>
          <w:rFonts w:hint="eastAsia" w:ascii="Times New Roman" w:hAnsi="Times New Roman" w:eastAsia="仿宋_GB2312" w:cs="仿宋_GB2312"/>
          <w:bCs/>
          <w:kern w:val="0"/>
          <w:sz w:val="32"/>
          <w:szCs w:val="32"/>
        </w:rPr>
        <w:t>财务科、</w:t>
      </w:r>
      <w:r>
        <w:rPr>
          <w:rFonts w:hint="eastAsia" w:ascii="Times New Roman" w:hAnsi="Times New Roman" w:eastAsia="仿宋_GB2312" w:cs="仿宋_GB2312"/>
          <w:bCs/>
          <w:kern w:val="0"/>
          <w:sz w:val="32"/>
          <w:szCs w:val="32"/>
          <w:lang w:eastAsia="zh-CN"/>
        </w:rPr>
        <w:t>组织</w:t>
      </w:r>
      <w:r>
        <w:rPr>
          <w:rFonts w:hint="eastAsia" w:ascii="Times New Roman" w:hAnsi="Times New Roman" w:eastAsia="仿宋_GB2312" w:cs="仿宋_GB2312"/>
          <w:bCs/>
          <w:kern w:val="0"/>
          <w:sz w:val="32"/>
          <w:szCs w:val="32"/>
        </w:rPr>
        <w:t>人事科、农情体系科、农情调度科、农情信息科。</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仿宋_GB2312" w:hAnsi="仿宋_GB2312" w:eastAsia="仿宋_GB2312" w:cs="仿宋_GB2312"/>
          <w:color w:val="auto"/>
          <w:sz w:val="32"/>
          <w:szCs w:val="32"/>
          <w:highlight w:val="none"/>
        </w:rPr>
        <w:t>（二）</w:t>
      </w:r>
      <w:r>
        <w:rPr>
          <w:rFonts w:hint="eastAsia" w:ascii="Times New Roman" w:hAnsi="Times New Roman" w:eastAsia="仿宋_GB2312" w:cs="仿宋_GB2312"/>
          <w:bCs/>
          <w:kern w:val="0"/>
          <w:sz w:val="32"/>
          <w:szCs w:val="32"/>
        </w:rPr>
        <w:t>决算单位构成。湖南省农情分析研究中心202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w:t>
      </w:r>
      <w:r>
        <w:rPr>
          <w:rFonts w:hint="eastAsia" w:ascii="Times New Roman" w:hAnsi="Times New Roman" w:eastAsia="仿宋_GB2312" w:cs="仿宋_GB2312"/>
          <w:bCs/>
          <w:kern w:val="0"/>
          <w:sz w:val="32"/>
          <w:szCs w:val="32"/>
          <w:lang w:eastAsia="zh-CN"/>
        </w:rPr>
        <w:t>部门</w:t>
      </w:r>
      <w:r>
        <w:rPr>
          <w:rFonts w:hint="eastAsia" w:ascii="Times New Roman" w:hAnsi="Times New Roman" w:eastAsia="仿宋_GB2312" w:cs="仿宋_GB2312"/>
          <w:bCs/>
          <w:kern w:val="0"/>
          <w:sz w:val="32"/>
          <w:szCs w:val="32"/>
        </w:rPr>
        <w:t>决算</w:t>
      </w:r>
      <w:r>
        <w:rPr>
          <w:rFonts w:hint="eastAsia" w:ascii="Times New Roman" w:hAnsi="Times New Roman" w:eastAsia="仿宋_GB2312" w:cs="仿宋_GB2312"/>
          <w:bCs/>
          <w:kern w:val="0"/>
          <w:sz w:val="32"/>
          <w:szCs w:val="32"/>
          <w:lang w:eastAsia="zh-CN"/>
        </w:rPr>
        <w:t>汇总公开</w:t>
      </w:r>
      <w:r>
        <w:rPr>
          <w:rFonts w:hint="eastAsia" w:ascii="Times New Roman" w:hAnsi="Times New Roman" w:eastAsia="仿宋_GB2312" w:cs="仿宋_GB2312"/>
          <w:bCs/>
          <w:kern w:val="0"/>
          <w:sz w:val="32"/>
          <w:szCs w:val="32"/>
        </w:rPr>
        <w:t>单位构成</w:t>
      </w:r>
      <w:r>
        <w:rPr>
          <w:rFonts w:hint="eastAsia" w:ascii="Times New Roman" w:hAnsi="Times New Roman" w:eastAsia="仿宋_GB2312" w:cs="仿宋_GB2312"/>
          <w:bCs/>
          <w:kern w:val="0"/>
          <w:sz w:val="32"/>
          <w:szCs w:val="32"/>
          <w:lang w:eastAsia="zh-CN"/>
        </w:rPr>
        <w:t>包括：</w:t>
      </w:r>
      <w:r>
        <w:rPr>
          <w:rFonts w:hint="eastAsia" w:ascii="Times New Roman" w:hAnsi="Times New Roman" w:eastAsia="仿宋_GB2312" w:cs="仿宋_GB2312"/>
          <w:bCs/>
          <w:kern w:val="0"/>
          <w:sz w:val="32"/>
          <w:szCs w:val="32"/>
        </w:rPr>
        <w:t>湖南省农情分析研究中心本级。</w:t>
      </w:r>
    </w:p>
    <w:p>
      <w:pPr>
        <w:jc w:val="center"/>
        <w:rPr>
          <w:rFonts w:hint="eastAsia" w:ascii="仿宋_GB2312" w:hAnsi="仿宋_GB2312" w:eastAsia="仿宋_GB2312" w:cs="仿宋_GB2312"/>
          <w:color w:val="auto"/>
          <w:sz w:val="32"/>
          <w:szCs w:val="32"/>
          <w:highlight w:val="none"/>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sz w:val="72"/>
          <w:szCs w:val="72"/>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8"/>
        <w:tblW w:w="15640" w:type="dxa"/>
        <w:tblInd w:w="0" w:type="dxa"/>
        <w:tblLayout w:type="fixed"/>
        <w:tblCellMar>
          <w:top w:w="0" w:type="dxa"/>
          <w:left w:w="0" w:type="dxa"/>
          <w:bottom w:w="0" w:type="dxa"/>
          <w:right w:w="0" w:type="dxa"/>
        </w:tblCellMar>
      </w:tblPr>
      <w:tblGrid>
        <w:gridCol w:w="250"/>
        <w:gridCol w:w="948"/>
        <w:gridCol w:w="38"/>
        <w:gridCol w:w="240"/>
        <w:gridCol w:w="2737"/>
        <w:gridCol w:w="255"/>
        <w:gridCol w:w="1905"/>
        <w:gridCol w:w="225"/>
        <w:gridCol w:w="1950"/>
        <w:gridCol w:w="300"/>
        <w:gridCol w:w="1320"/>
        <w:gridCol w:w="315"/>
        <w:gridCol w:w="735"/>
        <w:gridCol w:w="945"/>
        <w:gridCol w:w="180"/>
        <w:gridCol w:w="1335"/>
        <w:gridCol w:w="210"/>
        <w:gridCol w:w="1540"/>
        <w:gridCol w:w="212"/>
      </w:tblGrid>
      <w:tr>
        <w:tblPrEx>
          <w:tblLayout w:type="fixed"/>
          <w:tblCellMar>
            <w:top w:w="0" w:type="dxa"/>
            <w:left w:w="0" w:type="dxa"/>
            <w:bottom w:w="0" w:type="dxa"/>
            <w:right w:w="0" w:type="dxa"/>
          </w:tblCellMar>
        </w:tblPrEx>
        <w:trPr>
          <w:gridAfter w:val="1"/>
          <w:wAfter w:w="212" w:type="dxa"/>
          <w:trHeight w:val="435" w:hRule="atLeast"/>
        </w:trPr>
        <w:tc>
          <w:tcPr>
            <w:tcW w:w="15428" w:type="dxa"/>
            <w:gridSpan w:val="18"/>
            <w:tcBorders>
              <w:top w:val="nil"/>
              <w:left w:val="nil"/>
              <w:bottom w:val="nil"/>
              <w:right w:val="nil"/>
            </w:tcBorders>
            <w:shd w:val="clear" w:color="auto" w:fill="auto"/>
            <w:noWrap/>
            <w:tcMar>
              <w:top w:w="15" w:type="dxa"/>
              <w:left w:w="15" w:type="dxa"/>
              <w:bottom w:w="0" w:type="dxa"/>
              <w:right w:w="15" w:type="dxa"/>
            </w:tcMar>
            <w:vAlign w:val="center"/>
          </w:tcPr>
          <w:tbl>
            <w:tblPr>
              <w:tblStyle w:val="8"/>
              <w:tblW w:w="15125"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76"/>
              <w:gridCol w:w="570"/>
              <w:gridCol w:w="2604"/>
              <w:gridCol w:w="4140"/>
              <w:gridCol w:w="688"/>
              <w:gridCol w:w="811"/>
              <w:gridCol w:w="2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4" w:hRule="atLeast"/>
              </w:trPr>
              <w:tc>
                <w:tcPr>
                  <w:tcW w:w="4076" w:type="dxa"/>
                  <w:tcBorders>
                    <w:top w:val="nil"/>
                    <w:left w:val="nil"/>
                    <w:bottom w:val="nil"/>
                    <w:right w:val="nil"/>
                  </w:tcBorders>
                  <w:shd w:val="clear" w:color="auto" w:fill="auto"/>
                  <w:noWrap/>
                  <w:vAlign w:val="center"/>
                </w:tcPr>
                <w:p>
                  <w:pPr>
                    <w:jc w:val="left"/>
                    <w:rPr>
                      <w:rFonts w:hint="eastAsia" w:ascii="黑体" w:hAnsi="宋体" w:eastAsia="黑体" w:cs="黑体"/>
                      <w:i w:val="0"/>
                      <w:color w:val="000000"/>
                      <w:sz w:val="24"/>
                      <w:szCs w:val="24"/>
                      <w:u w:val="none"/>
                    </w:rPr>
                  </w:pPr>
                </w:p>
              </w:tc>
              <w:tc>
                <w:tcPr>
                  <w:tcW w:w="570"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2604"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4140"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499" w:type="dxa"/>
                  <w:gridSpan w:val="2"/>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2236" w:type="dxa"/>
                  <w:tcBorders>
                    <w:top w:val="nil"/>
                    <w:left w:val="nil"/>
                    <w:bottom w:val="nil"/>
                    <w:right w:val="nil"/>
                  </w:tcBorders>
                  <w:shd w:val="clear" w:color="auto" w:fill="auto"/>
                  <w:noWrap/>
                  <w:vAlign w:val="center"/>
                </w:tcPr>
                <w:p>
                  <w:pPr>
                    <w:jc w:val="right"/>
                    <w:rPr>
                      <w:rFonts w:hint="eastAsia" w:ascii="黑体" w:hAnsi="宋体" w:eastAsia="黑体" w:cs="黑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9" w:hRule="atLeast"/>
              </w:trPr>
              <w:tc>
                <w:tcPr>
                  <w:tcW w:w="15125"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4" w:hRule="atLeast"/>
              </w:trPr>
              <w:tc>
                <w:tcPr>
                  <w:tcW w:w="4076"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57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60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414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499"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236"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4" w:hRule="atLeast"/>
              </w:trPr>
              <w:tc>
                <w:tcPr>
                  <w:tcW w:w="4076"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部门：湖南省农情分析研究中心</w:t>
                  </w:r>
                </w:p>
              </w:tc>
              <w:tc>
                <w:tcPr>
                  <w:tcW w:w="57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60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414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499"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236"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8" w:hRule="atLeast"/>
              </w:trPr>
              <w:tc>
                <w:tcPr>
                  <w:tcW w:w="72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w:t>
                  </w:r>
                </w:p>
              </w:tc>
              <w:tc>
                <w:tcPr>
                  <w:tcW w:w="7875"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26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决算数</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    次</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26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    次</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352.13</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31</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32</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33</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40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34</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35</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36</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40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七、文化旅游体育与传媒支出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37</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57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60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0.15</w:t>
                  </w:r>
                </w:p>
              </w:tc>
              <w:tc>
                <w:tcPr>
                  <w:tcW w:w="414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left"/>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八、社会保障和就业支出</w:t>
                  </w:r>
                </w:p>
              </w:tc>
              <w:tc>
                <w:tcPr>
                  <w:tcW w:w="688"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38</w:t>
                  </w:r>
                </w:p>
              </w:tc>
              <w:tc>
                <w:tcPr>
                  <w:tcW w:w="3047"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23.87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6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both"/>
                    <w:rPr>
                      <w:rFonts w:hint="eastAsia" w:ascii="宋体" w:hAnsi="宋体" w:eastAsia="宋体" w:cs="宋体"/>
                      <w:i w:val="0"/>
                      <w:color w:val="000000"/>
                      <w:sz w:val="20"/>
                      <w:szCs w:val="20"/>
                      <w:u w:val="none"/>
                    </w:rPr>
                  </w:pPr>
                  <w:r>
                    <w:rPr>
                      <w:rFonts w:hint="eastAsia" w:ascii="宋体" w:hAnsi="宋体" w:eastAsia="宋体" w:cs="宋体"/>
                      <w:i w:val="0"/>
                      <w:color w:val="000000"/>
                      <w:sz w:val="22"/>
                      <w:szCs w:val="22"/>
                      <w:u w:val="none"/>
                      <w:lang w:val="en-US" w:eastAsia="zh-CN"/>
                    </w:rPr>
                    <w:t>九</w:t>
                  </w:r>
                  <w:r>
                    <w:rPr>
                      <w:rFonts w:hint="eastAsia" w:ascii="宋体" w:hAnsi="宋体" w:eastAsia="宋体" w:cs="宋体"/>
                      <w:i w:val="0"/>
                      <w:color w:val="000000"/>
                      <w:sz w:val="22"/>
                      <w:szCs w:val="22"/>
                      <w:u w:val="none"/>
                    </w:rPr>
                    <w:t>、卫生健康支出</w:t>
                  </w:r>
                </w:p>
              </w:tc>
              <w:tc>
                <w:tcPr>
                  <w:tcW w:w="6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39</w:t>
                  </w:r>
                </w:p>
              </w:tc>
              <w:tc>
                <w:tcPr>
                  <w:tcW w:w="304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b/>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w:t>
                  </w:r>
                </w:p>
              </w:tc>
              <w:tc>
                <w:tcPr>
                  <w:tcW w:w="26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i w:val="0"/>
                      <w:color w:val="000000"/>
                      <w:sz w:val="22"/>
                      <w:szCs w:val="22"/>
                      <w:u w:val="none"/>
                    </w:rPr>
                    <w:t>十、节能环保支出</w:t>
                  </w:r>
                </w:p>
              </w:tc>
              <w:tc>
                <w:tcPr>
                  <w:tcW w:w="6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40</w:t>
                  </w:r>
                </w:p>
              </w:tc>
              <w:tc>
                <w:tcPr>
                  <w:tcW w:w="304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auto"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w:t>
                  </w:r>
                </w:p>
              </w:tc>
              <w:tc>
                <w:tcPr>
                  <w:tcW w:w="2604"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十一、城乡社区支出</w:t>
                  </w:r>
                </w:p>
              </w:tc>
              <w:tc>
                <w:tcPr>
                  <w:tcW w:w="688" w:type="dxa"/>
                  <w:tcBorders>
                    <w:top w:val="single" w:color="auto"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41</w:t>
                  </w:r>
                </w:p>
              </w:tc>
              <w:tc>
                <w:tcPr>
                  <w:tcW w:w="3047"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十二、农林水支出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42</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361.83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13</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十三、交通运输支出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43</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14</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十四、资源勘探工业信息等支出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44</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15</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十五、商业服务业等支出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45</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16</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十六、金融支出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46</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17</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十七、援助其他地区支出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47</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18</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十八、自然资源海洋气象等支出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48</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19</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十九、住房保障支出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49</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18.52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20</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i w:val="0"/>
                      <w:color w:val="000000"/>
                      <w:kern w:val="0"/>
                      <w:sz w:val="22"/>
                      <w:szCs w:val="22"/>
                      <w:u w:val="none"/>
                      <w:lang w:val="en-US" w:eastAsia="zh-CN" w:bidi="ar"/>
                    </w:rPr>
                  </w:pPr>
                  <w:r>
                    <w:rPr>
                      <w:rFonts w:hint="eastAsia"/>
                      <w:color w:val="auto"/>
                      <w:sz w:val="22"/>
                      <w:highlight w:val="none"/>
                    </w:rPr>
                    <w:t>二十、粮油物资储备支出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50</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color w:val="auto"/>
                      <w:sz w:val="22"/>
                      <w:highlight w:val="none"/>
                    </w:rPr>
                  </w:pPr>
                  <w:r>
                    <w:rPr>
                      <w:rFonts w:hint="eastAsia"/>
                      <w:color w:val="auto"/>
                      <w:sz w:val="22"/>
                      <w:highlight w:val="none"/>
                    </w:rPr>
                    <w:t>二十一、国有资本经营预算支出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51</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color w:val="auto"/>
                      <w:sz w:val="22"/>
                      <w:highlight w:val="none"/>
                    </w:rPr>
                  </w:pPr>
                  <w:r>
                    <w:rPr>
                      <w:rFonts w:hint="eastAsia"/>
                      <w:color w:val="auto"/>
                      <w:sz w:val="22"/>
                      <w:highlight w:val="none"/>
                    </w:rPr>
                    <w:t>二十二、灾害防治及应急管理支出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52</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color w:val="auto"/>
                      <w:sz w:val="22"/>
                      <w:highlight w:val="none"/>
                    </w:rPr>
                  </w:pPr>
                  <w:r>
                    <w:rPr>
                      <w:rFonts w:hint="eastAsia"/>
                      <w:color w:val="auto"/>
                      <w:sz w:val="22"/>
                      <w:highlight w:val="none"/>
                    </w:rPr>
                    <w:t>二十三、其他支出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53</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24</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color w:val="auto"/>
                      <w:sz w:val="22"/>
                      <w:highlight w:val="none"/>
                    </w:rPr>
                  </w:pPr>
                  <w:r>
                    <w:rPr>
                      <w:rFonts w:hint="eastAsia"/>
                      <w:color w:val="auto"/>
                      <w:sz w:val="22"/>
                      <w:highlight w:val="none"/>
                    </w:rPr>
                    <w:t>二十四、债务还本支出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54</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color w:val="auto"/>
                      <w:sz w:val="22"/>
                      <w:highlight w:val="none"/>
                    </w:rPr>
                  </w:pPr>
                  <w:r>
                    <w:rPr>
                      <w:rFonts w:hint="eastAsia"/>
                      <w:color w:val="auto"/>
                      <w:sz w:val="22"/>
                      <w:highlight w:val="none"/>
                    </w:rPr>
                    <w:t>二十五、债务付息支出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55</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26</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color w:val="auto"/>
                      <w:sz w:val="22"/>
                      <w:highlight w:val="none"/>
                    </w:rPr>
                  </w:pPr>
                  <w:r>
                    <w:rPr>
                      <w:rFonts w:hint="eastAsia"/>
                      <w:color w:val="auto"/>
                      <w:sz w:val="22"/>
                      <w:highlight w:val="none"/>
                    </w:rPr>
                    <w:t>二十六、抗疫特别国债安排的支出</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56</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27</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352.28</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57</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404.22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使用非财政拨款结余（含专用结余）</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28</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结余分配</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58</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年初结转和结余</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29</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80.6</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年末结转和结余</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59</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8" w:hRule="atLeast"/>
              </w:trPr>
              <w:tc>
                <w:tcPr>
                  <w:tcW w:w="40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30</w:t>
                  </w:r>
                </w:p>
              </w:tc>
              <w:tc>
                <w:tcPr>
                  <w:tcW w:w="2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432.88</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60</w:t>
                  </w:r>
                </w:p>
              </w:tc>
              <w:tc>
                <w:tcPr>
                  <w:tcW w:w="3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b/>
                      <w:i w:val="0"/>
                      <w:color w:val="000000"/>
                      <w:sz w:val="22"/>
                      <w:szCs w:val="22"/>
                      <w:u w:val="none"/>
                      <w:lang w:val="en-US" w:eastAsia="zh-CN"/>
                    </w:rPr>
                  </w:pPr>
                  <w:r>
                    <w:rPr>
                      <w:rFonts w:hint="eastAsia" w:ascii="宋体" w:hAnsi="宋体" w:eastAsia="宋体" w:cs="宋体"/>
                      <w:b w:val="0"/>
                      <w:bCs/>
                      <w:i w:val="0"/>
                      <w:color w:val="000000"/>
                      <w:sz w:val="22"/>
                      <w:szCs w:val="22"/>
                      <w:u w:val="none"/>
                      <w:lang w:val="en-US" w:eastAsia="zh-CN"/>
                    </w:rPr>
                    <w:t>432.88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15" w:hRule="atLeast"/>
              </w:trPr>
              <w:tc>
                <w:tcPr>
                  <w:tcW w:w="15125" w:type="dxa"/>
                  <w:gridSpan w:val="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注：1.本表反映部门本年度的总收支和年末结转结余情况。</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 xml:space="preserve">    2.本套报表金额单位转换时可能存在尾数误差。</w:t>
                  </w:r>
                </w:p>
              </w:tc>
            </w:tr>
          </w:tbl>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gridAfter w:val="1"/>
          <w:wAfter w:w="212" w:type="dxa"/>
          <w:trHeight w:val="285" w:hRule="atLeast"/>
        </w:trPr>
        <w:tc>
          <w:tcPr>
            <w:tcW w:w="25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4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3270"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13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25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5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12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4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gridAfter w:val="1"/>
          <w:wAfter w:w="212" w:type="dxa"/>
          <w:trHeight w:val="285" w:hRule="atLeast"/>
        </w:trPr>
        <w:tc>
          <w:tcPr>
            <w:tcW w:w="1198"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3270"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jc w:val="both"/>
              <w:rPr>
                <w:rFonts w:ascii="宋体" w:hAnsi="宋体" w:eastAsia="宋体" w:cs="宋体"/>
                <w:sz w:val="24"/>
                <w:szCs w:val="24"/>
              </w:rPr>
            </w:pPr>
            <w:r>
              <w:rPr>
                <w:rFonts w:hint="eastAsia"/>
                <w:b w:val="0"/>
                <w:bCs w:val="0"/>
              </w:rPr>
              <w:t>湖南省农情分析研究中心</w:t>
            </w:r>
            <w:r>
              <w:rPr>
                <w:rFonts w:hint="eastAsia"/>
              </w:rPr>
              <w:t>　</w:t>
            </w:r>
          </w:p>
        </w:tc>
        <w:tc>
          <w:tcPr>
            <w:tcW w:w="213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25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2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05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12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4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gridAfter w:val="1"/>
          <w:wAfter w:w="212" w:type="dxa"/>
          <w:trHeight w:val="450" w:hRule="atLeast"/>
        </w:trPr>
        <w:tc>
          <w:tcPr>
            <w:tcW w:w="4468" w:type="dxa"/>
            <w:gridSpan w:val="6"/>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2130"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2250"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32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050"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12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54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5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3270" w:type="dxa"/>
            <w:gridSpan w:val="4"/>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213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25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5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12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3270" w:type="dxa"/>
            <w:gridSpan w:val="4"/>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13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25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5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12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gridAfter w:val="1"/>
          <w:wAfter w:w="212" w:type="dxa"/>
          <w:trHeight w:val="450" w:hRule="atLeast"/>
        </w:trPr>
        <w:tc>
          <w:tcPr>
            <w:tcW w:w="4468" w:type="dxa"/>
            <w:gridSpan w:val="6"/>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21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225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32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05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12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54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5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gridAfter w:val="1"/>
          <w:wAfter w:w="212" w:type="dxa"/>
          <w:trHeight w:val="450" w:hRule="atLeast"/>
        </w:trPr>
        <w:tc>
          <w:tcPr>
            <w:tcW w:w="4468" w:type="dxa"/>
            <w:gridSpan w:val="6"/>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213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352.28</w:t>
            </w:r>
            <w:r>
              <w:rPr>
                <w:rFonts w:hint="eastAsia" w:asciiTheme="minorEastAsia" w:hAnsiTheme="minorEastAsia" w:eastAsiaTheme="minorEastAsia" w:cstheme="minorEastAsia"/>
                <w:sz w:val="22"/>
                <w:szCs w:val="22"/>
              </w:rPr>
              <w:t>　</w:t>
            </w:r>
          </w:p>
        </w:tc>
        <w:tc>
          <w:tcPr>
            <w:tcW w:w="22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352.13</w:t>
            </w:r>
            <w:r>
              <w:rPr>
                <w:rFonts w:hint="eastAsia" w:asciiTheme="minorEastAsia" w:hAnsiTheme="minorEastAsia" w:eastAsiaTheme="minorEastAsia" w:cstheme="minorEastAsia"/>
                <w:sz w:val="22"/>
                <w:szCs w:val="22"/>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0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12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0.15</w:t>
            </w:r>
            <w:r>
              <w:rPr>
                <w:rFonts w:hint="eastAsia" w:asciiTheme="minorEastAsia" w:hAnsiTheme="minorEastAsia" w:eastAsiaTheme="minorEastAsia" w:cstheme="minorEastAsia"/>
                <w:sz w:val="22"/>
                <w:szCs w:val="22"/>
              </w:rPr>
              <w:t>　</w:t>
            </w:r>
          </w:p>
        </w:tc>
      </w:tr>
      <w:tr>
        <w:tblPrEx>
          <w:tblLayout w:type="fixed"/>
          <w:tblCellMar>
            <w:top w:w="0" w:type="dxa"/>
            <w:left w:w="0" w:type="dxa"/>
            <w:bottom w:w="0" w:type="dxa"/>
            <w:right w:w="0" w:type="dxa"/>
          </w:tblCellMar>
        </w:tblPrEx>
        <w:trPr>
          <w:gridAfter w:val="1"/>
          <w:wAfter w:w="212" w:type="dxa"/>
          <w:trHeight w:val="813"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宋体" w:hAnsi="宋体" w:eastAsia="宋体" w:cs="宋体"/>
                <w:sz w:val="24"/>
                <w:szCs w:val="24"/>
                <w:lang w:val="en-US" w:eastAsia="zh-CN"/>
              </w:rPr>
            </w:pPr>
            <w:r>
              <w:rPr>
                <w:rFonts w:hint="eastAsia"/>
                <w:lang w:val="en-US" w:eastAsia="zh-CN"/>
              </w:rPr>
              <w:t>208</w:t>
            </w:r>
          </w:p>
        </w:tc>
        <w:tc>
          <w:tcPr>
            <w:tcW w:w="3270"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asciiTheme="minorEastAsia" w:hAnsiTheme="minorEastAsia" w:eastAsiaTheme="minorEastAsia" w:cstheme="minorEastAsia"/>
                <w:color w:val="auto"/>
                <w:sz w:val="24"/>
                <w:szCs w:val="24"/>
                <w:highlight w:val="none"/>
              </w:rPr>
              <w:t>社会保障和就业支出</w:t>
            </w:r>
          </w:p>
        </w:tc>
        <w:tc>
          <w:tcPr>
            <w:tcW w:w="213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23.87</w:t>
            </w:r>
            <w:r>
              <w:rPr>
                <w:rFonts w:hint="eastAsia" w:asciiTheme="minorEastAsia" w:hAnsiTheme="minorEastAsia" w:eastAsiaTheme="minorEastAsia" w:cstheme="minorEastAsia"/>
                <w:sz w:val="22"/>
                <w:szCs w:val="22"/>
              </w:rPr>
              <w:t>　</w:t>
            </w:r>
          </w:p>
        </w:tc>
        <w:tc>
          <w:tcPr>
            <w:tcW w:w="22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23.87</w:t>
            </w:r>
            <w:r>
              <w:rPr>
                <w:rFonts w:hint="eastAsia" w:asciiTheme="minorEastAsia" w:hAnsiTheme="minorEastAsia" w:eastAsiaTheme="minorEastAsia" w:cstheme="minorEastAsia"/>
                <w:sz w:val="22"/>
                <w:szCs w:val="22"/>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0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12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lang w:val="en-US" w:eastAsia="zh-CN"/>
              </w:rPr>
              <w:t>2080505</w:t>
            </w:r>
          </w:p>
        </w:tc>
        <w:tc>
          <w:tcPr>
            <w:tcW w:w="3270"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 w:val="24"/>
                <w:szCs w:val="24"/>
              </w:rPr>
            </w:pPr>
            <w:r>
              <w:rPr>
                <w:rFonts w:hint="eastAsia"/>
                <w:sz w:val="24"/>
                <w:szCs w:val="24"/>
              </w:rPr>
              <w:t>机</w:t>
            </w:r>
            <w:r>
              <w:rPr>
                <w:rFonts w:hint="eastAsia"/>
                <w:color w:val="auto"/>
                <w:sz w:val="24"/>
                <w:szCs w:val="24"/>
                <w:highlight w:val="none"/>
              </w:rPr>
              <w:t>关事业单位基本养老保险缴费支出</w:t>
            </w:r>
          </w:p>
        </w:tc>
        <w:tc>
          <w:tcPr>
            <w:tcW w:w="213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19.15</w:t>
            </w:r>
          </w:p>
        </w:tc>
        <w:tc>
          <w:tcPr>
            <w:tcW w:w="22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19.15</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0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12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r>
      <w:tr>
        <w:tblPrEx>
          <w:tblLayout w:type="fixed"/>
          <w:tblCellMar>
            <w:top w:w="0" w:type="dxa"/>
            <w:left w:w="0" w:type="dxa"/>
            <w:bottom w:w="0" w:type="dxa"/>
            <w:right w:w="0" w:type="dxa"/>
          </w:tblCellMar>
        </w:tblPrEx>
        <w:trPr>
          <w:gridAfter w:val="1"/>
          <w:wAfter w:w="212" w:type="dxa"/>
          <w:trHeight w:val="735"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lang w:val="en-US" w:eastAsia="zh-CN"/>
              </w:rPr>
              <w:t>2080801</w:t>
            </w:r>
          </w:p>
        </w:tc>
        <w:tc>
          <w:tcPr>
            <w:tcW w:w="3270"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 w:val="24"/>
                <w:szCs w:val="24"/>
              </w:rPr>
            </w:pPr>
            <w:r>
              <w:rPr>
                <w:rFonts w:hint="eastAsia"/>
                <w:sz w:val="24"/>
                <w:szCs w:val="24"/>
              </w:rPr>
              <w:t>死亡抚恤</w:t>
            </w:r>
          </w:p>
        </w:tc>
        <w:tc>
          <w:tcPr>
            <w:tcW w:w="213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4.72</w:t>
            </w:r>
          </w:p>
        </w:tc>
        <w:tc>
          <w:tcPr>
            <w:tcW w:w="22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4.72</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0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12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213</w:t>
            </w:r>
          </w:p>
        </w:tc>
        <w:tc>
          <w:tcPr>
            <w:tcW w:w="3270"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 w:val="24"/>
                <w:szCs w:val="24"/>
              </w:rPr>
            </w:pPr>
            <w:r>
              <w:rPr>
                <w:rFonts w:hint="eastAsia"/>
                <w:color w:val="auto"/>
                <w:sz w:val="24"/>
                <w:szCs w:val="24"/>
                <w:highlight w:val="none"/>
              </w:rPr>
              <w:t>农林水支出</w:t>
            </w:r>
          </w:p>
        </w:tc>
        <w:tc>
          <w:tcPr>
            <w:tcW w:w="213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309.89</w:t>
            </w:r>
          </w:p>
        </w:tc>
        <w:tc>
          <w:tcPr>
            <w:tcW w:w="22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309.74</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0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12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0.15</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宋体" w:hAnsi="宋体" w:cs="宋体" w:eastAsiaTheme="minorEastAsia"/>
                <w:sz w:val="24"/>
                <w:szCs w:val="24"/>
                <w:lang w:val="en-US" w:eastAsia="zh-CN"/>
              </w:rPr>
            </w:pPr>
            <w:r>
              <w:rPr>
                <w:rFonts w:hint="eastAsia"/>
                <w:lang w:val="en-US" w:eastAsia="zh-CN"/>
              </w:rPr>
              <w:t>21301</w:t>
            </w:r>
          </w:p>
        </w:tc>
        <w:tc>
          <w:tcPr>
            <w:tcW w:w="3270"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auto"/>
                <w:sz w:val="24"/>
                <w:szCs w:val="24"/>
                <w:highlight w:val="none"/>
              </w:rPr>
              <w:t>农业农村</w:t>
            </w:r>
          </w:p>
        </w:tc>
        <w:tc>
          <w:tcPr>
            <w:tcW w:w="213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309.89</w:t>
            </w:r>
            <w:r>
              <w:rPr>
                <w:rFonts w:hint="eastAsia" w:asciiTheme="minorEastAsia" w:hAnsiTheme="minorEastAsia" w:eastAsiaTheme="minorEastAsia" w:cstheme="minorEastAsia"/>
                <w:sz w:val="22"/>
                <w:szCs w:val="22"/>
              </w:rPr>
              <w:t>　</w:t>
            </w:r>
          </w:p>
        </w:tc>
        <w:tc>
          <w:tcPr>
            <w:tcW w:w="22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309.74</w:t>
            </w:r>
            <w:r>
              <w:rPr>
                <w:rFonts w:hint="eastAsia" w:asciiTheme="minorEastAsia" w:hAnsiTheme="minorEastAsia" w:eastAsiaTheme="minorEastAsia" w:cstheme="minorEastAsia"/>
                <w:sz w:val="22"/>
                <w:szCs w:val="22"/>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0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12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0.15</w:t>
            </w:r>
            <w:r>
              <w:rPr>
                <w:rFonts w:hint="eastAsia" w:asciiTheme="minorEastAsia" w:hAnsiTheme="minorEastAsia" w:eastAsiaTheme="minorEastAsia" w:cstheme="minorEastAsia"/>
                <w:sz w:val="22"/>
                <w:szCs w:val="22"/>
              </w:rPr>
              <w:t>　</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宋体" w:hAnsi="宋体" w:cs="宋体" w:eastAsiaTheme="minorEastAsia"/>
                <w:sz w:val="24"/>
                <w:szCs w:val="24"/>
                <w:lang w:val="en-US" w:eastAsia="zh-CN"/>
              </w:rPr>
            </w:pPr>
            <w:r>
              <w:rPr>
                <w:rFonts w:hint="eastAsia"/>
                <w:lang w:val="en-US" w:eastAsia="zh-CN"/>
              </w:rPr>
              <w:t>2130101</w:t>
            </w:r>
          </w:p>
        </w:tc>
        <w:tc>
          <w:tcPr>
            <w:tcW w:w="3270"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auto"/>
                <w:sz w:val="24"/>
                <w:szCs w:val="24"/>
                <w:highlight w:val="none"/>
              </w:rPr>
              <w:t>行政运行</w:t>
            </w:r>
          </w:p>
        </w:tc>
        <w:tc>
          <w:tcPr>
            <w:tcW w:w="213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93.83</w:t>
            </w:r>
            <w:r>
              <w:rPr>
                <w:rFonts w:hint="eastAsia" w:asciiTheme="minorEastAsia" w:hAnsiTheme="minorEastAsia" w:eastAsiaTheme="minorEastAsia" w:cstheme="minorEastAsia"/>
                <w:sz w:val="22"/>
                <w:szCs w:val="22"/>
              </w:rPr>
              <w:t>　</w:t>
            </w:r>
          </w:p>
        </w:tc>
        <w:tc>
          <w:tcPr>
            <w:tcW w:w="22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93.83</w:t>
            </w:r>
            <w:r>
              <w:rPr>
                <w:rFonts w:hint="eastAsia" w:asciiTheme="minorEastAsia" w:hAnsiTheme="minorEastAsia" w:eastAsiaTheme="minorEastAsia" w:cstheme="minorEastAsia"/>
                <w:sz w:val="22"/>
                <w:szCs w:val="22"/>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0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12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宋体" w:hAnsi="宋体" w:cs="宋体" w:eastAsiaTheme="minorEastAsia"/>
                <w:sz w:val="24"/>
                <w:szCs w:val="24"/>
                <w:lang w:val="en-US" w:eastAsia="zh-CN"/>
              </w:rPr>
            </w:pPr>
            <w:r>
              <w:rPr>
                <w:rFonts w:hint="eastAsia"/>
                <w:lang w:val="en-US" w:eastAsia="zh-CN"/>
              </w:rPr>
              <w:t>2130104</w:t>
            </w:r>
          </w:p>
        </w:tc>
        <w:tc>
          <w:tcPr>
            <w:tcW w:w="3270"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auto"/>
                <w:sz w:val="24"/>
                <w:szCs w:val="24"/>
                <w:highlight w:val="none"/>
              </w:rPr>
              <w:t>事业运行</w:t>
            </w:r>
          </w:p>
        </w:tc>
        <w:tc>
          <w:tcPr>
            <w:tcW w:w="213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210.06</w:t>
            </w:r>
            <w:r>
              <w:rPr>
                <w:rFonts w:hint="eastAsia" w:asciiTheme="minorEastAsia" w:hAnsiTheme="minorEastAsia" w:eastAsiaTheme="minorEastAsia" w:cstheme="minorEastAsia"/>
                <w:sz w:val="22"/>
                <w:szCs w:val="22"/>
              </w:rPr>
              <w:t>　</w:t>
            </w:r>
          </w:p>
        </w:tc>
        <w:tc>
          <w:tcPr>
            <w:tcW w:w="22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209.91</w:t>
            </w:r>
            <w:r>
              <w:rPr>
                <w:rFonts w:hint="eastAsia" w:asciiTheme="minorEastAsia" w:hAnsiTheme="minorEastAsia" w:eastAsiaTheme="minorEastAsia" w:cstheme="minorEastAsia"/>
                <w:sz w:val="22"/>
                <w:szCs w:val="22"/>
              </w:rPr>
              <w:t>　</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rPr>
              <w:t>　</w:t>
            </w:r>
            <w:r>
              <w:rPr>
                <w:rFonts w:hint="eastAsia" w:asciiTheme="minorEastAsia" w:hAnsiTheme="minorEastAsia" w:cstheme="minorEastAsia"/>
                <w:sz w:val="22"/>
                <w:szCs w:val="22"/>
                <w:lang w:val="en-US" w:eastAsia="zh-CN"/>
              </w:rPr>
              <w:t>0</w:t>
            </w:r>
          </w:p>
        </w:tc>
        <w:tc>
          <w:tcPr>
            <w:tcW w:w="10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12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0.15</w:t>
            </w:r>
            <w:r>
              <w:rPr>
                <w:rFonts w:hint="eastAsia" w:asciiTheme="minorEastAsia" w:hAnsiTheme="minorEastAsia" w:eastAsiaTheme="minorEastAsia" w:cstheme="minorEastAsia"/>
                <w:sz w:val="22"/>
                <w:szCs w:val="22"/>
              </w:rPr>
              <w:t>　</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宋体" w:hAnsi="宋体" w:cs="宋体" w:eastAsiaTheme="minorEastAsia"/>
                <w:sz w:val="24"/>
                <w:szCs w:val="24"/>
                <w:lang w:val="en-US" w:eastAsia="zh-CN"/>
              </w:rPr>
            </w:pPr>
            <w:r>
              <w:rPr>
                <w:rFonts w:hint="eastAsia"/>
                <w:lang w:val="en-US" w:eastAsia="zh-CN"/>
              </w:rPr>
              <w:t>2130122</w:t>
            </w:r>
          </w:p>
        </w:tc>
        <w:tc>
          <w:tcPr>
            <w:tcW w:w="3270" w:type="dxa"/>
            <w:gridSpan w:val="4"/>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2"/>
                <w:szCs w:val="22"/>
              </w:rPr>
            </w:pPr>
            <w:r>
              <w:rPr>
                <w:rFonts w:hint="eastAsia"/>
                <w:color w:val="auto"/>
                <w:sz w:val="22"/>
                <w:szCs w:val="22"/>
                <w:highlight w:val="none"/>
              </w:rPr>
              <w:t>农业生产发展</w:t>
            </w:r>
          </w:p>
        </w:tc>
        <w:tc>
          <w:tcPr>
            <w:tcW w:w="2130"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6</w:t>
            </w:r>
            <w:r>
              <w:rPr>
                <w:rFonts w:hint="eastAsia" w:asciiTheme="minorEastAsia" w:hAnsiTheme="minorEastAsia" w:eastAsiaTheme="minorEastAsia" w:cstheme="minorEastAsia"/>
                <w:sz w:val="22"/>
                <w:szCs w:val="22"/>
              </w:rPr>
              <w:t>　</w:t>
            </w:r>
          </w:p>
        </w:tc>
        <w:tc>
          <w:tcPr>
            <w:tcW w:w="2250"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6</w:t>
            </w:r>
            <w:r>
              <w:rPr>
                <w:rFonts w:hint="eastAsia" w:asciiTheme="minorEastAsia" w:hAnsiTheme="minorEastAsia" w:eastAsiaTheme="minorEastAsia" w:cstheme="minorEastAsia"/>
                <w:sz w:val="22"/>
                <w:szCs w:val="22"/>
              </w:rPr>
              <w:t>　</w:t>
            </w:r>
          </w:p>
        </w:tc>
        <w:tc>
          <w:tcPr>
            <w:tcW w:w="132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050"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125"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5"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c>
          <w:tcPr>
            <w:tcW w:w="154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rPr>
            </w:pPr>
            <w:r>
              <w:rPr>
                <w:rFonts w:hint="eastAsia" w:asciiTheme="minorEastAsia" w:hAnsiTheme="minorEastAsia" w:cstheme="minorEastAsia"/>
                <w:sz w:val="22"/>
                <w:szCs w:val="22"/>
                <w:lang w:val="en-US" w:eastAsia="zh-CN"/>
              </w:rPr>
              <w:t>0</w:t>
            </w:r>
            <w:r>
              <w:rPr>
                <w:rFonts w:hint="eastAsia" w:asciiTheme="minorEastAsia" w:hAnsiTheme="minorEastAsia" w:eastAsiaTheme="minorEastAsia" w:cstheme="minorEastAsia"/>
                <w:sz w:val="22"/>
                <w:szCs w:val="22"/>
              </w:rPr>
              <w:t>　</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221</w:t>
            </w:r>
          </w:p>
        </w:tc>
        <w:tc>
          <w:tcPr>
            <w:tcW w:w="3270" w:type="dxa"/>
            <w:gridSpan w:val="4"/>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 w:val="22"/>
                <w:szCs w:val="22"/>
              </w:rPr>
            </w:pPr>
            <w:r>
              <w:rPr>
                <w:rFonts w:hint="eastAsia"/>
                <w:color w:val="auto"/>
                <w:sz w:val="22"/>
                <w:szCs w:val="22"/>
                <w:highlight w:val="none"/>
              </w:rPr>
              <w:t>住房保障支出</w:t>
            </w:r>
          </w:p>
        </w:tc>
        <w:tc>
          <w:tcPr>
            <w:tcW w:w="2130"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18.52</w:t>
            </w:r>
          </w:p>
        </w:tc>
        <w:tc>
          <w:tcPr>
            <w:tcW w:w="2250"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18.52</w:t>
            </w:r>
          </w:p>
        </w:tc>
        <w:tc>
          <w:tcPr>
            <w:tcW w:w="132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050"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125"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5"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22102</w:t>
            </w:r>
          </w:p>
        </w:tc>
        <w:tc>
          <w:tcPr>
            <w:tcW w:w="3270"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 w:val="22"/>
                <w:szCs w:val="22"/>
              </w:rPr>
            </w:pPr>
            <w:r>
              <w:rPr>
                <w:rFonts w:hint="eastAsia"/>
                <w:color w:val="auto"/>
                <w:sz w:val="22"/>
                <w:szCs w:val="22"/>
                <w:highlight w:val="none"/>
              </w:rPr>
              <w:t>住房改革支出</w:t>
            </w:r>
          </w:p>
        </w:tc>
        <w:tc>
          <w:tcPr>
            <w:tcW w:w="213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18.52</w:t>
            </w:r>
          </w:p>
        </w:tc>
        <w:tc>
          <w:tcPr>
            <w:tcW w:w="22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18.52</w:t>
            </w:r>
          </w:p>
        </w:tc>
        <w:tc>
          <w:tcPr>
            <w:tcW w:w="13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050"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12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r>
      <w:tr>
        <w:tblPrEx>
          <w:tblLayout w:type="fixed"/>
          <w:tblCellMar>
            <w:top w:w="0" w:type="dxa"/>
            <w:left w:w="0" w:type="dxa"/>
            <w:bottom w:w="0" w:type="dxa"/>
            <w:right w:w="0" w:type="dxa"/>
          </w:tblCellMar>
        </w:tblPrEx>
        <w:trPr>
          <w:gridAfter w:val="1"/>
          <w:wAfter w:w="212" w:type="dxa"/>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2210201</w:t>
            </w:r>
          </w:p>
        </w:tc>
        <w:tc>
          <w:tcPr>
            <w:tcW w:w="3270" w:type="dxa"/>
            <w:gridSpan w:val="4"/>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sz w:val="22"/>
                <w:szCs w:val="22"/>
              </w:rPr>
            </w:pPr>
            <w:r>
              <w:rPr>
                <w:rFonts w:hint="eastAsia"/>
                <w:color w:val="auto"/>
                <w:sz w:val="22"/>
                <w:szCs w:val="22"/>
                <w:highlight w:val="none"/>
              </w:rPr>
              <w:t>住房公积金</w:t>
            </w:r>
          </w:p>
        </w:tc>
        <w:tc>
          <w:tcPr>
            <w:tcW w:w="2130"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18.52</w:t>
            </w:r>
          </w:p>
        </w:tc>
        <w:tc>
          <w:tcPr>
            <w:tcW w:w="2250"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18.52</w:t>
            </w:r>
          </w:p>
        </w:tc>
        <w:tc>
          <w:tcPr>
            <w:tcW w:w="132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050"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125"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5" w:type="dxa"/>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c>
          <w:tcPr>
            <w:tcW w:w="154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sz w:val="22"/>
                <w:szCs w:val="22"/>
                <w:lang w:val="en-US" w:eastAsia="zh-CN"/>
              </w:rPr>
            </w:pPr>
            <w:r>
              <w:rPr>
                <w:rFonts w:hint="eastAsia" w:asciiTheme="minorEastAsia" w:hAnsiTheme="minorEastAsia" w:cstheme="minorEastAsia"/>
                <w:sz w:val="22"/>
                <w:szCs w:val="22"/>
                <w:lang w:val="en-US" w:eastAsia="zh-CN"/>
              </w:rPr>
              <w:t>0</w:t>
            </w:r>
          </w:p>
        </w:tc>
      </w:tr>
      <w:tr>
        <w:tblPrEx>
          <w:tblLayout w:type="fixed"/>
          <w:tblCellMar>
            <w:top w:w="0" w:type="dxa"/>
            <w:left w:w="0" w:type="dxa"/>
            <w:bottom w:w="0" w:type="dxa"/>
            <w:right w:w="0" w:type="dxa"/>
          </w:tblCellMar>
        </w:tblPrEx>
        <w:trPr>
          <w:gridAfter w:val="1"/>
          <w:wAfter w:w="212" w:type="dxa"/>
          <w:trHeight w:val="615" w:hRule="atLeast"/>
        </w:trPr>
        <w:tc>
          <w:tcPr>
            <w:tcW w:w="15428" w:type="dxa"/>
            <w:gridSpan w:val="18"/>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r>
        <w:tblPrEx>
          <w:tblLayout w:type="fixed"/>
          <w:tblCellMar>
            <w:top w:w="0" w:type="dxa"/>
            <w:left w:w="108" w:type="dxa"/>
            <w:bottom w:w="0" w:type="dxa"/>
            <w:right w:w="108" w:type="dxa"/>
          </w:tblCellMar>
        </w:tblPrEx>
        <w:trPr>
          <w:trHeight w:val="807" w:hRule="atLeast"/>
        </w:trPr>
        <w:tc>
          <w:tcPr>
            <w:tcW w:w="15640" w:type="dxa"/>
            <w:gridSpan w:val="1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123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3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6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7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35"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8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62"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403" w:hRule="atLeast"/>
        </w:trPr>
        <w:tc>
          <w:tcPr>
            <w:tcW w:w="1236" w:type="dxa"/>
            <w:gridSpan w:val="3"/>
            <w:tcBorders>
              <w:top w:val="nil"/>
              <w:left w:val="nil"/>
              <w:bottom w:val="nil"/>
              <w:right w:val="nil"/>
            </w:tcBorders>
            <w:shd w:val="clear" w:color="000000" w:fill="FFFFFF"/>
            <w:noWrap/>
            <w:vAlign w:val="center"/>
          </w:tcPr>
          <w:p>
            <w:pPr>
              <w:widowControl/>
              <w:ind w:firstLine="200" w:firstLineChars="100"/>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24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3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b w:val="0"/>
                <w:bCs w:val="0"/>
              </w:rPr>
              <w:t>湖南省农情分析研究中心</w:t>
            </w:r>
            <w:r>
              <w:rPr>
                <w:rFonts w:hint="eastAsia"/>
              </w:rPr>
              <w:t>　</w:t>
            </w:r>
            <w:r>
              <w:rPr>
                <w:rFonts w:hint="eastAsia" w:ascii="宋体" w:hAnsi="宋体" w:eastAsia="宋体" w:cs="宋体"/>
                <w:kern w:val="0"/>
                <w:sz w:val="24"/>
                <w:szCs w:val="24"/>
              </w:rPr>
              <w:t>　</w:t>
            </w:r>
          </w:p>
        </w:tc>
        <w:tc>
          <w:tcPr>
            <w:tcW w:w="216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7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35" w:type="dxa"/>
            <w:gridSpan w:val="3"/>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68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62"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4213" w:type="dxa"/>
            <w:gridSpan w:val="5"/>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2160"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2175"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935"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680"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515"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962"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76" w:type="dxa"/>
            <w:gridSpan w:val="4"/>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73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3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6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76"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3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3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6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4213"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16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175"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935"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68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15"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962"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595" w:hRule="atLeast"/>
        </w:trPr>
        <w:tc>
          <w:tcPr>
            <w:tcW w:w="4213"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404.22</w:t>
            </w:r>
            <w:r>
              <w:rPr>
                <w:rFonts w:hint="eastAsia" w:ascii="宋体" w:hAnsi="宋体" w:eastAsia="宋体" w:cs="宋体"/>
                <w:kern w:val="0"/>
                <w:sz w:val="22"/>
                <w:szCs w:val="22"/>
              </w:rPr>
              <w:t>　</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345.54</w:t>
            </w:r>
            <w:r>
              <w:rPr>
                <w:rFonts w:hint="eastAsia" w:ascii="宋体" w:hAnsi="宋体" w:eastAsia="宋体" w:cs="宋体"/>
                <w:kern w:val="0"/>
                <w:sz w:val="22"/>
                <w:szCs w:val="22"/>
              </w:rPr>
              <w:t>　</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58.68</w:t>
            </w:r>
            <w:r>
              <w:rPr>
                <w:rFonts w:hint="eastAsia" w:ascii="宋体" w:hAnsi="宋体" w:eastAsia="宋体" w:cs="宋体"/>
                <w:kern w:val="0"/>
                <w:sz w:val="22"/>
                <w:szCs w:val="22"/>
              </w:rPr>
              <w:t>　</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208</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社会保障和就业支出</w:t>
            </w:r>
            <w:r>
              <w:rPr>
                <w:rFonts w:hint="eastAsia" w:asciiTheme="minorEastAsia" w:hAnsiTheme="minorEastAsia" w:eastAsiaTheme="minorEastAsia" w:cstheme="minorEastAsia"/>
                <w:kern w:val="0"/>
                <w:sz w:val="22"/>
                <w:szCs w:val="22"/>
              </w:rPr>
              <w:t>　</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23.87</w:t>
            </w:r>
            <w:r>
              <w:rPr>
                <w:rFonts w:hint="eastAsia" w:ascii="宋体" w:hAnsi="宋体" w:eastAsia="宋体" w:cs="宋体"/>
                <w:kern w:val="0"/>
                <w:sz w:val="22"/>
                <w:szCs w:val="22"/>
              </w:rPr>
              <w:t>　</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23.87</w:t>
            </w:r>
            <w:r>
              <w:rPr>
                <w:rFonts w:hint="eastAsia" w:ascii="宋体" w:hAnsi="宋体" w:eastAsia="宋体" w:cs="宋体"/>
                <w:kern w:val="0"/>
                <w:sz w:val="22"/>
                <w:szCs w:val="22"/>
              </w:rPr>
              <w:t>　</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r>
      <w:tr>
        <w:tblPrEx>
          <w:tblLayout w:type="fixed"/>
          <w:tblCellMar>
            <w:top w:w="0" w:type="dxa"/>
            <w:left w:w="108" w:type="dxa"/>
            <w:bottom w:w="0" w:type="dxa"/>
            <w:right w:w="108" w:type="dxa"/>
          </w:tblCellMar>
        </w:tblPrEx>
        <w:trPr>
          <w:trHeight w:val="90"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cs="宋体" w:eastAsiaTheme="minorEastAsia"/>
                <w:kern w:val="0"/>
                <w:sz w:val="24"/>
                <w:szCs w:val="24"/>
                <w:lang w:val="en-US" w:eastAsia="zh-CN"/>
              </w:rPr>
            </w:pPr>
            <w:r>
              <w:rPr>
                <w:rFonts w:hint="eastAsia" w:ascii="宋体" w:hAnsi="宋体"/>
                <w:color w:val="auto"/>
                <w:sz w:val="22"/>
                <w:highlight w:val="none"/>
              </w:rPr>
              <w:t>20805</w:t>
            </w:r>
            <w:r>
              <w:rPr>
                <w:rFonts w:hint="eastAsia" w:ascii="宋体" w:hAnsi="宋体"/>
                <w:color w:val="auto"/>
                <w:sz w:val="22"/>
                <w:highlight w:val="none"/>
                <w:lang w:val="en-US" w:eastAsia="zh-CN"/>
              </w:rPr>
              <w:t>05</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机关事业单位基本养老保险缴费支出</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19.15</w:t>
            </w:r>
            <w:r>
              <w:rPr>
                <w:rFonts w:hint="eastAsia" w:ascii="宋体" w:hAnsi="宋体" w:eastAsia="宋体" w:cs="宋体"/>
                <w:kern w:val="0"/>
                <w:sz w:val="22"/>
                <w:szCs w:val="22"/>
              </w:rPr>
              <w:t>　</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19.15</w:t>
            </w:r>
            <w:r>
              <w:rPr>
                <w:rFonts w:hint="eastAsia" w:ascii="宋体" w:hAnsi="宋体" w:eastAsia="宋体" w:cs="宋体"/>
                <w:kern w:val="0"/>
                <w:sz w:val="22"/>
                <w:szCs w:val="22"/>
              </w:rPr>
              <w:t>　</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2080801</w:t>
            </w:r>
            <w:r>
              <w:rPr>
                <w:rFonts w:hint="eastAsia" w:ascii="宋体" w:hAnsi="宋体" w:eastAsia="宋体" w:cs="宋体"/>
                <w:kern w:val="0"/>
                <w:sz w:val="24"/>
                <w:szCs w:val="24"/>
              </w:rPr>
              <w:tab/>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死亡抚恤</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4.72</w:t>
            </w:r>
            <w:r>
              <w:rPr>
                <w:rFonts w:hint="eastAsia" w:ascii="宋体" w:hAnsi="宋体" w:eastAsia="宋体" w:cs="宋体"/>
                <w:kern w:val="0"/>
                <w:sz w:val="22"/>
                <w:szCs w:val="22"/>
              </w:rPr>
              <w:t>　</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4.72</w:t>
            </w:r>
            <w:r>
              <w:rPr>
                <w:rFonts w:hint="eastAsia" w:ascii="宋体" w:hAnsi="宋体" w:eastAsia="宋体" w:cs="宋体"/>
                <w:kern w:val="0"/>
                <w:sz w:val="22"/>
                <w:szCs w:val="22"/>
              </w:rPr>
              <w:t>　</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213</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szCs w:val="22"/>
              </w:rPr>
            </w:pPr>
            <w:r>
              <w:rPr>
                <w:rFonts w:hint="eastAsia" w:ascii="宋体" w:hAnsi="宋体"/>
                <w:color w:val="auto"/>
                <w:sz w:val="22"/>
                <w:szCs w:val="22"/>
                <w:highlight w:val="none"/>
              </w:rPr>
              <w:t>农林水支出</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361.83</w:t>
            </w:r>
            <w:r>
              <w:rPr>
                <w:rFonts w:hint="eastAsia" w:ascii="宋体" w:hAnsi="宋体" w:eastAsia="宋体" w:cs="宋体"/>
                <w:kern w:val="0"/>
                <w:sz w:val="22"/>
                <w:szCs w:val="22"/>
              </w:rPr>
              <w:t>　</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303.15</w:t>
            </w:r>
            <w:r>
              <w:rPr>
                <w:rFonts w:hint="eastAsia" w:ascii="宋体" w:hAnsi="宋体" w:eastAsia="宋体" w:cs="宋体"/>
                <w:kern w:val="0"/>
                <w:sz w:val="22"/>
                <w:szCs w:val="22"/>
              </w:rPr>
              <w:t>　</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58.68</w:t>
            </w:r>
            <w:r>
              <w:rPr>
                <w:rFonts w:hint="eastAsia" w:ascii="宋体" w:hAnsi="宋体" w:eastAsia="宋体" w:cs="宋体"/>
                <w:kern w:val="0"/>
                <w:sz w:val="22"/>
                <w:szCs w:val="22"/>
              </w:rPr>
              <w:t>　</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color w:val="auto"/>
                <w:sz w:val="22"/>
                <w:highlight w:val="none"/>
              </w:rPr>
              <w:t>21301</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szCs w:val="22"/>
              </w:rPr>
            </w:pPr>
            <w:r>
              <w:rPr>
                <w:rFonts w:hint="eastAsia" w:ascii="宋体" w:hAnsi="宋体"/>
                <w:color w:val="auto"/>
                <w:sz w:val="22"/>
                <w:szCs w:val="22"/>
                <w:highlight w:val="none"/>
              </w:rPr>
              <w:t>农业农村</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356.83</w:t>
            </w:r>
            <w:r>
              <w:rPr>
                <w:rFonts w:hint="eastAsia" w:ascii="宋体" w:hAnsi="宋体" w:eastAsia="宋体" w:cs="宋体"/>
                <w:kern w:val="0"/>
                <w:sz w:val="22"/>
                <w:szCs w:val="22"/>
              </w:rPr>
              <w:t>　</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303.15</w:t>
            </w:r>
            <w:r>
              <w:rPr>
                <w:rFonts w:hint="eastAsia" w:ascii="宋体" w:hAnsi="宋体" w:eastAsia="宋体" w:cs="宋体"/>
                <w:kern w:val="0"/>
                <w:sz w:val="22"/>
                <w:szCs w:val="22"/>
              </w:rPr>
              <w:t>　</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53.68</w:t>
            </w:r>
            <w:r>
              <w:rPr>
                <w:rFonts w:hint="eastAsia" w:ascii="宋体" w:hAnsi="宋体" w:eastAsia="宋体" w:cs="宋体"/>
                <w:kern w:val="0"/>
                <w:sz w:val="22"/>
                <w:szCs w:val="22"/>
              </w:rPr>
              <w:t>　</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color w:val="auto"/>
                <w:sz w:val="22"/>
                <w:highlight w:val="none"/>
              </w:rPr>
              <w:t>2130101</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szCs w:val="22"/>
              </w:rPr>
            </w:pPr>
            <w:r>
              <w:rPr>
                <w:rFonts w:hint="eastAsia" w:ascii="宋体" w:hAnsi="宋体"/>
                <w:color w:val="auto"/>
                <w:sz w:val="22"/>
                <w:szCs w:val="22"/>
                <w:highlight w:val="none"/>
              </w:rPr>
              <w:t>行政运行</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93.83</w:t>
            </w:r>
            <w:r>
              <w:rPr>
                <w:rFonts w:hint="eastAsia" w:ascii="宋体" w:hAnsi="宋体" w:eastAsia="宋体" w:cs="宋体"/>
                <w:kern w:val="0"/>
                <w:sz w:val="22"/>
                <w:szCs w:val="22"/>
              </w:rPr>
              <w:t>　</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93.83</w:t>
            </w:r>
            <w:r>
              <w:rPr>
                <w:rFonts w:hint="eastAsia" w:ascii="宋体" w:hAnsi="宋体" w:eastAsia="宋体" w:cs="宋体"/>
                <w:kern w:val="0"/>
                <w:sz w:val="22"/>
                <w:szCs w:val="22"/>
              </w:rPr>
              <w:t>　</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rPr>
            </w:pPr>
            <w:r>
              <w:rPr>
                <w:rFonts w:hint="eastAsia" w:ascii="宋体" w:hAnsi="宋体" w:eastAsia="宋体" w:cs="宋体"/>
                <w:kern w:val="0"/>
                <w:sz w:val="22"/>
                <w:szCs w:val="22"/>
                <w:lang w:val="en-US" w:eastAsia="zh-CN"/>
              </w:rPr>
              <w:t>0</w:t>
            </w:r>
            <w:r>
              <w:rPr>
                <w:rFonts w:hint="eastAsia" w:ascii="宋体" w:hAnsi="宋体" w:eastAsia="宋体" w:cs="宋体"/>
                <w:kern w:val="0"/>
                <w:sz w:val="22"/>
                <w:szCs w:val="22"/>
              </w:rPr>
              <w:t>　</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2130104</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szCs w:val="22"/>
              </w:rPr>
            </w:pPr>
            <w:r>
              <w:rPr>
                <w:rFonts w:hint="eastAsia" w:ascii="宋体" w:hAnsi="宋体"/>
                <w:color w:val="auto"/>
                <w:sz w:val="22"/>
                <w:szCs w:val="22"/>
                <w:highlight w:val="none"/>
              </w:rPr>
              <w:t>事业运行</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209.32</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209.32</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90"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color w:val="auto"/>
                <w:sz w:val="22"/>
                <w:highlight w:val="none"/>
              </w:rPr>
              <w:t>2130111</w:t>
            </w:r>
          </w:p>
        </w:tc>
        <w:tc>
          <w:tcPr>
            <w:tcW w:w="2737" w:type="dxa"/>
            <w:tcBorders>
              <w:top w:val="single" w:color="auto" w:sz="4" w:space="0"/>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统计监测与信息服务</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50.79</w:t>
            </w:r>
          </w:p>
        </w:tc>
        <w:tc>
          <w:tcPr>
            <w:tcW w:w="217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3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50.79</w:t>
            </w:r>
          </w:p>
        </w:tc>
        <w:tc>
          <w:tcPr>
            <w:tcW w:w="168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5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color w:val="auto"/>
                <w:sz w:val="22"/>
                <w:highlight w:val="none"/>
              </w:rPr>
              <w:t>2130122</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农业生产发展</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2.89</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2.89</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color w:val="auto"/>
                <w:sz w:val="22"/>
                <w:highlight w:val="none"/>
              </w:rPr>
              <w:t>21399</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其他农林水支出</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color w:val="auto"/>
                <w:sz w:val="22"/>
                <w:highlight w:val="none"/>
              </w:rPr>
              <w:t>2139999</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其他农林水支出</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color w:val="auto"/>
                <w:sz w:val="22"/>
                <w:highlight w:val="none"/>
              </w:rPr>
              <w:t>221</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住房保障支出</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18.52</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18.52</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22102</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住房改革支出</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18.52</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18.52</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76"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color w:val="auto"/>
                <w:sz w:val="22"/>
                <w:highlight w:val="none"/>
              </w:rPr>
              <w:t>2210201</w:t>
            </w:r>
          </w:p>
        </w:tc>
        <w:tc>
          <w:tcPr>
            <w:tcW w:w="273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住房公积金</w:t>
            </w:r>
          </w:p>
        </w:tc>
        <w:tc>
          <w:tcPr>
            <w:tcW w:w="216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18.52</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18.52</w:t>
            </w:r>
          </w:p>
        </w:tc>
        <w:tc>
          <w:tcPr>
            <w:tcW w:w="1935"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68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51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196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828" w:hRule="atLeast"/>
        </w:trPr>
        <w:tc>
          <w:tcPr>
            <w:tcW w:w="15640" w:type="dxa"/>
            <w:gridSpan w:val="1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tbl>
      <w:tblPr>
        <w:tblStyle w:val="8"/>
        <w:tblW w:w="15521" w:type="dxa"/>
        <w:tblInd w:w="93" w:type="dxa"/>
        <w:tblLayout w:type="fixed"/>
        <w:tblCellMar>
          <w:top w:w="0" w:type="dxa"/>
          <w:left w:w="108" w:type="dxa"/>
          <w:bottom w:w="0" w:type="dxa"/>
          <w:right w:w="108" w:type="dxa"/>
        </w:tblCellMar>
      </w:tblPr>
      <w:tblGrid>
        <w:gridCol w:w="3595"/>
        <w:gridCol w:w="573"/>
        <w:gridCol w:w="941"/>
        <w:gridCol w:w="496"/>
        <w:gridCol w:w="2915"/>
        <w:gridCol w:w="632"/>
        <w:gridCol w:w="435"/>
        <w:gridCol w:w="1573"/>
        <w:gridCol w:w="1394"/>
        <w:gridCol w:w="1394"/>
        <w:gridCol w:w="1573"/>
      </w:tblGrid>
      <w:tr>
        <w:tblPrEx>
          <w:tblLayout w:type="fixed"/>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43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pPr>
          </w:p>
          <w:p>
            <w:pPr>
              <w:pStyle w:val="2"/>
            </w:pPr>
          </w:p>
          <w:p/>
          <w:p>
            <w:pPr>
              <w:pStyle w:val="2"/>
            </w:pPr>
          </w:p>
          <w:p/>
          <w:p>
            <w:pPr>
              <w:pStyle w:val="2"/>
            </w:pPr>
          </w:p>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hint="eastAsia" w:ascii="华文中宋" w:hAnsi="华文中宋" w:eastAsia="华文中宋" w:cs="宋体"/>
                <w:color w:val="000000"/>
                <w:kern w:val="0"/>
                <w:sz w:val="32"/>
                <w:szCs w:val="32"/>
              </w:rPr>
            </w:pPr>
          </w:p>
          <w:p>
            <w:pPr>
              <w:pStyle w:val="2"/>
              <w:rPr>
                <w:rFonts w:hint="eastAsia" w:ascii="华文中宋" w:hAnsi="华文中宋" w:eastAsia="华文中宋" w:cs="宋体"/>
                <w:color w:val="000000"/>
                <w:kern w:val="0"/>
                <w:sz w:val="32"/>
                <w:szCs w:val="32"/>
              </w:rPr>
            </w:pPr>
          </w:p>
          <w:p>
            <w:pPr>
              <w:rPr>
                <w:rFonts w:hint="eastAsia" w:ascii="华文中宋" w:hAnsi="华文中宋" w:eastAsia="华文中宋" w:cs="宋体"/>
                <w:color w:val="000000"/>
                <w:kern w:val="0"/>
                <w:sz w:val="32"/>
                <w:szCs w:val="32"/>
              </w:rPr>
            </w:pPr>
          </w:p>
          <w:p>
            <w:pPr>
              <w:pStyle w:val="2"/>
              <w:rPr>
                <w:rFonts w:hint="eastAsia" w:ascii="华文中宋" w:hAnsi="华文中宋" w:eastAsia="华文中宋" w:cs="宋体"/>
                <w:color w:val="000000"/>
                <w:kern w:val="0"/>
                <w:sz w:val="32"/>
                <w:szCs w:val="32"/>
              </w:rPr>
            </w:pPr>
          </w:p>
          <w:p>
            <w:pPr>
              <w:rPr>
                <w:rFonts w:hint="eastAsia" w:ascii="华文中宋" w:hAnsi="华文中宋" w:eastAsia="华文中宋" w:cs="宋体"/>
                <w:color w:val="000000"/>
                <w:kern w:val="0"/>
                <w:sz w:val="32"/>
                <w:szCs w:val="32"/>
              </w:rPr>
            </w:pPr>
          </w:p>
          <w:p>
            <w:pPr>
              <w:pStyle w:val="2"/>
              <w:rPr>
                <w:rFonts w:hint="eastAsia"/>
              </w:rPr>
            </w:pPr>
          </w:p>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4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b w:val="0"/>
                <w:bCs w:val="0"/>
              </w:rPr>
              <w:t>湖南省农情分析研究中心</w:t>
            </w:r>
          </w:p>
        </w:tc>
        <w:tc>
          <w:tcPr>
            <w:tcW w:w="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4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Layout w:type="fixed"/>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9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9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352.13</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33</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9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34</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35</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36</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37</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38</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七、文化旅游体育与传媒支出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39</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23.87</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23.87</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9</w:t>
            </w:r>
          </w:p>
        </w:tc>
        <w:tc>
          <w:tcPr>
            <w:tcW w:w="94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九、卫生健康支出</w:t>
            </w:r>
          </w:p>
        </w:tc>
        <w:tc>
          <w:tcPr>
            <w:tcW w:w="106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41</w:t>
            </w: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w:t>
            </w:r>
          </w:p>
        </w:tc>
        <w:tc>
          <w:tcPr>
            <w:tcW w:w="94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十、节能环保支出</w:t>
            </w:r>
          </w:p>
        </w:tc>
        <w:tc>
          <w:tcPr>
            <w:tcW w:w="106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42</w:t>
            </w: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11</w:t>
            </w:r>
          </w:p>
        </w:tc>
        <w:tc>
          <w:tcPr>
            <w:tcW w:w="94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十一、城乡社区支出</w:t>
            </w:r>
          </w:p>
        </w:tc>
        <w:tc>
          <w:tcPr>
            <w:tcW w:w="106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43</w:t>
            </w: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12</w:t>
            </w:r>
          </w:p>
        </w:tc>
        <w:tc>
          <w:tcPr>
            <w:tcW w:w="941"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十二、农林水支出</w:t>
            </w:r>
          </w:p>
        </w:tc>
        <w:tc>
          <w:tcPr>
            <w:tcW w:w="106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44</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311.04</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311.04</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13</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十三、交通运输支出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45</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14</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十四、资源勘探工业信息等支出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46</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15</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十五、商业服务业等支出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47</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16</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十六、金融支出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48</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17</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十七、援助其他地区支出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49</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18</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十八、自然资源海洋气象等支出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19</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十九、住房保障支出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51</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18.52</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18.52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20</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二十、粮油物资储备支出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52</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21</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二十一、国有资本经营预算支出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53</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22</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二十二、灾害防治及应急管理支出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54</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23</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二十三、其他支出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55</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24</w:t>
            </w:r>
          </w:p>
        </w:tc>
        <w:tc>
          <w:tcPr>
            <w:tcW w:w="9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二十四、债务还本支出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56</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25</w:t>
            </w:r>
          </w:p>
        </w:tc>
        <w:tc>
          <w:tcPr>
            <w:tcW w:w="94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二十五、债务付息支出</w:t>
            </w:r>
          </w:p>
        </w:tc>
        <w:tc>
          <w:tcPr>
            <w:tcW w:w="106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57</w:t>
            </w: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26</w:t>
            </w:r>
          </w:p>
        </w:tc>
        <w:tc>
          <w:tcPr>
            <w:tcW w:w="94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1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二十六、抗疫特别国债安排的支出</w:t>
            </w:r>
          </w:p>
        </w:tc>
        <w:tc>
          <w:tcPr>
            <w:tcW w:w="106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58</w:t>
            </w: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57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27</w:t>
            </w:r>
          </w:p>
        </w:tc>
        <w:tc>
          <w:tcPr>
            <w:tcW w:w="941"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352.13</w:t>
            </w:r>
            <w:r>
              <w:rPr>
                <w:rFonts w:hint="eastAsia" w:ascii="宋体" w:hAnsi="宋体" w:eastAsia="宋体" w:cs="宋体"/>
                <w:kern w:val="0"/>
                <w:sz w:val="22"/>
              </w:rPr>
              <w:t>　</w:t>
            </w:r>
          </w:p>
        </w:tc>
        <w:tc>
          <w:tcPr>
            <w:tcW w:w="3411"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59</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353.43</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353.43</w:t>
            </w:r>
            <w:r>
              <w:rPr>
                <w:rFonts w:hint="eastAsia" w:ascii="宋体" w:hAnsi="宋体" w:eastAsia="宋体" w:cs="宋体"/>
                <w:kern w:val="0"/>
                <w:sz w:val="22"/>
              </w:rPr>
              <w:t>　</w:t>
            </w:r>
          </w:p>
        </w:tc>
        <w:tc>
          <w:tcPr>
            <w:tcW w:w="139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28</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7.89</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60</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6.59</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6.59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7.89</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30</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31</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573"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32</w:t>
            </w:r>
          </w:p>
        </w:tc>
        <w:tc>
          <w:tcPr>
            <w:tcW w:w="94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360.02</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64</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360.02</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360.02</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Layout w:type="fixed"/>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rPr>
          <w:rFonts w:ascii="Times New Roman" w:hAnsi="Times New Roman" w:eastAsia="方正小标宋_GBK" w:cs="Times New Roman"/>
          <w:kern w:val="0"/>
          <w:sz w:val="36"/>
          <w:szCs w:val="36"/>
        </w:rPr>
      </w:pPr>
    </w:p>
    <w:p>
      <w:pPr>
        <w:pStyle w:val="2"/>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b w:val="0"/>
          <w:bCs w:val="0"/>
        </w:rPr>
        <w:t>湖南省农情分析研究中心</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spacing w:before="156" w:beforeLines="50"/>
        <w:jc w:val="both"/>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p>
    <w:tbl>
      <w:tblPr>
        <w:tblStyle w:val="8"/>
        <w:tblW w:w="14219" w:type="dxa"/>
        <w:jc w:val="center"/>
        <w:tblInd w:w="0" w:type="dxa"/>
        <w:tblLayout w:type="fixed"/>
        <w:tblCellMar>
          <w:top w:w="0" w:type="dxa"/>
          <w:left w:w="108" w:type="dxa"/>
          <w:bottom w:w="0" w:type="dxa"/>
          <w:right w:w="108" w:type="dxa"/>
        </w:tblCellMar>
      </w:tblPr>
      <w:tblGrid>
        <w:gridCol w:w="1200"/>
        <w:gridCol w:w="3527"/>
        <w:gridCol w:w="3000"/>
        <w:gridCol w:w="3492"/>
        <w:gridCol w:w="3000"/>
      </w:tblGrid>
      <w:tr>
        <w:tblPrEx>
          <w:tblLayout w:type="fixed"/>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lang w:val="en-US" w:eastAsia="zh-CN"/>
              </w:rPr>
              <w:t>353.43</w:t>
            </w:r>
            <w:r>
              <w:rPr>
                <w:rFonts w:hint="eastAsia" w:asciiTheme="minorEastAsia" w:hAnsiTheme="minorEastAsia" w:eastAsiaTheme="minorEastAsia" w:cstheme="minorEastAsia"/>
                <w:kern w:val="0"/>
                <w:sz w:val="22"/>
                <w:szCs w:val="22"/>
              </w:rPr>
              <w:t>　</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345.54</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lang w:val="en-US" w:eastAsia="zh-CN"/>
              </w:rPr>
              <w:t>7.89</w:t>
            </w:r>
            <w:r>
              <w:rPr>
                <w:rFonts w:hint="eastAsia" w:asciiTheme="minorEastAsia" w:hAnsiTheme="minorEastAsia" w:eastAsiaTheme="minorEastAsia" w:cstheme="minorEastAsia"/>
                <w:kern w:val="0"/>
                <w:sz w:val="22"/>
                <w:szCs w:val="22"/>
              </w:rPr>
              <w:t>　</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208</w:t>
            </w:r>
            <w:r>
              <w:rPr>
                <w:rFonts w:hint="eastAsia" w:asciiTheme="minorEastAsia" w:hAnsiTheme="minorEastAsia" w:eastAsiaTheme="minorEastAsia" w:cstheme="minorEastAsia"/>
                <w:kern w:val="0"/>
                <w:sz w:val="22"/>
                <w:szCs w:val="22"/>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23.87</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23.87</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rPr>
            </w:pPr>
            <w:r>
              <w:rPr>
                <w:rFonts w:hint="eastAsia" w:asciiTheme="minorEastAsia" w:hAnsiTheme="minorEastAsia" w:cstheme="minorEastAsia"/>
                <w:kern w:val="0"/>
                <w:sz w:val="22"/>
                <w:szCs w:val="22"/>
                <w:lang w:val="en-US" w:eastAsia="zh-CN"/>
              </w:rPr>
              <w:t>0</w:t>
            </w:r>
            <w:r>
              <w:rPr>
                <w:rFonts w:hint="eastAsia" w:asciiTheme="minorEastAsia" w:hAnsiTheme="minorEastAsia" w:eastAsiaTheme="minorEastAsia" w:cstheme="minorEastAsia"/>
                <w:kern w:val="0"/>
                <w:sz w:val="22"/>
                <w:szCs w:val="22"/>
              </w:rPr>
              <w:t>　</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2080505</w:t>
            </w:r>
            <w:r>
              <w:rPr>
                <w:rFonts w:hint="eastAsia" w:asciiTheme="minorEastAsia" w:hAnsiTheme="minorEastAsia" w:eastAsiaTheme="minorEastAsia" w:cstheme="minorEastAsia"/>
                <w:kern w:val="0"/>
                <w:sz w:val="22"/>
                <w:szCs w:val="22"/>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19.15</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19.15</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rPr>
            </w:pPr>
            <w:r>
              <w:rPr>
                <w:rFonts w:hint="eastAsia" w:asciiTheme="minorEastAsia" w:hAnsiTheme="minorEastAsia" w:cstheme="minorEastAsia"/>
                <w:kern w:val="0"/>
                <w:sz w:val="22"/>
                <w:szCs w:val="22"/>
                <w:lang w:val="en-US" w:eastAsia="zh-CN"/>
              </w:rPr>
              <w:t>0</w:t>
            </w:r>
            <w:r>
              <w:rPr>
                <w:rFonts w:hint="eastAsia" w:asciiTheme="minorEastAsia" w:hAnsiTheme="minorEastAsia" w:eastAsiaTheme="minorEastAsia" w:cstheme="minorEastAsia"/>
                <w:kern w:val="0"/>
                <w:sz w:val="22"/>
                <w:szCs w:val="22"/>
              </w:rPr>
              <w:t>　</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cstheme="minorEastAsia"/>
                <w:kern w:val="0"/>
                <w:sz w:val="22"/>
                <w:szCs w:val="22"/>
                <w:lang w:val="en-US" w:eastAsia="zh-CN"/>
              </w:rPr>
              <w:t>2</w:t>
            </w:r>
            <w:r>
              <w:rPr>
                <w:rFonts w:hint="eastAsia" w:asciiTheme="minorEastAsia" w:hAnsiTheme="minorEastAsia" w:eastAsiaTheme="minorEastAsia" w:cstheme="minorEastAsia"/>
                <w:kern w:val="0"/>
                <w:sz w:val="22"/>
                <w:szCs w:val="22"/>
              </w:rPr>
              <w:t>080801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死亡抚恤</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4.72</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4.72</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rPr>
            </w:pPr>
            <w:r>
              <w:rPr>
                <w:rFonts w:hint="eastAsia" w:asciiTheme="minorEastAsia" w:hAnsiTheme="minorEastAsia" w:cstheme="minorEastAsia"/>
                <w:kern w:val="0"/>
                <w:sz w:val="22"/>
                <w:szCs w:val="22"/>
                <w:lang w:val="en-US" w:eastAsia="zh-CN"/>
              </w:rPr>
              <w:t>0</w:t>
            </w:r>
            <w:r>
              <w:rPr>
                <w:rFonts w:hint="eastAsia" w:asciiTheme="minorEastAsia" w:hAnsiTheme="minorEastAsia" w:eastAsiaTheme="minorEastAsia" w:cstheme="minorEastAsia"/>
                <w:kern w:val="0"/>
                <w:sz w:val="22"/>
                <w:szCs w:val="22"/>
              </w:rPr>
              <w:t>　</w:t>
            </w:r>
          </w:p>
        </w:tc>
      </w:tr>
      <w:tr>
        <w:tblPrEx>
          <w:tblLayout w:type="fixed"/>
          <w:tblCellMar>
            <w:top w:w="0" w:type="dxa"/>
            <w:left w:w="108" w:type="dxa"/>
            <w:bottom w:w="0" w:type="dxa"/>
            <w:right w:w="108" w:type="dxa"/>
          </w:tblCellMar>
        </w:tblPrEx>
        <w:trPr>
          <w:trHeight w:val="9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213</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农林水支出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311.04</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303.15</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7.89</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21301</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农业农村</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306.04</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default"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303.15</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default"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2.89</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2130101</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行政运行</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93.83</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rPr>
              <w:t>　</w:t>
            </w:r>
            <w:r>
              <w:rPr>
                <w:rFonts w:hint="eastAsia" w:asciiTheme="minorEastAsia" w:hAnsiTheme="minorEastAsia" w:eastAsiaTheme="minorEastAsia" w:cstheme="minorEastAsia"/>
                <w:kern w:val="0"/>
                <w:sz w:val="22"/>
                <w:szCs w:val="22"/>
                <w:lang w:val="en-US" w:eastAsia="zh-CN"/>
              </w:rPr>
              <w:t>93.83</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rPr>
            </w:pPr>
            <w:r>
              <w:rPr>
                <w:rFonts w:hint="eastAsia" w:asciiTheme="minorEastAsia" w:hAnsiTheme="minorEastAsia" w:cstheme="minorEastAsia"/>
                <w:kern w:val="0"/>
                <w:sz w:val="22"/>
                <w:szCs w:val="22"/>
                <w:lang w:val="en-US" w:eastAsia="zh-CN"/>
              </w:rPr>
              <w:t>0</w:t>
            </w:r>
            <w:r>
              <w:rPr>
                <w:rFonts w:hint="eastAsia" w:asciiTheme="minorEastAsia" w:hAnsiTheme="minorEastAsia" w:eastAsiaTheme="minorEastAsia" w:cstheme="minorEastAsia"/>
                <w:kern w:val="0"/>
                <w:sz w:val="22"/>
                <w:szCs w:val="22"/>
              </w:rPr>
              <w:t>　</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2130104</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事业运行</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209.32</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209.32</w:t>
            </w:r>
          </w:p>
        </w:tc>
        <w:tc>
          <w:tcPr>
            <w:tcW w:w="3000" w:type="dxa"/>
            <w:tcBorders>
              <w:top w:val="nil"/>
              <w:left w:val="nil"/>
              <w:bottom w:val="single" w:color="auto" w:sz="8" w:space="0"/>
              <w:right w:val="single" w:color="auto" w:sz="8"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2130122</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农业生产发展</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2.89</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2.89</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21399</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其他农林水支出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5</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5</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2139999</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其他农林水支出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5</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5</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221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住房保障支出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18.52</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18.52</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22102</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住房改革支出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18.52</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18.52</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2210201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auto"/>
                <w:sz w:val="22"/>
                <w:szCs w:val="22"/>
                <w:highlight w:val="none"/>
              </w:rPr>
              <w:t>住房公积金</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18.52</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eastAsiaTheme="minorEastAsia" w:cstheme="minorEastAsia"/>
                <w:kern w:val="0"/>
                <w:sz w:val="22"/>
                <w:szCs w:val="22"/>
                <w:lang w:val="en-US" w:eastAsia="zh-CN"/>
              </w:rPr>
              <w:t>18.52</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heme="minorEastAsia" w:hAnsiTheme="minorEastAsia" w:eastAsiaTheme="minorEastAsia" w:cstheme="minorEastAsia"/>
                <w:kern w:val="0"/>
                <w:sz w:val="22"/>
                <w:szCs w:val="22"/>
                <w:lang w:val="en-US" w:eastAsia="zh-CN"/>
              </w:rPr>
            </w:pPr>
            <w:r>
              <w:rPr>
                <w:rFonts w:hint="eastAsia" w:asciiTheme="minorEastAsia" w:hAnsiTheme="minorEastAsia" w:cstheme="minorEastAsia"/>
                <w:kern w:val="0"/>
                <w:sz w:val="22"/>
                <w:szCs w:val="22"/>
                <w:lang w:val="en-US" w:eastAsia="zh-CN"/>
              </w:rPr>
              <w:t>0</w:t>
            </w: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single" w:color="auto" w:sz="4" w:space="0"/>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8"/>
        <w:tblW w:w="16305" w:type="dxa"/>
        <w:tblInd w:w="-345" w:type="dxa"/>
        <w:tblLayout w:type="fixed"/>
        <w:tblCellMar>
          <w:top w:w="0" w:type="dxa"/>
          <w:left w:w="108" w:type="dxa"/>
          <w:bottom w:w="0" w:type="dxa"/>
          <w:right w:w="108" w:type="dxa"/>
        </w:tblCellMar>
      </w:tblPr>
      <w:tblGrid>
        <w:gridCol w:w="975"/>
        <w:gridCol w:w="604"/>
        <w:gridCol w:w="1497"/>
        <w:gridCol w:w="1424"/>
        <w:gridCol w:w="579"/>
        <w:gridCol w:w="576"/>
        <w:gridCol w:w="960"/>
        <w:gridCol w:w="696"/>
        <w:gridCol w:w="1986"/>
        <w:gridCol w:w="112"/>
        <w:gridCol w:w="1031"/>
        <w:gridCol w:w="825"/>
        <w:gridCol w:w="244"/>
        <w:gridCol w:w="2098"/>
        <w:gridCol w:w="523"/>
        <w:gridCol w:w="1576"/>
        <w:gridCol w:w="599"/>
      </w:tblGrid>
      <w:tr>
        <w:tblPrEx>
          <w:tblLayout w:type="fixed"/>
          <w:tblCellMar>
            <w:top w:w="0" w:type="dxa"/>
            <w:left w:w="108" w:type="dxa"/>
            <w:bottom w:w="0" w:type="dxa"/>
            <w:right w:w="108" w:type="dxa"/>
          </w:tblCellMar>
        </w:tblPrEx>
        <w:trPr>
          <w:trHeight w:val="1308" w:hRule="atLeast"/>
        </w:trPr>
        <w:tc>
          <w:tcPr>
            <w:tcW w:w="16305" w:type="dxa"/>
            <w:gridSpan w:val="17"/>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 xml:space="preserve">  </w:t>
            </w:r>
            <w:r>
              <w:rPr>
                <w:rFonts w:hint="eastAsia"/>
                <w:b w:val="0"/>
                <w:bCs w:val="0"/>
              </w:rPr>
              <w:t>湖南省农情分析研究中心</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253" w:hRule="atLeast"/>
        </w:trPr>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52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8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86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21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236.33</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25.29</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51.46</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0.5</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10.57</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0.4</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xml:space="preserve">  伙食补助费</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6.19</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110.04</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19.15</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11.17</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2.13</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7.10</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0.5</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18.52</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5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15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w:t>
            </w:r>
            <w:r>
              <w:rPr>
                <w:rFonts w:hint="eastAsia" w:ascii="宋体" w:hAnsi="宋体" w:eastAsia="宋体" w:cs="宋体"/>
                <w:color w:val="000000"/>
                <w:kern w:val="0"/>
                <w:szCs w:val="20"/>
              </w:rPr>
              <w:t>　</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682"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114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286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217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83.93</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w:t>
            </w:r>
            <w:r>
              <w:rPr>
                <w:rFonts w:hint="eastAsia" w:ascii="宋体" w:hAnsi="宋体" w:eastAsia="宋体" w:cs="宋体"/>
                <w:color w:val="000000"/>
                <w:kern w:val="0"/>
                <w:szCs w:val="20"/>
              </w:rPr>
              <w:t>　</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47.99</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0.11</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4.72</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0.9</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4.61</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22.97</w:t>
            </w:r>
            <w:r>
              <w:rPr>
                <w:rFonts w:hint="eastAsia" w:ascii="宋体" w:hAnsi="宋体" w:eastAsia="宋体" w:cs="宋体"/>
                <w:color w:val="000000"/>
                <w:kern w:val="0"/>
                <w:szCs w:val="20"/>
              </w:rPr>
              <w:t>　</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8.19</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hint="eastAsia" w:ascii="宋体" w:hAnsi="宋体" w:eastAsia="宋体" w:cs="宋体"/>
                <w:color w:val="000000"/>
                <w:kern w:val="0"/>
                <w:szCs w:val="20"/>
              </w:rPr>
            </w:pPr>
          </w:p>
          <w:tbl>
            <w:tblPr>
              <w:tblStyle w:val="8"/>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hint="eastAsia" w:ascii="宋体" w:hAnsi="宋体" w:eastAsia="宋体" w:cs="宋体"/>
                <w:color w:val="000000"/>
                <w:kern w:val="0"/>
                <w:szCs w:val="20"/>
              </w:rPr>
            </w:pPr>
          </w:p>
          <w:tbl>
            <w:tblPr>
              <w:tblStyle w:val="8"/>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ascii="宋体" w:hAnsi="宋体" w:eastAsia="宋体" w:cs="宋体"/>
                <w:color w:val="000000"/>
                <w:kern w:val="0"/>
                <w:szCs w:val="20"/>
              </w:rPr>
            </w:pP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8.41</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8.25</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567" w:hRule="exac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5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6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114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1.67</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2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567" w:hRule="exact"/>
        </w:trPr>
        <w:tc>
          <w:tcPr>
            <w:tcW w:w="45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1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320.25</w:t>
            </w:r>
          </w:p>
        </w:tc>
        <w:tc>
          <w:tcPr>
            <w:tcW w:w="8475"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Cs w:val="18"/>
                <w:lang w:val="en-US" w:eastAsia="zh-CN"/>
              </w:rPr>
            </w:pPr>
            <w:r>
              <w:rPr>
                <w:rFonts w:hint="eastAsia" w:ascii="宋体" w:hAnsi="宋体" w:eastAsia="宋体" w:cs="宋体"/>
                <w:color w:val="000000"/>
                <w:kern w:val="0"/>
                <w:szCs w:val="18"/>
                <w:lang w:val="en-US" w:eastAsia="zh-CN"/>
              </w:rPr>
              <w:t>25.29</w:t>
            </w:r>
            <w:r>
              <w:rPr>
                <w:rFonts w:hint="eastAsia" w:ascii="宋体" w:hAnsi="宋体" w:eastAsia="宋体" w:cs="宋体"/>
                <w:color w:val="000000"/>
                <w:kern w:val="0"/>
                <w:szCs w:val="18"/>
              </w:rPr>
              <w:t>　</w:t>
            </w:r>
          </w:p>
        </w:tc>
      </w:tr>
      <w:tr>
        <w:tblPrEx>
          <w:tblLayout w:type="fixed"/>
          <w:tblCellMar>
            <w:top w:w="0" w:type="dxa"/>
            <w:left w:w="108" w:type="dxa"/>
            <w:bottom w:w="0" w:type="dxa"/>
            <w:right w:w="108" w:type="dxa"/>
          </w:tblCellMar>
        </w:tblPrEx>
        <w:trPr>
          <w:trHeight w:val="284" w:hRule="exact"/>
        </w:trPr>
        <w:tc>
          <w:tcPr>
            <w:tcW w:w="16305" w:type="dxa"/>
            <w:gridSpan w:val="17"/>
            <w:tcBorders>
              <w:top w:val="single" w:color="auto" w:sz="4" w:space="0"/>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690" w:hRule="atLeast"/>
        </w:trPr>
        <w:tc>
          <w:tcPr>
            <w:tcW w:w="15706" w:type="dxa"/>
            <w:gridSpan w:val="1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345" w:hRule="atLeast"/>
        </w:trPr>
        <w:tc>
          <w:tcPr>
            <w:tcW w:w="975"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604"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97"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003"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232"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8"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00"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8"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9"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690" w:hRule="atLeast"/>
        </w:trPr>
        <w:tc>
          <w:tcPr>
            <w:tcW w:w="3076" w:type="dxa"/>
            <w:gridSpan w:val="3"/>
            <w:tcBorders>
              <w:top w:val="nil"/>
              <w:left w:val="nil"/>
              <w:bottom w:val="nil"/>
              <w:right w:val="nil"/>
            </w:tcBorders>
            <w:shd w:val="clear" w:color="auto" w:fill="FFFFFF"/>
            <w:noWrap/>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b w:val="0"/>
                <w:bCs w:val="0"/>
              </w:rPr>
              <w:t>湖南省农情分析研究中心</w:t>
            </w:r>
          </w:p>
        </w:tc>
        <w:tc>
          <w:tcPr>
            <w:tcW w:w="2003"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232"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8"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00"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8"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9"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459" w:hRule="atLeast"/>
        </w:trPr>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5"/>
                <w:lang w:val="en-US" w:eastAsia="zh-CN" w:bidi="ar"/>
              </w:rPr>
              <w:t xml:space="preserve">   </w:t>
            </w:r>
            <w:r>
              <w:rPr>
                <w:rStyle w:val="16"/>
                <w:lang w:val="en-US" w:eastAsia="zh-CN" w:bidi="ar"/>
              </w:rPr>
              <w:t>目</w:t>
            </w:r>
          </w:p>
        </w:tc>
        <w:tc>
          <w:tcPr>
            <w:tcW w:w="20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23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29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0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609" w:hRule="atLeast"/>
        </w:trPr>
        <w:tc>
          <w:tcPr>
            <w:tcW w:w="15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0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0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409" w:hRule="atLeast"/>
        </w:trPr>
        <w:tc>
          <w:tcPr>
            <w:tcW w:w="15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509" w:hRule="atLeast"/>
        </w:trPr>
        <w:tc>
          <w:tcPr>
            <w:tcW w:w="15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509" w:hRule="atLeast"/>
        </w:trPr>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509" w:hRule="atLeast"/>
        </w:trPr>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509" w:hRule="atLeast"/>
        </w:trPr>
        <w:tc>
          <w:tcPr>
            <w:tcW w:w="15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509" w:hRule="atLeast"/>
        </w:trPr>
        <w:tc>
          <w:tcPr>
            <w:tcW w:w="15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509" w:hRule="atLeast"/>
        </w:trPr>
        <w:tc>
          <w:tcPr>
            <w:tcW w:w="15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509" w:hRule="atLeast"/>
        </w:trPr>
        <w:tc>
          <w:tcPr>
            <w:tcW w:w="15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509" w:hRule="atLeast"/>
        </w:trPr>
        <w:tc>
          <w:tcPr>
            <w:tcW w:w="15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599" w:type="dxa"/>
          <w:trHeight w:val="509" w:hRule="atLeast"/>
        </w:trPr>
        <w:tc>
          <w:tcPr>
            <w:tcW w:w="15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5" w:hRule="atLeast"/>
        </w:trPr>
        <w:tc>
          <w:tcPr>
            <w:tcW w:w="16305"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both"/>
        <w:rPr>
          <w:rFonts w:hint="eastAsia" w:ascii="Times New Roman" w:hAnsi="Times New Roman" w:eastAsia="方正小标宋_GBK" w:cs="Times New Roman"/>
          <w:color w:val="000000"/>
          <w:kern w:val="0"/>
          <w:sz w:val="36"/>
          <w:szCs w:val="36"/>
        </w:rPr>
      </w:pPr>
    </w:p>
    <w:p>
      <w:pPr>
        <w:pStyle w:val="2"/>
        <w:rPr>
          <w:rFonts w:hint="eastAsia"/>
        </w:rPr>
      </w:pPr>
    </w:p>
    <w:tbl>
      <w:tblPr>
        <w:tblStyle w:val="8"/>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b w:val="0"/>
                <w:bCs w:val="0"/>
              </w:rPr>
              <w:t>湖南省农情分析研究中心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7"/>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8"/>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408"/>
        <w:gridCol w:w="1114"/>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408"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114"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b w:val="0"/>
                <w:bCs w:val="0"/>
              </w:rPr>
              <w:t>湖南省农情分析研究中心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6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0.60</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0.60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0.11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p>
    <w:p>
      <w:pPr>
        <w:pStyle w:val="12"/>
        <w:rPr>
          <w:sz w:val="72"/>
          <w:szCs w:val="72"/>
        </w:rPr>
      </w:pPr>
    </w:p>
    <w:p>
      <w:pPr>
        <w:pStyle w:val="12"/>
        <w:rPr>
          <w:sz w:val="72"/>
          <w:szCs w:val="72"/>
        </w:rPr>
      </w:pPr>
    </w:p>
    <w:p>
      <w:pPr>
        <w:pStyle w:val="12"/>
        <w:rPr>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ind w:firstLine="640" w:firstLineChars="200"/>
        <w:rPr>
          <w:rFonts w:hint="eastAsia" w:ascii="Times New Roman" w:hAnsi="Times New Roman" w:eastAsia="仿宋_GB2312"/>
          <w:sz w:val="32"/>
          <w:szCs w:val="32"/>
          <w:lang w:eastAsia="zh-CN"/>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年度收、支总计4</w:t>
      </w:r>
      <w:r>
        <w:rPr>
          <w:rFonts w:hint="eastAsia" w:ascii="仿宋_GB2312" w:hAnsi="仿宋_GB2312" w:eastAsia="仿宋_GB2312" w:cs="仿宋_GB2312"/>
          <w:color w:val="auto"/>
          <w:sz w:val="32"/>
          <w:szCs w:val="32"/>
          <w:highlight w:val="none"/>
          <w:lang w:val="en-US" w:eastAsia="zh-CN"/>
        </w:rPr>
        <w:t>32.88</w:t>
      </w:r>
      <w:r>
        <w:rPr>
          <w:rFonts w:hint="eastAsia" w:ascii="仿宋_GB2312" w:hAnsi="仿宋_GB2312" w:eastAsia="仿宋_GB2312" w:cs="仿宋_GB2312"/>
          <w:color w:val="auto"/>
          <w:sz w:val="32"/>
          <w:szCs w:val="32"/>
          <w:highlight w:val="none"/>
        </w:rPr>
        <w:t>万元。与上年相比，</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5.49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3.71</w:t>
      </w:r>
      <w:r>
        <w:rPr>
          <w:rFonts w:hint="eastAsia" w:ascii="仿宋_GB2312" w:hAnsi="仿宋_GB2312" w:eastAsia="仿宋_GB2312" w:cs="仿宋_GB2312"/>
          <w:color w:val="auto"/>
          <w:sz w:val="32"/>
          <w:szCs w:val="32"/>
          <w:highlight w:val="none"/>
        </w:rPr>
        <w:t>%，主要是因为</w:t>
      </w:r>
      <w:r>
        <w:rPr>
          <w:rFonts w:hint="eastAsia" w:ascii="仿宋_GB2312" w:hAnsi="仿宋_GB2312" w:eastAsia="仿宋_GB2312" w:cs="仿宋_GB2312"/>
          <w:color w:val="auto"/>
          <w:sz w:val="32"/>
          <w:szCs w:val="32"/>
          <w:highlight w:val="none"/>
          <w:lang w:eastAsia="zh-CN"/>
        </w:rPr>
        <w:t>工作需要，新增入编人员，导致人员经费增多。</w:t>
      </w:r>
    </w:p>
    <w:p>
      <w:pPr>
        <w:pStyle w:val="12"/>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收入决算情况说明</w:t>
      </w:r>
    </w:p>
    <w:p>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年度收入合计</w:t>
      </w:r>
      <w:r>
        <w:rPr>
          <w:rFonts w:hint="eastAsia" w:ascii="仿宋_GB2312" w:hAnsi="仿宋_GB2312" w:eastAsia="仿宋_GB2312" w:cs="仿宋_GB2312"/>
          <w:color w:val="auto"/>
          <w:sz w:val="32"/>
          <w:szCs w:val="32"/>
          <w:highlight w:val="none"/>
          <w:lang w:val="en-US" w:eastAsia="zh-CN"/>
        </w:rPr>
        <w:t>352.28</w:t>
      </w:r>
      <w:r>
        <w:rPr>
          <w:rFonts w:hint="eastAsia" w:ascii="仿宋_GB2312" w:hAnsi="仿宋_GB2312" w:eastAsia="仿宋_GB2312" w:cs="仿宋_GB2312"/>
          <w:color w:val="auto"/>
          <w:sz w:val="32"/>
          <w:szCs w:val="32"/>
          <w:highlight w:val="none"/>
        </w:rPr>
        <w:t>万元，其中：财政拨款收入3</w:t>
      </w:r>
      <w:r>
        <w:rPr>
          <w:rFonts w:hint="eastAsia" w:ascii="仿宋_GB2312" w:hAnsi="仿宋_GB2312" w:eastAsia="仿宋_GB2312" w:cs="仿宋_GB2312"/>
          <w:color w:val="auto"/>
          <w:sz w:val="32"/>
          <w:szCs w:val="32"/>
          <w:highlight w:val="none"/>
          <w:lang w:val="en-US" w:eastAsia="zh-CN"/>
        </w:rPr>
        <w:t>52.13</w:t>
      </w:r>
      <w:r>
        <w:rPr>
          <w:rFonts w:hint="eastAsia" w:ascii="仿宋_GB2312" w:hAnsi="仿宋_GB2312" w:eastAsia="仿宋_GB2312" w:cs="仿宋_GB2312"/>
          <w:color w:val="auto"/>
          <w:sz w:val="32"/>
          <w:szCs w:val="32"/>
          <w:highlight w:val="none"/>
        </w:rPr>
        <w:t>万元，占99.9</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%；上级补助收入0万元，占0%；事业收入0万元，占0%；经营收入0万元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占0%；附属单位上缴收入0万元，占0%；其他收入0.</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万元，占0.0</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ind w:firstLine="640" w:firstLineChars="200"/>
        <w:rPr>
          <w:rFonts w:hint="eastAsia" w:ascii="Times New Roman" w:hAnsi="Times New Roman" w:eastAsia="仿宋_GB2312"/>
          <w:sz w:val="32"/>
          <w:szCs w:val="32"/>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年度支出合计</w:t>
      </w:r>
      <w:r>
        <w:rPr>
          <w:rFonts w:hint="eastAsia" w:ascii="仿宋_GB2312" w:hAnsi="仿宋_GB2312" w:eastAsia="仿宋_GB2312" w:cs="仿宋_GB2312"/>
          <w:color w:val="auto"/>
          <w:sz w:val="32"/>
          <w:szCs w:val="32"/>
          <w:highlight w:val="none"/>
          <w:lang w:val="en-US" w:eastAsia="zh-CN"/>
        </w:rPr>
        <w:t>404.22</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345.54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85.48</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58.68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14.52</w:t>
      </w:r>
      <w:r>
        <w:rPr>
          <w:rFonts w:hint="eastAsia" w:ascii="仿宋_GB2312" w:hAnsi="仿宋_GB2312" w:eastAsia="仿宋_GB2312" w:cs="仿宋_GB2312"/>
          <w:color w:val="auto"/>
          <w:sz w:val="32"/>
          <w:szCs w:val="32"/>
          <w:highlight w:val="none"/>
        </w:rPr>
        <w:t>%；上缴上级支出0万元，占0%；经营支出0万元，占0%；对附属单位补助支出0万元，占0%。</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ind w:firstLine="640" w:firstLineChars="200"/>
        <w:rPr>
          <w:rFonts w:hint="eastAsia" w:ascii="Times New Roman" w:hAnsi="Times New Roman" w:eastAsia="仿宋_GB2312"/>
          <w:sz w:val="32"/>
          <w:szCs w:val="32"/>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年度财政拨款收、支总计</w:t>
      </w:r>
      <w:r>
        <w:rPr>
          <w:rFonts w:hint="eastAsia" w:ascii="仿宋_GB2312" w:hAnsi="仿宋_GB2312" w:eastAsia="仿宋_GB2312" w:cs="仿宋_GB2312"/>
          <w:color w:val="auto"/>
          <w:sz w:val="32"/>
          <w:szCs w:val="32"/>
          <w:highlight w:val="none"/>
          <w:lang w:val="en-US" w:eastAsia="zh-CN"/>
        </w:rPr>
        <w:t>360.02</w:t>
      </w:r>
      <w:r>
        <w:rPr>
          <w:rFonts w:hint="eastAsia" w:ascii="仿宋_GB2312" w:hAnsi="仿宋_GB2312" w:eastAsia="仿宋_GB2312" w:cs="仿宋_GB2312"/>
          <w:color w:val="auto"/>
          <w:sz w:val="32"/>
          <w:szCs w:val="32"/>
          <w:highlight w:val="none"/>
        </w:rPr>
        <w:t>万元，与上年相比，</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22.43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6.64</w:t>
      </w:r>
      <w:r>
        <w:rPr>
          <w:rFonts w:hint="eastAsia" w:ascii="仿宋_GB2312" w:hAnsi="仿宋_GB2312" w:eastAsia="仿宋_GB2312" w:cs="仿宋_GB2312"/>
          <w:color w:val="auto"/>
          <w:sz w:val="32"/>
          <w:szCs w:val="32"/>
          <w:highlight w:val="none"/>
        </w:rPr>
        <w:t>%，主要是因为年</w:t>
      </w:r>
      <w:r>
        <w:rPr>
          <w:rFonts w:hint="eastAsia" w:ascii="仿宋_GB2312" w:hAnsi="仿宋_GB2312" w:eastAsia="仿宋_GB2312" w:cs="仿宋_GB2312"/>
          <w:color w:val="auto"/>
          <w:sz w:val="32"/>
          <w:szCs w:val="32"/>
          <w:highlight w:val="none"/>
          <w:lang w:eastAsia="zh-CN"/>
        </w:rPr>
        <w:t>末</w:t>
      </w:r>
      <w:r>
        <w:rPr>
          <w:rFonts w:hint="eastAsia" w:ascii="仿宋_GB2312" w:hAnsi="仿宋_GB2312" w:eastAsia="仿宋_GB2312" w:cs="仿宋_GB2312"/>
          <w:color w:val="auto"/>
          <w:sz w:val="32"/>
          <w:szCs w:val="32"/>
          <w:highlight w:val="none"/>
        </w:rPr>
        <w:t>追加</w:t>
      </w:r>
      <w:r>
        <w:rPr>
          <w:rFonts w:hint="eastAsia" w:ascii="仿宋_GB2312" w:hAnsi="仿宋_GB2312" w:eastAsia="仿宋_GB2312" w:cs="仿宋_GB2312"/>
          <w:color w:val="auto"/>
          <w:sz w:val="32"/>
          <w:szCs w:val="32"/>
          <w:highlight w:val="none"/>
          <w:lang w:eastAsia="zh-CN"/>
        </w:rPr>
        <w:t>人员经费。</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2"/>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年度财政拨款支出</w:t>
      </w:r>
      <w:r>
        <w:rPr>
          <w:rFonts w:hint="eastAsia" w:ascii="仿宋_GB2312" w:hAnsi="仿宋_GB2312" w:eastAsia="仿宋_GB2312" w:cs="仿宋_GB2312"/>
          <w:color w:val="auto"/>
          <w:sz w:val="32"/>
          <w:szCs w:val="32"/>
          <w:highlight w:val="none"/>
          <w:lang w:val="en-US" w:eastAsia="zh-CN"/>
        </w:rPr>
        <w:t>353.43</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87.44</w:t>
      </w:r>
      <w:r>
        <w:rPr>
          <w:rFonts w:hint="eastAsia" w:ascii="仿宋_GB2312" w:hAnsi="仿宋_GB2312" w:eastAsia="仿宋_GB2312" w:cs="仿宋_GB2312"/>
          <w:color w:val="auto"/>
          <w:sz w:val="32"/>
          <w:szCs w:val="32"/>
          <w:highlight w:val="none"/>
        </w:rPr>
        <w:t>%，与上年相比，财政拨款支出增加</w:t>
      </w:r>
      <w:r>
        <w:rPr>
          <w:rFonts w:hint="eastAsia" w:ascii="仿宋_GB2312" w:hAnsi="仿宋_GB2312" w:eastAsia="仿宋_GB2312" w:cs="仿宋_GB2312"/>
          <w:color w:val="auto"/>
          <w:sz w:val="32"/>
          <w:szCs w:val="32"/>
          <w:highlight w:val="none"/>
          <w:lang w:val="en-US" w:eastAsia="zh-CN"/>
        </w:rPr>
        <w:t>34.75</w:t>
      </w:r>
      <w:r>
        <w:rPr>
          <w:rFonts w:hint="eastAsia" w:ascii="仿宋_GB2312" w:hAnsi="仿宋_GB2312" w:eastAsia="仿宋_GB2312" w:cs="仿宋_GB2312"/>
          <w:color w:val="auto"/>
          <w:sz w:val="32"/>
          <w:szCs w:val="32"/>
          <w:highlight w:val="none"/>
        </w:rPr>
        <w:t>万元，增</w:t>
      </w:r>
      <w:r>
        <w:rPr>
          <w:rFonts w:hint="eastAsia" w:ascii="仿宋_GB2312" w:hAnsi="仿宋_GB2312" w:eastAsia="仿宋_GB2312" w:cs="仿宋_GB2312"/>
          <w:color w:val="auto"/>
          <w:sz w:val="32"/>
          <w:szCs w:val="32"/>
          <w:highlight w:val="none"/>
          <w:lang w:eastAsia="zh-CN"/>
        </w:rPr>
        <w:t>长</w:t>
      </w:r>
      <w:r>
        <w:rPr>
          <w:rFonts w:hint="eastAsia" w:ascii="仿宋_GB2312" w:hAnsi="仿宋_GB2312" w:eastAsia="仿宋_GB2312" w:cs="仿宋_GB2312"/>
          <w:color w:val="auto"/>
          <w:sz w:val="32"/>
          <w:szCs w:val="32"/>
          <w:highlight w:val="none"/>
          <w:lang w:val="en-US" w:eastAsia="zh-CN"/>
        </w:rPr>
        <w:t>10.90</w:t>
      </w:r>
      <w:r>
        <w:rPr>
          <w:rFonts w:hint="eastAsia" w:ascii="仿宋_GB2312" w:hAnsi="仿宋_GB2312" w:eastAsia="仿宋_GB2312" w:cs="仿宋_GB2312"/>
          <w:color w:val="auto"/>
          <w:sz w:val="32"/>
          <w:szCs w:val="32"/>
          <w:highlight w:val="none"/>
        </w:rPr>
        <w:t>%，主要是因为年</w:t>
      </w:r>
      <w:r>
        <w:rPr>
          <w:rFonts w:hint="eastAsia" w:ascii="仿宋_GB2312" w:hAnsi="仿宋_GB2312" w:eastAsia="仿宋_GB2312" w:cs="仿宋_GB2312"/>
          <w:color w:val="auto"/>
          <w:sz w:val="32"/>
          <w:szCs w:val="32"/>
          <w:highlight w:val="none"/>
          <w:lang w:eastAsia="zh-CN"/>
        </w:rPr>
        <w:t>末</w:t>
      </w:r>
      <w:r>
        <w:rPr>
          <w:rFonts w:hint="eastAsia" w:ascii="仿宋_GB2312" w:hAnsi="仿宋_GB2312" w:eastAsia="仿宋_GB2312" w:cs="仿宋_GB2312"/>
          <w:color w:val="auto"/>
          <w:sz w:val="32"/>
          <w:szCs w:val="32"/>
          <w:highlight w:val="none"/>
        </w:rPr>
        <w:t>追加</w:t>
      </w:r>
      <w:r>
        <w:rPr>
          <w:rFonts w:hint="eastAsia" w:ascii="仿宋_GB2312" w:hAnsi="仿宋_GB2312" w:eastAsia="仿宋_GB2312" w:cs="仿宋_GB2312"/>
          <w:color w:val="auto"/>
          <w:sz w:val="32"/>
          <w:szCs w:val="32"/>
          <w:highlight w:val="none"/>
          <w:lang w:eastAsia="zh-CN"/>
        </w:rPr>
        <w:t>平时考核</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和退休费补助。</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年度财政拨款支出</w:t>
      </w:r>
      <w:r>
        <w:rPr>
          <w:rFonts w:hint="eastAsia" w:ascii="仿宋_GB2312" w:hAnsi="仿宋_GB2312" w:eastAsia="仿宋_GB2312" w:cs="仿宋_GB2312"/>
          <w:color w:val="auto"/>
          <w:sz w:val="32"/>
          <w:szCs w:val="32"/>
          <w:highlight w:val="none"/>
          <w:lang w:val="en-US" w:eastAsia="zh-CN"/>
        </w:rPr>
        <w:t>353.43</w:t>
      </w:r>
      <w:r>
        <w:rPr>
          <w:rFonts w:hint="eastAsia" w:ascii="仿宋_GB2312" w:hAnsi="仿宋_GB2312" w:eastAsia="仿宋_GB2312" w:cs="仿宋_GB2312"/>
          <w:color w:val="auto"/>
          <w:sz w:val="32"/>
          <w:szCs w:val="32"/>
          <w:highlight w:val="none"/>
        </w:rPr>
        <w:t>万元，主要用于以下方面：社会保障和就业(类)支出</w:t>
      </w:r>
      <w:r>
        <w:rPr>
          <w:rFonts w:hint="eastAsia" w:ascii="仿宋_GB2312" w:hAnsi="仿宋_GB2312" w:eastAsia="仿宋_GB2312" w:cs="仿宋_GB2312"/>
          <w:color w:val="auto"/>
          <w:sz w:val="32"/>
          <w:szCs w:val="32"/>
          <w:highlight w:val="none"/>
          <w:lang w:val="en-US" w:eastAsia="zh-CN"/>
        </w:rPr>
        <w:t>23.87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6.75</w:t>
      </w:r>
      <w:r>
        <w:rPr>
          <w:rFonts w:hint="eastAsia" w:ascii="仿宋_GB2312" w:hAnsi="仿宋_GB2312" w:eastAsia="仿宋_GB2312" w:cs="仿宋_GB2312"/>
          <w:color w:val="auto"/>
          <w:sz w:val="32"/>
          <w:szCs w:val="32"/>
          <w:highlight w:val="none"/>
        </w:rPr>
        <w:t>%；农林水（类）支出</w:t>
      </w:r>
      <w:r>
        <w:rPr>
          <w:rFonts w:hint="eastAsia" w:ascii="仿宋_GB2312" w:hAnsi="仿宋_GB2312" w:eastAsia="仿宋_GB2312" w:cs="仿宋_GB2312"/>
          <w:color w:val="auto"/>
          <w:sz w:val="32"/>
          <w:szCs w:val="32"/>
          <w:highlight w:val="none"/>
          <w:lang w:val="en-US" w:eastAsia="zh-CN"/>
        </w:rPr>
        <w:t>311.04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88.01</w:t>
      </w:r>
      <w:r>
        <w:rPr>
          <w:rFonts w:hint="eastAsia" w:ascii="仿宋_GB2312" w:hAnsi="仿宋_GB2312" w:eastAsia="仿宋_GB2312" w:cs="仿宋_GB2312"/>
          <w:color w:val="auto"/>
          <w:sz w:val="32"/>
          <w:szCs w:val="32"/>
          <w:highlight w:val="none"/>
        </w:rPr>
        <w:t>%；住房保障（类）支出</w:t>
      </w:r>
      <w:r>
        <w:rPr>
          <w:rFonts w:hint="eastAsia" w:ascii="仿宋_GB2312" w:hAnsi="仿宋_GB2312" w:eastAsia="仿宋_GB2312" w:cs="仿宋_GB2312"/>
          <w:color w:val="auto"/>
          <w:sz w:val="32"/>
          <w:szCs w:val="32"/>
          <w:highlight w:val="none"/>
          <w:lang w:val="en-US" w:eastAsia="zh-CN"/>
        </w:rPr>
        <w:t>18.52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5.24</w:t>
      </w:r>
      <w:r>
        <w:rPr>
          <w:rFonts w:hint="eastAsia" w:ascii="仿宋_GB2312" w:hAnsi="仿宋_GB2312" w:eastAsia="仿宋_GB2312" w:cs="仿宋_GB2312"/>
          <w:color w:val="auto"/>
          <w:sz w:val="32"/>
          <w:szCs w:val="32"/>
          <w:highlight w:val="none"/>
        </w:rPr>
        <w:t>%。</w:t>
      </w:r>
    </w:p>
    <w:p>
      <w:pPr>
        <w:pStyle w:val="12"/>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年度财政拨款支出年初预算数为</w:t>
      </w:r>
      <w:r>
        <w:rPr>
          <w:rFonts w:hint="eastAsia" w:ascii="仿宋_GB2312" w:hAnsi="仿宋_GB2312" w:eastAsia="仿宋_GB2312" w:cs="仿宋_GB2312"/>
          <w:color w:val="auto"/>
          <w:sz w:val="32"/>
          <w:szCs w:val="32"/>
          <w:highlight w:val="none"/>
          <w:lang w:val="en-US" w:eastAsia="zh-CN"/>
        </w:rPr>
        <w:t>261.47</w:t>
      </w:r>
      <w:r>
        <w:rPr>
          <w:rFonts w:hint="eastAsia" w:ascii="仿宋_GB2312" w:hAnsi="仿宋_GB2312" w:eastAsia="仿宋_GB2312" w:cs="仿宋_GB2312"/>
          <w:color w:val="auto"/>
          <w:sz w:val="32"/>
          <w:szCs w:val="32"/>
          <w:highlight w:val="none"/>
        </w:rPr>
        <w:t>万元，支出决算数为</w:t>
      </w:r>
      <w:r>
        <w:rPr>
          <w:rFonts w:hint="eastAsia" w:ascii="仿宋_GB2312" w:hAnsi="仿宋_GB2312" w:eastAsia="仿宋_GB2312" w:cs="仿宋_GB2312"/>
          <w:color w:val="auto"/>
          <w:sz w:val="32"/>
          <w:szCs w:val="32"/>
          <w:highlight w:val="none"/>
          <w:lang w:val="en-US" w:eastAsia="zh-CN"/>
        </w:rPr>
        <w:t>353.43</w:t>
      </w:r>
      <w:r>
        <w:rPr>
          <w:rFonts w:hint="eastAsia" w:ascii="仿宋_GB2312" w:hAnsi="仿宋_GB2312" w:eastAsia="仿宋_GB2312" w:cs="仿宋_GB2312"/>
          <w:color w:val="auto"/>
          <w:sz w:val="32"/>
          <w:szCs w:val="32"/>
          <w:highlight w:val="none"/>
        </w:rPr>
        <w:t>万元，完成年初预算的100%，其中：</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1、社会保障和就业支出（类）行政事业单位养老支出（款）机关事业单位基本养老保险缴费支出（项）。</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年初预算为1</w:t>
      </w:r>
      <w:r>
        <w:rPr>
          <w:rFonts w:hint="eastAsia" w:ascii="仿宋_GB2312" w:hAnsi="仿宋_GB2312" w:eastAsia="仿宋_GB2312" w:cs="仿宋_GB2312"/>
          <w:color w:val="auto"/>
          <w:sz w:val="32"/>
          <w:szCs w:val="32"/>
          <w:highlight w:val="none"/>
          <w:lang w:val="en-US" w:eastAsia="zh-CN"/>
        </w:rPr>
        <w:t>7.86</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19.15</w:t>
      </w:r>
      <w:r>
        <w:rPr>
          <w:rFonts w:hint="eastAsia" w:ascii="仿宋_GB2312" w:hAnsi="仿宋_GB2312" w:eastAsia="仿宋_GB2312" w:cs="仿宋_GB2312"/>
          <w:color w:val="auto"/>
          <w:sz w:val="32"/>
          <w:szCs w:val="32"/>
          <w:highlight w:val="none"/>
        </w:rPr>
        <w:t>万元，完成年初预算的100%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决算数大于年初预算数的主要原因是</w:t>
      </w:r>
      <w:r>
        <w:rPr>
          <w:rFonts w:hint="eastAsia" w:ascii="仿宋_GB2312" w:hAnsi="仿宋_GB2312" w:eastAsia="仿宋_GB2312" w:cs="仿宋_GB2312"/>
          <w:color w:val="auto"/>
          <w:sz w:val="32"/>
          <w:szCs w:val="32"/>
          <w:highlight w:val="none"/>
          <w:lang w:val="en-US" w:eastAsia="zh-CN"/>
        </w:rPr>
        <w:t>:新增入编人员，年末调整预算以弥补养老保险单位缴纳不足。</w:t>
      </w:r>
    </w:p>
    <w:p>
      <w:pPr>
        <w:pStyle w:val="12"/>
        <w:numPr>
          <w:ilvl w:val="0"/>
          <w:numId w:val="3"/>
        </w:numPr>
        <w:ind w:left="638" w:leftChars="304" w:firstLine="0" w:firstLineChars="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社会保障和就业支出（类）</w:t>
      </w:r>
      <w:r>
        <w:rPr>
          <w:rFonts w:hint="eastAsia" w:ascii="仿宋_GB2312" w:hAnsi="仿宋_GB2312" w:eastAsia="仿宋_GB2312" w:cs="仿宋_GB2312"/>
          <w:color w:val="auto"/>
          <w:sz w:val="32"/>
          <w:szCs w:val="32"/>
          <w:highlight w:val="none"/>
          <w:lang w:eastAsia="zh-CN"/>
        </w:rPr>
        <w:t>抚恤</w:t>
      </w:r>
      <w:r>
        <w:rPr>
          <w:rFonts w:hint="eastAsia" w:ascii="仿宋_GB2312" w:hAnsi="仿宋_GB2312" w:eastAsia="仿宋_GB2312" w:cs="仿宋_GB2312"/>
          <w:color w:val="auto"/>
          <w:sz w:val="32"/>
          <w:szCs w:val="32"/>
          <w:highlight w:val="none"/>
        </w:rPr>
        <w:t>（款）死亡抚恤</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w:t>
      </w:r>
    </w:p>
    <w:p>
      <w:pPr>
        <w:pStyle w:val="12"/>
        <w:numPr>
          <w:ilvl w:val="0"/>
          <w:numId w:val="0"/>
        </w:numPr>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4.72</w:t>
      </w:r>
      <w:r>
        <w:rPr>
          <w:rFonts w:hint="eastAsia" w:ascii="仿宋_GB2312" w:hAnsi="仿宋_GB2312" w:eastAsia="仿宋_GB2312" w:cs="仿宋_GB2312"/>
          <w:color w:val="auto"/>
          <w:sz w:val="32"/>
          <w:szCs w:val="32"/>
          <w:highlight w:val="none"/>
        </w:rPr>
        <w:t>万元，决算</w:t>
      </w:r>
      <w:r>
        <w:rPr>
          <w:rFonts w:hint="eastAsia" w:ascii="仿宋_GB2312" w:hAnsi="仿宋_GB2312" w:eastAsia="仿宋_GB2312" w:cs="仿宋_GB2312"/>
          <w:color w:val="auto"/>
          <w:sz w:val="32"/>
          <w:szCs w:val="32"/>
          <w:highlight w:val="none"/>
          <w:lang w:eastAsia="zh-CN"/>
        </w:rPr>
        <w:t>数</w:t>
      </w:r>
      <w:r>
        <w:rPr>
          <w:rFonts w:hint="eastAsia" w:ascii="仿宋_GB2312" w:hAnsi="仿宋_GB2312" w:eastAsia="仿宋_GB2312" w:cs="仿宋_GB2312"/>
          <w:color w:val="auto"/>
          <w:sz w:val="32"/>
          <w:szCs w:val="32"/>
          <w:highlight w:val="none"/>
          <w:lang w:val="en-US" w:eastAsia="zh-CN"/>
        </w:rPr>
        <w:t>大于年初预算数的主要原因是:年中追加逝世退休干部抚恤金及丧葬费。</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、农林水支出（类）农业农村（款）事业运行（项）。</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212.38</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209.32</w:t>
      </w:r>
      <w:r>
        <w:rPr>
          <w:rFonts w:hint="eastAsia" w:ascii="仿宋_GB2312" w:hAnsi="仿宋_GB2312" w:eastAsia="仿宋_GB2312" w:cs="仿宋_GB2312"/>
          <w:color w:val="auto"/>
          <w:sz w:val="32"/>
          <w:szCs w:val="32"/>
          <w:highlight w:val="none"/>
        </w:rPr>
        <w:t>万元，完成年初预算的</w:t>
      </w:r>
      <w:r>
        <w:rPr>
          <w:rFonts w:hint="eastAsia" w:ascii="仿宋_GB2312" w:hAnsi="仿宋_GB2312" w:eastAsia="仿宋_GB2312" w:cs="仿宋_GB2312"/>
          <w:color w:val="auto"/>
          <w:sz w:val="32"/>
          <w:szCs w:val="32"/>
          <w:highlight w:val="none"/>
          <w:lang w:val="en-US" w:eastAsia="zh-CN"/>
        </w:rPr>
        <w:t>98.56</w:t>
      </w:r>
      <w:r>
        <w:rPr>
          <w:rFonts w:hint="eastAsia" w:ascii="仿宋_GB2312" w:hAnsi="仿宋_GB2312" w:eastAsia="仿宋_GB2312" w:cs="仿宋_GB2312"/>
          <w:color w:val="auto"/>
          <w:sz w:val="32"/>
          <w:szCs w:val="32"/>
          <w:highlight w:val="none"/>
        </w:rPr>
        <w:t>%，决算数小于年初预算数主要</w:t>
      </w:r>
      <w:r>
        <w:rPr>
          <w:rFonts w:hint="eastAsia" w:ascii="仿宋_GB2312" w:hAnsi="仿宋_GB2312" w:eastAsia="仿宋_GB2312" w:cs="仿宋_GB2312"/>
          <w:color w:val="auto"/>
          <w:sz w:val="32"/>
          <w:szCs w:val="32"/>
          <w:highlight w:val="none"/>
          <w:lang w:eastAsia="zh-CN"/>
        </w:rPr>
        <w:t>原因</w:t>
      </w:r>
      <w:r>
        <w:rPr>
          <w:rFonts w:hint="eastAsia" w:ascii="仿宋_GB2312" w:hAnsi="仿宋_GB2312" w:eastAsia="仿宋_GB2312" w:cs="仿宋_GB2312"/>
          <w:color w:val="auto"/>
          <w:sz w:val="32"/>
          <w:szCs w:val="32"/>
          <w:highlight w:val="none"/>
        </w:rPr>
        <w:t>是</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厉行节约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“三公”经费</w:t>
      </w:r>
      <w:r>
        <w:rPr>
          <w:rFonts w:hint="eastAsia" w:ascii="仿宋_GB2312" w:hAnsi="仿宋_GB2312" w:eastAsia="仿宋_GB2312" w:cs="仿宋_GB2312"/>
          <w:color w:val="auto"/>
          <w:sz w:val="32"/>
          <w:szCs w:val="32"/>
          <w:highlight w:val="none"/>
          <w:lang w:val="en-US" w:eastAsia="zh-CN"/>
        </w:rPr>
        <w:t>有结余</w:t>
      </w:r>
      <w:r>
        <w:rPr>
          <w:rFonts w:hint="eastAsia" w:ascii="仿宋_GB2312" w:hAnsi="仿宋_GB2312" w:eastAsia="仿宋_GB2312" w:cs="仿宋_GB2312"/>
          <w:color w:val="auto"/>
          <w:sz w:val="32"/>
          <w:szCs w:val="32"/>
          <w:highlight w:val="none"/>
        </w:rPr>
        <w:t>。</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、农林水支出（类）农业农村（款）行政运行（项）。</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年初预算为0万元，支出决算为</w:t>
      </w:r>
      <w:r>
        <w:rPr>
          <w:rFonts w:hint="eastAsia" w:ascii="仿宋_GB2312" w:hAnsi="仿宋_GB2312" w:eastAsia="仿宋_GB2312" w:cs="仿宋_GB2312"/>
          <w:color w:val="auto"/>
          <w:sz w:val="32"/>
          <w:szCs w:val="32"/>
          <w:highlight w:val="none"/>
          <w:lang w:val="en-US" w:eastAsia="zh-CN"/>
        </w:rPr>
        <w:t>93.83</w:t>
      </w:r>
      <w:r>
        <w:rPr>
          <w:rFonts w:hint="eastAsia" w:ascii="仿宋_GB2312" w:hAnsi="仿宋_GB2312" w:eastAsia="仿宋_GB2312" w:cs="仿宋_GB2312"/>
          <w:color w:val="auto"/>
          <w:sz w:val="32"/>
          <w:szCs w:val="32"/>
          <w:highlight w:val="none"/>
        </w:rPr>
        <w:t>万元，决算数大于年初预算数的主要原因是</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末</w:t>
      </w:r>
      <w:r>
        <w:rPr>
          <w:rFonts w:hint="eastAsia" w:ascii="仿宋_GB2312" w:hAnsi="仿宋_GB2312" w:eastAsia="仿宋_GB2312" w:cs="仿宋_GB2312"/>
          <w:color w:val="auto"/>
          <w:sz w:val="32"/>
          <w:szCs w:val="32"/>
          <w:highlight w:val="none"/>
        </w:rPr>
        <w:t>追加</w:t>
      </w:r>
      <w:r>
        <w:rPr>
          <w:rFonts w:hint="eastAsia" w:ascii="仿宋_GB2312" w:hAnsi="仿宋_GB2312" w:eastAsia="仿宋_GB2312" w:cs="仿宋_GB2312"/>
          <w:color w:val="auto"/>
          <w:sz w:val="32"/>
          <w:szCs w:val="32"/>
          <w:highlight w:val="none"/>
          <w:lang w:eastAsia="zh-CN"/>
        </w:rPr>
        <w:t>平时考核</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和退休费补助</w:t>
      </w:r>
      <w:r>
        <w:rPr>
          <w:rFonts w:hint="eastAsia" w:ascii="仿宋_GB2312" w:hAnsi="仿宋_GB2312" w:eastAsia="仿宋_GB2312" w:cs="仿宋_GB2312"/>
          <w:color w:val="auto"/>
          <w:sz w:val="32"/>
          <w:szCs w:val="32"/>
          <w:highlight w:val="none"/>
        </w:rPr>
        <w:t>。</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、农林水支出（类）农业农村（款）农业生产发展（项）。</w:t>
      </w:r>
    </w:p>
    <w:p>
      <w:pPr>
        <w:pStyle w:val="12"/>
        <w:ind w:firstLine="640" w:firstLineChars="200"/>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8.89</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2.89</w:t>
      </w:r>
      <w:r>
        <w:rPr>
          <w:rFonts w:hint="eastAsia" w:ascii="仿宋_GB2312" w:hAnsi="仿宋_GB2312" w:eastAsia="仿宋_GB2312" w:cs="仿宋_GB2312"/>
          <w:color w:val="auto"/>
          <w:sz w:val="32"/>
          <w:szCs w:val="32"/>
          <w:highlight w:val="none"/>
        </w:rPr>
        <w:t>万元，完成年初预算的</w:t>
      </w:r>
      <w:r>
        <w:rPr>
          <w:rFonts w:hint="eastAsia" w:ascii="仿宋_GB2312" w:hAnsi="仿宋_GB2312" w:eastAsia="仿宋_GB2312" w:cs="仿宋_GB2312"/>
          <w:color w:val="auto"/>
          <w:sz w:val="32"/>
          <w:szCs w:val="32"/>
          <w:highlight w:val="none"/>
          <w:lang w:val="en-US" w:eastAsia="zh-CN"/>
        </w:rPr>
        <w:t>32.51</w:t>
      </w:r>
      <w:r>
        <w:rPr>
          <w:rFonts w:hint="eastAsia" w:ascii="仿宋_GB2312" w:hAnsi="仿宋_GB2312" w:eastAsia="仿宋_GB2312" w:cs="仿宋_GB2312"/>
          <w:color w:val="auto"/>
          <w:sz w:val="32"/>
          <w:szCs w:val="32"/>
          <w:highlight w:val="none"/>
        </w:rPr>
        <w:t>%，决算数小于年初预算数的主要原因是</w:t>
      </w:r>
      <w:r>
        <w:rPr>
          <w:rFonts w:hint="eastAsia" w:ascii="仿宋_GB2312" w:hAnsi="仿宋_GB2312" w:eastAsia="仿宋_GB2312" w:cs="仿宋_GB2312"/>
          <w:color w:val="auto"/>
          <w:sz w:val="32"/>
          <w:szCs w:val="32"/>
          <w:highlight w:val="none"/>
          <w:lang w:val="en-US" w:eastAsia="zh-CN"/>
        </w:rPr>
        <w:t>:安排部署早稻集中育秧工作任务减少，加之坚持专款专用，导致集中早稻育秧专项资金有结余。</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、农林水支出（类）其他农林水支出（款）其他农林水支出（项）。</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万元，完成年初预算的100%。</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、住房保障支出（类）住房改革支出（款）住房公积金（项）。</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17.34</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18.52</w:t>
      </w:r>
      <w:r>
        <w:rPr>
          <w:rFonts w:hint="eastAsia" w:ascii="仿宋_GB2312" w:hAnsi="仿宋_GB2312" w:eastAsia="仿宋_GB2312" w:cs="仿宋_GB2312"/>
          <w:color w:val="auto"/>
          <w:sz w:val="32"/>
          <w:szCs w:val="32"/>
          <w:highlight w:val="none"/>
        </w:rPr>
        <w:t>万元，完成年初预算的100%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决算数大于年初预算数的主要原因是</w:t>
      </w:r>
      <w:r>
        <w:rPr>
          <w:rFonts w:hint="eastAsia" w:ascii="仿宋_GB2312" w:hAnsi="仿宋_GB2312" w:eastAsia="仿宋_GB2312" w:cs="仿宋_GB2312"/>
          <w:color w:val="auto"/>
          <w:sz w:val="32"/>
          <w:szCs w:val="32"/>
          <w:highlight w:val="none"/>
          <w:lang w:val="en-US" w:eastAsia="zh-CN"/>
        </w:rPr>
        <w:t>:新增入编人员，年末调整预算以弥补住房公积金单位缴纳不足。</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年度财政拨款基本支出</w:t>
      </w:r>
      <w:r>
        <w:rPr>
          <w:rFonts w:hint="eastAsia" w:ascii="仿宋_GB2312" w:hAnsi="仿宋_GB2312" w:eastAsia="仿宋_GB2312" w:cs="仿宋_GB2312"/>
          <w:color w:val="auto"/>
          <w:sz w:val="32"/>
          <w:szCs w:val="32"/>
          <w:highlight w:val="none"/>
          <w:lang w:val="en-US" w:eastAsia="zh-CN"/>
        </w:rPr>
        <w:t>345.54</w:t>
      </w:r>
      <w:r>
        <w:rPr>
          <w:rFonts w:hint="eastAsia" w:ascii="仿宋_GB2312" w:hAnsi="仿宋_GB2312" w:eastAsia="仿宋_GB2312" w:cs="仿宋_GB2312"/>
          <w:color w:val="auto"/>
          <w:sz w:val="32"/>
          <w:szCs w:val="32"/>
          <w:highlight w:val="none"/>
        </w:rPr>
        <w:t>万元，其中：</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320.25</w:t>
      </w:r>
      <w:r>
        <w:rPr>
          <w:rFonts w:hint="eastAsia" w:ascii="仿宋_GB2312" w:hAnsi="仿宋_GB2312" w:eastAsia="仿宋_GB2312" w:cs="仿宋_GB2312"/>
          <w:color w:val="auto"/>
          <w:sz w:val="32"/>
          <w:szCs w:val="32"/>
          <w:highlight w:val="none"/>
        </w:rPr>
        <w:t>万元，占基本支出的</w:t>
      </w:r>
      <w:r>
        <w:rPr>
          <w:rFonts w:hint="eastAsia" w:ascii="仿宋_GB2312" w:hAnsi="仿宋_GB2312" w:eastAsia="仿宋_GB2312" w:cs="仿宋_GB2312"/>
          <w:color w:val="auto"/>
          <w:sz w:val="32"/>
          <w:szCs w:val="32"/>
          <w:highlight w:val="none"/>
          <w:lang w:val="en-US" w:eastAsia="zh-CN"/>
        </w:rPr>
        <w:t>92.68</w:t>
      </w:r>
      <w:r>
        <w:rPr>
          <w:rFonts w:hint="eastAsia" w:ascii="仿宋_GB2312" w:hAnsi="仿宋_GB2312" w:eastAsia="仿宋_GB2312" w:cs="仿宋_GB2312"/>
          <w:color w:val="auto"/>
          <w:sz w:val="32"/>
          <w:szCs w:val="32"/>
          <w:highlight w:val="none"/>
        </w:rPr>
        <w:t>%,主要包括基本工资、绩效工资、津贴补贴、机关事业单位基本养老保险缴费、职工基本医疗保险缴费、住房公积金、</w:t>
      </w:r>
      <w:r>
        <w:rPr>
          <w:rFonts w:hint="eastAsia" w:ascii="仿宋_GB2312" w:hAnsi="仿宋_GB2312" w:eastAsia="仿宋_GB2312" w:cs="仿宋_GB2312"/>
          <w:color w:val="auto"/>
          <w:sz w:val="32"/>
          <w:szCs w:val="32"/>
          <w:highlight w:val="none"/>
          <w:lang w:eastAsia="zh-CN"/>
        </w:rPr>
        <w:t>退休费、</w:t>
      </w:r>
      <w:r>
        <w:rPr>
          <w:rFonts w:hint="eastAsia" w:ascii="仿宋_GB2312" w:hAnsi="仿宋_GB2312" w:eastAsia="仿宋_GB2312" w:cs="仿宋_GB2312"/>
          <w:color w:val="auto"/>
          <w:sz w:val="32"/>
          <w:szCs w:val="32"/>
          <w:highlight w:val="none"/>
        </w:rPr>
        <w:t>奖励金等；</w:t>
      </w:r>
    </w:p>
    <w:p>
      <w:pPr>
        <w:pStyle w:val="12"/>
        <w:ind w:firstLine="640" w:firstLineChars="200"/>
        <w:rPr>
          <w:rFonts w:hint="eastAsia" w:ascii="Times New Roman" w:hAnsi="Times New Roman" w:eastAsia="仿宋_GB2312"/>
          <w:sz w:val="32"/>
          <w:szCs w:val="32"/>
        </w:rPr>
      </w:pPr>
      <w:r>
        <w:rPr>
          <w:rFonts w:hint="eastAsia" w:ascii="仿宋_GB2312" w:hAnsi="仿宋_GB2312" w:eastAsia="仿宋_GB2312" w:cs="仿宋_GB2312"/>
          <w:color w:val="auto"/>
          <w:sz w:val="32"/>
          <w:szCs w:val="32"/>
          <w:highlight w:val="none"/>
        </w:rPr>
        <w:t>公用经费</w:t>
      </w:r>
      <w:r>
        <w:rPr>
          <w:rFonts w:hint="eastAsia" w:ascii="仿宋_GB2312" w:hAnsi="仿宋_GB2312" w:eastAsia="仿宋_GB2312" w:cs="仿宋_GB2312"/>
          <w:color w:val="auto"/>
          <w:sz w:val="32"/>
          <w:szCs w:val="32"/>
          <w:highlight w:val="none"/>
          <w:lang w:val="en-US" w:eastAsia="zh-CN"/>
        </w:rPr>
        <w:t>25.29</w:t>
      </w:r>
      <w:r>
        <w:rPr>
          <w:rFonts w:hint="eastAsia" w:ascii="仿宋_GB2312" w:hAnsi="仿宋_GB2312" w:eastAsia="仿宋_GB2312" w:cs="仿宋_GB2312"/>
          <w:color w:val="auto"/>
          <w:sz w:val="32"/>
          <w:szCs w:val="32"/>
          <w:highlight w:val="none"/>
        </w:rPr>
        <w:t>万元，占基本支出的</w:t>
      </w:r>
      <w:r>
        <w:rPr>
          <w:rFonts w:hint="eastAsia" w:ascii="仿宋_GB2312" w:hAnsi="仿宋_GB2312" w:eastAsia="仿宋_GB2312" w:cs="仿宋_GB2312"/>
          <w:color w:val="auto"/>
          <w:sz w:val="32"/>
          <w:szCs w:val="32"/>
          <w:highlight w:val="none"/>
          <w:lang w:val="en-US" w:eastAsia="zh-CN"/>
        </w:rPr>
        <w:t>7.32</w:t>
      </w:r>
      <w:r>
        <w:rPr>
          <w:rFonts w:hint="eastAsia" w:ascii="仿宋_GB2312" w:hAnsi="仿宋_GB2312" w:eastAsia="仿宋_GB2312" w:cs="仿宋_GB2312"/>
          <w:color w:val="auto"/>
          <w:sz w:val="32"/>
          <w:szCs w:val="32"/>
          <w:highlight w:val="none"/>
        </w:rPr>
        <w:t>%，主要包括办公费、</w:t>
      </w:r>
      <w:r>
        <w:rPr>
          <w:rFonts w:hint="eastAsia" w:ascii="仿宋_GB2312" w:hAnsi="仿宋_GB2312" w:eastAsia="仿宋_GB2312" w:cs="仿宋_GB2312"/>
          <w:color w:val="auto"/>
          <w:sz w:val="32"/>
          <w:szCs w:val="32"/>
          <w:highlight w:val="none"/>
          <w:lang w:eastAsia="zh-CN"/>
        </w:rPr>
        <w:t>差旅费、</w:t>
      </w:r>
      <w:r>
        <w:rPr>
          <w:rFonts w:hint="eastAsia" w:ascii="仿宋_GB2312" w:hAnsi="仿宋_GB2312" w:eastAsia="仿宋_GB2312" w:cs="仿宋_GB2312"/>
          <w:color w:val="auto"/>
          <w:sz w:val="32"/>
          <w:szCs w:val="32"/>
          <w:highlight w:val="none"/>
        </w:rPr>
        <w:t>工会经费、其他交通费用、福利费等。</w:t>
      </w:r>
    </w:p>
    <w:p>
      <w:pPr>
        <w:pStyle w:val="12"/>
        <w:keepNext w:val="0"/>
        <w:keepLines w:val="0"/>
        <w:pageBreakBefore w:val="0"/>
        <w:widowControl w:val="0"/>
        <w:numPr>
          <w:ilvl w:val="0"/>
          <w:numId w:val="4"/>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2"/>
        <w:rPr>
          <w:rFonts w:hint="eastAsia" w:ascii="仿宋_GB2312" w:hAnsi="仿宋_GB2312" w:eastAsia="仿宋_GB2312" w:cs="仿宋_GB2312"/>
          <w:color w:val="auto"/>
          <w:sz w:val="32"/>
          <w:szCs w:val="32"/>
          <w:highlight w:val="none"/>
        </w:rPr>
      </w:pPr>
      <w:r>
        <w:rPr>
          <w:rFonts w:ascii="宋体" w:hAnsi="宋体" w:eastAsia="宋体"/>
          <w:color w:val="auto"/>
          <w:sz w:val="32"/>
          <w:szCs w:val="32"/>
          <w:highlight w:val="none"/>
        </w:rPr>
        <w:t xml:space="preserve"> </w:t>
      </w:r>
      <w:r>
        <w:rPr>
          <w:rFonts w:hint="eastAsia" w:ascii="宋体" w:hAnsi="宋体" w:eastAsia="宋体"/>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“三公”经费财政拨款支出预算为0.60万元，支出决算为0.</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万元，完成预算的</w:t>
      </w:r>
      <w:r>
        <w:rPr>
          <w:rFonts w:hint="eastAsia" w:ascii="仿宋_GB2312" w:hAnsi="仿宋_GB2312" w:eastAsia="仿宋_GB2312" w:cs="仿宋_GB2312"/>
          <w:color w:val="auto"/>
          <w:sz w:val="32"/>
          <w:szCs w:val="32"/>
          <w:highlight w:val="none"/>
          <w:lang w:val="en-US" w:eastAsia="zh-CN"/>
        </w:rPr>
        <w:t>18.33</w:t>
      </w:r>
      <w:r>
        <w:rPr>
          <w:rFonts w:hint="eastAsia" w:ascii="仿宋_GB2312" w:hAnsi="仿宋_GB2312" w:eastAsia="仿宋_GB2312" w:cs="仿宋_GB2312"/>
          <w:color w:val="auto"/>
          <w:sz w:val="32"/>
          <w:szCs w:val="32"/>
          <w:highlight w:val="none"/>
        </w:rPr>
        <w:t>%，决算数小于预算数的主要原因是厉行节约，严格在预算范围内控制“三公”经费支出，</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0.26</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70.27</w:t>
      </w:r>
      <w:r>
        <w:rPr>
          <w:rFonts w:hint="eastAsia" w:ascii="Times New Roman" w:hAnsi="Times New Roman" w:eastAsia="仿宋_GB2312"/>
          <w:sz w:val="32"/>
          <w:szCs w:val="32"/>
        </w:rPr>
        <w:t>%,减少的主要原因是</w:t>
      </w:r>
      <w:r>
        <w:rPr>
          <w:rFonts w:hint="eastAsia" w:ascii="仿宋_GB2312" w:hAnsi="仿宋_GB2312" w:eastAsia="仿宋_GB2312" w:cs="仿宋_GB2312"/>
          <w:color w:val="auto"/>
          <w:sz w:val="32"/>
          <w:szCs w:val="32"/>
          <w:highlight w:val="none"/>
        </w:rPr>
        <w:t>厉行节约，严格在预算范围内控制“三公”经费支出。其中：</w:t>
      </w:r>
    </w:p>
    <w:p>
      <w:pPr>
        <w:pStyle w:val="12"/>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因公出国（境）费支出预算为0万元，支出决算为0万元</w:t>
      </w:r>
      <w:r>
        <w:rPr>
          <w:rFonts w:hint="eastAsia" w:ascii="仿宋_GB2312" w:hAnsi="仿宋_GB2312" w:eastAsia="仿宋_GB2312" w:cs="仿宋_GB2312"/>
          <w:color w:val="auto"/>
          <w:sz w:val="32"/>
          <w:szCs w:val="32"/>
          <w:highlight w:val="none"/>
          <w:lang w:eastAsia="zh-CN"/>
        </w:rPr>
        <w:t>，上年支出为</w:t>
      </w:r>
      <w:r>
        <w:rPr>
          <w:rFonts w:hint="eastAsia" w:ascii="仿宋_GB2312" w:hAnsi="仿宋_GB2312" w:eastAsia="仿宋_GB2312" w:cs="仿宋_GB2312"/>
          <w:color w:val="auto"/>
          <w:sz w:val="32"/>
          <w:szCs w:val="32"/>
          <w:highlight w:val="none"/>
          <w:lang w:val="en-US" w:eastAsia="zh-CN"/>
        </w:rPr>
        <w:t>0万元。</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公务接待费支出预算为0.60万元，支出决算为0.</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万元，完成预算的</w:t>
      </w:r>
      <w:r>
        <w:rPr>
          <w:rFonts w:hint="eastAsia" w:ascii="仿宋_GB2312" w:hAnsi="仿宋_GB2312" w:eastAsia="仿宋_GB2312" w:cs="仿宋_GB2312"/>
          <w:color w:val="auto"/>
          <w:sz w:val="32"/>
          <w:szCs w:val="32"/>
          <w:highlight w:val="none"/>
          <w:lang w:val="en-US" w:eastAsia="zh-CN"/>
        </w:rPr>
        <w:t>18.33</w:t>
      </w:r>
      <w:r>
        <w:rPr>
          <w:rFonts w:hint="eastAsia" w:ascii="仿宋_GB2312" w:hAnsi="仿宋_GB2312" w:eastAsia="仿宋_GB2312" w:cs="仿宋_GB2312"/>
          <w:color w:val="auto"/>
          <w:sz w:val="32"/>
          <w:szCs w:val="32"/>
          <w:highlight w:val="none"/>
        </w:rPr>
        <w:t>%，决算数小于预算数的主要原因是厉行节约，严格在预算范围内控制“三公”经费支出，与上年相比减少0.2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万元，减少</w:t>
      </w:r>
      <w:r>
        <w:rPr>
          <w:rFonts w:hint="eastAsia" w:ascii="仿宋_GB2312" w:hAnsi="仿宋_GB2312" w:eastAsia="仿宋_GB2312" w:cs="仿宋_GB2312"/>
          <w:color w:val="auto"/>
          <w:sz w:val="32"/>
          <w:szCs w:val="32"/>
          <w:highlight w:val="none"/>
          <w:lang w:val="en-US" w:eastAsia="zh-CN"/>
        </w:rPr>
        <w:t>70.27</w:t>
      </w:r>
      <w:r>
        <w:rPr>
          <w:rFonts w:hint="eastAsia" w:ascii="仿宋_GB2312" w:hAnsi="仿宋_GB2312" w:eastAsia="仿宋_GB2312" w:cs="仿宋_GB2312"/>
          <w:color w:val="auto"/>
          <w:sz w:val="32"/>
          <w:szCs w:val="32"/>
          <w:highlight w:val="none"/>
        </w:rPr>
        <w:t>%,减少的主要原因是厉行节约，严格在预算范围内控制“三公”经费支出。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公务用车购置费支出预算为0万元，支出决算为0万元</w:t>
      </w:r>
      <w:r>
        <w:rPr>
          <w:rFonts w:hint="eastAsia" w:ascii="仿宋_GB2312" w:hAnsi="仿宋_GB2312" w:eastAsia="仿宋_GB2312" w:cs="仿宋_GB2312"/>
          <w:color w:val="auto"/>
          <w:sz w:val="32"/>
          <w:szCs w:val="32"/>
          <w:highlight w:val="none"/>
          <w:lang w:val="en-US" w:eastAsia="zh-CN"/>
        </w:rPr>
        <w:t>,上年支出0万元。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Times New Roman" w:hAnsi="Times New Roman" w:eastAsia="仿宋_GB2312"/>
          <w:sz w:val="32"/>
          <w:szCs w:val="32"/>
          <w:highlight w:val="none"/>
        </w:rPr>
        <w:t>公务用车运行维护费支出预算为</w:t>
      </w:r>
      <w:r>
        <w:rPr>
          <w:rFonts w:hint="eastAsia" w:ascii="Times New Roman" w:hAnsi="Times New Roman" w:eastAsia="仿宋_GB2312"/>
          <w:sz w:val="32"/>
          <w:szCs w:val="32"/>
          <w:highlight w:val="none"/>
          <w:lang w:val="en-US" w:eastAsia="zh-CN"/>
        </w:rPr>
        <w:t>0万元，</w:t>
      </w:r>
      <w:r>
        <w:rPr>
          <w:rFonts w:hint="eastAsia" w:ascii="仿宋_GB2312" w:hAnsi="仿宋_GB2312" w:eastAsia="仿宋_GB2312" w:cs="仿宋_GB2312"/>
          <w:color w:val="auto"/>
          <w:sz w:val="32"/>
          <w:szCs w:val="32"/>
          <w:highlight w:val="none"/>
        </w:rPr>
        <w:t>支出决算为0万元</w:t>
      </w:r>
      <w:r>
        <w:rPr>
          <w:rFonts w:hint="eastAsia" w:ascii="仿宋_GB2312" w:hAnsi="仿宋_GB2312" w:eastAsia="仿宋_GB2312" w:cs="仿宋_GB2312"/>
          <w:color w:val="auto"/>
          <w:sz w:val="32"/>
          <w:szCs w:val="32"/>
          <w:highlight w:val="none"/>
          <w:lang w:eastAsia="zh-CN"/>
        </w:rPr>
        <w:t>，上年支出</w:t>
      </w:r>
      <w:r>
        <w:rPr>
          <w:rFonts w:hint="eastAsia" w:ascii="仿宋_GB2312" w:hAnsi="仿宋_GB2312" w:eastAsia="仿宋_GB2312" w:cs="仿宋_GB2312"/>
          <w:color w:val="auto"/>
          <w:sz w:val="32"/>
          <w:szCs w:val="32"/>
          <w:highlight w:val="none"/>
          <w:lang w:val="en-US" w:eastAsia="zh-CN"/>
        </w:rPr>
        <w:t>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年度“三公”经费财政拨款支出决算中，公务接待费支出决算0.</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万元，占100%,因公出国（境）费支出决算0万元，占0%,公务用车购置费及运行维护费支出决算0万元，占0%。其中：</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1、因公出国（境）费支出决算为0万元，全年安排因公出国（境）团组0个，累计0人次。</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2、公务接待费支出决算为0.</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万元，全年共接待来访团组</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个、来宾</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人次，主要是接待</w:t>
      </w:r>
      <w:r>
        <w:rPr>
          <w:rFonts w:hint="eastAsia" w:ascii="仿宋_GB2312" w:hAnsi="仿宋_GB2312" w:eastAsia="仿宋_GB2312" w:cs="仿宋_GB2312"/>
          <w:color w:val="auto"/>
          <w:sz w:val="32"/>
          <w:szCs w:val="32"/>
          <w:highlight w:val="none"/>
          <w:lang w:eastAsia="zh-CN"/>
        </w:rPr>
        <w:t>永州市金洞管理区农业水利和移民开发工作委员会来长汇报三农工作</w:t>
      </w:r>
      <w:r>
        <w:rPr>
          <w:rFonts w:hint="eastAsia" w:ascii="仿宋_GB2312" w:hAnsi="仿宋_GB2312" w:eastAsia="仿宋_GB2312" w:cs="仿宋_GB2312"/>
          <w:color w:val="auto"/>
          <w:sz w:val="32"/>
          <w:szCs w:val="32"/>
          <w:highlight w:val="none"/>
        </w:rPr>
        <w:t>发生的接待支出。</w:t>
      </w:r>
    </w:p>
    <w:p>
      <w:pPr>
        <w:ind w:firstLine="640" w:firstLineChars="200"/>
        <w:rPr>
          <w:rFonts w:hint="eastAsia" w:ascii="Times New Roman" w:hAnsi="Times New Roman" w:eastAsia="仿宋_GB2312"/>
          <w:sz w:val="32"/>
          <w:szCs w:val="32"/>
        </w:rPr>
      </w:pPr>
      <w:r>
        <w:rPr>
          <w:rFonts w:hint="eastAsia" w:ascii="仿宋_GB2312" w:hAnsi="仿宋_GB2312" w:eastAsia="仿宋_GB2312" w:cs="仿宋_GB2312"/>
          <w:color w:val="auto"/>
          <w:sz w:val="32"/>
          <w:szCs w:val="32"/>
          <w:highlight w:val="none"/>
        </w:rPr>
        <w:t>3、公务用车购置费及运行维护费支出决算为0万元，其中：公务用车购置费0万元，湖南省农情分析研究中心更新公务用车0辆。公务用车运行维护费0万元，截止202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年12月31日，我单位开支财政拨款的公务用车保有量为0辆。</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年度本单位无政府性基金收支。</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2"/>
        <w:ind w:firstLine="640" w:firstLineChars="200"/>
        <w:rPr>
          <w:rFonts w:hint="eastAsia" w:ascii="Times New Roman" w:hAnsi="Times New Roman" w:eastAsia="仿宋_GB2312"/>
          <w:sz w:val="32"/>
          <w:szCs w:val="32"/>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年度本单位无机关运行经费支出。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2"/>
        <w:ind w:firstLine="640" w:firstLineChars="200"/>
        <w:rPr>
          <w:rFonts w:hint="eastAsia" w:ascii="Times New Roman" w:hAnsi="Times New Roman" w:eastAsia="仿宋_GB2312"/>
          <w:sz w:val="32"/>
          <w:szCs w:val="32"/>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年度本单位无</w:t>
      </w:r>
      <w:r>
        <w:rPr>
          <w:rFonts w:hint="eastAsia" w:ascii="仿宋_GB2312" w:hAnsi="仿宋_GB2312" w:eastAsia="仿宋_GB2312" w:cs="仿宋_GB2312"/>
          <w:color w:val="auto"/>
          <w:sz w:val="32"/>
          <w:szCs w:val="32"/>
          <w:highlight w:val="none"/>
          <w:lang w:eastAsia="zh-CN"/>
        </w:rPr>
        <w:t>会议费和培训费开支</w:t>
      </w:r>
      <w:r>
        <w:rPr>
          <w:rFonts w:hint="eastAsia" w:ascii="仿宋_GB2312" w:hAnsi="仿宋_GB2312" w:eastAsia="仿宋_GB2312" w:cs="仿宋_GB2312"/>
          <w:color w:val="auto"/>
          <w:sz w:val="32"/>
          <w:szCs w:val="32"/>
          <w:highlight w:val="none"/>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2"/>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本部门202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年度政府采购支出总额13.</w:t>
      </w:r>
      <w:r>
        <w:rPr>
          <w:rFonts w:hint="eastAsia" w:ascii="仿宋_GB2312" w:hAnsi="仿宋_GB2312" w:eastAsia="仿宋_GB2312" w:cs="仿宋_GB2312"/>
          <w:color w:val="auto"/>
          <w:sz w:val="32"/>
          <w:szCs w:val="32"/>
          <w:highlight w:val="none"/>
          <w:lang w:val="en-US" w:eastAsia="zh-CN"/>
        </w:rPr>
        <w:t>43</w:t>
      </w:r>
      <w:r>
        <w:rPr>
          <w:rFonts w:hint="eastAsia" w:ascii="仿宋_GB2312" w:hAnsi="仿宋_GB2312" w:eastAsia="仿宋_GB2312" w:cs="仿宋_GB2312"/>
          <w:color w:val="auto"/>
          <w:sz w:val="32"/>
          <w:szCs w:val="32"/>
          <w:highlight w:val="none"/>
        </w:rPr>
        <w:t>万元，其中：政府采购货物支出</w:t>
      </w:r>
      <w:r>
        <w:rPr>
          <w:rFonts w:hint="eastAsia" w:ascii="仿宋_GB2312" w:hAnsi="仿宋_GB2312" w:eastAsia="仿宋_GB2312" w:cs="仿宋_GB2312"/>
          <w:color w:val="auto"/>
          <w:sz w:val="32"/>
          <w:szCs w:val="32"/>
          <w:highlight w:val="none"/>
          <w:lang w:val="en-US" w:eastAsia="zh-CN"/>
        </w:rPr>
        <w:t>9.20</w:t>
      </w:r>
      <w:r>
        <w:rPr>
          <w:rFonts w:hint="eastAsia" w:ascii="仿宋_GB2312" w:hAnsi="仿宋_GB2312" w:eastAsia="仿宋_GB2312" w:cs="仿宋_GB2312"/>
          <w:color w:val="auto"/>
          <w:sz w:val="32"/>
          <w:szCs w:val="32"/>
          <w:highlight w:val="none"/>
        </w:rPr>
        <w:t>万元、政府采购工程支出0万元、政府采购服务支出</w:t>
      </w:r>
      <w:r>
        <w:rPr>
          <w:rFonts w:hint="eastAsia" w:ascii="仿宋_GB2312" w:hAnsi="仿宋_GB2312" w:eastAsia="仿宋_GB2312" w:cs="仿宋_GB2312"/>
          <w:color w:val="auto"/>
          <w:sz w:val="32"/>
          <w:szCs w:val="32"/>
          <w:highlight w:val="none"/>
          <w:lang w:val="en-US" w:eastAsia="zh-CN"/>
        </w:rPr>
        <w:t>4.23</w:t>
      </w:r>
      <w:r>
        <w:rPr>
          <w:rFonts w:hint="eastAsia" w:ascii="仿宋_GB2312" w:hAnsi="仿宋_GB2312" w:eastAsia="仿宋_GB2312" w:cs="仿宋_GB2312"/>
          <w:color w:val="auto"/>
          <w:sz w:val="32"/>
          <w:szCs w:val="32"/>
          <w:highlight w:val="none"/>
        </w:rPr>
        <w:t>万元。授予中小企业合同金额</w:t>
      </w:r>
      <w:r>
        <w:rPr>
          <w:rFonts w:hint="eastAsia" w:ascii="仿宋_GB2312" w:hAnsi="仿宋_GB2312" w:eastAsia="仿宋_GB2312" w:cs="仿宋_GB2312"/>
          <w:color w:val="auto"/>
          <w:sz w:val="32"/>
          <w:szCs w:val="32"/>
          <w:highlight w:val="none"/>
          <w:lang w:val="en-US" w:eastAsia="zh-CN"/>
        </w:rPr>
        <w:t>13.43</w:t>
      </w:r>
      <w:r>
        <w:rPr>
          <w:rFonts w:hint="eastAsia" w:ascii="仿宋_GB2312" w:hAnsi="仿宋_GB2312" w:eastAsia="仿宋_GB2312" w:cs="仿宋_GB2312"/>
          <w:color w:val="auto"/>
          <w:sz w:val="32"/>
          <w:szCs w:val="32"/>
          <w:highlight w:val="none"/>
        </w:rPr>
        <w:t>万元，占政府采购支出总额的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%，其中：授予小微企业合同金额</w:t>
      </w:r>
      <w:r>
        <w:rPr>
          <w:rFonts w:hint="eastAsia" w:ascii="仿宋_GB2312" w:hAnsi="仿宋_GB2312" w:eastAsia="仿宋_GB2312" w:cs="仿宋_GB2312"/>
          <w:color w:val="auto"/>
          <w:sz w:val="32"/>
          <w:szCs w:val="32"/>
          <w:highlight w:val="none"/>
          <w:lang w:val="en-US" w:eastAsia="zh-CN"/>
        </w:rPr>
        <w:t>13.43</w:t>
      </w:r>
      <w:r>
        <w:rPr>
          <w:rFonts w:hint="eastAsia" w:ascii="仿宋_GB2312" w:hAnsi="仿宋_GB2312" w:eastAsia="仿宋_GB2312" w:cs="仿宋_GB2312"/>
          <w:color w:val="auto"/>
          <w:sz w:val="32"/>
          <w:szCs w:val="32"/>
          <w:highlight w:val="none"/>
        </w:rPr>
        <w:t>万元，占政府采购支出总额的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%。货物采购授予中小企业合同金额占货物支出金额的100%，服务采购授予中小企业合同金额占服务支出金额的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仿宋_GB2312" w:hAnsi="仿宋_GB2312" w:eastAsia="仿宋_GB2312" w:cs="仿宋_GB2312"/>
          <w:color w:val="auto"/>
          <w:sz w:val="32"/>
          <w:szCs w:val="32"/>
          <w:highlight w:val="none"/>
        </w:rPr>
        <w:t>截至202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年12月31日，单位共有车辆0辆，其中，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仿宋_GB2312" w:hAnsi="仿宋_GB2312" w:eastAsia="仿宋_GB2312" w:cs="仿宋_GB2312"/>
          <w:color w:val="auto"/>
          <w:sz w:val="32"/>
          <w:szCs w:val="32"/>
          <w:highlight w:val="none"/>
        </w:rPr>
        <w:t>机要通信用车0辆、应急保障用车0辆、执法执勤用车0辆、特种专业技术用车0辆、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仿宋_GB2312" w:hAnsi="仿宋_GB2312" w:eastAsia="仿宋_GB2312" w:cs="仿宋_GB2312"/>
          <w:color w:val="auto"/>
          <w:sz w:val="32"/>
          <w:szCs w:val="32"/>
          <w:highlight w:val="none"/>
        </w:rPr>
        <w:t>其他用车0辆</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olor w:val="auto"/>
          <w:sz w:val="32"/>
          <w:szCs w:val="32"/>
        </w:rPr>
        <w:t>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2"/>
        <w:spacing w:line="60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我单位已完成</w:t>
      </w:r>
      <w:r>
        <w:rPr>
          <w:rFonts w:hint="eastAsia" w:ascii="仿宋_GB2312" w:hAnsi="仿宋_GB2312" w:eastAsia="仿宋_GB2312" w:cs="仿宋_GB2312"/>
          <w:color w:val="auto"/>
          <w:sz w:val="32"/>
          <w:szCs w:val="32"/>
          <w:highlight w:val="none"/>
          <w:lang w:val="en-US" w:eastAsia="zh-CN"/>
        </w:rPr>
        <w:t>2023年度</w:t>
      </w:r>
      <w:r>
        <w:rPr>
          <w:rFonts w:hint="eastAsia" w:ascii="仿宋_GB2312" w:hAnsi="仿宋_GB2312" w:eastAsia="仿宋_GB2312" w:cs="仿宋_GB2312"/>
          <w:color w:val="auto"/>
          <w:sz w:val="32"/>
          <w:szCs w:val="32"/>
          <w:highlight w:val="none"/>
          <w:lang w:eastAsia="zh-CN"/>
        </w:rPr>
        <w:t>部门整体支出绩效自评，涉及全年预算数</w:t>
      </w:r>
      <w:r>
        <w:rPr>
          <w:rFonts w:hint="eastAsia" w:ascii="仿宋_GB2312" w:hAnsi="仿宋_GB2312" w:eastAsia="仿宋_GB2312" w:cs="仿宋_GB2312"/>
          <w:color w:val="auto"/>
          <w:sz w:val="32"/>
          <w:szCs w:val="32"/>
          <w:highlight w:val="none"/>
          <w:lang w:val="en-US" w:eastAsia="zh-CN"/>
        </w:rPr>
        <w:t>433.29万元，全年执行数404.22万元，整体执行率93.29%，整体支出绩效自评得分97.33分，较好地完成了年初确定的各项任务。</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2"/>
        <w:spacing w:line="600" w:lineRule="exact"/>
        <w:ind w:firstLine="640" w:firstLineChars="20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1、运行成本</w:t>
      </w:r>
    </w:p>
    <w:p>
      <w:pPr>
        <w:pStyle w:val="12"/>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进一步建立健全内部控制制度，修订《财务管理办法》，规范各项财务行为，明确服务购买程序，坚持依法依规依程序、保障运转、勤俭节约的原则，严格控制运行成本。</w:t>
      </w:r>
    </w:p>
    <w:p>
      <w:pPr>
        <w:pStyle w:val="12"/>
        <w:spacing w:line="600" w:lineRule="exact"/>
        <w:ind w:firstLine="640" w:firstLineChars="20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2、管理效率</w:t>
      </w:r>
    </w:p>
    <w:p>
      <w:pPr>
        <w:pStyle w:val="12"/>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年部门整体预算数</w:t>
      </w:r>
      <w:r>
        <w:rPr>
          <w:rFonts w:hint="eastAsia" w:ascii="仿宋_GB2312" w:hAnsi="仿宋_GB2312" w:eastAsia="仿宋_GB2312" w:cs="仿宋_GB2312"/>
          <w:color w:val="auto"/>
          <w:sz w:val="32"/>
          <w:szCs w:val="32"/>
          <w:highlight w:val="none"/>
          <w:lang w:val="en-US" w:eastAsia="zh-CN"/>
        </w:rPr>
        <w:t>433.29</w:t>
      </w:r>
      <w:r>
        <w:rPr>
          <w:rFonts w:hint="eastAsia" w:ascii="仿宋_GB2312" w:hAnsi="仿宋_GB2312" w:eastAsia="仿宋_GB2312" w:cs="仿宋_GB2312"/>
          <w:color w:val="auto"/>
          <w:sz w:val="32"/>
          <w:szCs w:val="32"/>
          <w:highlight w:val="none"/>
        </w:rPr>
        <w:t>万元，执行数</w:t>
      </w:r>
      <w:r>
        <w:rPr>
          <w:rFonts w:hint="eastAsia" w:ascii="仿宋_GB2312" w:hAnsi="仿宋_GB2312" w:eastAsia="仿宋_GB2312" w:cs="仿宋_GB2312"/>
          <w:color w:val="auto"/>
          <w:sz w:val="32"/>
          <w:szCs w:val="32"/>
          <w:highlight w:val="none"/>
          <w:lang w:val="en-US" w:eastAsia="zh-CN"/>
        </w:rPr>
        <w:t>404.22</w:t>
      </w:r>
      <w:r>
        <w:rPr>
          <w:rFonts w:hint="eastAsia" w:ascii="仿宋_GB2312" w:hAnsi="仿宋_GB2312" w:eastAsia="仿宋_GB2312" w:cs="仿宋_GB2312"/>
          <w:color w:val="auto"/>
          <w:sz w:val="32"/>
          <w:szCs w:val="32"/>
          <w:highlight w:val="none"/>
        </w:rPr>
        <w:t>万元，预算整体执行率为</w:t>
      </w:r>
      <w:r>
        <w:rPr>
          <w:rFonts w:hint="eastAsia" w:ascii="仿宋_GB2312" w:hAnsi="仿宋_GB2312" w:eastAsia="仿宋_GB2312" w:cs="仿宋_GB2312"/>
          <w:color w:val="auto"/>
          <w:sz w:val="32"/>
          <w:szCs w:val="32"/>
          <w:highlight w:val="none"/>
          <w:lang w:val="en-US" w:eastAsia="zh-CN"/>
        </w:rPr>
        <w:t>93.29</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年财政拨款预算数</w:t>
      </w:r>
      <w:r>
        <w:rPr>
          <w:rFonts w:hint="eastAsia" w:ascii="仿宋_GB2312" w:hAnsi="仿宋_GB2312" w:eastAsia="仿宋_GB2312" w:cs="仿宋_GB2312"/>
          <w:color w:val="auto"/>
          <w:sz w:val="32"/>
          <w:szCs w:val="32"/>
          <w:highlight w:val="none"/>
          <w:lang w:val="en-US" w:eastAsia="zh-CN"/>
        </w:rPr>
        <w:t>360.02</w:t>
      </w:r>
      <w:r>
        <w:rPr>
          <w:rFonts w:hint="eastAsia" w:ascii="仿宋_GB2312" w:hAnsi="仿宋_GB2312" w:eastAsia="仿宋_GB2312" w:cs="仿宋_GB2312"/>
          <w:color w:val="auto"/>
          <w:sz w:val="32"/>
          <w:szCs w:val="32"/>
          <w:highlight w:val="none"/>
        </w:rPr>
        <w:t>万元，执行数</w:t>
      </w:r>
      <w:r>
        <w:rPr>
          <w:rFonts w:hint="eastAsia" w:ascii="仿宋_GB2312" w:hAnsi="仿宋_GB2312" w:eastAsia="仿宋_GB2312" w:cs="仿宋_GB2312"/>
          <w:color w:val="auto"/>
          <w:sz w:val="32"/>
          <w:szCs w:val="32"/>
          <w:highlight w:val="none"/>
          <w:lang w:val="en-US" w:eastAsia="zh-CN"/>
        </w:rPr>
        <w:t>353.43</w:t>
      </w:r>
      <w:r>
        <w:rPr>
          <w:rFonts w:hint="eastAsia" w:ascii="仿宋_GB2312" w:hAnsi="仿宋_GB2312" w:eastAsia="仿宋_GB2312" w:cs="仿宋_GB2312"/>
          <w:color w:val="auto"/>
          <w:sz w:val="32"/>
          <w:szCs w:val="32"/>
          <w:highlight w:val="none"/>
        </w:rPr>
        <w:t>万元，财政拨款部分预算执行率为</w:t>
      </w:r>
      <w:r>
        <w:rPr>
          <w:rFonts w:hint="eastAsia" w:ascii="仿宋_GB2312" w:hAnsi="仿宋_GB2312" w:eastAsia="仿宋_GB2312" w:cs="仿宋_GB2312"/>
          <w:color w:val="auto"/>
          <w:sz w:val="32"/>
          <w:szCs w:val="32"/>
          <w:highlight w:val="none"/>
          <w:lang w:val="en-US" w:eastAsia="zh-CN"/>
        </w:rPr>
        <w:t>98.17</w:t>
      </w:r>
      <w:r>
        <w:rPr>
          <w:rFonts w:hint="eastAsia" w:ascii="仿宋_GB2312" w:hAnsi="仿宋_GB2312" w:eastAsia="仿宋_GB2312" w:cs="仿宋_GB2312"/>
          <w:color w:val="auto"/>
          <w:sz w:val="32"/>
          <w:szCs w:val="32"/>
          <w:highlight w:val="none"/>
        </w:rPr>
        <w:t>%。</w:t>
      </w:r>
    </w:p>
    <w:p>
      <w:pPr>
        <w:pStyle w:val="12"/>
        <w:spacing w:line="600" w:lineRule="exact"/>
        <w:ind w:firstLine="640" w:firstLineChars="200"/>
        <w:rPr>
          <w:rFonts w:ascii="仿宋_GB2312" w:hAnsi="仿宋_GB2312" w:eastAsia="仿宋_GB2312" w:cs="仿宋_GB2312"/>
          <w:color w:val="auto"/>
          <w:sz w:val="32"/>
          <w:szCs w:val="32"/>
          <w:highlight w:val="none"/>
        </w:rPr>
      </w:pPr>
      <w:r>
        <w:rPr>
          <w:rFonts w:hint="eastAsia" w:ascii="楷体" w:hAnsi="楷体" w:eastAsia="楷体" w:cs="楷体"/>
          <w:b/>
          <w:bCs/>
          <w:color w:val="auto"/>
          <w:sz w:val="32"/>
          <w:szCs w:val="32"/>
          <w:highlight w:val="none"/>
        </w:rPr>
        <w:t>3、履职效能、社会效应等</w:t>
      </w:r>
    </w:p>
    <w:p>
      <w:pPr>
        <w:keepNext w:val="0"/>
        <w:keepLines w:val="0"/>
        <w:pageBreakBefore w:val="0"/>
        <w:widowControl w:val="0"/>
        <w:kinsoku/>
        <w:wordWrap/>
        <w:overflowPunct/>
        <w:topLinePunct w:val="0"/>
        <w:autoSpaceDE w:val="0"/>
        <w:autoSpaceDN/>
        <w:bidi w:val="0"/>
        <w:adjustRightInd/>
        <w:snapToGrid/>
        <w:spacing w:line="600" w:lineRule="exact"/>
        <w:ind w:left="0" w:leftChars="0" w:firstLine="640" w:firstLineChars="200"/>
        <w:textAlignment w:val="auto"/>
        <w:outlineLvl w:val="3"/>
        <w:rPr>
          <w:rFonts w:hint="eastAsia" w:ascii="仿宋_GB2312" w:hAnsi="仿宋_GB2312" w:eastAsia="仿宋_GB2312" w:cs="仿宋_GB2312"/>
          <w:bCs/>
          <w:spacing w:val="-2"/>
          <w:sz w:val="32"/>
          <w:szCs w:val="32"/>
          <w:lang w:val="en-US" w:eastAsia="zh-CN"/>
        </w:rPr>
      </w:pPr>
      <w:r>
        <w:rPr>
          <w:rFonts w:hint="eastAsia" w:ascii="仿宋_GB2312" w:hAnsi="仿宋_GB2312" w:eastAsia="仿宋_GB2312" w:cs="仿宋_GB2312"/>
          <w:sz w:val="32"/>
          <w:szCs w:val="32"/>
          <w:lang w:val="en-US" w:eastAsia="zh-CN"/>
        </w:rPr>
        <w:t>一是提升水平，强化农业农村经济研判。</w:t>
      </w:r>
      <w:r>
        <w:rPr>
          <w:rFonts w:hint="eastAsia" w:ascii="仿宋_GB2312" w:hAnsi="仿宋_GB2312" w:eastAsia="仿宋_GB2312" w:cs="仿宋_GB2312"/>
          <w:bCs/>
          <w:spacing w:val="-2"/>
          <w:sz w:val="32"/>
          <w:szCs w:val="32"/>
          <w:lang w:val="en-US" w:eastAsia="zh-CN"/>
        </w:rPr>
        <w:t>在今年经济大盘恢复不及预期，生猪等主要农产品价格反复波动等形势下，时刻关注各项重要指标走势，以平常时期月调度，季末时期日调度的工作方式，精准把控、核实每个主要数据。同时，积极与发改、统计、国调等部门会商衔接，先后两次邀请国调、统计等部门到我中心参加形势研判会，高质量完成了每季度的农业农村经济形势分析，并在省委常委扩大会议、省政府常务会议及省委、省政府相关专题会议上汇报，为省委、省政府决策提供了依据和参考。</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仿宋_GB2312" w:hAnsi="仿宋_GB2312" w:cs="仿宋_GB2312"/>
          <w:bCs/>
          <w:spacing w:val="-2"/>
          <w:sz w:val="32"/>
          <w:szCs w:val="32"/>
          <w:lang w:val="en-US" w:eastAsia="zh-CN"/>
        </w:rPr>
      </w:pPr>
      <w:r>
        <w:rPr>
          <w:rFonts w:hint="eastAsia" w:ascii="仿宋_GB2312" w:hAnsi="仿宋_GB2312" w:eastAsia="仿宋_GB2312" w:cs="仿宋_GB2312"/>
          <w:sz w:val="32"/>
          <w:szCs w:val="32"/>
          <w:lang w:val="en-US" w:eastAsia="zh-CN"/>
        </w:rPr>
        <w:t>二是精益求精，做好农情调度分析。</w:t>
      </w:r>
      <w:r>
        <w:rPr>
          <w:rFonts w:hint="eastAsia" w:ascii="仿宋_GB2312" w:hAnsi="仿宋_GB2312" w:eastAsia="仿宋_GB2312" w:cs="仿宋_GB2312"/>
          <w:bCs/>
          <w:spacing w:val="-2"/>
          <w:sz w:val="32"/>
          <w:szCs w:val="32"/>
          <w:lang w:val="en-US" w:eastAsia="zh-CN"/>
        </w:rPr>
        <w:t>今年以来，部种植业司对农情调度工作进一步加强，在日常调度基础上再加码，对春耕、夏收、秋收等关键时节进行加密调度，调度频次达到往年的2倍以上。在每次调度会上，中心均以精准的分析、合理的建议，受到部种植业司领导的充分肯定，两次受到部领导的表扬。积极总结往年农业防灾减灾的经验和教训，多次与水利、应急、气象等部门研究协商，全力提升防灾减灾服务水平。一方面，建立了与水利的信息共享机制，在春旱期间协同做好保水蓄水工作，收到水利厅的专门感谢信；一方面，与气象联合探索开展为农气象服务，共联合发布为农气象服务20余期，农业气象灾害预警13期，春耕等关键农时每周开展研判会商一次</w:t>
      </w:r>
      <w:r>
        <w:rPr>
          <w:rFonts w:hint="eastAsia" w:ascii="仿宋_GB2312" w:hAnsi="仿宋_GB2312" w:cs="仿宋_GB2312"/>
          <w:bCs/>
          <w:spacing w:val="-2"/>
          <w:sz w:val="32"/>
          <w:szCs w:val="32"/>
          <w:lang w:val="en-US" w:eastAsia="zh-CN"/>
        </w:rPr>
        <w:t>。</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仿宋_GB2312" w:hAnsi="仿宋_GB2312" w:eastAsia="仿宋_GB2312" w:cs="仿宋_GB2312"/>
          <w:bCs/>
          <w:spacing w:val="-2"/>
          <w:sz w:val="32"/>
          <w:szCs w:val="32"/>
          <w:lang w:val="en-US" w:eastAsia="zh-CN"/>
        </w:rPr>
      </w:pPr>
      <w:r>
        <w:rPr>
          <w:rFonts w:hint="eastAsia" w:ascii="仿宋_GB2312" w:hAnsi="仿宋_GB2312" w:eastAsia="仿宋_GB2312" w:cs="仿宋_GB2312"/>
          <w:sz w:val="32"/>
          <w:szCs w:val="32"/>
          <w:lang w:val="en-US" w:eastAsia="zh-CN"/>
        </w:rPr>
        <w:t>三是担当履职，坚决完成党组交办的其他工作。</w:t>
      </w:r>
      <w:r>
        <w:rPr>
          <w:rFonts w:hint="eastAsia" w:ascii="仿宋_GB2312" w:hAnsi="仿宋_GB2312" w:eastAsia="仿宋_GB2312" w:cs="仿宋_GB2312"/>
          <w:bCs/>
          <w:spacing w:val="-2"/>
          <w:sz w:val="32"/>
          <w:szCs w:val="32"/>
          <w:lang w:val="en-US" w:eastAsia="zh-CN"/>
        </w:rPr>
        <w:t>对厅党组安排的其他工作，从不推脱、从不打折扣，也不争荣誉、甘当助手。积极参与了省委经济“六仗”相关工作，牵头负责防范化解风险阻击仗相关工作，全年共汇总报送相关情况9次，服务厅领导参会6次，相关工作得到应急、财政等部门的高度肯定；积极做好新闻宣传相关工作，精准审核把关每篇农业农村厅官网信息，每月新闻宣传信息在200条以上，基本实现“零失误”，省级及以上媒体每月公开报道我厅工作50篇（条）以上；积极衔接部办公厅，做好信息报送和对接，收到部办公厅对我省发来的关于信息工作的感谢信。积极参与豇豆农产品质量安全专项整治，并牵头负责郴州、永州两市专项监督，两市未出现豇豆农产品质量安全问题。</w:t>
      </w:r>
    </w:p>
    <w:p>
      <w:pPr>
        <w:pStyle w:val="12"/>
        <w:numPr>
          <w:ilvl w:val="0"/>
          <w:numId w:val="0"/>
        </w:numPr>
        <w:spacing w:line="600" w:lineRule="exact"/>
        <w:ind w:leftChars="304"/>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val="en-US" w:eastAsia="zh-CN"/>
        </w:rPr>
        <w:t>4、</w:t>
      </w:r>
      <w:r>
        <w:rPr>
          <w:rFonts w:hint="eastAsia" w:ascii="楷体" w:hAnsi="楷体" w:eastAsia="楷体" w:cs="楷体"/>
          <w:b/>
          <w:bCs/>
          <w:color w:val="auto"/>
          <w:sz w:val="32"/>
          <w:szCs w:val="32"/>
          <w:highlight w:val="none"/>
          <w:lang w:eastAsia="zh-CN"/>
        </w:rPr>
        <w:t>可持续发展能力</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部种植业司部署安排，开展了农业防灾减灾长效机制的专题调研，形成了《关于湖南构建农业防灾减灾救灾长效机制的调研报告》，上报至农业农村部种植业司后，做出重要参谋作用，得到肯定，并在相关杂志发表。</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楷体" w:hAnsi="楷体" w:eastAsia="楷体" w:cs="楷体"/>
          <w:b/>
          <w:bCs/>
          <w:color w:val="auto"/>
          <w:sz w:val="32"/>
          <w:szCs w:val="32"/>
          <w:highlight w:val="none"/>
        </w:rPr>
      </w:pPr>
      <w:r>
        <w:rPr>
          <w:rFonts w:hint="eastAsia" w:ascii="仿宋_GB2312" w:hAnsi="仿宋_GB2312" w:eastAsia="仿宋_GB2312" w:cs="仿宋_GB2312"/>
          <w:sz w:val="32"/>
          <w:szCs w:val="32"/>
          <w:lang w:val="en-US" w:eastAsia="zh-CN"/>
        </w:rPr>
        <w:t>初步构建了农业农村经济形势分析主要指标体系，追溯至前10年，主要指标已基本录入，形成工作手册，为后段农业农村经济形势分析开展打牢工作基础。</w:t>
      </w:r>
    </w:p>
    <w:p>
      <w:pPr>
        <w:pStyle w:val="12"/>
        <w:numPr>
          <w:ilvl w:val="0"/>
          <w:numId w:val="5"/>
        </w:numPr>
        <w:spacing w:line="600" w:lineRule="exact"/>
        <w:ind w:leftChars="304"/>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lang w:val="en-US" w:eastAsia="zh-CN"/>
        </w:rPr>
        <w:t>服务对象满意度</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楷体" w:hAnsi="楷体" w:eastAsia="楷体" w:cs="楷体"/>
          <w:b/>
          <w:bCs/>
          <w:color w:val="auto"/>
          <w:sz w:val="32"/>
          <w:szCs w:val="32"/>
          <w:highlight w:val="none"/>
          <w:lang w:val="en-US" w:eastAsia="zh-CN"/>
        </w:rPr>
      </w:pPr>
      <w:r>
        <w:rPr>
          <w:rFonts w:hint="eastAsia" w:ascii="仿宋_GB2312" w:hAnsi="仿宋_GB2312" w:eastAsia="仿宋_GB2312" w:cs="仿宋_GB2312"/>
          <w:sz w:val="32"/>
          <w:szCs w:val="32"/>
          <w:lang w:val="en-US" w:eastAsia="zh-CN"/>
        </w:rPr>
        <w:t>联合气象部门开发的“天帮忙”APP，先后获农业农村部科技进步奖和中国市场技术协会“金桥奖”，防灾减灾服务能力进一步提升，农情工作再获部种植业司B类奖励。</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预算执行过程中，因不可预见因素需要对预算进行调整时，由于调整流程繁琐耗时，导致无法及时应对变化，从而影响预算的执行效果。</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仿宋_GB2312" w:hAnsi="仿宋_GB2312" w:eastAsia="仿宋_GB2312" w:cs="仿宋_GB2312"/>
          <w:sz w:val="32"/>
          <w:szCs w:val="32"/>
          <w:lang w:val="en-US" w:eastAsia="zh-CN"/>
        </w:rPr>
      </w:pPr>
    </w:p>
    <w:p>
      <w:pPr>
        <w:pStyle w:val="12"/>
        <w:jc w:val="both"/>
        <w:rPr>
          <w:sz w:val="72"/>
          <w:szCs w:val="72"/>
        </w:rPr>
      </w:pPr>
    </w:p>
    <w:p>
      <w:pPr>
        <w:pStyle w:val="12"/>
        <w:jc w:val="center"/>
        <w:rPr>
          <w:sz w:val="72"/>
          <w:szCs w:val="72"/>
        </w:rPr>
      </w:pPr>
    </w:p>
    <w:p>
      <w:pPr>
        <w:pStyle w:val="12"/>
        <w:jc w:val="center"/>
        <w:rPr>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sz w:val="72"/>
          <w:szCs w:val="72"/>
        </w:rPr>
        <w:t>第四部分</w:t>
      </w:r>
    </w:p>
    <w:p>
      <w:pPr>
        <w:pStyle w:val="2"/>
        <w:rPr>
          <w:rFonts w:hint="eastAsia"/>
        </w:rPr>
      </w:pPr>
    </w:p>
    <w:p>
      <w:pPr>
        <w:rPr>
          <w:rFonts w:hint="eastAsia"/>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pStyle w:val="12"/>
        <w:ind w:firstLine="640" w:firstLineChars="200"/>
        <w:rPr>
          <w:rFonts w:hint="eastAsia" w:ascii="仿宋_GB2312" w:hAnsi="仿宋_GB2312" w:eastAsia="仿宋_GB2312" w:cs="仿宋_GB2312"/>
          <w:color w:val="auto"/>
          <w:sz w:val="32"/>
          <w:szCs w:val="32"/>
          <w:highlight w:val="none"/>
        </w:rPr>
      </w:pPr>
    </w:p>
    <w:p>
      <w:pPr>
        <w:pStyle w:val="12"/>
        <w:rPr>
          <w:rFonts w:hint="eastAsia" w:ascii="仿宋_GB2312" w:hAnsi="仿宋_GB2312" w:eastAsia="仿宋_GB2312" w:cs="仿宋_GB2312"/>
          <w:color w:val="auto"/>
          <w:sz w:val="32"/>
          <w:szCs w:val="32"/>
          <w:highlight w:val="none"/>
        </w:rPr>
      </w:pPr>
    </w:p>
    <w:p>
      <w:pPr>
        <w:pStyle w:val="12"/>
        <w:ind w:firstLine="640" w:firstLineChars="200"/>
        <w:rPr>
          <w:rFonts w:hint="eastAsia" w:ascii="仿宋_GB2312" w:hAnsi="仿宋_GB2312" w:eastAsia="仿宋_GB2312" w:cs="仿宋_GB2312"/>
          <w:color w:val="auto"/>
          <w:sz w:val="32"/>
          <w:szCs w:val="32"/>
          <w:highlight w:val="none"/>
        </w:rPr>
      </w:pP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基本支出：指为保障机构正常运转、完成日常工作任务而发生的各项支出，包括人员支出和公用支出。</w:t>
      </w:r>
    </w:p>
    <w:p>
      <w:pPr>
        <w:pStyle w:val="12"/>
        <w:ind w:firstLine="320" w:firstLineChars="1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eastAsia="zh-CN"/>
        </w:rPr>
        <w:t>二、</w:t>
      </w:r>
      <w:r>
        <w:rPr>
          <w:rFonts w:hint="eastAsia" w:ascii="仿宋_GB2312" w:hAnsi="仿宋_GB2312" w:eastAsia="仿宋_GB2312" w:cs="仿宋_GB2312"/>
          <w:color w:val="auto"/>
          <w:sz w:val="32"/>
          <w:szCs w:val="32"/>
          <w:highlight w:val="none"/>
        </w:rPr>
        <w:t xml:space="preserve">项目支出：指在基本支出以外为完成相关行政任务和事业发展目标所发生的各项支出。 </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三、</w:t>
      </w:r>
      <w:r>
        <w:rPr>
          <w:rFonts w:hint="eastAsia" w:ascii="仿宋_GB2312" w:hAnsi="仿宋_GB2312" w:eastAsia="仿宋_GB2312" w:cs="仿宋_GB2312"/>
          <w:color w:val="auto"/>
          <w:sz w:val="32"/>
          <w:szCs w:val="32"/>
          <w:highlight w:val="none"/>
        </w:rPr>
        <w:t xml:space="preserve">“三公”经费：指通过财政拨款资金安排的因公出国（境）费、公务用车购置及运行费和公务接待费支出。 </w:t>
      </w:r>
    </w:p>
    <w:p>
      <w:pPr>
        <w:pStyle w:val="1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四、</w:t>
      </w:r>
      <w:r>
        <w:rPr>
          <w:rFonts w:hint="eastAsia" w:ascii="仿宋_GB2312" w:hAnsi="仿宋_GB2312" w:eastAsia="仿宋_GB2312" w:cs="仿宋_GB2312"/>
          <w:color w:val="auto"/>
          <w:sz w:val="32"/>
          <w:szCs w:val="32"/>
          <w:highlight w:val="none"/>
        </w:rPr>
        <w:t>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12"/>
        <w:ind w:firstLine="640" w:firstLineChars="200"/>
        <w:rPr>
          <w:rFonts w:ascii="宋体" w:hAnsi="宋体" w:eastAsia="宋体"/>
          <w:color w:val="auto"/>
          <w:sz w:val="32"/>
          <w:szCs w:val="32"/>
          <w:highlight w:val="none"/>
        </w:rPr>
      </w:pPr>
    </w:p>
    <w:p>
      <w:pPr>
        <w:ind w:firstLine="640" w:firstLineChars="200"/>
        <w:jc w:val="left"/>
        <w:rPr>
          <w:rFonts w:hint="eastAsia" w:cs="黑体" w:asciiTheme="minorEastAsia" w:hAnsiTheme="minorEastAsia"/>
          <w:color w:val="000000"/>
          <w:kern w:val="0"/>
          <w:sz w:val="32"/>
          <w:szCs w:val="3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rPr>
          <w:sz w:val="72"/>
          <w:szCs w:val="72"/>
        </w:rPr>
      </w:pPr>
      <w:r>
        <w:rPr>
          <w:sz w:val="72"/>
          <w:szCs w:val="72"/>
        </w:rPr>
        <w:br w:type="page"/>
      </w: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keepNext/>
        <w:keepLines/>
        <w:adjustRightInd/>
        <w:snapToGrid/>
        <w:spacing w:line="700" w:lineRule="exact"/>
        <w:ind w:firstLine="0" w:firstLineChars="0"/>
        <w:jc w:val="center"/>
        <w:outlineLvl w:val="0"/>
        <w:rPr>
          <w:rFonts w:hint="eastAsia" w:eastAsia="方正小标宋简体"/>
          <w:bCs/>
          <w:spacing w:val="-8"/>
          <w:kern w:val="44"/>
          <w:sz w:val="44"/>
          <w:szCs w:val="44"/>
          <w:lang w:val="en-US" w:eastAsia="zh-CN"/>
        </w:rPr>
      </w:pPr>
    </w:p>
    <w:p>
      <w:pPr>
        <w:keepNext/>
        <w:keepLines/>
        <w:adjustRightInd/>
        <w:snapToGrid/>
        <w:spacing w:line="700" w:lineRule="exact"/>
        <w:ind w:firstLine="0" w:firstLineChars="0"/>
        <w:jc w:val="center"/>
        <w:outlineLvl w:val="0"/>
        <w:rPr>
          <w:rFonts w:hint="eastAsia" w:eastAsia="方正小标宋简体"/>
          <w:bCs/>
          <w:spacing w:val="-8"/>
          <w:kern w:val="44"/>
          <w:sz w:val="44"/>
          <w:szCs w:val="44"/>
          <w:lang w:eastAsia="zh-CN"/>
        </w:rPr>
      </w:pPr>
      <w:r>
        <w:rPr>
          <w:rFonts w:hint="eastAsia" w:eastAsia="方正小标宋简体"/>
          <w:bCs/>
          <w:spacing w:val="-8"/>
          <w:kern w:val="44"/>
          <w:sz w:val="44"/>
          <w:szCs w:val="44"/>
          <w:lang w:val="en-US" w:eastAsia="zh-CN"/>
        </w:rPr>
        <w:t>2023</w:t>
      </w:r>
      <w:r>
        <w:rPr>
          <w:rFonts w:eastAsia="方正小标宋简体"/>
          <w:bCs/>
          <w:spacing w:val="-8"/>
          <w:kern w:val="44"/>
          <w:sz w:val="44"/>
          <w:szCs w:val="44"/>
        </w:rPr>
        <w:t>年度</w:t>
      </w:r>
      <w:r>
        <w:rPr>
          <w:rFonts w:hint="eastAsia" w:eastAsia="方正小标宋简体"/>
          <w:bCs/>
          <w:spacing w:val="-8"/>
          <w:kern w:val="44"/>
          <w:sz w:val="44"/>
          <w:szCs w:val="44"/>
          <w:lang w:eastAsia="zh-CN"/>
        </w:rPr>
        <w:t>湖南省农情分析研究中心</w:t>
      </w:r>
    </w:p>
    <w:p>
      <w:pPr>
        <w:keepNext/>
        <w:keepLines/>
        <w:adjustRightInd/>
        <w:snapToGrid/>
        <w:spacing w:line="700" w:lineRule="exact"/>
        <w:ind w:firstLine="0" w:firstLineChars="0"/>
        <w:jc w:val="center"/>
        <w:outlineLvl w:val="0"/>
        <w:rPr>
          <w:rFonts w:eastAsia="方正小标宋简体"/>
          <w:bCs/>
          <w:spacing w:val="-8"/>
          <w:kern w:val="44"/>
          <w:sz w:val="44"/>
          <w:szCs w:val="44"/>
        </w:rPr>
      </w:pPr>
      <w:bookmarkStart w:id="3" w:name="_GoBack"/>
      <w:bookmarkEnd w:id="3"/>
      <w:r>
        <w:rPr>
          <w:rFonts w:eastAsia="方正小标宋简体"/>
          <w:bCs/>
          <w:spacing w:val="-8"/>
          <w:kern w:val="44"/>
          <w:sz w:val="44"/>
          <w:szCs w:val="44"/>
        </w:rPr>
        <w:t>整体支出绩效自评报告</w:t>
      </w:r>
    </w:p>
    <w:p>
      <w:pPr>
        <w:adjustRightInd/>
        <w:snapToGrid/>
        <w:ind w:firstLine="0" w:firstLineChars="0"/>
        <w:outlineLvl w:val="1"/>
        <w:rPr>
          <w:rFonts w:eastAsia="黑体"/>
          <w:bCs/>
          <w:sz w:val="21"/>
          <w:szCs w:val="32"/>
        </w:rPr>
      </w:pPr>
    </w:p>
    <w:p>
      <w:pPr>
        <w:numPr>
          <w:ilvl w:val="0"/>
          <w:numId w:val="6"/>
        </w:numPr>
        <w:adjustRightInd/>
        <w:snapToGrid/>
        <w:ind w:firstLine="640" w:firstLineChars="0"/>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单位基本情况</w:t>
      </w:r>
    </w:p>
    <w:p>
      <w:pPr>
        <w:numPr>
          <w:ilvl w:val="0"/>
          <w:numId w:val="7"/>
        </w:numPr>
        <w:adjustRightInd/>
        <w:snapToGrid/>
        <w:ind w:firstLine="64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主要职能</w:t>
      </w:r>
    </w:p>
    <w:p>
      <w:pPr>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湖南省农情分析研究中心（以下简称省农情分析研究中心）为湖南省农业农村厅直属二级机构，为公益一类正处级事业单位。</w:t>
      </w:r>
    </w:p>
    <w:p>
      <w:pPr>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农情分析研究中心对全省农业农村经济情况进行调查分析研究，对农业经济领域的重大问题、重要决策进行分析研究论证，找准影响农业发展的主要矛盾，提出解决问题的对策建议，为促进我省农业农村经济稳定健康发展提供有力保障。主要职责是：</w:t>
      </w:r>
    </w:p>
    <w:p>
      <w:pPr>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（1）收集、整理、分析、报送和发布农业生产动态、阶段性生产形势，反映生产中的特点、热点和存在问题。</w:t>
      </w:r>
    </w:p>
    <w:p>
      <w:pPr>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（2）调查分析研究农业情况，组织和指导农情监测基地县的监测工作。</w:t>
      </w:r>
    </w:p>
    <w:p>
      <w:pPr>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（3）编印农情简报和农业农村统计分析资料。</w:t>
      </w:r>
    </w:p>
    <w:p>
      <w:pPr>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（4）调查统计和报送农业灾情，指导农业防灾抗灾减灾工作。</w:t>
      </w:r>
    </w:p>
    <w:p>
      <w:pPr>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（5）开展全省农业农村经济形势分析。</w:t>
      </w:r>
    </w:p>
    <w:p>
      <w:pPr>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（6）受委托负责湖南省农业农村厅系统新闻宣传工作。</w:t>
      </w:r>
    </w:p>
    <w:p>
      <w:pPr>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（7）组织农业志编写和农业档案管理。</w:t>
      </w:r>
    </w:p>
    <w:p>
      <w:pPr>
        <w:snapToGrid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（8）负责农业农村部、省政府和省农业农村厅安排的其他方面的工作。</w:t>
      </w:r>
    </w:p>
    <w:p>
      <w:pPr>
        <w:numPr>
          <w:ilvl w:val="0"/>
          <w:numId w:val="7"/>
        </w:numPr>
        <w:adjustRightInd/>
        <w:snapToGrid/>
        <w:ind w:firstLine="64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机构情况</w:t>
      </w:r>
    </w:p>
    <w:p>
      <w:pPr>
        <w:numPr>
          <w:ilvl w:val="0"/>
          <w:numId w:val="0"/>
        </w:numPr>
        <w:adjustRightInd/>
        <w:snapToGrid/>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省农情分析研究中心设有</w:t>
      </w:r>
      <w:r>
        <w:rPr>
          <w:rFonts w:hint="eastAsia" w:ascii="仿宋_GB2312" w:hAnsi="仿宋_GB2312" w:eastAsia="仿宋_GB2312" w:cs="仿宋_GB2312"/>
          <w:sz w:val="32"/>
          <w:szCs w:val="32"/>
          <w:lang w:eastAsia="zh-CN"/>
        </w:rPr>
        <w:t>综合</w:t>
      </w:r>
      <w:r>
        <w:rPr>
          <w:rFonts w:hint="eastAsia" w:ascii="仿宋_GB2312" w:hAnsi="仿宋_GB2312" w:eastAsia="仿宋_GB2312" w:cs="仿宋_GB2312"/>
          <w:sz w:val="32"/>
          <w:szCs w:val="32"/>
        </w:rPr>
        <w:t>财务科、</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人事科、农情体系科、农情调度科、农情信息科。</w:t>
      </w:r>
    </w:p>
    <w:p>
      <w:pPr>
        <w:numPr>
          <w:ilvl w:val="0"/>
          <w:numId w:val="7"/>
        </w:numPr>
        <w:adjustRightInd/>
        <w:snapToGrid/>
        <w:ind w:firstLine="64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人员情况</w:t>
      </w:r>
    </w:p>
    <w:p>
      <w:pPr>
        <w:widowControl/>
        <w:numPr>
          <w:ilvl w:val="0"/>
          <w:numId w:val="0"/>
        </w:numPr>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本单位年末在职人员12人，较上年增加3人，主要是因工作需要，于2023年公开招聘3名工作人员；退休人数18人。</w:t>
      </w:r>
    </w:p>
    <w:p>
      <w:pPr>
        <w:adjustRightInd/>
        <w:snapToGrid/>
        <w:ind w:firstLine="640" w:firstLineChars="0"/>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二、一般公共预算支出情况</w:t>
      </w:r>
    </w:p>
    <w:p>
      <w:pPr>
        <w:adjustRightInd/>
        <w:snapToGrid/>
        <w:ind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（一）基本支出情况</w:t>
      </w:r>
    </w:p>
    <w:p>
      <w:pPr>
        <w:adjustRightInd/>
        <w:snapToGrid/>
        <w:ind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345.54</w:t>
      </w:r>
      <w:r>
        <w:rPr>
          <w:rFonts w:hint="eastAsia" w:ascii="仿宋_GB2312" w:hAnsi="仿宋_GB2312" w:eastAsia="仿宋_GB2312" w:cs="仿宋_GB2312"/>
          <w:sz w:val="32"/>
          <w:szCs w:val="32"/>
        </w:rPr>
        <w:t>万元，其中：</w:t>
      </w:r>
    </w:p>
    <w:p>
      <w:pPr>
        <w:adjustRightInd/>
        <w:snapToGrid/>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sz w:val="32"/>
          <w:szCs w:val="32"/>
          <w:lang w:val="en-US" w:eastAsia="zh-CN"/>
        </w:rPr>
        <w:t>320.25</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92.68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主要包括基本工资、绩效工资、津贴补贴、机关事业单位基本养老保险缴费、职工基本医疗保险缴费、住房公积金、奖励金等；</w:t>
      </w:r>
    </w:p>
    <w:p>
      <w:pPr>
        <w:adjustRightInd/>
        <w:snapToGrid/>
        <w:ind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25.29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7.32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印刷费、差旅费、</w:t>
      </w:r>
      <w:r>
        <w:rPr>
          <w:rFonts w:hint="eastAsia" w:ascii="仿宋_GB2312" w:hAnsi="仿宋_GB2312" w:eastAsia="仿宋_GB2312" w:cs="仿宋_GB2312"/>
          <w:sz w:val="32"/>
          <w:szCs w:val="32"/>
        </w:rPr>
        <w:t>工会经费、其他交通费用、福利费等。</w:t>
      </w:r>
    </w:p>
    <w:p>
      <w:pPr>
        <w:numPr>
          <w:ilvl w:val="0"/>
          <w:numId w:val="8"/>
        </w:numPr>
        <w:adjustRightInd/>
        <w:snapToGrid/>
        <w:ind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项目支出情况</w:t>
      </w:r>
    </w:p>
    <w:p>
      <w:pPr>
        <w:numPr>
          <w:ilvl w:val="0"/>
          <w:numId w:val="0"/>
        </w:numPr>
        <w:adjustRightInd/>
        <w:snapToGrid/>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2023年度财政拨款项目支出7.89万元，其中：</w:t>
      </w:r>
    </w:p>
    <w:p>
      <w:pPr>
        <w:numPr>
          <w:ilvl w:val="0"/>
          <w:numId w:val="0"/>
        </w:numPr>
        <w:adjustRightInd/>
        <w:snapToGrid/>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农业生产发展2.89万元，其他农林水支出5万。</w:t>
      </w:r>
    </w:p>
    <w:p>
      <w:pPr>
        <w:numPr>
          <w:ilvl w:val="0"/>
          <w:numId w:val="9"/>
        </w:numPr>
        <w:adjustRightInd/>
        <w:snapToGrid/>
        <w:ind w:firstLine="640" w:firstLineChars="0"/>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部门整体支出绩效情况</w:t>
      </w:r>
    </w:p>
    <w:p>
      <w:pPr>
        <w:numPr>
          <w:ilvl w:val="0"/>
          <w:numId w:val="10"/>
        </w:numPr>
        <w:adjustRightInd/>
        <w:snapToGrid/>
        <w:ind w:firstLine="64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运行成本</w:t>
      </w:r>
    </w:p>
    <w:p>
      <w:pPr>
        <w:pStyle w:val="12"/>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进一步建立健全内部控制制度，修订《财务管理办法》，规范各项财务行为，明确服务购买程序，坚持依法依规依程序、保障运转、勤俭节约的原则，严格控制运行成本。</w:t>
      </w:r>
    </w:p>
    <w:p>
      <w:pPr>
        <w:numPr>
          <w:ilvl w:val="0"/>
          <w:numId w:val="10"/>
        </w:numPr>
        <w:adjustRightInd/>
        <w:snapToGrid/>
        <w:ind w:firstLine="64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管理效率</w:t>
      </w:r>
    </w:p>
    <w:p>
      <w:pPr>
        <w:pStyle w:val="12"/>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年部门整体预算数</w:t>
      </w:r>
      <w:r>
        <w:rPr>
          <w:rFonts w:hint="eastAsia" w:ascii="仿宋_GB2312" w:hAnsi="仿宋_GB2312" w:eastAsia="仿宋_GB2312" w:cs="仿宋_GB2312"/>
          <w:color w:val="auto"/>
          <w:sz w:val="32"/>
          <w:szCs w:val="32"/>
          <w:highlight w:val="none"/>
          <w:lang w:val="en-US" w:eastAsia="zh-CN"/>
        </w:rPr>
        <w:t>433.29</w:t>
      </w:r>
      <w:r>
        <w:rPr>
          <w:rFonts w:hint="eastAsia" w:ascii="仿宋_GB2312" w:hAnsi="仿宋_GB2312" w:eastAsia="仿宋_GB2312" w:cs="仿宋_GB2312"/>
          <w:color w:val="auto"/>
          <w:sz w:val="32"/>
          <w:szCs w:val="32"/>
          <w:highlight w:val="none"/>
        </w:rPr>
        <w:t>万元，执行数</w:t>
      </w:r>
      <w:r>
        <w:rPr>
          <w:rFonts w:hint="eastAsia" w:ascii="仿宋_GB2312" w:hAnsi="仿宋_GB2312" w:eastAsia="仿宋_GB2312" w:cs="仿宋_GB2312"/>
          <w:color w:val="auto"/>
          <w:sz w:val="32"/>
          <w:szCs w:val="32"/>
          <w:highlight w:val="none"/>
          <w:lang w:val="en-US" w:eastAsia="zh-CN"/>
        </w:rPr>
        <w:t>404.22</w:t>
      </w:r>
      <w:r>
        <w:rPr>
          <w:rFonts w:hint="eastAsia" w:ascii="仿宋_GB2312" w:hAnsi="仿宋_GB2312" w:eastAsia="仿宋_GB2312" w:cs="仿宋_GB2312"/>
          <w:color w:val="auto"/>
          <w:sz w:val="32"/>
          <w:szCs w:val="32"/>
          <w:highlight w:val="none"/>
        </w:rPr>
        <w:t>万元，预算整体执行率为</w:t>
      </w:r>
      <w:r>
        <w:rPr>
          <w:rFonts w:hint="eastAsia" w:ascii="仿宋_GB2312" w:hAnsi="仿宋_GB2312" w:eastAsia="仿宋_GB2312" w:cs="仿宋_GB2312"/>
          <w:color w:val="auto"/>
          <w:sz w:val="32"/>
          <w:szCs w:val="32"/>
          <w:highlight w:val="none"/>
          <w:lang w:val="en-US" w:eastAsia="zh-CN"/>
        </w:rPr>
        <w:t>93.29</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年财政拨款预算数</w:t>
      </w:r>
      <w:r>
        <w:rPr>
          <w:rFonts w:hint="eastAsia" w:ascii="仿宋_GB2312" w:hAnsi="仿宋_GB2312" w:eastAsia="仿宋_GB2312" w:cs="仿宋_GB2312"/>
          <w:color w:val="auto"/>
          <w:sz w:val="32"/>
          <w:szCs w:val="32"/>
          <w:highlight w:val="none"/>
          <w:lang w:val="en-US" w:eastAsia="zh-CN"/>
        </w:rPr>
        <w:t>360.02</w:t>
      </w:r>
      <w:r>
        <w:rPr>
          <w:rFonts w:hint="eastAsia" w:ascii="仿宋_GB2312" w:hAnsi="仿宋_GB2312" w:eastAsia="仿宋_GB2312" w:cs="仿宋_GB2312"/>
          <w:color w:val="auto"/>
          <w:sz w:val="32"/>
          <w:szCs w:val="32"/>
          <w:highlight w:val="none"/>
        </w:rPr>
        <w:t>万元，执行数</w:t>
      </w:r>
      <w:r>
        <w:rPr>
          <w:rFonts w:hint="eastAsia" w:ascii="仿宋_GB2312" w:hAnsi="仿宋_GB2312" w:eastAsia="仿宋_GB2312" w:cs="仿宋_GB2312"/>
          <w:color w:val="auto"/>
          <w:sz w:val="32"/>
          <w:szCs w:val="32"/>
          <w:highlight w:val="none"/>
          <w:lang w:val="en-US" w:eastAsia="zh-CN"/>
        </w:rPr>
        <w:t>353.43</w:t>
      </w:r>
      <w:r>
        <w:rPr>
          <w:rFonts w:hint="eastAsia" w:ascii="仿宋_GB2312" w:hAnsi="仿宋_GB2312" w:eastAsia="仿宋_GB2312" w:cs="仿宋_GB2312"/>
          <w:color w:val="auto"/>
          <w:sz w:val="32"/>
          <w:szCs w:val="32"/>
          <w:highlight w:val="none"/>
        </w:rPr>
        <w:t>万元，财政拨款部分预算执行率为</w:t>
      </w:r>
      <w:r>
        <w:rPr>
          <w:rFonts w:hint="eastAsia" w:ascii="仿宋_GB2312" w:hAnsi="仿宋_GB2312" w:eastAsia="仿宋_GB2312" w:cs="仿宋_GB2312"/>
          <w:color w:val="auto"/>
          <w:sz w:val="32"/>
          <w:szCs w:val="32"/>
          <w:highlight w:val="none"/>
          <w:lang w:val="en-US" w:eastAsia="zh-CN"/>
        </w:rPr>
        <w:t>98.17</w:t>
      </w:r>
      <w:r>
        <w:rPr>
          <w:rFonts w:hint="eastAsia" w:ascii="仿宋_GB2312" w:hAnsi="仿宋_GB2312" w:eastAsia="仿宋_GB2312" w:cs="仿宋_GB2312"/>
          <w:color w:val="auto"/>
          <w:sz w:val="32"/>
          <w:szCs w:val="32"/>
          <w:highlight w:val="none"/>
        </w:rPr>
        <w:t>%。</w:t>
      </w:r>
    </w:p>
    <w:p>
      <w:pPr>
        <w:numPr>
          <w:ilvl w:val="0"/>
          <w:numId w:val="10"/>
        </w:numPr>
        <w:adjustRightInd/>
        <w:snapToGrid/>
        <w:ind w:firstLine="64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履职效能、社会效应等</w:t>
      </w:r>
    </w:p>
    <w:p>
      <w:pPr>
        <w:keepNext w:val="0"/>
        <w:keepLines w:val="0"/>
        <w:pageBreakBefore w:val="0"/>
        <w:widowControl w:val="0"/>
        <w:kinsoku/>
        <w:wordWrap/>
        <w:overflowPunct/>
        <w:topLinePunct w:val="0"/>
        <w:autoSpaceDE w:val="0"/>
        <w:autoSpaceDN/>
        <w:bidi w:val="0"/>
        <w:adjustRightInd/>
        <w:snapToGrid/>
        <w:spacing w:line="600" w:lineRule="exact"/>
        <w:ind w:left="0" w:leftChars="0" w:firstLine="640" w:firstLineChars="200"/>
        <w:textAlignment w:val="auto"/>
        <w:outlineLvl w:val="3"/>
        <w:rPr>
          <w:rFonts w:hint="eastAsia" w:ascii="仿宋_GB2312" w:hAnsi="仿宋_GB2312" w:eastAsia="仿宋_GB2312" w:cs="仿宋_GB2312"/>
          <w:bCs/>
          <w:spacing w:val="-2"/>
          <w:sz w:val="32"/>
          <w:szCs w:val="32"/>
          <w:lang w:val="en-US" w:eastAsia="zh-CN"/>
        </w:rPr>
      </w:pPr>
      <w:r>
        <w:rPr>
          <w:rFonts w:hint="eastAsia" w:ascii="仿宋_GB2312" w:hAnsi="仿宋_GB2312" w:eastAsia="仿宋_GB2312" w:cs="仿宋_GB2312"/>
          <w:sz w:val="32"/>
          <w:szCs w:val="32"/>
          <w:lang w:val="en-US" w:eastAsia="zh-CN"/>
        </w:rPr>
        <w:t>一是提升水平，强化农业农村经济研判。</w:t>
      </w:r>
      <w:r>
        <w:rPr>
          <w:rFonts w:hint="eastAsia" w:ascii="仿宋_GB2312" w:hAnsi="仿宋_GB2312" w:eastAsia="仿宋_GB2312" w:cs="仿宋_GB2312"/>
          <w:bCs/>
          <w:spacing w:val="-2"/>
          <w:sz w:val="32"/>
          <w:szCs w:val="32"/>
          <w:lang w:val="en-US" w:eastAsia="zh-CN"/>
        </w:rPr>
        <w:t>在今年经济大盘恢复不及预期，生猪等主要农产品价格反复波动等形势下，时刻关注各项重要指标走势，以平常时期月调度，季末时期日调度的工作方式，精准把控、核实每个主要数据。同时，积极与发改、统计、国调等部门会商衔接，先后两次邀请国调、统计等部门到我中心参加形势研判会，高质量完成了每季度的农业农村经济形势分析，并在省委常委扩大会议、省政府常务会议及省委、省政府相关专题会议上汇报，为省委、省政府决策提供了依据和参考。</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仿宋_GB2312" w:hAnsi="仿宋_GB2312" w:eastAsia="仿宋_GB2312" w:cs="仿宋_GB2312"/>
          <w:bCs/>
          <w:spacing w:val="-2"/>
          <w:sz w:val="32"/>
          <w:szCs w:val="32"/>
          <w:lang w:val="en-US" w:eastAsia="zh-CN"/>
        </w:rPr>
      </w:pPr>
      <w:r>
        <w:rPr>
          <w:rFonts w:hint="eastAsia" w:ascii="仿宋_GB2312" w:hAnsi="仿宋_GB2312" w:eastAsia="仿宋_GB2312" w:cs="仿宋_GB2312"/>
          <w:sz w:val="32"/>
          <w:szCs w:val="32"/>
          <w:lang w:val="en-US" w:eastAsia="zh-CN"/>
        </w:rPr>
        <w:t>二是精益求精，做好农情调度分析。</w:t>
      </w:r>
      <w:r>
        <w:rPr>
          <w:rFonts w:hint="eastAsia" w:ascii="仿宋_GB2312" w:hAnsi="仿宋_GB2312" w:eastAsia="仿宋_GB2312" w:cs="仿宋_GB2312"/>
          <w:bCs/>
          <w:spacing w:val="-2"/>
          <w:sz w:val="32"/>
          <w:szCs w:val="32"/>
          <w:lang w:val="en-US" w:eastAsia="zh-CN"/>
        </w:rPr>
        <w:t>今年以来，部种植业司对农情调度工作进一步加强，在日常调度基础上再加码，对春耕、夏收、秋收等关键时节进行加密调度，调度频次达到往年的2倍以上。在每次调度会上，中心均以精准的分析、合理的建议，受到部种植业司领导的充分肯定，两次受到部领导的表扬。积极总结往年农业防灾减灾的经验和教训，多次与水利、应急、气象等部门研究协商，全力提升防灾减灾服务水平。一方面，建立了与水利的信息共享机制，在春旱期间协同做好保水蓄水工作，收到水利厅的专门感谢信；一方面，与气象联合探索开展为农气象服务，共联合发布为农气象服务20余期，农业气象灾害预警13期，春耕等关键农时每周开展研判会商一次。</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仿宋_GB2312" w:hAnsi="仿宋_GB2312" w:eastAsia="仿宋_GB2312" w:cs="仿宋_GB2312"/>
          <w:bCs/>
          <w:spacing w:val="-2"/>
          <w:sz w:val="32"/>
          <w:szCs w:val="32"/>
          <w:lang w:val="en-US" w:eastAsia="zh-CN"/>
        </w:rPr>
      </w:pPr>
      <w:r>
        <w:rPr>
          <w:rFonts w:hint="eastAsia" w:ascii="仿宋_GB2312" w:hAnsi="仿宋_GB2312" w:eastAsia="仿宋_GB2312" w:cs="仿宋_GB2312"/>
          <w:sz w:val="32"/>
          <w:szCs w:val="32"/>
          <w:lang w:val="en-US" w:eastAsia="zh-CN"/>
        </w:rPr>
        <w:t>三是担当履职，坚决完成党组交办的其他工作。</w:t>
      </w:r>
      <w:r>
        <w:rPr>
          <w:rFonts w:hint="eastAsia" w:ascii="仿宋_GB2312" w:hAnsi="仿宋_GB2312" w:eastAsia="仿宋_GB2312" w:cs="仿宋_GB2312"/>
          <w:bCs/>
          <w:spacing w:val="-2"/>
          <w:sz w:val="32"/>
          <w:szCs w:val="32"/>
          <w:lang w:val="en-US" w:eastAsia="zh-CN"/>
        </w:rPr>
        <w:t>对厅党组安排的其他工作，从不推脱、从不打折扣，也不争荣誉、甘当助手。积极参与了省委经济“六仗”相关工作，牵头负责防范化解风险阻击仗相关工作，全年共汇总报送相关情况9次，服务厅领导参会6次，相关工作得到应急、财政等部门的高度肯定；积极做好新闻宣传相关工作，精准审核把关每篇农业农村厅官网信息，每月新闻宣传信息在200条以上，基本实现“零失误”，省级及以上媒体每月公开报道我厅工作50篇（条）以上；积极衔接部办公厅，做好信息报送和对接，收到部办公厅对我省发来的关于信息工作的感谢信。积极参与豇豆农产品质量安全专项整治，并牵头负责郴州、永州两市专项监督，两市未出现豇豆农产品质量安全问题。</w:t>
      </w:r>
    </w:p>
    <w:p>
      <w:pPr>
        <w:numPr>
          <w:ilvl w:val="0"/>
          <w:numId w:val="10"/>
        </w:numPr>
        <w:adjustRightInd/>
        <w:snapToGrid/>
        <w:ind w:firstLine="64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可持续发展能力</w:t>
      </w:r>
    </w:p>
    <w:p>
      <w:pPr>
        <w:widowControl w:val="0"/>
        <w:numPr>
          <w:ilvl w:val="0"/>
          <w:numId w:val="0"/>
        </w:numPr>
        <w:adjustRightInd/>
        <w:snapToGrid/>
        <w:spacing w:line="579" w:lineRule="atLeas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部种植业司部署安排，开展了农业防灾减灾长效机制的专题调研，形成了《关于湖南构建农业防灾减灾救灾长效机制的调研报告》，上报至农业农村部种植业司后，做出重要参谋作用，得到肯定，并在相关杂志发表。</w:t>
      </w:r>
    </w:p>
    <w:p>
      <w:pPr>
        <w:widowControl w:val="0"/>
        <w:numPr>
          <w:ilvl w:val="0"/>
          <w:numId w:val="0"/>
        </w:numPr>
        <w:adjustRightInd/>
        <w:snapToGrid/>
        <w:spacing w:line="579"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初步构建了农业农村经济形势分析主要指标体系，追溯至前</w:t>
      </w:r>
      <w:r>
        <w:rPr>
          <w:rFonts w:hint="eastAsia" w:ascii="仿宋_GB2312" w:hAnsi="仿宋_GB2312" w:eastAsia="仿宋_GB2312" w:cs="仿宋_GB2312"/>
          <w:sz w:val="32"/>
          <w:szCs w:val="32"/>
          <w:lang w:val="en-US" w:eastAsia="zh-CN"/>
        </w:rPr>
        <w:t>10年，主要指标已基本录入，形成工作手册，为后段农业农村经济形势分析开展打牢工作基础。</w:t>
      </w:r>
    </w:p>
    <w:p>
      <w:pPr>
        <w:numPr>
          <w:ilvl w:val="0"/>
          <w:numId w:val="10"/>
        </w:numPr>
        <w:adjustRightInd/>
        <w:snapToGrid/>
        <w:ind w:firstLine="64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服务对象满意度</w:t>
      </w:r>
    </w:p>
    <w:p>
      <w:pPr>
        <w:keepNext w:val="0"/>
        <w:keepLines w:val="0"/>
        <w:pageBreakBefore w:val="0"/>
        <w:widowControl w:val="0"/>
        <w:kinsoku/>
        <w:wordWrap/>
        <w:overflowPunct/>
        <w:topLinePunct w:val="0"/>
        <w:autoSpaceDE w:val="0"/>
        <w:autoSpaceDN/>
        <w:bidi w:val="0"/>
        <w:adjustRightInd/>
        <w:snapToGrid/>
        <w:spacing w:line="600" w:lineRule="exact"/>
        <w:ind w:left="0" w:leftChars="0" w:firstLine="632" w:firstLineChars="200"/>
        <w:textAlignment w:val="auto"/>
        <w:outlineLvl w:val="3"/>
        <w:rPr>
          <w:rFonts w:hint="eastAsia" w:ascii="仿宋_GB2312" w:hAnsi="仿宋_GB2312" w:eastAsia="仿宋_GB2312" w:cs="仿宋_GB2312"/>
          <w:bCs/>
          <w:spacing w:val="-2"/>
          <w:sz w:val="32"/>
          <w:szCs w:val="32"/>
          <w:lang w:val="en-US" w:eastAsia="zh-CN"/>
        </w:rPr>
      </w:pPr>
      <w:r>
        <w:rPr>
          <w:rFonts w:hint="eastAsia" w:ascii="仿宋_GB2312" w:hAnsi="仿宋_GB2312" w:eastAsia="仿宋_GB2312" w:cs="仿宋_GB2312"/>
          <w:bCs/>
          <w:spacing w:val="-2"/>
          <w:sz w:val="32"/>
          <w:szCs w:val="32"/>
          <w:lang w:val="en-US" w:eastAsia="zh-CN"/>
        </w:rPr>
        <w:t>联合气象部门开发的“天帮忙”APP，先后获农业农村部科技进步奖和中国市场技术协会“金桥奖”，防灾减灾服务能力进一步提升，农情工作再获部种植业司B类奖励。</w:t>
      </w:r>
    </w:p>
    <w:p>
      <w:pPr>
        <w:numPr>
          <w:ilvl w:val="0"/>
          <w:numId w:val="9"/>
        </w:numPr>
        <w:adjustRightInd/>
        <w:snapToGrid/>
        <w:ind w:left="0" w:leftChars="0" w:firstLine="640" w:firstLineChars="0"/>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存在的问题及原因分析</w:t>
      </w:r>
    </w:p>
    <w:p>
      <w:pPr>
        <w:keepNext w:val="0"/>
        <w:keepLines w:val="0"/>
        <w:pageBreakBefore w:val="0"/>
        <w:widowControl w:val="0"/>
        <w:kinsoku/>
        <w:wordWrap/>
        <w:overflowPunct/>
        <w:topLinePunct w:val="0"/>
        <w:autoSpaceDE w:val="0"/>
        <w:autoSpaceDN/>
        <w:bidi w:val="0"/>
        <w:adjustRightInd/>
        <w:snapToGrid/>
        <w:spacing w:line="600" w:lineRule="exact"/>
        <w:ind w:firstLine="632" w:firstLineChars="200"/>
        <w:textAlignment w:val="auto"/>
        <w:outlineLvl w:val="3"/>
        <w:rPr>
          <w:rFonts w:hint="eastAsia" w:ascii="仿宋_GB2312" w:hAnsi="仿宋_GB2312" w:eastAsia="仿宋_GB2312" w:cs="仿宋_GB2312"/>
          <w:bCs/>
          <w:spacing w:val="-2"/>
          <w:sz w:val="32"/>
          <w:szCs w:val="32"/>
          <w:lang w:val="en-US" w:eastAsia="zh-CN"/>
        </w:rPr>
      </w:pPr>
      <w:r>
        <w:rPr>
          <w:rFonts w:hint="eastAsia" w:ascii="仿宋_GB2312" w:hAnsi="仿宋_GB2312" w:eastAsia="仿宋_GB2312" w:cs="仿宋_GB2312"/>
          <w:bCs/>
          <w:spacing w:val="-2"/>
          <w:sz w:val="32"/>
          <w:szCs w:val="32"/>
          <w:lang w:val="en-US" w:eastAsia="zh-CN"/>
        </w:rPr>
        <w:t>预算执行过程中，因不可预见因素需要对预算进行调整时，由于调整流程繁琐耗时，导致无法及时应对变化，从而影响预算的执行效果。</w:t>
      </w:r>
    </w:p>
    <w:p>
      <w:pPr>
        <w:keepNext w:val="0"/>
        <w:keepLines w:val="0"/>
        <w:pageBreakBefore w:val="0"/>
        <w:widowControl w:val="0"/>
        <w:kinsoku/>
        <w:wordWrap/>
        <w:overflowPunct/>
        <w:topLinePunct w:val="0"/>
        <w:autoSpaceDE w:val="0"/>
        <w:autoSpaceDN/>
        <w:bidi w:val="0"/>
        <w:adjustRightInd/>
        <w:snapToGrid/>
        <w:spacing w:line="600" w:lineRule="exact"/>
        <w:ind w:firstLine="632" w:firstLineChars="200"/>
        <w:textAlignment w:val="auto"/>
        <w:outlineLvl w:val="3"/>
        <w:rPr>
          <w:rFonts w:hint="eastAsia" w:ascii="仿宋_GB2312" w:hAnsi="仿宋_GB2312" w:eastAsia="仿宋_GB2312" w:cs="仿宋_GB2312"/>
          <w:bCs/>
          <w:spacing w:val="-2"/>
          <w:sz w:val="32"/>
          <w:szCs w:val="32"/>
          <w:lang w:val="en-US" w:eastAsia="zh-CN"/>
        </w:rPr>
      </w:pPr>
    </w:p>
    <w:p>
      <w:pPr>
        <w:adjustRightInd/>
        <w:snapToGrid/>
        <w:ind w:firstLine="640" w:firstLineChars="0"/>
        <w:rPr>
          <w:rFonts w:hint="eastAsia" w:ascii="仿宋_GB2312" w:hAnsi="仿宋_GB2312" w:eastAsia="仿宋_GB2312" w:cs="仿宋_GB2312"/>
          <w:sz w:val="30"/>
          <w:szCs w:val="30"/>
        </w:rPr>
      </w:pPr>
    </w:p>
    <w:p>
      <w:pPr>
        <w:ind w:firstLine="600" w:firstLineChars="200"/>
        <w:rPr>
          <w:rFonts w:ascii="仿宋" w:hAnsi="仿宋" w:eastAsia="仿宋"/>
          <w:kern w:val="0"/>
          <w:sz w:val="30"/>
          <w:szCs w:val="30"/>
        </w:rPr>
      </w:pPr>
      <w:r>
        <w:rPr>
          <w:rFonts w:hint="eastAsia" w:ascii="仿宋" w:hAnsi="仿宋" w:eastAsia="仿宋"/>
          <w:kern w:val="0"/>
          <w:sz w:val="30"/>
          <w:szCs w:val="30"/>
        </w:rPr>
        <w:t>附件</w:t>
      </w:r>
      <w:r>
        <w:rPr>
          <w:rFonts w:ascii="仿宋" w:hAnsi="仿宋" w:eastAsia="仿宋"/>
          <w:kern w:val="0"/>
          <w:sz w:val="30"/>
          <w:szCs w:val="30"/>
        </w:rPr>
        <w:t>1</w:t>
      </w:r>
      <w:r>
        <w:rPr>
          <w:rFonts w:hint="eastAsia" w:ascii="仿宋" w:hAnsi="仿宋" w:eastAsia="仿宋"/>
          <w:kern w:val="0"/>
          <w:sz w:val="30"/>
          <w:szCs w:val="30"/>
        </w:rPr>
        <w:t>：202</w:t>
      </w:r>
      <w:r>
        <w:rPr>
          <w:rFonts w:hint="eastAsia" w:ascii="仿宋" w:hAnsi="仿宋" w:eastAsia="仿宋"/>
          <w:kern w:val="0"/>
          <w:sz w:val="30"/>
          <w:szCs w:val="30"/>
          <w:lang w:val="en-US" w:eastAsia="zh-CN"/>
        </w:rPr>
        <w:t>3</w:t>
      </w:r>
      <w:r>
        <w:rPr>
          <w:rFonts w:hint="eastAsia" w:ascii="仿宋" w:hAnsi="仿宋" w:eastAsia="仿宋"/>
          <w:kern w:val="0"/>
          <w:sz w:val="30"/>
          <w:szCs w:val="30"/>
        </w:rPr>
        <w:t>年度</w:t>
      </w:r>
      <w:r>
        <w:rPr>
          <w:rFonts w:hint="eastAsia" w:ascii="仿宋" w:hAnsi="仿宋" w:eastAsia="仿宋"/>
          <w:kern w:val="0"/>
          <w:sz w:val="30"/>
          <w:szCs w:val="30"/>
          <w:lang w:eastAsia="zh-CN"/>
        </w:rPr>
        <w:t>部门</w:t>
      </w:r>
      <w:r>
        <w:rPr>
          <w:rFonts w:hint="eastAsia" w:ascii="仿宋" w:hAnsi="仿宋" w:eastAsia="仿宋"/>
          <w:kern w:val="0"/>
          <w:sz w:val="30"/>
          <w:szCs w:val="30"/>
        </w:rPr>
        <w:t>整体支出绩效评价基础数据表</w:t>
      </w:r>
    </w:p>
    <w:p>
      <w:pPr>
        <w:ind w:firstLine="600" w:firstLineChars="200"/>
        <w:rPr>
          <w:rFonts w:ascii="仿宋" w:hAnsi="仿宋" w:eastAsia="仿宋"/>
          <w:kern w:val="0"/>
          <w:sz w:val="30"/>
          <w:szCs w:val="30"/>
        </w:rPr>
      </w:pPr>
      <w:r>
        <w:rPr>
          <w:rFonts w:hint="eastAsia" w:ascii="仿宋" w:hAnsi="仿宋" w:eastAsia="仿宋"/>
          <w:kern w:val="0"/>
          <w:sz w:val="30"/>
          <w:szCs w:val="30"/>
        </w:rPr>
        <w:t>附件</w:t>
      </w:r>
      <w:r>
        <w:rPr>
          <w:rFonts w:ascii="仿宋" w:hAnsi="仿宋" w:eastAsia="仿宋"/>
          <w:kern w:val="0"/>
          <w:sz w:val="30"/>
          <w:szCs w:val="30"/>
        </w:rPr>
        <w:t>2</w:t>
      </w:r>
      <w:r>
        <w:rPr>
          <w:rFonts w:hint="eastAsia" w:ascii="仿宋" w:hAnsi="仿宋" w:eastAsia="仿宋"/>
          <w:kern w:val="0"/>
          <w:sz w:val="30"/>
          <w:szCs w:val="30"/>
        </w:rPr>
        <w:t>：202</w:t>
      </w:r>
      <w:r>
        <w:rPr>
          <w:rFonts w:hint="eastAsia" w:ascii="仿宋" w:hAnsi="仿宋" w:eastAsia="仿宋"/>
          <w:kern w:val="0"/>
          <w:sz w:val="30"/>
          <w:szCs w:val="30"/>
          <w:lang w:val="en-US" w:eastAsia="zh-CN"/>
        </w:rPr>
        <w:t>3</w:t>
      </w:r>
      <w:r>
        <w:rPr>
          <w:rFonts w:hint="eastAsia" w:ascii="仿宋" w:hAnsi="仿宋" w:eastAsia="仿宋"/>
          <w:kern w:val="0"/>
          <w:sz w:val="30"/>
          <w:szCs w:val="30"/>
        </w:rPr>
        <w:t>年度</w:t>
      </w:r>
      <w:r>
        <w:rPr>
          <w:rFonts w:hint="eastAsia" w:ascii="仿宋" w:hAnsi="仿宋" w:eastAsia="仿宋"/>
          <w:kern w:val="0"/>
          <w:sz w:val="30"/>
          <w:szCs w:val="30"/>
          <w:lang w:eastAsia="zh-CN"/>
        </w:rPr>
        <w:t>部门</w:t>
      </w:r>
      <w:r>
        <w:rPr>
          <w:rFonts w:hint="eastAsia" w:ascii="仿宋" w:hAnsi="仿宋" w:eastAsia="仿宋"/>
          <w:kern w:val="0"/>
          <w:sz w:val="30"/>
          <w:szCs w:val="30"/>
        </w:rPr>
        <w:t>整体支出绩效自评表</w:t>
      </w:r>
    </w:p>
    <w:p>
      <w:pPr>
        <w:pStyle w:val="12"/>
        <w:jc w:val="center"/>
        <w:rPr>
          <w:rFonts w:hint="eastAsia" w:ascii="仿宋_GB2312" w:hAnsi="仿宋_GB2312" w:eastAsia="仿宋_GB2312" w:cs="仿宋_GB2312"/>
          <w:sz w:val="30"/>
          <w:szCs w:val="30"/>
        </w:rPr>
      </w:pPr>
    </w:p>
    <w:p>
      <w:pPr>
        <w:pStyle w:val="12"/>
        <w:jc w:val="center"/>
        <w:rPr>
          <w:rFonts w:hint="eastAsia" w:ascii="仿宋_GB2312" w:hAnsi="仿宋_GB2312" w:eastAsia="仿宋_GB2312" w:cs="仿宋_GB2312"/>
          <w:sz w:val="32"/>
          <w:szCs w:val="32"/>
        </w:rPr>
      </w:pPr>
    </w:p>
    <w:p>
      <w:pPr>
        <w:pStyle w:val="12"/>
        <w:jc w:val="center"/>
        <w:rPr>
          <w:rFonts w:hint="eastAsia" w:ascii="仿宋_GB2312" w:hAnsi="仿宋_GB2312" w:eastAsia="仿宋_GB2312" w:cs="仿宋_GB2312"/>
          <w:sz w:val="32"/>
          <w:szCs w:val="32"/>
        </w:rPr>
      </w:pPr>
    </w:p>
    <w:p>
      <w:pPr>
        <w:pStyle w:val="12"/>
        <w:jc w:val="center"/>
        <w:rPr>
          <w:rFonts w:hint="eastAsia" w:ascii="仿宋_GB2312" w:hAnsi="仿宋_GB2312" w:eastAsia="仿宋_GB2312" w:cs="仿宋_GB2312"/>
          <w:sz w:val="32"/>
          <w:szCs w:val="32"/>
        </w:rPr>
      </w:pPr>
    </w:p>
    <w:p>
      <w:pPr>
        <w:pStyle w:val="12"/>
        <w:jc w:val="center"/>
        <w:rPr>
          <w:rFonts w:hint="eastAsia" w:ascii="仿宋_GB2312" w:hAnsi="仿宋_GB2312" w:eastAsia="仿宋_GB2312" w:cs="仿宋_GB2312"/>
          <w:sz w:val="32"/>
          <w:szCs w:val="32"/>
        </w:rPr>
      </w:pPr>
    </w:p>
    <w:p>
      <w:pPr>
        <w:ind w:firstLine="600" w:firstLineChars="200"/>
        <w:rPr>
          <w:rFonts w:hint="eastAsia" w:ascii="仿宋" w:hAnsi="仿宋" w:eastAsia="仿宋"/>
          <w:kern w:val="0"/>
          <w:sz w:val="30"/>
        </w:rPr>
      </w:pPr>
      <w:r>
        <w:rPr>
          <w:rFonts w:hint="eastAsia" w:ascii="仿宋" w:hAnsi="仿宋" w:eastAsia="仿宋"/>
          <w:kern w:val="0"/>
          <w:sz w:val="30"/>
        </w:rPr>
        <w:t>附件1</w:t>
      </w:r>
    </w:p>
    <w:p>
      <w:pPr>
        <w:pStyle w:val="2"/>
      </w:pP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r>
        <w:rPr>
          <w:rFonts w:eastAsia="方正小标宋简体"/>
          <w:color w:val="000000"/>
          <w:sz w:val="36"/>
          <w:szCs w:val="36"/>
        </w:rPr>
        <w:t>2023年度部门整体支出绩效评价基础数据表</w:t>
      </w:r>
    </w:p>
    <w:tbl>
      <w:tblPr>
        <w:tblStyle w:val="8"/>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sz w:val="20"/>
                <w:szCs w:val="20"/>
              </w:rPr>
              <w:t>　</w:t>
            </w:r>
            <w:r>
              <w:rPr>
                <w:rFonts w:hint="eastAsia"/>
                <w:sz w:val="20"/>
                <w:szCs w:val="20"/>
                <w:lang w:val="en-US" w:eastAsia="zh-CN"/>
              </w:rPr>
              <w:t>17</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12</w:t>
            </w:r>
            <w:r>
              <w:rPr>
                <w:sz w:val="20"/>
                <w:szCs w:val="20"/>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70.59%</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2022年决算数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0.37</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0.11</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0.37</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0.6</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0.11</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29.34</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87.16</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58.68</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25.34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81.16</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58.68</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3、省级专项资金（每个专项一行）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4</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6</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3.1现代农业农村发展专项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26.28</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27.26</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25.29</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1.18</w:t>
            </w:r>
            <w:r>
              <w:rPr>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0.5</w:t>
            </w:r>
            <w:r>
              <w:rPr>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0.5</w:t>
            </w:r>
            <w:r>
              <w:rPr>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w:t>
            </w:r>
            <w:r>
              <w:rPr>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0.5</w:t>
            </w:r>
            <w:r>
              <w:rPr>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0.5</w:t>
            </w:r>
            <w:r>
              <w:rPr>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w:t>
            </w:r>
            <w:r>
              <w:rPr>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w:t>
            </w:r>
            <w:r>
              <w:rPr>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w:t>
            </w:r>
            <w:r>
              <w:rPr>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13.43</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楼堂馆所控制情况</w:t>
            </w:r>
            <w:r>
              <w:rPr>
                <w:sz w:val="20"/>
                <w:szCs w:val="20"/>
              </w:rPr>
              <w:br w:type="textWrapping"/>
            </w:r>
            <w:r>
              <w:rPr>
                <w:sz w:val="20"/>
                <w:szCs w:val="20"/>
              </w:rPr>
              <w:t>（2023年完工项目）</w:t>
            </w: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批复规模</w:t>
            </w:r>
            <w:r>
              <w:rPr>
                <w:bCs/>
                <w:sz w:val="20"/>
                <w:szCs w:val="20"/>
              </w:rPr>
              <w:br w:type="textWrapping"/>
            </w:r>
            <w:r>
              <w:rPr>
                <w:bCs/>
                <w:sz w:val="20"/>
                <w:szCs w:val="20"/>
              </w:rPr>
              <w:t>（</w:t>
            </w:r>
            <w:r>
              <w:rPr>
                <w:rFonts w:eastAsia="宋体"/>
                <w:bCs/>
                <w:sz w:val="20"/>
                <w:szCs w:val="20"/>
              </w:rPr>
              <w:t>㎡</w:t>
            </w:r>
            <w:r>
              <w:rPr>
                <w:bCs/>
                <w:sz w:val="20"/>
                <w:szCs w:val="20"/>
              </w:rPr>
              <w:t>）</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实际规模（</w:t>
            </w:r>
            <w:r>
              <w:rPr>
                <w:rFonts w:eastAsia="宋体"/>
                <w:bCs/>
                <w:sz w:val="20"/>
                <w:szCs w:val="20"/>
              </w:rPr>
              <w:t>㎡</w:t>
            </w:r>
            <w:r>
              <w:rPr>
                <w:bCs/>
                <w:sz w:val="20"/>
                <w:szCs w:val="20"/>
              </w:rPr>
              <w:t>）</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left"/>
              <w:textAlignment w:val="center"/>
              <w:rPr>
                <w:sz w:val="20"/>
                <w:szCs w:val="20"/>
              </w:rPr>
            </w:pPr>
            <w:r>
              <w:rPr>
                <w:rFonts w:hint="eastAsia"/>
                <w:sz w:val="20"/>
                <w:szCs w:val="20"/>
                <w:lang w:val="en-US" w:eastAsia="zh-CN"/>
              </w:rPr>
              <w:t>加强公用经费管理，推行无纸化办公，控制出差人数和会议规模，不安排没有实际意义的公务和会议活动。</w:t>
            </w:r>
          </w:p>
        </w:tc>
      </w:tr>
    </w:tbl>
    <w:p>
      <w:pPr>
        <w:widowControl/>
        <w:adjustRightInd/>
        <w:snapToGrid/>
        <w:spacing w:line="400" w:lineRule="exact"/>
        <w:ind w:firstLine="0" w:firstLineChars="0"/>
        <w:jc w:val="left"/>
        <w:rPr>
          <w:sz w:val="22"/>
        </w:rPr>
      </w:pPr>
      <w:r>
        <w:rPr>
          <w:sz w:val="22"/>
        </w:rPr>
        <w:t>说明：“项目支出”需要填报基本支出以外的所有项目支出情况，“公用经费”填报基本支出中的一般商品和服务支出。</w:t>
      </w:r>
    </w:p>
    <w:p>
      <w:pPr>
        <w:pStyle w:val="12"/>
        <w:jc w:val="center"/>
        <w:rPr>
          <w:rFonts w:hint="eastAsia" w:ascii="仿宋_GB2312" w:hAnsi="仿宋_GB2312" w:eastAsia="仿宋_GB2312" w:cs="仿宋_GB2312"/>
          <w:sz w:val="32"/>
          <w:szCs w:val="32"/>
        </w:rPr>
      </w:pPr>
    </w:p>
    <w:p>
      <w:pPr>
        <w:pStyle w:val="12"/>
        <w:jc w:val="center"/>
        <w:rPr>
          <w:sz w:val="32"/>
          <w:szCs w:val="32"/>
        </w:rPr>
      </w:pPr>
    </w:p>
    <w:p>
      <w:pPr>
        <w:jc w:val="left"/>
        <w:rPr>
          <w:rFonts w:cs="黑体" w:asciiTheme="minorEastAsia" w:hAnsiTheme="minorEastAsia"/>
          <w:color w:val="000000"/>
          <w:kern w:val="0"/>
          <w:sz w:val="32"/>
          <w:szCs w:val="32"/>
        </w:rPr>
      </w:pPr>
    </w:p>
    <w:p>
      <w:pPr>
        <w:pStyle w:val="2"/>
        <w:rPr>
          <w:rFonts w:cs="黑体" w:asciiTheme="minorEastAsia" w:hAnsiTheme="minorEastAsia"/>
          <w:color w:val="000000"/>
          <w:kern w:val="0"/>
          <w:sz w:val="32"/>
          <w:szCs w:val="32"/>
        </w:rPr>
      </w:pPr>
    </w:p>
    <w:p>
      <w:pPr>
        <w:ind w:firstLine="600" w:firstLineChars="200"/>
        <w:rPr>
          <w:rFonts w:hint="eastAsia" w:eastAsia="仿宋" w:cs="黑体" w:asciiTheme="minorEastAsia" w:hAnsiTheme="minorEastAsia"/>
          <w:color w:val="000000"/>
          <w:kern w:val="0"/>
          <w:sz w:val="32"/>
          <w:szCs w:val="32"/>
          <w:lang w:val="en-US" w:eastAsia="zh-CN"/>
        </w:rPr>
      </w:pPr>
      <w:r>
        <w:rPr>
          <w:rFonts w:hint="eastAsia" w:ascii="仿宋" w:hAnsi="仿宋" w:eastAsia="仿宋"/>
          <w:kern w:val="0"/>
          <w:sz w:val="30"/>
        </w:rPr>
        <w:t>附件</w:t>
      </w:r>
      <w:r>
        <w:rPr>
          <w:rFonts w:hint="eastAsia" w:ascii="仿宋" w:hAnsi="仿宋" w:eastAsia="仿宋"/>
          <w:kern w:val="0"/>
          <w:sz w:val="30"/>
          <w:lang w:val="en-US" w:eastAsia="zh-CN"/>
        </w:rPr>
        <w:t>2</w:t>
      </w: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r>
        <w:rPr>
          <w:rFonts w:eastAsia="方正小标宋简体"/>
          <w:color w:val="000000"/>
          <w:sz w:val="36"/>
          <w:szCs w:val="36"/>
        </w:rPr>
        <w:t>2023年度部门整体支出绩效自评表</w:t>
      </w:r>
    </w:p>
    <w:tbl>
      <w:tblPr>
        <w:tblStyle w:val="8"/>
        <w:tblW w:w="10202" w:type="dxa"/>
        <w:jc w:val="center"/>
        <w:tblInd w:w="0" w:type="dxa"/>
        <w:tblLayout w:type="fixed"/>
        <w:tblCellMar>
          <w:top w:w="0" w:type="dxa"/>
          <w:left w:w="108" w:type="dxa"/>
          <w:bottom w:w="0" w:type="dxa"/>
          <w:right w:w="108" w:type="dxa"/>
        </w:tblCellMar>
      </w:tblPr>
      <w:tblGrid>
        <w:gridCol w:w="1078"/>
        <w:gridCol w:w="1078"/>
        <w:gridCol w:w="1031"/>
        <w:gridCol w:w="1267"/>
        <w:gridCol w:w="1308"/>
        <w:gridCol w:w="1192"/>
        <w:gridCol w:w="811"/>
        <w:gridCol w:w="995"/>
        <w:gridCol w:w="1442"/>
      </w:tblGrid>
      <w:tr>
        <w:tblPrEx>
          <w:tblLayout w:type="fixed"/>
          <w:tblCellMar>
            <w:top w:w="0" w:type="dxa"/>
            <w:left w:w="108" w:type="dxa"/>
            <w:bottom w:w="0" w:type="dxa"/>
            <w:right w:w="108" w:type="dxa"/>
          </w:tblCellMar>
        </w:tblPrEx>
        <w:trPr>
          <w:jc w:val="center"/>
        </w:trPr>
        <w:tc>
          <w:tcPr>
            <w:tcW w:w="3187"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省级预算部门、单位名称</w:t>
            </w:r>
          </w:p>
        </w:tc>
        <w:tc>
          <w:tcPr>
            <w:tcW w:w="7015" w:type="dxa"/>
            <w:gridSpan w:val="6"/>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val="en-US" w:eastAsia="zh-CN"/>
              </w:rPr>
            </w:pPr>
            <w:r>
              <w:rPr>
                <w:color w:val="000000"/>
                <w:sz w:val="20"/>
                <w:szCs w:val="20"/>
              </w:rPr>
              <w:t>　</w:t>
            </w:r>
            <w:r>
              <w:rPr>
                <w:rFonts w:hint="eastAsia"/>
                <w:color w:val="000000"/>
                <w:sz w:val="20"/>
                <w:szCs w:val="20"/>
                <w:lang w:eastAsia="zh-CN"/>
              </w:rPr>
              <w:t>湖南省农情分析研究中心</w:t>
            </w:r>
          </w:p>
        </w:tc>
      </w:tr>
      <w:tr>
        <w:tblPrEx>
          <w:tblLayout w:type="fixed"/>
          <w:tblCellMar>
            <w:top w:w="0" w:type="dxa"/>
            <w:left w:w="108" w:type="dxa"/>
            <w:bottom w:w="0" w:type="dxa"/>
            <w:right w:w="108" w:type="dxa"/>
          </w:tblCellMar>
        </w:tblPrEx>
        <w:trPr>
          <w:jc w:val="center"/>
        </w:trPr>
        <w:tc>
          <w:tcPr>
            <w:tcW w:w="1078" w:type="dxa"/>
            <w:vMerge w:val="restart"/>
            <w:tcBorders>
              <w:top w:val="nil"/>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年度预</w:t>
            </w:r>
          </w:p>
          <w:p>
            <w:pPr>
              <w:widowControl/>
              <w:adjustRightInd/>
              <w:snapToGrid/>
              <w:spacing w:line="240" w:lineRule="exact"/>
              <w:ind w:firstLine="0" w:firstLineChars="0"/>
              <w:jc w:val="center"/>
              <w:rPr>
                <w:color w:val="000000"/>
                <w:sz w:val="20"/>
                <w:szCs w:val="20"/>
              </w:rPr>
            </w:pPr>
            <w:r>
              <w:rPr>
                <w:color w:val="000000"/>
                <w:sz w:val="20"/>
                <w:szCs w:val="20"/>
              </w:rPr>
              <w:t>算申请</w:t>
            </w:r>
            <w:r>
              <w:rPr>
                <w:color w:val="000000"/>
                <w:sz w:val="20"/>
                <w:szCs w:val="20"/>
              </w:rPr>
              <w:br w:type="textWrapping"/>
            </w:r>
            <w:r>
              <w:rPr>
                <w:color w:val="000000"/>
                <w:sz w:val="20"/>
                <w:szCs w:val="20"/>
              </w:rPr>
              <w:t>（万元）</w:t>
            </w:r>
          </w:p>
        </w:tc>
        <w:tc>
          <w:tcPr>
            <w:tcW w:w="2109" w:type="dxa"/>
            <w:gridSpan w:val="2"/>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p>
        </w:tc>
        <w:tc>
          <w:tcPr>
            <w:tcW w:w="1267"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年初预算数</w:t>
            </w:r>
          </w:p>
        </w:tc>
        <w:tc>
          <w:tcPr>
            <w:tcW w:w="1308"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全年预算数</w:t>
            </w:r>
          </w:p>
        </w:tc>
        <w:tc>
          <w:tcPr>
            <w:tcW w:w="1192"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全年执行数</w:t>
            </w:r>
          </w:p>
        </w:tc>
        <w:tc>
          <w:tcPr>
            <w:tcW w:w="811"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分值</w:t>
            </w:r>
          </w:p>
        </w:tc>
        <w:tc>
          <w:tcPr>
            <w:tcW w:w="995"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执行率</w:t>
            </w:r>
          </w:p>
        </w:tc>
        <w:tc>
          <w:tcPr>
            <w:tcW w:w="1442"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自评得分</w:t>
            </w:r>
          </w:p>
        </w:tc>
      </w:tr>
      <w:tr>
        <w:tblPrEx>
          <w:tblLayout w:type="fixed"/>
          <w:tblCellMar>
            <w:top w:w="0" w:type="dxa"/>
            <w:left w:w="108" w:type="dxa"/>
            <w:bottom w:w="0" w:type="dxa"/>
            <w:right w:w="108" w:type="dxa"/>
          </w:tblCellMar>
        </w:tblPrEx>
        <w:trPr>
          <w:jc w:val="center"/>
        </w:trPr>
        <w:tc>
          <w:tcPr>
            <w:tcW w:w="1078" w:type="dxa"/>
            <w:vMerge w:val="continue"/>
            <w:tcBorders>
              <w:top w:val="nil"/>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2109" w:type="dxa"/>
            <w:gridSpan w:val="2"/>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color w:val="000000"/>
                <w:sz w:val="20"/>
                <w:szCs w:val="20"/>
              </w:rPr>
              <w:t>年度资金总额</w:t>
            </w:r>
          </w:p>
        </w:tc>
        <w:tc>
          <w:tcPr>
            <w:tcW w:w="1267"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default" w:eastAsia="仿宋_GB2312"/>
                <w:sz w:val="20"/>
                <w:szCs w:val="20"/>
                <w:lang w:val="en-US" w:eastAsia="zh-CN"/>
              </w:rPr>
            </w:pPr>
            <w:r>
              <w:rPr>
                <w:rFonts w:hint="eastAsia"/>
                <w:sz w:val="20"/>
                <w:szCs w:val="20"/>
                <w:lang w:val="en-US" w:eastAsia="zh-CN"/>
              </w:rPr>
              <w:t>261.47</w:t>
            </w:r>
          </w:p>
        </w:tc>
        <w:tc>
          <w:tcPr>
            <w:tcW w:w="1308"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default" w:eastAsia="仿宋_GB2312"/>
                <w:sz w:val="20"/>
                <w:szCs w:val="20"/>
                <w:lang w:val="en-US" w:eastAsia="zh-CN"/>
              </w:rPr>
            </w:pPr>
            <w:r>
              <w:rPr>
                <w:rFonts w:hint="eastAsia"/>
                <w:sz w:val="20"/>
                <w:szCs w:val="20"/>
                <w:lang w:val="en-US" w:eastAsia="zh-CN"/>
              </w:rPr>
              <w:t>433.29</w:t>
            </w:r>
          </w:p>
        </w:tc>
        <w:tc>
          <w:tcPr>
            <w:tcW w:w="1192"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rFonts w:hint="eastAsia"/>
                <w:sz w:val="20"/>
                <w:szCs w:val="20"/>
                <w:lang w:val="en-US" w:eastAsia="zh-CN"/>
              </w:rPr>
              <w:t>404.22</w:t>
            </w:r>
          </w:p>
        </w:tc>
        <w:tc>
          <w:tcPr>
            <w:tcW w:w="811"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b/>
                <w:bCs/>
                <w:sz w:val="20"/>
                <w:szCs w:val="20"/>
              </w:rPr>
              <w:t>10</w:t>
            </w:r>
          </w:p>
        </w:tc>
        <w:tc>
          <w:tcPr>
            <w:tcW w:w="995"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default" w:eastAsia="仿宋_GB2312"/>
                <w:sz w:val="20"/>
                <w:szCs w:val="20"/>
                <w:lang w:val="en-US" w:eastAsia="zh-CN"/>
              </w:rPr>
            </w:pPr>
            <w:r>
              <w:rPr>
                <w:rFonts w:hint="eastAsia"/>
                <w:sz w:val="20"/>
                <w:szCs w:val="20"/>
                <w:lang w:val="en-US" w:eastAsia="zh-CN"/>
              </w:rPr>
              <w:t>93.29%</w:t>
            </w:r>
          </w:p>
        </w:tc>
        <w:tc>
          <w:tcPr>
            <w:tcW w:w="1442"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default" w:eastAsia="仿宋_GB2312"/>
                <w:sz w:val="20"/>
                <w:szCs w:val="20"/>
                <w:lang w:val="en-US" w:eastAsia="zh-CN"/>
              </w:rPr>
            </w:pPr>
            <w:r>
              <w:rPr>
                <w:rFonts w:hint="eastAsia"/>
                <w:sz w:val="20"/>
                <w:szCs w:val="20"/>
                <w:lang w:val="en-US" w:eastAsia="zh-CN"/>
              </w:rPr>
              <w:t>9.33</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68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按收入性质分：</w:t>
            </w:r>
          </w:p>
        </w:tc>
        <w:tc>
          <w:tcPr>
            <w:tcW w:w="4440"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按支出性质分：</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68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xml:space="preserve">  其中：  一般公共预算：</w:t>
            </w:r>
            <w:r>
              <w:rPr>
                <w:rFonts w:hint="eastAsia"/>
                <w:color w:val="000000"/>
                <w:sz w:val="20"/>
                <w:szCs w:val="20"/>
                <w:lang w:val="en-US" w:eastAsia="zh-CN"/>
              </w:rPr>
              <w:t>360.02</w:t>
            </w:r>
          </w:p>
        </w:tc>
        <w:tc>
          <w:tcPr>
            <w:tcW w:w="4440"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其中：基本支出：</w:t>
            </w:r>
            <w:r>
              <w:rPr>
                <w:rFonts w:hint="eastAsia"/>
                <w:color w:val="000000"/>
                <w:sz w:val="20"/>
                <w:szCs w:val="20"/>
                <w:lang w:val="en-US" w:eastAsia="zh-CN"/>
              </w:rPr>
              <w:t>345.54</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68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政府性基金拨款：</w:t>
            </w:r>
            <w:r>
              <w:rPr>
                <w:rFonts w:hint="eastAsia"/>
                <w:color w:val="000000"/>
                <w:sz w:val="20"/>
                <w:szCs w:val="20"/>
                <w:lang w:val="en-US" w:eastAsia="zh-CN"/>
              </w:rPr>
              <w:t>0</w:t>
            </w:r>
          </w:p>
        </w:tc>
        <w:tc>
          <w:tcPr>
            <w:tcW w:w="4440"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项目支出：</w:t>
            </w:r>
            <w:r>
              <w:rPr>
                <w:rFonts w:hint="eastAsia"/>
                <w:color w:val="000000"/>
                <w:sz w:val="20"/>
                <w:szCs w:val="20"/>
                <w:lang w:val="en-US" w:eastAsia="zh-CN"/>
              </w:rPr>
              <w:t>58.68</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68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纳入专户管理的非税收入拨款：</w:t>
            </w:r>
            <w:r>
              <w:rPr>
                <w:rFonts w:hint="eastAsia"/>
                <w:color w:val="000000"/>
                <w:sz w:val="20"/>
                <w:szCs w:val="20"/>
                <w:lang w:val="en-US" w:eastAsia="zh-CN"/>
              </w:rPr>
              <w:t>0</w:t>
            </w:r>
          </w:p>
        </w:tc>
        <w:tc>
          <w:tcPr>
            <w:tcW w:w="4440"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bottom w:val="single" w:color="000000"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68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其他资金：</w:t>
            </w:r>
            <w:r>
              <w:rPr>
                <w:rFonts w:hint="eastAsia"/>
                <w:color w:val="000000"/>
                <w:sz w:val="20"/>
                <w:szCs w:val="20"/>
                <w:lang w:val="en-US" w:eastAsia="zh-CN"/>
              </w:rPr>
              <w:t>73.27</w:t>
            </w:r>
          </w:p>
        </w:tc>
        <w:tc>
          <w:tcPr>
            <w:tcW w:w="4440"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r>
      <w:tr>
        <w:tblPrEx>
          <w:tblLayout w:type="fixed"/>
          <w:tblCellMar>
            <w:top w:w="0" w:type="dxa"/>
            <w:left w:w="108" w:type="dxa"/>
            <w:bottom w:w="0" w:type="dxa"/>
            <w:right w:w="108" w:type="dxa"/>
          </w:tblCellMar>
        </w:tblPrEx>
        <w:trPr>
          <w:jc w:val="center"/>
        </w:trPr>
        <w:tc>
          <w:tcPr>
            <w:tcW w:w="1078" w:type="dxa"/>
            <w:vMerge w:val="restart"/>
            <w:tcBorders>
              <w:top w:val="nil"/>
              <w:left w:val="single" w:color="auto" w:sz="4" w:space="0"/>
              <w:bottom w:val="single" w:color="000000"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年度总体目标</w:t>
            </w:r>
          </w:p>
        </w:tc>
        <w:tc>
          <w:tcPr>
            <w:tcW w:w="4684" w:type="dxa"/>
            <w:gridSpan w:val="4"/>
            <w:tcBorders>
              <w:top w:val="single" w:color="auto" w:sz="4" w:space="0"/>
              <w:left w:val="nil"/>
              <w:bottom w:val="single" w:color="auto" w:sz="4" w:space="0"/>
              <w:right w:val="single" w:color="000000"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预期目标</w:t>
            </w:r>
          </w:p>
        </w:tc>
        <w:tc>
          <w:tcPr>
            <w:tcW w:w="4440" w:type="dxa"/>
            <w:gridSpan w:val="4"/>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684" w:type="dxa"/>
            <w:gridSpan w:val="4"/>
            <w:tcBorders>
              <w:top w:val="single" w:color="auto" w:sz="4" w:space="0"/>
              <w:left w:val="nil"/>
              <w:bottom w:val="single" w:color="auto" w:sz="4" w:space="0"/>
              <w:right w:val="single" w:color="000000" w:sz="4" w:space="0"/>
            </w:tcBorders>
            <w:noWrap w:val="0"/>
            <w:vAlign w:val="center"/>
          </w:tcPr>
          <w:p>
            <w:pPr>
              <w:widowControl/>
              <w:numPr>
                <w:ilvl w:val="0"/>
                <w:numId w:val="0"/>
              </w:numPr>
              <w:adjustRightInd/>
              <w:snapToGrid/>
              <w:spacing w:line="240" w:lineRule="exact"/>
              <w:jc w:val="both"/>
              <w:rPr>
                <w:rFonts w:hint="eastAsia"/>
                <w:color w:val="000000"/>
                <w:sz w:val="20"/>
                <w:szCs w:val="20"/>
                <w:lang w:val="en-US" w:eastAsia="zh-CN"/>
              </w:rPr>
            </w:pPr>
            <w:r>
              <w:rPr>
                <w:rFonts w:hint="eastAsia"/>
                <w:color w:val="000000"/>
                <w:sz w:val="20"/>
                <w:szCs w:val="20"/>
                <w:lang w:val="en-US" w:eastAsia="zh-CN"/>
              </w:rPr>
              <w:t>1.加强农情体系建设，充分开展农情基点县工作调研，扩增农情调度范畴，在农情数据调度上更有作为，切实为厅领导决策做好参谋；</w:t>
            </w:r>
          </w:p>
          <w:p>
            <w:pPr>
              <w:widowControl/>
              <w:numPr>
                <w:ilvl w:val="0"/>
                <w:numId w:val="0"/>
              </w:numPr>
              <w:adjustRightInd/>
              <w:snapToGrid/>
              <w:spacing w:line="240" w:lineRule="exact"/>
              <w:jc w:val="both"/>
              <w:rPr>
                <w:rFonts w:hint="eastAsia"/>
                <w:color w:val="000000"/>
                <w:sz w:val="20"/>
                <w:szCs w:val="20"/>
                <w:lang w:val="en-US" w:eastAsia="zh-CN"/>
              </w:rPr>
            </w:pPr>
            <w:r>
              <w:rPr>
                <w:rFonts w:hint="eastAsia"/>
                <w:color w:val="000000"/>
                <w:sz w:val="20"/>
                <w:szCs w:val="20"/>
                <w:lang w:val="en-US" w:eastAsia="zh-CN"/>
              </w:rPr>
              <w:t>2.加强30个部属农情基点县田间定点数据的采集，提升农情信息员队伍素质；</w:t>
            </w:r>
          </w:p>
          <w:p>
            <w:pPr>
              <w:widowControl/>
              <w:numPr>
                <w:ilvl w:val="0"/>
                <w:numId w:val="0"/>
              </w:numPr>
              <w:adjustRightInd/>
              <w:snapToGrid/>
              <w:spacing w:line="240" w:lineRule="exact"/>
              <w:jc w:val="both"/>
              <w:rPr>
                <w:rFonts w:hint="eastAsia"/>
                <w:color w:val="000000"/>
                <w:sz w:val="20"/>
                <w:szCs w:val="20"/>
                <w:lang w:val="en-US" w:eastAsia="zh-CN"/>
              </w:rPr>
            </w:pPr>
            <w:r>
              <w:rPr>
                <w:rFonts w:hint="eastAsia"/>
                <w:color w:val="000000"/>
                <w:sz w:val="20"/>
                <w:szCs w:val="20"/>
                <w:lang w:val="en-US" w:eastAsia="zh-CN"/>
              </w:rPr>
              <w:t>3.认真做好农业农村经济形势分析，编撰好农业农村统计资料和《湖南年鉴》农业农村部分；</w:t>
            </w:r>
          </w:p>
          <w:p>
            <w:pPr>
              <w:widowControl/>
              <w:numPr>
                <w:ilvl w:val="0"/>
                <w:numId w:val="0"/>
              </w:numPr>
              <w:adjustRightInd/>
              <w:snapToGrid/>
              <w:spacing w:line="240" w:lineRule="exact"/>
              <w:jc w:val="both"/>
              <w:rPr>
                <w:rFonts w:hint="eastAsia"/>
                <w:color w:val="000000"/>
                <w:sz w:val="20"/>
                <w:szCs w:val="20"/>
                <w:lang w:val="en-US" w:eastAsia="zh-CN"/>
              </w:rPr>
            </w:pPr>
            <w:r>
              <w:rPr>
                <w:rFonts w:hint="eastAsia"/>
                <w:color w:val="000000"/>
                <w:sz w:val="20"/>
                <w:szCs w:val="20"/>
                <w:lang w:val="en-US" w:eastAsia="zh-CN"/>
              </w:rPr>
              <w:t>4.开展农业农村综合调研，督促落实集中育秧任务，帮助解决实际问题，确保早稻面积任务落实；</w:t>
            </w:r>
          </w:p>
          <w:p>
            <w:pPr>
              <w:widowControl/>
              <w:numPr>
                <w:ilvl w:val="0"/>
                <w:numId w:val="0"/>
              </w:numPr>
              <w:adjustRightInd/>
              <w:snapToGrid/>
              <w:spacing w:line="240" w:lineRule="exact"/>
              <w:jc w:val="both"/>
              <w:rPr>
                <w:rFonts w:hint="default"/>
                <w:color w:val="000000"/>
                <w:sz w:val="20"/>
                <w:szCs w:val="20"/>
                <w:lang w:val="en-US" w:eastAsia="zh-CN"/>
              </w:rPr>
            </w:pPr>
            <w:r>
              <w:rPr>
                <w:rFonts w:hint="eastAsia"/>
                <w:color w:val="000000"/>
                <w:sz w:val="20"/>
                <w:szCs w:val="20"/>
                <w:lang w:val="en-US" w:eastAsia="zh-CN"/>
              </w:rPr>
              <w:t>5.迅速及时统计调度灾情，为抗灾救灾指导提供保障。</w:t>
            </w:r>
          </w:p>
        </w:tc>
        <w:tc>
          <w:tcPr>
            <w:tcW w:w="4440" w:type="dxa"/>
            <w:gridSpan w:val="4"/>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20"/>
                <w:szCs w:val="20"/>
                <w:lang w:val="en-US" w:eastAsia="zh-CN"/>
              </w:rPr>
            </w:pPr>
            <w:r>
              <w:rPr>
                <w:rFonts w:hint="eastAsia"/>
                <w:color w:val="000000"/>
                <w:sz w:val="20"/>
                <w:szCs w:val="20"/>
                <w:lang w:val="en-US" w:eastAsia="zh-CN"/>
              </w:rPr>
              <w:t>1、精准完成农情日调度表格填报，完成各类农情信息报送，会同气象、统计、国调等部门开展了重要农作物产量预测分析；</w:t>
            </w:r>
          </w:p>
          <w:p>
            <w:pPr>
              <w:widowControl/>
              <w:adjustRightInd/>
              <w:snapToGrid/>
              <w:spacing w:line="240" w:lineRule="exact"/>
              <w:ind w:firstLine="0" w:firstLineChars="0"/>
              <w:jc w:val="left"/>
              <w:rPr>
                <w:rFonts w:hint="eastAsia"/>
                <w:color w:val="000000"/>
                <w:sz w:val="20"/>
                <w:szCs w:val="20"/>
                <w:lang w:val="en-US" w:eastAsia="zh-CN"/>
              </w:rPr>
            </w:pPr>
            <w:r>
              <w:rPr>
                <w:rFonts w:hint="eastAsia"/>
                <w:color w:val="000000"/>
                <w:sz w:val="20"/>
                <w:szCs w:val="20"/>
                <w:lang w:val="en-US" w:eastAsia="zh-CN"/>
              </w:rPr>
              <w:t>2、强化农情队伍建设，加强市州农情队伍沟通交流，工作能力有效提升；</w:t>
            </w:r>
          </w:p>
          <w:p>
            <w:pPr>
              <w:widowControl/>
              <w:adjustRightInd/>
              <w:snapToGrid/>
              <w:spacing w:line="240" w:lineRule="exact"/>
              <w:ind w:firstLine="0" w:firstLineChars="0"/>
              <w:jc w:val="left"/>
              <w:rPr>
                <w:rFonts w:hint="eastAsia"/>
                <w:color w:val="000000"/>
                <w:sz w:val="20"/>
                <w:szCs w:val="20"/>
                <w:lang w:val="en-US" w:eastAsia="zh-CN"/>
              </w:rPr>
            </w:pPr>
            <w:r>
              <w:rPr>
                <w:rFonts w:hint="eastAsia"/>
                <w:color w:val="000000"/>
                <w:sz w:val="20"/>
                <w:szCs w:val="20"/>
                <w:lang w:val="en-US" w:eastAsia="zh-CN"/>
              </w:rPr>
              <w:t>3、高水品完成每季度农业农村经济形势分析报告，供厅党组参阅，得到高度肯定。农业农村经济形势研判分析能力有效提升；</w:t>
            </w:r>
          </w:p>
          <w:p>
            <w:pPr>
              <w:widowControl/>
              <w:adjustRightInd/>
              <w:snapToGrid/>
              <w:spacing w:line="240" w:lineRule="exact"/>
              <w:ind w:firstLine="0" w:firstLineChars="0"/>
              <w:jc w:val="left"/>
              <w:rPr>
                <w:rFonts w:hint="eastAsia"/>
                <w:color w:val="000000"/>
                <w:sz w:val="20"/>
                <w:szCs w:val="20"/>
                <w:lang w:val="en-US" w:eastAsia="zh-CN"/>
              </w:rPr>
            </w:pPr>
            <w:r>
              <w:rPr>
                <w:rFonts w:hint="eastAsia"/>
                <w:color w:val="000000"/>
                <w:sz w:val="20"/>
                <w:szCs w:val="20"/>
                <w:lang w:val="en-US" w:eastAsia="zh-CN"/>
              </w:rPr>
              <w:t>4、先后开展了早稻集中育秧、农业防灾减灾体系调研，形成了高质量调研报告，向部种植业司进行了反馈，在相关杂志发表；</w:t>
            </w:r>
          </w:p>
          <w:p>
            <w:pPr>
              <w:widowControl/>
              <w:adjustRightInd/>
              <w:snapToGrid/>
              <w:spacing w:line="240" w:lineRule="exact"/>
              <w:ind w:firstLine="0" w:firstLineChars="0"/>
              <w:jc w:val="left"/>
              <w:rPr>
                <w:rFonts w:hint="default" w:eastAsia="仿宋_GB2312"/>
                <w:color w:val="000000"/>
                <w:sz w:val="20"/>
                <w:szCs w:val="20"/>
                <w:lang w:val="en-US" w:eastAsia="zh-CN"/>
              </w:rPr>
            </w:pPr>
            <w:r>
              <w:rPr>
                <w:rFonts w:hint="eastAsia"/>
                <w:color w:val="000000"/>
                <w:sz w:val="20"/>
                <w:szCs w:val="20"/>
                <w:lang w:val="en-US" w:eastAsia="zh-CN"/>
              </w:rPr>
              <w:t>5、联合气象部门，联合开发为农服务APP，获金桥奖和农业农村部信息司进步奖。</w:t>
            </w:r>
          </w:p>
        </w:tc>
      </w:tr>
      <w:tr>
        <w:tblPrEx>
          <w:tblLayout w:type="fixed"/>
          <w:tblCellMar>
            <w:top w:w="0" w:type="dxa"/>
            <w:left w:w="108" w:type="dxa"/>
            <w:bottom w:w="0" w:type="dxa"/>
            <w:right w:w="108" w:type="dxa"/>
          </w:tblCellMar>
        </w:tblPrEx>
        <w:trPr>
          <w:jc w:val="center"/>
        </w:trPr>
        <w:tc>
          <w:tcPr>
            <w:tcW w:w="1078" w:type="dxa"/>
            <w:vMerge w:val="restart"/>
            <w:tcBorders>
              <w:top w:val="single" w:color="auto" w:sz="4" w:space="0"/>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绩</w:t>
            </w:r>
          </w:p>
          <w:p>
            <w:pPr>
              <w:widowControl/>
              <w:adjustRightInd/>
              <w:snapToGrid/>
              <w:spacing w:line="240" w:lineRule="exact"/>
              <w:ind w:firstLine="0" w:firstLineChars="0"/>
              <w:jc w:val="center"/>
              <w:rPr>
                <w:color w:val="000000"/>
                <w:sz w:val="20"/>
                <w:szCs w:val="20"/>
              </w:rPr>
            </w:pPr>
            <w:r>
              <w:rPr>
                <w:color w:val="000000"/>
                <w:sz w:val="20"/>
                <w:szCs w:val="20"/>
              </w:rPr>
              <w:t>效</w:t>
            </w:r>
          </w:p>
          <w:p>
            <w:pPr>
              <w:widowControl/>
              <w:adjustRightInd/>
              <w:snapToGrid/>
              <w:spacing w:line="240" w:lineRule="exact"/>
              <w:ind w:firstLine="0" w:firstLineChars="0"/>
              <w:jc w:val="center"/>
              <w:rPr>
                <w:color w:val="000000"/>
                <w:sz w:val="20"/>
                <w:szCs w:val="20"/>
              </w:rPr>
            </w:pPr>
            <w:r>
              <w:rPr>
                <w:color w:val="000000"/>
                <w:sz w:val="20"/>
                <w:szCs w:val="20"/>
              </w:rPr>
              <w:t>指</w:t>
            </w:r>
          </w:p>
          <w:p>
            <w:pPr>
              <w:widowControl/>
              <w:adjustRightInd/>
              <w:snapToGrid/>
              <w:spacing w:line="240" w:lineRule="exact"/>
              <w:ind w:firstLine="0" w:firstLineChars="0"/>
              <w:jc w:val="center"/>
              <w:rPr>
                <w:color w:val="000000"/>
                <w:sz w:val="20"/>
                <w:szCs w:val="20"/>
              </w:rPr>
            </w:pPr>
            <w:r>
              <w:rPr>
                <w:color w:val="000000"/>
                <w:sz w:val="20"/>
                <w:szCs w:val="20"/>
              </w:rPr>
              <w:t>标</w:t>
            </w:r>
          </w:p>
        </w:tc>
        <w:tc>
          <w:tcPr>
            <w:tcW w:w="107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一级指标</w:t>
            </w:r>
          </w:p>
        </w:tc>
        <w:tc>
          <w:tcPr>
            <w:tcW w:w="103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二级指标</w:t>
            </w:r>
          </w:p>
        </w:tc>
        <w:tc>
          <w:tcPr>
            <w:tcW w:w="1267"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三级指标</w:t>
            </w:r>
          </w:p>
        </w:tc>
        <w:tc>
          <w:tcPr>
            <w:tcW w:w="130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rPr>
                <w:color w:val="000000"/>
                <w:sz w:val="20"/>
                <w:szCs w:val="20"/>
              </w:rPr>
            </w:pPr>
            <w:r>
              <w:rPr>
                <w:color w:val="000000"/>
                <w:sz w:val="20"/>
                <w:szCs w:val="20"/>
              </w:rPr>
              <w:t>年度指标值</w:t>
            </w:r>
          </w:p>
        </w:tc>
        <w:tc>
          <w:tcPr>
            <w:tcW w:w="119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实际完成值</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分值</w:t>
            </w:r>
          </w:p>
        </w:tc>
        <w:tc>
          <w:tcPr>
            <w:tcW w:w="99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自评</w:t>
            </w:r>
          </w:p>
          <w:p>
            <w:pPr>
              <w:widowControl/>
              <w:adjustRightInd/>
              <w:snapToGrid/>
              <w:spacing w:line="240" w:lineRule="exact"/>
              <w:ind w:firstLine="0" w:firstLineChars="0"/>
              <w:jc w:val="center"/>
              <w:rPr>
                <w:color w:val="000000"/>
                <w:sz w:val="20"/>
                <w:szCs w:val="20"/>
              </w:rPr>
            </w:pPr>
            <w:r>
              <w:rPr>
                <w:color w:val="000000"/>
                <w:sz w:val="20"/>
                <w:szCs w:val="20"/>
              </w:rPr>
              <w:t>得分</w:t>
            </w:r>
          </w:p>
        </w:tc>
        <w:tc>
          <w:tcPr>
            <w:tcW w:w="144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产出指标</w:t>
            </w:r>
          </w:p>
          <w:p>
            <w:pPr>
              <w:widowControl/>
              <w:adjustRightInd/>
              <w:snapToGrid/>
              <w:spacing w:line="240" w:lineRule="exact"/>
              <w:ind w:firstLine="0" w:firstLineChars="0"/>
              <w:jc w:val="center"/>
              <w:rPr>
                <w:color w:val="000000"/>
                <w:sz w:val="20"/>
                <w:szCs w:val="20"/>
              </w:rPr>
            </w:pPr>
          </w:p>
          <w:p>
            <w:pPr>
              <w:widowControl/>
              <w:adjustRightInd/>
              <w:snapToGrid/>
              <w:spacing w:line="240" w:lineRule="exact"/>
              <w:ind w:firstLine="0" w:firstLineChars="0"/>
              <w:jc w:val="center"/>
              <w:rPr>
                <w:color w:val="000000"/>
                <w:sz w:val="20"/>
                <w:szCs w:val="20"/>
              </w:rPr>
            </w:pPr>
            <w:r>
              <w:rPr>
                <w:color w:val="000000"/>
                <w:sz w:val="20"/>
                <w:szCs w:val="20"/>
              </w:rPr>
              <w:t>(50分)</w:t>
            </w:r>
          </w:p>
        </w:tc>
        <w:tc>
          <w:tcPr>
            <w:tcW w:w="1031"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数量指标</w:t>
            </w:r>
          </w:p>
        </w:tc>
        <w:tc>
          <w:tcPr>
            <w:tcW w:w="1267"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rFonts w:hint="eastAsia" w:eastAsia="仿宋_GB2312"/>
                <w:color w:val="000000"/>
                <w:sz w:val="20"/>
                <w:szCs w:val="20"/>
                <w:lang w:eastAsia="zh-CN"/>
              </w:rPr>
              <w:t>完成季度农业农村经济形势分析报告</w:t>
            </w:r>
          </w:p>
        </w:tc>
        <w:tc>
          <w:tcPr>
            <w:tcW w:w="130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4篇</w:t>
            </w:r>
          </w:p>
        </w:tc>
        <w:tc>
          <w:tcPr>
            <w:tcW w:w="119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4篇</w:t>
            </w:r>
          </w:p>
        </w:tc>
        <w:tc>
          <w:tcPr>
            <w:tcW w:w="81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200" w:firstLineChars="100"/>
              <w:jc w:val="left"/>
              <w:rPr>
                <w:color w:val="000000"/>
                <w:sz w:val="20"/>
                <w:szCs w:val="20"/>
              </w:rPr>
            </w:pPr>
            <w:r>
              <w:rPr>
                <w:rFonts w:hint="eastAsia"/>
                <w:color w:val="000000"/>
                <w:sz w:val="20"/>
                <w:szCs w:val="20"/>
                <w:lang w:val="en-US" w:eastAsia="zh-CN"/>
              </w:rPr>
              <w:t>6</w:t>
            </w:r>
            <w:r>
              <w:rPr>
                <w:color w:val="000000"/>
                <w:sz w:val="20"/>
                <w:szCs w:val="20"/>
              </w:rPr>
              <w:t>　</w:t>
            </w:r>
          </w:p>
        </w:tc>
        <w:tc>
          <w:tcPr>
            <w:tcW w:w="99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267"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rFonts w:hint="eastAsia"/>
                <w:color w:val="000000"/>
                <w:sz w:val="20"/>
                <w:szCs w:val="20"/>
              </w:rPr>
              <w:t>完成农业农村综合调研报告</w:t>
            </w:r>
          </w:p>
        </w:tc>
        <w:tc>
          <w:tcPr>
            <w:tcW w:w="130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rPr>
              <w:t>3篇</w:t>
            </w:r>
          </w:p>
        </w:tc>
        <w:tc>
          <w:tcPr>
            <w:tcW w:w="119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3篇</w:t>
            </w:r>
          </w:p>
        </w:tc>
        <w:tc>
          <w:tcPr>
            <w:tcW w:w="81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4</w:t>
            </w:r>
          </w:p>
        </w:tc>
        <w:tc>
          <w:tcPr>
            <w:tcW w:w="99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4</w:t>
            </w:r>
          </w:p>
        </w:tc>
        <w:tc>
          <w:tcPr>
            <w:tcW w:w="144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continue"/>
            <w:tcBorders>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1267"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完成灾情报告</w:t>
            </w:r>
          </w:p>
        </w:tc>
        <w:tc>
          <w:tcPr>
            <w:tcW w:w="130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8篇</w:t>
            </w:r>
          </w:p>
        </w:tc>
        <w:tc>
          <w:tcPr>
            <w:tcW w:w="119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6篇</w:t>
            </w:r>
          </w:p>
        </w:tc>
        <w:tc>
          <w:tcPr>
            <w:tcW w:w="81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4</w:t>
            </w:r>
          </w:p>
        </w:tc>
        <w:tc>
          <w:tcPr>
            <w:tcW w:w="99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2</w:t>
            </w:r>
          </w:p>
        </w:tc>
        <w:tc>
          <w:tcPr>
            <w:tcW w:w="144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2023年灾害发生偏轻</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restart"/>
            <w:tcBorders>
              <w:top w:val="single" w:color="auto" w:sz="4" w:space="0"/>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质量指标</w:t>
            </w:r>
          </w:p>
        </w:tc>
        <w:tc>
          <w:tcPr>
            <w:tcW w:w="1267"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both"/>
              <w:rPr>
                <w:rFonts w:hint="default" w:eastAsia="仿宋_GB2312"/>
                <w:color w:val="000000"/>
                <w:sz w:val="20"/>
                <w:szCs w:val="20"/>
                <w:lang w:val="en-US" w:eastAsia="zh-CN"/>
              </w:rPr>
            </w:pPr>
            <w:r>
              <w:rPr>
                <w:rFonts w:hint="eastAsia"/>
                <w:color w:val="000000"/>
                <w:sz w:val="20"/>
                <w:szCs w:val="20"/>
                <w:lang w:eastAsia="zh-CN"/>
              </w:rPr>
              <w:t>农情报表、文字信息、临时调度信息上报</w:t>
            </w:r>
          </w:p>
        </w:tc>
        <w:tc>
          <w:tcPr>
            <w:tcW w:w="130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eastAsia="zh-CN"/>
              </w:rPr>
              <w:t>报表</w:t>
            </w:r>
            <w:r>
              <w:rPr>
                <w:rFonts w:hint="eastAsia"/>
                <w:color w:val="000000"/>
                <w:sz w:val="20"/>
                <w:szCs w:val="20"/>
                <w:lang w:val="en-US" w:eastAsia="zh-CN"/>
              </w:rPr>
              <w:t>300个，文字信息100篇</w:t>
            </w:r>
          </w:p>
        </w:tc>
        <w:tc>
          <w:tcPr>
            <w:tcW w:w="119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全面完成</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continue"/>
            <w:tcBorders>
              <w:left w:val="nil"/>
              <w:bottom w:val="single" w:color="auto" w:sz="4" w:space="0"/>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267"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落实官网上网信息“三审制”</w:t>
            </w:r>
          </w:p>
        </w:tc>
        <w:tc>
          <w:tcPr>
            <w:tcW w:w="130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不出差错</w:t>
            </w:r>
          </w:p>
        </w:tc>
        <w:tc>
          <w:tcPr>
            <w:tcW w:w="119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rFonts w:hint="eastAsia"/>
                <w:color w:val="000000"/>
                <w:sz w:val="20"/>
                <w:szCs w:val="20"/>
                <w:lang w:eastAsia="zh-CN"/>
              </w:rPr>
              <w:t>未出现差错</w:t>
            </w:r>
          </w:p>
        </w:tc>
        <w:tc>
          <w:tcPr>
            <w:tcW w:w="81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restart"/>
            <w:tcBorders>
              <w:top w:val="single" w:color="auto" w:sz="4" w:space="0"/>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时效指标</w:t>
            </w:r>
          </w:p>
        </w:tc>
        <w:tc>
          <w:tcPr>
            <w:tcW w:w="1267"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加强宣传工作力度</w:t>
            </w:r>
          </w:p>
        </w:tc>
        <w:tc>
          <w:tcPr>
            <w:tcW w:w="130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按时完成</w:t>
            </w:r>
          </w:p>
        </w:tc>
        <w:tc>
          <w:tcPr>
            <w:tcW w:w="119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eastAsia="zh-CN"/>
              </w:rPr>
              <w:t>每月公开报道农业农村工作</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trHeight w:val="1585" w:hRule="atLeast"/>
          <w:jc w:val="center"/>
        </w:trPr>
        <w:tc>
          <w:tcPr>
            <w:tcW w:w="1078" w:type="dxa"/>
            <w:vMerge w:val="continue"/>
            <w:tcBorders>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continue"/>
            <w:tcBorders>
              <w:left w:val="nil"/>
              <w:bottom w:val="single" w:color="auto" w:sz="4" w:space="0"/>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267"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rFonts w:hint="eastAsia"/>
                <w:color w:val="000000"/>
                <w:sz w:val="20"/>
                <w:szCs w:val="20"/>
              </w:rPr>
              <w:t>统计调度灾情</w:t>
            </w:r>
          </w:p>
        </w:tc>
        <w:tc>
          <w:tcPr>
            <w:tcW w:w="130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迅速及时</w:t>
            </w:r>
          </w:p>
        </w:tc>
        <w:tc>
          <w:tcPr>
            <w:tcW w:w="1192" w:type="dxa"/>
            <w:tcBorders>
              <w:top w:val="nil"/>
              <w:left w:val="nil"/>
              <w:bottom w:val="single" w:color="auto" w:sz="4" w:space="0"/>
              <w:right w:val="single" w:color="auto" w:sz="4" w:space="0"/>
            </w:tcBorders>
            <w:noWrap w:val="0"/>
            <w:vAlign w:val="center"/>
          </w:tcPr>
          <w:p>
            <w:pPr>
              <w:widowControl/>
              <w:adjustRightInd/>
              <w:snapToGrid/>
              <w:spacing w:line="240" w:lineRule="exact"/>
              <w:ind w:left="0" w:leftChars="0" w:firstLine="200" w:firstLineChars="100"/>
              <w:jc w:val="left"/>
              <w:rPr>
                <w:rFonts w:hint="default" w:eastAsia="仿宋_GB2312"/>
                <w:color w:val="000000"/>
                <w:sz w:val="20"/>
                <w:szCs w:val="20"/>
                <w:lang w:val="en-US" w:eastAsia="zh-CN"/>
              </w:rPr>
            </w:pPr>
            <w:r>
              <w:rPr>
                <w:rFonts w:hint="eastAsia"/>
                <w:color w:val="000000"/>
                <w:sz w:val="20"/>
                <w:szCs w:val="20"/>
                <w:lang w:eastAsia="zh-CN"/>
              </w:rPr>
              <w:t>调度灾情</w:t>
            </w:r>
            <w:r>
              <w:rPr>
                <w:rFonts w:hint="eastAsia"/>
                <w:color w:val="000000"/>
                <w:sz w:val="20"/>
                <w:szCs w:val="20"/>
                <w:lang w:val="en-US" w:eastAsia="zh-CN"/>
              </w:rPr>
              <w:t>6次，为抗灾救灾指导提供保障</w:t>
            </w:r>
          </w:p>
        </w:tc>
        <w:tc>
          <w:tcPr>
            <w:tcW w:w="81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top w:val="single" w:color="auto" w:sz="4" w:space="0"/>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top w:val="single" w:color="auto" w:sz="4" w:space="0"/>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restart"/>
            <w:tcBorders>
              <w:top w:val="single" w:color="auto" w:sz="4" w:space="0"/>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成本指标</w:t>
            </w:r>
          </w:p>
        </w:tc>
        <w:tc>
          <w:tcPr>
            <w:tcW w:w="1267"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控制项目经费开支</w:t>
            </w:r>
          </w:p>
        </w:tc>
        <w:tc>
          <w:tcPr>
            <w:tcW w:w="130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完成</w:t>
            </w:r>
          </w:p>
        </w:tc>
        <w:tc>
          <w:tcPr>
            <w:tcW w:w="119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农情工作正常运转</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continue"/>
            <w:tcBorders>
              <w:left w:val="nil"/>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267"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保障人员和公用经费</w:t>
            </w:r>
          </w:p>
        </w:tc>
        <w:tc>
          <w:tcPr>
            <w:tcW w:w="130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完成</w:t>
            </w:r>
          </w:p>
        </w:tc>
        <w:tc>
          <w:tcPr>
            <w:tcW w:w="119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在职人员工资正常发放</w:t>
            </w:r>
          </w:p>
        </w:tc>
        <w:tc>
          <w:tcPr>
            <w:tcW w:w="81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restart"/>
            <w:tcBorders>
              <w:top w:val="single" w:color="auto" w:sz="4" w:space="0"/>
              <w:left w:val="nil"/>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效益指标</w:t>
            </w:r>
          </w:p>
          <w:p>
            <w:pPr>
              <w:widowControl/>
              <w:adjustRightInd/>
              <w:snapToGrid/>
              <w:spacing w:line="240" w:lineRule="exact"/>
              <w:ind w:firstLine="0" w:firstLineChars="0"/>
              <w:jc w:val="left"/>
              <w:rPr>
                <w:color w:val="000000"/>
                <w:sz w:val="20"/>
                <w:szCs w:val="20"/>
              </w:rPr>
            </w:pPr>
          </w:p>
          <w:p>
            <w:pPr>
              <w:widowControl/>
              <w:adjustRightInd/>
              <w:snapToGrid/>
              <w:spacing w:line="240" w:lineRule="exact"/>
              <w:ind w:firstLine="0" w:firstLineChars="0"/>
              <w:jc w:val="left"/>
              <w:rPr>
                <w:color w:val="000000"/>
                <w:sz w:val="20"/>
                <w:szCs w:val="20"/>
              </w:rPr>
            </w:pPr>
            <w:r>
              <w:rPr>
                <w:color w:val="000000"/>
                <w:sz w:val="20"/>
                <w:szCs w:val="20"/>
              </w:rPr>
              <w:t>（30分）</w:t>
            </w:r>
          </w:p>
          <w:p>
            <w:pPr>
              <w:widowControl/>
              <w:adjustRightInd/>
              <w:snapToGrid/>
              <w:spacing w:line="240" w:lineRule="exact"/>
              <w:ind w:firstLine="0" w:firstLineChars="0"/>
              <w:jc w:val="left"/>
              <w:rPr>
                <w:color w:val="000000"/>
                <w:sz w:val="20"/>
                <w:szCs w:val="20"/>
              </w:rPr>
            </w:pPr>
            <w:r>
              <w:rPr>
                <w:color w:val="000000"/>
                <w:sz w:val="20"/>
                <w:szCs w:val="20"/>
              </w:rPr>
              <w:t>　</w:t>
            </w:r>
          </w:p>
        </w:tc>
        <w:tc>
          <w:tcPr>
            <w:tcW w:w="103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经济效</w:t>
            </w:r>
          </w:p>
          <w:p>
            <w:pPr>
              <w:widowControl/>
              <w:adjustRightInd/>
              <w:snapToGrid/>
              <w:spacing w:line="240" w:lineRule="exact"/>
              <w:ind w:firstLine="0" w:firstLineChars="0"/>
              <w:jc w:val="center"/>
              <w:rPr>
                <w:color w:val="000000"/>
                <w:sz w:val="20"/>
                <w:szCs w:val="20"/>
              </w:rPr>
            </w:pPr>
            <w:r>
              <w:rPr>
                <w:color w:val="000000"/>
                <w:sz w:val="20"/>
                <w:szCs w:val="20"/>
              </w:rPr>
              <w:t>益指标</w:t>
            </w:r>
          </w:p>
        </w:tc>
        <w:tc>
          <w:tcPr>
            <w:tcW w:w="1267"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为农业丰收增产提供有力支持</w:t>
            </w:r>
          </w:p>
        </w:tc>
        <w:tc>
          <w:tcPr>
            <w:tcW w:w="130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完成</w:t>
            </w:r>
          </w:p>
        </w:tc>
        <w:tc>
          <w:tcPr>
            <w:tcW w:w="119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eastAsia="zh-CN"/>
              </w:rPr>
              <w:t>争取农业生产救灾资金</w:t>
            </w:r>
            <w:r>
              <w:rPr>
                <w:rFonts w:hint="eastAsia"/>
                <w:color w:val="000000"/>
                <w:sz w:val="20"/>
                <w:szCs w:val="20"/>
                <w:lang w:val="en-US" w:eastAsia="zh-CN"/>
              </w:rPr>
              <w:t xml:space="preserve"> </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restart"/>
            <w:tcBorders>
              <w:top w:val="single" w:color="auto" w:sz="4" w:space="0"/>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社会效</w:t>
            </w:r>
          </w:p>
          <w:p>
            <w:pPr>
              <w:widowControl/>
              <w:adjustRightInd/>
              <w:snapToGrid/>
              <w:spacing w:line="240" w:lineRule="exact"/>
              <w:ind w:firstLine="0" w:firstLineChars="0"/>
              <w:jc w:val="center"/>
              <w:rPr>
                <w:color w:val="000000"/>
                <w:sz w:val="20"/>
                <w:szCs w:val="20"/>
              </w:rPr>
            </w:pPr>
            <w:r>
              <w:rPr>
                <w:color w:val="000000"/>
                <w:sz w:val="20"/>
                <w:szCs w:val="20"/>
              </w:rPr>
              <w:t>益指标</w:t>
            </w:r>
          </w:p>
        </w:tc>
        <w:tc>
          <w:tcPr>
            <w:tcW w:w="1267"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为农业农村经济运行提供有力参谋</w:t>
            </w:r>
          </w:p>
        </w:tc>
        <w:tc>
          <w:tcPr>
            <w:tcW w:w="130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完成</w:t>
            </w:r>
          </w:p>
        </w:tc>
        <w:tc>
          <w:tcPr>
            <w:tcW w:w="119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为厅党组决策提供精准依据</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vMerge w:val="continue"/>
            <w:tcBorders>
              <w:left w:val="nil"/>
              <w:bottom w:val="single" w:color="auto" w:sz="4" w:space="0"/>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267"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权威发布厅官网重要信息</w:t>
            </w:r>
          </w:p>
        </w:tc>
        <w:tc>
          <w:tcPr>
            <w:tcW w:w="130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完成</w:t>
            </w:r>
          </w:p>
        </w:tc>
        <w:tc>
          <w:tcPr>
            <w:tcW w:w="119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进一步提升官网权威性、严肃性</w:t>
            </w:r>
          </w:p>
        </w:tc>
        <w:tc>
          <w:tcPr>
            <w:tcW w:w="81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31" w:type="dxa"/>
            <w:tcBorders>
              <w:top w:val="single" w:color="auto" w:sz="4" w:space="0"/>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生态效</w:t>
            </w:r>
          </w:p>
          <w:p>
            <w:pPr>
              <w:widowControl/>
              <w:adjustRightInd/>
              <w:snapToGrid/>
              <w:spacing w:line="240" w:lineRule="exact"/>
              <w:ind w:firstLine="0" w:firstLineChars="0"/>
              <w:jc w:val="center"/>
              <w:rPr>
                <w:color w:val="000000"/>
                <w:sz w:val="20"/>
                <w:szCs w:val="20"/>
              </w:rPr>
            </w:pPr>
            <w:r>
              <w:rPr>
                <w:color w:val="000000"/>
                <w:sz w:val="20"/>
                <w:szCs w:val="20"/>
              </w:rPr>
              <w:t>益指标</w:t>
            </w:r>
          </w:p>
        </w:tc>
        <w:tc>
          <w:tcPr>
            <w:tcW w:w="1267"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做好防灾救灾工作，及时下发预警通知</w:t>
            </w:r>
          </w:p>
        </w:tc>
        <w:tc>
          <w:tcPr>
            <w:tcW w:w="130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完成</w:t>
            </w:r>
          </w:p>
        </w:tc>
        <w:tc>
          <w:tcPr>
            <w:tcW w:w="119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及时制定防灾预案</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trHeight w:val="290" w:hRule="atLeast"/>
          <w:jc w:val="center"/>
        </w:trPr>
        <w:tc>
          <w:tcPr>
            <w:tcW w:w="1078"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1078" w:type="dxa"/>
            <w:vMerge w:val="continue"/>
            <w:tcBorders>
              <w:left w:val="nil"/>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可持续影响指标</w:t>
            </w:r>
          </w:p>
        </w:tc>
        <w:tc>
          <w:tcPr>
            <w:tcW w:w="12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不断提升舆情引导及处置水平</w:t>
            </w:r>
          </w:p>
        </w:tc>
        <w:tc>
          <w:tcPr>
            <w:tcW w:w="13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完成</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及时反应舆论中不实情况，有效控制恐慌情绪</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rFonts w:hint="eastAsia"/>
                <w:color w:val="000000"/>
                <w:sz w:val="20"/>
                <w:szCs w:val="20"/>
                <w:lang w:val="en-US" w:eastAsia="zh-CN"/>
              </w:rPr>
              <w:t xml:space="preserve">  6</w:t>
            </w:r>
          </w:p>
        </w:tc>
        <w:tc>
          <w:tcPr>
            <w:tcW w:w="99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trHeight w:val="330" w:hRule="atLeast"/>
          <w:jc w:val="center"/>
        </w:trPr>
        <w:tc>
          <w:tcPr>
            <w:tcW w:w="1078"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078" w:type="dxa"/>
            <w:tcBorders>
              <w:top w:val="single" w:color="auto" w:sz="4" w:space="0"/>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满意度</w:t>
            </w:r>
          </w:p>
          <w:p>
            <w:pPr>
              <w:widowControl/>
              <w:adjustRightInd/>
              <w:snapToGrid/>
              <w:spacing w:line="240" w:lineRule="exact"/>
              <w:ind w:firstLine="0" w:firstLineChars="0"/>
              <w:jc w:val="center"/>
              <w:rPr>
                <w:color w:val="000000"/>
                <w:sz w:val="20"/>
                <w:szCs w:val="20"/>
              </w:rPr>
            </w:pPr>
            <w:r>
              <w:rPr>
                <w:color w:val="000000"/>
                <w:sz w:val="20"/>
                <w:szCs w:val="20"/>
              </w:rPr>
              <w:t>指标</w:t>
            </w:r>
          </w:p>
          <w:p>
            <w:pPr>
              <w:widowControl/>
              <w:adjustRightInd/>
              <w:snapToGrid/>
              <w:spacing w:line="240" w:lineRule="exact"/>
              <w:ind w:firstLine="0" w:firstLineChars="0"/>
              <w:jc w:val="center"/>
              <w:rPr>
                <w:color w:val="000000"/>
                <w:sz w:val="20"/>
                <w:szCs w:val="20"/>
              </w:rPr>
            </w:pPr>
            <w:r>
              <w:rPr>
                <w:color w:val="000000"/>
                <w:sz w:val="20"/>
                <w:szCs w:val="20"/>
              </w:rPr>
              <w:t>（10分）</w:t>
            </w:r>
          </w:p>
        </w:tc>
        <w:tc>
          <w:tcPr>
            <w:tcW w:w="1031" w:type="dxa"/>
            <w:tcBorders>
              <w:top w:val="single" w:color="auto" w:sz="4" w:space="0"/>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服务对象满意度指标</w:t>
            </w:r>
          </w:p>
        </w:tc>
        <w:tc>
          <w:tcPr>
            <w:tcW w:w="1267"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社会公众或服务对象满意程度</w:t>
            </w:r>
          </w:p>
        </w:tc>
        <w:tc>
          <w:tcPr>
            <w:tcW w:w="130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90%以上</w:t>
            </w:r>
          </w:p>
        </w:tc>
        <w:tc>
          <w:tcPr>
            <w:tcW w:w="119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val="en-US" w:eastAsia="zh-CN"/>
              </w:rPr>
              <w:t>90%以上</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10</w:t>
            </w:r>
          </w:p>
        </w:tc>
        <w:tc>
          <w:tcPr>
            <w:tcW w:w="99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10</w:t>
            </w:r>
          </w:p>
        </w:tc>
        <w:tc>
          <w:tcPr>
            <w:tcW w:w="1442"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r>
        <w:tblPrEx>
          <w:tblLayout w:type="fixed"/>
          <w:tblCellMar>
            <w:top w:w="0" w:type="dxa"/>
            <w:left w:w="108" w:type="dxa"/>
            <w:bottom w:w="0" w:type="dxa"/>
            <w:right w:w="108" w:type="dxa"/>
          </w:tblCellMar>
        </w:tblPrEx>
        <w:trPr>
          <w:trHeight w:val="385" w:hRule="atLeast"/>
          <w:jc w:val="center"/>
        </w:trPr>
        <w:tc>
          <w:tcPr>
            <w:tcW w:w="6954" w:type="dxa"/>
            <w:gridSpan w:val="6"/>
            <w:tcBorders>
              <w:top w:val="single" w:color="auto" w:sz="4" w:space="0"/>
              <w:left w:val="single" w:color="auto" w:sz="4" w:space="0"/>
              <w:bottom w:val="single" w:color="auto" w:sz="4" w:space="0"/>
              <w:right w:val="single" w:color="000000"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总分</w:t>
            </w:r>
          </w:p>
        </w:tc>
        <w:tc>
          <w:tcPr>
            <w:tcW w:w="81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100</w:t>
            </w:r>
          </w:p>
        </w:tc>
        <w:tc>
          <w:tcPr>
            <w:tcW w:w="99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200" w:firstLineChars="100"/>
              <w:jc w:val="left"/>
              <w:rPr>
                <w:rFonts w:hint="default" w:eastAsia="仿宋_GB2312"/>
                <w:color w:val="000000"/>
                <w:sz w:val="20"/>
                <w:szCs w:val="20"/>
                <w:lang w:val="en-US" w:eastAsia="zh-CN"/>
              </w:rPr>
            </w:pPr>
            <w:r>
              <w:rPr>
                <w:rFonts w:hint="eastAsia"/>
                <w:color w:val="000000"/>
                <w:sz w:val="20"/>
                <w:szCs w:val="20"/>
                <w:lang w:val="en-US" w:eastAsia="zh-CN"/>
              </w:rPr>
              <w:t>97.33</w:t>
            </w:r>
          </w:p>
        </w:tc>
        <w:tc>
          <w:tcPr>
            <w:tcW w:w="1442"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bl>
    <w:p>
      <w:pPr>
        <w:adjustRightInd/>
        <w:spacing w:line="360" w:lineRule="exact"/>
        <w:ind w:firstLine="0" w:firstLineChars="0"/>
        <w:jc w:val="left"/>
        <w:rPr>
          <w:rFonts w:eastAsia="宋体"/>
          <w:kern w:val="0"/>
          <w:sz w:val="22"/>
          <w:szCs w:val="22"/>
        </w:rPr>
      </w:pPr>
      <w:r>
        <w:rPr>
          <w:rFonts w:eastAsia="宋体"/>
          <w:kern w:val="0"/>
          <w:sz w:val="22"/>
          <w:szCs w:val="22"/>
        </w:rPr>
        <w:t>说明：本表由农业农村厅部门本级和直属单位填写，市、县农业农村局不需填写。</w:t>
      </w:r>
    </w:p>
    <w:p>
      <w:pPr>
        <w:pStyle w:val="2"/>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BC95EE"/>
    <w:multiLevelType w:val="singleLevel"/>
    <w:tmpl w:val="9FBC95EE"/>
    <w:lvl w:ilvl="0" w:tentative="0">
      <w:start w:val="3"/>
      <w:numFmt w:val="chineseCounting"/>
      <w:suff w:val="nothing"/>
      <w:lvlText w:val="%1、"/>
      <w:lvlJc w:val="left"/>
      <w:rPr>
        <w:rFonts w:hint="eastAsia"/>
      </w:rPr>
    </w:lvl>
  </w:abstractNum>
  <w:abstractNum w:abstractNumId="1">
    <w:nsid w:val="BBFE21D6"/>
    <w:multiLevelType w:val="singleLevel"/>
    <w:tmpl w:val="BBFE21D6"/>
    <w:lvl w:ilvl="0" w:tentative="0">
      <w:start w:val="7"/>
      <w:numFmt w:val="chineseCounting"/>
      <w:suff w:val="nothing"/>
      <w:lvlText w:val="%1、"/>
      <w:lvlJc w:val="left"/>
      <w:rPr>
        <w:rFonts w:hint="eastAsia"/>
      </w:rPr>
    </w:lvl>
  </w:abstractNum>
  <w:abstractNum w:abstractNumId="2">
    <w:nsid w:val="DBFFB457"/>
    <w:multiLevelType w:val="singleLevel"/>
    <w:tmpl w:val="DBFFB457"/>
    <w:lvl w:ilvl="0" w:tentative="0">
      <w:start w:val="1"/>
      <w:numFmt w:val="chineseCounting"/>
      <w:suff w:val="nothing"/>
      <w:lvlText w:val="（%1）"/>
      <w:lvlJc w:val="left"/>
      <w:rPr>
        <w:rFonts w:hint="eastAsia"/>
      </w:rPr>
    </w:lvl>
  </w:abstractNum>
  <w:abstractNum w:abstractNumId="3">
    <w:nsid w:val="DFB54E6C"/>
    <w:multiLevelType w:val="singleLevel"/>
    <w:tmpl w:val="DFB54E6C"/>
    <w:lvl w:ilvl="0" w:tentative="0">
      <w:start w:val="5"/>
      <w:numFmt w:val="decimal"/>
      <w:suff w:val="nothing"/>
      <w:lvlText w:val="%1、"/>
      <w:lvlJc w:val="left"/>
    </w:lvl>
  </w:abstractNum>
  <w:abstractNum w:abstractNumId="4">
    <w:nsid w:val="E8DEAD49"/>
    <w:multiLevelType w:val="singleLevel"/>
    <w:tmpl w:val="E8DEAD49"/>
    <w:lvl w:ilvl="0" w:tentative="0">
      <w:start w:val="1"/>
      <w:numFmt w:val="chineseCounting"/>
      <w:suff w:val="nothing"/>
      <w:lvlText w:val="（%1）"/>
      <w:lvlJc w:val="left"/>
      <w:rPr>
        <w:rFonts w:hint="eastAsia"/>
      </w:rPr>
    </w:lvl>
  </w:abstractNum>
  <w:abstractNum w:abstractNumId="5">
    <w:nsid w:val="F92FACC0"/>
    <w:multiLevelType w:val="singleLevel"/>
    <w:tmpl w:val="F92FACC0"/>
    <w:lvl w:ilvl="0" w:tentative="0">
      <w:start w:val="2"/>
      <w:numFmt w:val="chineseCounting"/>
      <w:suff w:val="nothing"/>
      <w:lvlText w:val="%1、"/>
      <w:lvlJc w:val="left"/>
      <w:rPr>
        <w:rFonts w:hint="eastAsia"/>
      </w:rPr>
    </w:lvl>
  </w:abstractNum>
  <w:abstractNum w:abstractNumId="6">
    <w:nsid w:val="FFD3039E"/>
    <w:multiLevelType w:val="singleLevel"/>
    <w:tmpl w:val="FFD3039E"/>
    <w:lvl w:ilvl="0" w:tentative="0">
      <w:start w:val="2"/>
      <w:numFmt w:val="decimal"/>
      <w:suff w:val="nothing"/>
      <w:lvlText w:val="%1、"/>
      <w:lvlJc w:val="left"/>
    </w:lvl>
  </w:abstractNum>
  <w:abstractNum w:abstractNumId="7">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7BF556F"/>
    <w:multiLevelType w:val="singleLevel"/>
    <w:tmpl w:val="67BF556F"/>
    <w:lvl w:ilvl="0" w:tentative="0">
      <w:start w:val="1"/>
      <w:numFmt w:val="chineseCounting"/>
      <w:suff w:val="nothing"/>
      <w:lvlText w:val="%1、"/>
      <w:lvlJc w:val="left"/>
      <w:rPr>
        <w:rFonts w:hint="eastAsia"/>
      </w:rPr>
    </w:lvl>
  </w:abstractNum>
  <w:abstractNum w:abstractNumId="9">
    <w:nsid w:val="7BB3802D"/>
    <w:multiLevelType w:val="singleLevel"/>
    <w:tmpl w:val="7BB3802D"/>
    <w:lvl w:ilvl="0" w:tentative="0">
      <w:start w:val="2"/>
      <w:numFmt w:val="chineseCounting"/>
      <w:suff w:val="nothing"/>
      <w:lvlText w:val="（%1）"/>
      <w:lvlJc w:val="left"/>
      <w:rPr>
        <w:rFonts w:hint="eastAsia"/>
      </w:rPr>
    </w:lvl>
  </w:abstractNum>
  <w:num w:numId="1">
    <w:abstractNumId w:val="7"/>
  </w:num>
  <w:num w:numId="2">
    <w:abstractNumId w:val="5"/>
  </w:num>
  <w:num w:numId="3">
    <w:abstractNumId w:val="6"/>
  </w:num>
  <w:num w:numId="4">
    <w:abstractNumId w:val="1"/>
  </w:num>
  <w:num w:numId="5">
    <w:abstractNumId w:val="3"/>
  </w:num>
  <w:num w:numId="6">
    <w:abstractNumId w:val="8"/>
  </w:num>
  <w:num w:numId="7">
    <w:abstractNumId w:val="2"/>
  </w:num>
  <w:num w:numId="8">
    <w:abstractNumId w:val="9"/>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D21262"/>
    <w:rsid w:val="033E2371"/>
    <w:rsid w:val="03DFA60B"/>
    <w:rsid w:val="043FE3D9"/>
    <w:rsid w:val="05DBBDA4"/>
    <w:rsid w:val="067F1CEA"/>
    <w:rsid w:val="06B7E283"/>
    <w:rsid w:val="073FE7EA"/>
    <w:rsid w:val="077BC7D9"/>
    <w:rsid w:val="07FD0508"/>
    <w:rsid w:val="0A870082"/>
    <w:rsid w:val="0AF343A1"/>
    <w:rsid w:val="0B6FBAAD"/>
    <w:rsid w:val="0B7A0A72"/>
    <w:rsid w:val="0B9F8FBA"/>
    <w:rsid w:val="0BFD585F"/>
    <w:rsid w:val="0BFFFD41"/>
    <w:rsid w:val="0CDFB82B"/>
    <w:rsid w:val="0D1FACB3"/>
    <w:rsid w:val="0DC8EF36"/>
    <w:rsid w:val="0E478E39"/>
    <w:rsid w:val="0ECF5DF1"/>
    <w:rsid w:val="0EFA3CA8"/>
    <w:rsid w:val="0F2E5C20"/>
    <w:rsid w:val="0F553455"/>
    <w:rsid w:val="0F6FEC02"/>
    <w:rsid w:val="0F9B937B"/>
    <w:rsid w:val="0FBE0429"/>
    <w:rsid w:val="0FCE3CE2"/>
    <w:rsid w:val="0FD11E84"/>
    <w:rsid w:val="0FDD75A0"/>
    <w:rsid w:val="0FDF4C60"/>
    <w:rsid w:val="0FEDF24B"/>
    <w:rsid w:val="10FBAF9E"/>
    <w:rsid w:val="11F51C0C"/>
    <w:rsid w:val="12C37241"/>
    <w:rsid w:val="12FDCCBD"/>
    <w:rsid w:val="13BF3851"/>
    <w:rsid w:val="13FE0316"/>
    <w:rsid w:val="13FF7CFA"/>
    <w:rsid w:val="13FFF9C6"/>
    <w:rsid w:val="14C41E00"/>
    <w:rsid w:val="158F2E72"/>
    <w:rsid w:val="15CA1AF5"/>
    <w:rsid w:val="15D71375"/>
    <w:rsid w:val="16D757A8"/>
    <w:rsid w:val="16D7A6E5"/>
    <w:rsid w:val="16DFB5A2"/>
    <w:rsid w:val="16FA55EC"/>
    <w:rsid w:val="16FDBC95"/>
    <w:rsid w:val="175F9755"/>
    <w:rsid w:val="177F5528"/>
    <w:rsid w:val="179F8DAA"/>
    <w:rsid w:val="17A565A7"/>
    <w:rsid w:val="17BBD503"/>
    <w:rsid w:val="17C934C4"/>
    <w:rsid w:val="17DD2D3A"/>
    <w:rsid w:val="17E95B12"/>
    <w:rsid w:val="17EB231A"/>
    <w:rsid w:val="17FEA53B"/>
    <w:rsid w:val="17FF9398"/>
    <w:rsid w:val="17FFCE02"/>
    <w:rsid w:val="192FA5C9"/>
    <w:rsid w:val="197FB4B0"/>
    <w:rsid w:val="197FB5A9"/>
    <w:rsid w:val="19ED410A"/>
    <w:rsid w:val="19FBD708"/>
    <w:rsid w:val="1ADFCE94"/>
    <w:rsid w:val="1AED1859"/>
    <w:rsid w:val="1AF1F136"/>
    <w:rsid w:val="1AFD3C0E"/>
    <w:rsid w:val="1AFFF2FD"/>
    <w:rsid w:val="1B332640"/>
    <w:rsid w:val="1B372B8D"/>
    <w:rsid w:val="1B7F647D"/>
    <w:rsid w:val="1BBE0A49"/>
    <w:rsid w:val="1BBF1421"/>
    <w:rsid w:val="1BECA61A"/>
    <w:rsid w:val="1BEFE348"/>
    <w:rsid w:val="1BF68BC8"/>
    <w:rsid w:val="1BFB8275"/>
    <w:rsid w:val="1BFBB056"/>
    <w:rsid w:val="1BFC7B73"/>
    <w:rsid w:val="1BFD7EAC"/>
    <w:rsid w:val="1BFE06DA"/>
    <w:rsid w:val="1BFFA824"/>
    <w:rsid w:val="1BFFB0C0"/>
    <w:rsid w:val="1C847E6F"/>
    <w:rsid w:val="1CEF51D1"/>
    <w:rsid w:val="1CF4E441"/>
    <w:rsid w:val="1CF5AC00"/>
    <w:rsid w:val="1CF75E49"/>
    <w:rsid w:val="1CFB479A"/>
    <w:rsid w:val="1CFF61DB"/>
    <w:rsid w:val="1D0F3324"/>
    <w:rsid w:val="1D6FD805"/>
    <w:rsid w:val="1D7F0285"/>
    <w:rsid w:val="1D97DEFF"/>
    <w:rsid w:val="1DAE7BC5"/>
    <w:rsid w:val="1DC74540"/>
    <w:rsid w:val="1DCE7B03"/>
    <w:rsid w:val="1DD3AC9D"/>
    <w:rsid w:val="1DDF217E"/>
    <w:rsid w:val="1DE75B5A"/>
    <w:rsid w:val="1DEBA0E5"/>
    <w:rsid w:val="1DEEABF6"/>
    <w:rsid w:val="1DF200F5"/>
    <w:rsid w:val="1DF6DC8B"/>
    <w:rsid w:val="1DFB2B6B"/>
    <w:rsid w:val="1DFBF97B"/>
    <w:rsid w:val="1DFECFB6"/>
    <w:rsid w:val="1DFF2154"/>
    <w:rsid w:val="1DFF72E5"/>
    <w:rsid w:val="1E458BD9"/>
    <w:rsid w:val="1E7F1CE1"/>
    <w:rsid w:val="1E7F5864"/>
    <w:rsid w:val="1E8B3D63"/>
    <w:rsid w:val="1E972AE5"/>
    <w:rsid w:val="1E9FF332"/>
    <w:rsid w:val="1EB594A4"/>
    <w:rsid w:val="1EBF2204"/>
    <w:rsid w:val="1EDF22DC"/>
    <w:rsid w:val="1EE6E35B"/>
    <w:rsid w:val="1EEBDC1B"/>
    <w:rsid w:val="1EFC6F07"/>
    <w:rsid w:val="1EFD5E60"/>
    <w:rsid w:val="1EFEBEDC"/>
    <w:rsid w:val="1EFFAD85"/>
    <w:rsid w:val="1F5D58ED"/>
    <w:rsid w:val="1F7A7B4C"/>
    <w:rsid w:val="1F7B6107"/>
    <w:rsid w:val="1F7E3DF9"/>
    <w:rsid w:val="1F9F97ED"/>
    <w:rsid w:val="1FAF3295"/>
    <w:rsid w:val="1FCF3DFF"/>
    <w:rsid w:val="1FDD1111"/>
    <w:rsid w:val="1FDD6DCE"/>
    <w:rsid w:val="1FDF0134"/>
    <w:rsid w:val="1FDF7E30"/>
    <w:rsid w:val="1FE6F333"/>
    <w:rsid w:val="1FE96201"/>
    <w:rsid w:val="1FED1C24"/>
    <w:rsid w:val="1FEE0738"/>
    <w:rsid w:val="1FEF277C"/>
    <w:rsid w:val="1FEF7777"/>
    <w:rsid w:val="1FF56D0A"/>
    <w:rsid w:val="1FF7830D"/>
    <w:rsid w:val="1FF89D5A"/>
    <w:rsid w:val="1FFB963F"/>
    <w:rsid w:val="1FFDA84E"/>
    <w:rsid w:val="1FFE0681"/>
    <w:rsid w:val="1FFF3E59"/>
    <w:rsid w:val="1FFF79ED"/>
    <w:rsid w:val="236F463A"/>
    <w:rsid w:val="23FF9B11"/>
    <w:rsid w:val="24FA34CB"/>
    <w:rsid w:val="24FFAAFE"/>
    <w:rsid w:val="257E1229"/>
    <w:rsid w:val="25D3E763"/>
    <w:rsid w:val="25DB0A4F"/>
    <w:rsid w:val="25EF1C66"/>
    <w:rsid w:val="25F76E07"/>
    <w:rsid w:val="269F2F72"/>
    <w:rsid w:val="2738150E"/>
    <w:rsid w:val="2773DD44"/>
    <w:rsid w:val="2777517E"/>
    <w:rsid w:val="277E3BAE"/>
    <w:rsid w:val="27B71578"/>
    <w:rsid w:val="27B74BA4"/>
    <w:rsid w:val="27DF5C89"/>
    <w:rsid w:val="27DF9D6E"/>
    <w:rsid w:val="27ED9EE8"/>
    <w:rsid w:val="27F68FF7"/>
    <w:rsid w:val="27F727DC"/>
    <w:rsid w:val="27F902E5"/>
    <w:rsid w:val="27FCDCAC"/>
    <w:rsid w:val="27FF4A97"/>
    <w:rsid w:val="27FFF9A8"/>
    <w:rsid w:val="28FFA383"/>
    <w:rsid w:val="29DF6950"/>
    <w:rsid w:val="29F71A2E"/>
    <w:rsid w:val="29FF83CB"/>
    <w:rsid w:val="2AEFA8C3"/>
    <w:rsid w:val="2AEFE733"/>
    <w:rsid w:val="2AFAAB23"/>
    <w:rsid w:val="2AFB4889"/>
    <w:rsid w:val="2B5E003F"/>
    <w:rsid w:val="2B790A59"/>
    <w:rsid w:val="2BBF50A0"/>
    <w:rsid w:val="2BDA9C19"/>
    <w:rsid w:val="2BDFC5B3"/>
    <w:rsid w:val="2BE7329F"/>
    <w:rsid w:val="2BF9CBAE"/>
    <w:rsid w:val="2BFD58B3"/>
    <w:rsid w:val="2BFD7083"/>
    <w:rsid w:val="2BFF41DB"/>
    <w:rsid w:val="2C3A09B8"/>
    <w:rsid w:val="2CAD3DD1"/>
    <w:rsid w:val="2D478C23"/>
    <w:rsid w:val="2D73C6D4"/>
    <w:rsid w:val="2D771863"/>
    <w:rsid w:val="2D7B3937"/>
    <w:rsid w:val="2DA67985"/>
    <w:rsid w:val="2DB7BCF2"/>
    <w:rsid w:val="2DBDB5E2"/>
    <w:rsid w:val="2DBF92CE"/>
    <w:rsid w:val="2DC7F961"/>
    <w:rsid w:val="2DF73AE1"/>
    <w:rsid w:val="2DF75EAE"/>
    <w:rsid w:val="2DFB9B6E"/>
    <w:rsid w:val="2E47433A"/>
    <w:rsid w:val="2E7F1D75"/>
    <w:rsid w:val="2EB739BA"/>
    <w:rsid w:val="2EDF954A"/>
    <w:rsid w:val="2EEDED44"/>
    <w:rsid w:val="2EFB9BE1"/>
    <w:rsid w:val="2EFD5D4D"/>
    <w:rsid w:val="2EFD753A"/>
    <w:rsid w:val="2EFF799F"/>
    <w:rsid w:val="2F3F4F3D"/>
    <w:rsid w:val="2F3FB7FE"/>
    <w:rsid w:val="2F76DBD1"/>
    <w:rsid w:val="2F7C9142"/>
    <w:rsid w:val="2F7CA3AC"/>
    <w:rsid w:val="2F7E5DBF"/>
    <w:rsid w:val="2F7F0429"/>
    <w:rsid w:val="2FAF2A5C"/>
    <w:rsid w:val="2FAFDB14"/>
    <w:rsid w:val="2FBC8BDE"/>
    <w:rsid w:val="2FBE5002"/>
    <w:rsid w:val="2FD31A54"/>
    <w:rsid w:val="2FD7F08D"/>
    <w:rsid w:val="2FDBE969"/>
    <w:rsid w:val="2FDC9941"/>
    <w:rsid w:val="2FDD5596"/>
    <w:rsid w:val="2FDF28F3"/>
    <w:rsid w:val="2FDF85B8"/>
    <w:rsid w:val="2FECB714"/>
    <w:rsid w:val="2FED28B1"/>
    <w:rsid w:val="2FEE61DD"/>
    <w:rsid w:val="2FF3620B"/>
    <w:rsid w:val="2FF6659D"/>
    <w:rsid w:val="2FF66FB1"/>
    <w:rsid w:val="2FF793FB"/>
    <w:rsid w:val="2FF9E561"/>
    <w:rsid w:val="2FFBAFC6"/>
    <w:rsid w:val="2FFD2EC6"/>
    <w:rsid w:val="2FFD46D8"/>
    <w:rsid w:val="2FFF09A9"/>
    <w:rsid w:val="2FFF25FA"/>
    <w:rsid w:val="2FFF2787"/>
    <w:rsid w:val="2FFF6EEF"/>
    <w:rsid w:val="2FFF9655"/>
    <w:rsid w:val="2FFFEE04"/>
    <w:rsid w:val="30AFE3B5"/>
    <w:rsid w:val="317F6B33"/>
    <w:rsid w:val="31C5A68E"/>
    <w:rsid w:val="323E03A0"/>
    <w:rsid w:val="329B81E7"/>
    <w:rsid w:val="32D5C6C9"/>
    <w:rsid w:val="32D79442"/>
    <w:rsid w:val="32FF3667"/>
    <w:rsid w:val="32FF6755"/>
    <w:rsid w:val="333B7931"/>
    <w:rsid w:val="336F4053"/>
    <w:rsid w:val="3379A558"/>
    <w:rsid w:val="337F65E5"/>
    <w:rsid w:val="33B55E28"/>
    <w:rsid w:val="33B721EB"/>
    <w:rsid w:val="33BEB787"/>
    <w:rsid w:val="33BF3133"/>
    <w:rsid w:val="33DF143B"/>
    <w:rsid w:val="33F7302F"/>
    <w:rsid w:val="33F79211"/>
    <w:rsid w:val="33FB9EE0"/>
    <w:rsid w:val="33FBD0B4"/>
    <w:rsid w:val="33FE5CB2"/>
    <w:rsid w:val="343F3B68"/>
    <w:rsid w:val="34B31BDE"/>
    <w:rsid w:val="34CFDC24"/>
    <w:rsid w:val="34DF85B0"/>
    <w:rsid w:val="352CA1C3"/>
    <w:rsid w:val="353F278E"/>
    <w:rsid w:val="355F290F"/>
    <w:rsid w:val="355F8CFC"/>
    <w:rsid w:val="35B77131"/>
    <w:rsid w:val="35D90578"/>
    <w:rsid w:val="35DA2E41"/>
    <w:rsid w:val="35DA500A"/>
    <w:rsid w:val="35E949F3"/>
    <w:rsid w:val="35FB269B"/>
    <w:rsid w:val="35FC8EAD"/>
    <w:rsid w:val="363FF988"/>
    <w:rsid w:val="36DCA858"/>
    <w:rsid w:val="36DFF37A"/>
    <w:rsid w:val="36EF719A"/>
    <w:rsid w:val="374D0454"/>
    <w:rsid w:val="375C7213"/>
    <w:rsid w:val="375F7BBB"/>
    <w:rsid w:val="375F943D"/>
    <w:rsid w:val="3779BD09"/>
    <w:rsid w:val="377FF45D"/>
    <w:rsid w:val="377FFC9A"/>
    <w:rsid w:val="378DE98F"/>
    <w:rsid w:val="379E2B5A"/>
    <w:rsid w:val="379F6828"/>
    <w:rsid w:val="37BBFF88"/>
    <w:rsid w:val="37BF6B80"/>
    <w:rsid w:val="37D4395C"/>
    <w:rsid w:val="37DBF759"/>
    <w:rsid w:val="37E37B2D"/>
    <w:rsid w:val="37E8FA88"/>
    <w:rsid w:val="37E9FE75"/>
    <w:rsid w:val="37EDE9E6"/>
    <w:rsid w:val="37F677C3"/>
    <w:rsid w:val="37FC31A8"/>
    <w:rsid w:val="37FD1E2E"/>
    <w:rsid w:val="37FD33D4"/>
    <w:rsid w:val="3935BF1D"/>
    <w:rsid w:val="393D9442"/>
    <w:rsid w:val="395B054F"/>
    <w:rsid w:val="397F6937"/>
    <w:rsid w:val="397FCE8B"/>
    <w:rsid w:val="39A4AAC3"/>
    <w:rsid w:val="39B7D423"/>
    <w:rsid w:val="39BF04EF"/>
    <w:rsid w:val="39BFDE82"/>
    <w:rsid w:val="39CFFD5F"/>
    <w:rsid w:val="39DEB9A2"/>
    <w:rsid w:val="39DFB088"/>
    <w:rsid w:val="39E550A5"/>
    <w:rsid w:val="39F9D6E5"/>
    <w:rsid w:val="39FAE5E7"/>
    <w:rsid w:val="39FBB978"/>
    <w:rsid w:val="39FEB5E9"/>
    <w:rsid w:val="3A7F1262"/>
    <w:rsid w:val="3A7F37D1"/>
    <w:rsid w:val="3A870A49"/>
    <w:rsid w:val="3ABEFDD1"/>
    <w:rsid w:val="3AEBDD43"/>
    <w:rsid w:val="3AEDC489"/>
    <w:rsid w:val="3AF21702"/>
    <w:rsid w:val="3AF52D9A"/>
    <w:rsid w:val="3AFF36B2"/>
    <w:rsid w:val="3B090F2F"/>
    <w:rsid w:val="3B5AD440"/>
    <w:rsid w:val="3B6EDE74"/>
    <w:rsid w:val="3B6F4FEE"/>
    <w:rsid w:val="3B6FF6D6"/>
    <w:rsid w:val="3B7A8B09"/>
    <w:rsid w:val="3B7F7F34"/>
    <w:rsid w:val="3B7FC350"/>
    <w:rsid w:val="3B8E6918"/>
    <w:rsid w:val="3B8F36BC"/>
    <w:rsid w:val="3BAF5DA7"/>
    <w:rsid w:val="3BB4FD21"/>
    <w:rsid w:val="3BBB64C6"/>
    <w:rsid w:val="3BCEFB40"/>
    <w:rsid w:val="3BD5826D"/>
    <w:rsid w:val="3BDDA24A"/>
    <w:rsid w:val="3BDF8EFC"/>
    <w:rsid w:val="3BDFB23D"/>
    <w:rsid w:val="3BDFFF30"/>
    <w:rsid w:val="3BEEACC3"/>
    <w:rsid w:val="3BF396CA"/>
    <w:rsid w:val="3BF75A87"/>
    <w:rsid w:val="3BF75C11"/>
    <w:rsid w:val="3BF93D0A"/>
    <w:rsid w:val="3BFBB1A0"/>
    <w:rsid w:val="3BFBE3EE"/>
    <w:rsid w:val="3BFC66F9"/>
    <w:rsid w:val="3BFE6AC4"/>
    <w:rsid w:val="3BFE7555"/>
    <w:rsid w:val="3BFE8805"/>
    <w:rsid w:val="3BFEAE4F"/>
    <w:rsid w:val="3BFF2C11"/>
    <w:rsid w:val="3BFF89E2"/>
    <w:rsid w:val="3BFF8BE1"/>
    <w:rsid w:val="3BFFC9A2"/>
    <w:rsid w:val="3BFFF1CA"/>
    <w:rsid w:val="3C6775EB"/>
    <w:rsid w:val="3C8F5482"/>
    <w:rsid w:val="3CAF246E"/>
    <w:rsid w:val="3CBDCA9C"/>
    <w:rsid w:val="3CEFE89B"/>
    <w:rsid w:val="3CF27B37"/>
    <w:rsid w:val="3CFF282A"/>
    <w:rsid w:val="3CFF313F"/>
    <w:rsid w:val="3CFF64EC"/>
    <w:rsid w:val="3D3E3F67"/>
    <w:rsid w:val="3D3E4E90"/>
    <w:rsid w:val="3D460EBA"/>
    <w:rsid w:val="3D4DC015"/>
    <w:rsid w:val="3D5F7281"/>
    <w:rsid w:val="3D6B98B2"/>
    <w:rsid w:val="3D6F96B5"/>
    <w:rsid w:val="3D7F5CAD"/>
    <w:rsid w:val="3D7F6ABB"/>
    <w:rsid w:val="3D9B4508"/>
    <w:rsid w:val="3DAF8563"/>
    <w:rsid w:val="3DB34D3D"/>
    <w:rsid w:val="3DB7438A"/>
    <w:rsid w:val="3DCBE4C3"/>
    <w:rsid w:val="3DD6047F"/>
    <w:rsid w:val="3DD70839"/>
    <w:rsid w:val="3DD985D2"/>
    <w:rsid w:val="3DDF0495"/>
    <w:rsid w:val="3DDF605D"/>
    <w:rsid w:val="3DDF9040"/>
    <w:rsid w:val="3DF523DE"/>
    <w:rsid w:val="3DF73B17"/>
    <w:rsid w:val="3DF7C894"/>
    <w:rsid w:val="3DFB39C7"/>
    <w:rsid w:val="3DFC3254"/>
    <w:rsid w:val="3DFE983A"/>
    <w:rsid w:val="3DFEAACF"/>
    <w:rsid w:val="3DFFA542"/>
    <w:rsid w:val="3E5EC0C5"/>
    <w:rsid w:val="3E5FBCDD"/>
    <w:rsid w:val="3E7AFBB8"/>
    <w:rsid w:val="3E7C74CE"/>
    <w:rsid w:val="3EAE664D"/>
    <w:rsid w:val="3EB3885C"/>
    <w:rsid w:val="3EBB1F2F"/>
    <w:rsid w:val="3EBD276C"/>
    <w:rsid w:val="3ECDAC0B"/>
    <w:rsid w:val="3EE54335"/>
    <w:rsid w:val="3EEE2FF1"/>
    <w:rsid w:val="3EF75B03"/>
    <w:rsid w:val="3EFB473D"/>
    <w:rsid w:val="3EFC82F3"/>
    <w:rsid w:val="3EFED588"/>
    <w:rsid w:val="3EFFD3F1"/>
    <w:rsid w:val="3EFFD9BD"/>
    <w:rsid w:val="3EFFE166"/>
    <w:rsid w:val="3EFFE3AA"/>
    <w:rsid w:val="3F1FBA97"/>
    <w:rsid w:val="3F2F870F"/>
    <w:rsid w:val="3F3D332A"/>
    <w:rsid w:val="3F3DD0AD"/>
    <w:rsid w:val="3F3EC181"/>
    <w:rsid w:val="3F3FAD4C"/>
    <w:rsid w:val="3F450FB9"/>
    <w:rsid w:val="3F459741"/>
    <w:rsid w:val="3F5FBE96"/>
    <w:rsid w:val="3F6A00AE"/>
    <w:rsid w:val="3F7B5FA4"/>
    <w:rsid w:val="3F7BE5D8"/>
    <w:rsid w:val="3F7D5B09"/>
    <w:rsid w:val="3F7D76E8"/>
    <w:rsid w:val="3F7EFA01"/>
    <w:rsid w:val="3F7F3D21"/>
    <w:rsid w:val="3F7F8178"/>
    <w:rsid w:val="3F7FAF89"/>
    <w:rsid w:val="3F7FD84C"/>
    <w:rsid w:val="3F8EC91E"/>
    <w:rsid w:val="3F97B082"/>
    <w:rsid w:val="3F97FCE2"/>
    <w:rsid w:val="3FAA2538"/>
    <w:rsid w:val="3FB2C972"/>
    <w:rsid w:val="3FB717CE"/>
    <w:rsid w:val="3FBBAC46"/>
    <w:rsid w:val="3FBF1F7C"/>
    <w:rsid w:val="3FBF2143"/>
    <w:rsid w:val="3FBF880A"/>
    <w:rsid w:val="3FBF8828"/>
    <w:rsid w:val="3FBFB939"/>
    <w:rsid w:val="3FBFEBD5"/>
    <w:rsid w:val="3FC32349"/>
    <w:rsid w:val="3FCB1E8E"/>
    <w:rsid w:val="3FCCB241"/>
    <w:rsid w:val="3FCD8E2B"/>
    <w:rsid w:val="3FCDB63D"/>
    <w:rsid w:val="3FD36BD3"/>
    <w:rsid w:val="3FD3768F"/>
    <w:rsid w:val="3FD3F959"/>
    <w:rsid w:val="3FDA7379"/>
    <w:rsid w:val="3FDE8A9E"/>
    <w:rsid w:val="3FDF9DEB"/>
    <w:rsid w:val="3FE1F7CE"/>
    <w:rsid w:val="3FE7536D"/>
    <w:rsid w:val="3FE7FFCA"/>
    <w:rsid w:val="3FEAF475"/>
    <w:rsid w:val="3FEB0B38"/>
    <w:rsid w:val="3FEBD6E0"/>
    <w:rsid w:val="3FECC88E"/>
    <w:rsid w:val="3FEDBC5D"/>
    <w:rsid w:val="3FEF671C"/>
    <w:rsid w:val="3FEF8D51"/>
    <w:rsid w:val="3FEFA02F"/>
    <w:rsid w:val="3FEFB96E"/>
    <w:rsid w:val="3FF64737"/>
    <w:rsid w:val="3FF65B62"/>
    <w:rsid w:val="3FF71006"/>
    <w:rsid w:val="3FF76861"/>
    <w:rsid w:val="3FF77472"/>
    <w:rsid w:val="3FF79345"/>
    <w:rsid w:val="3FF79C75"/>
    <w:rsid w:val="3FF7DD5B"/>
    <w:rsid w:val="3FF992C8"/>
    <w:rsid w:val="3FFA144A"/>
    <w:rsid w:val="3FFB067F"/>
    <w:rsid w:val="3FFB10D2"/>
    <w:rsid w:val="3FFB4ABA"/>
    <w:rsid w:val="3FFB8105"/>
    <w:rsid w:val="3FFBDC6A"/>
    <w:rsid w:val="3FFBEFB3"/>
    <w:rsid w:val="3FFD291F"/>
    <w:rsid w:val="3FFD73AD"/>
    <w:rsid w:val="3FFD9DE8"/>
    <w:rsid w:val="3FFDC463"/>
    <w:rsid w:val="3FFE151C"/>
    <w:rsid w:val="3FFE7C15"/>
    <w:rsid w:val="3FFEA42B"/>
    <w:rsid w:val="3FFF002E"/>
    <w:rsid w:val="3FFF0542"/>
    <w:rsid w:val="3FFF0623"/>
    <w:rsid w:val="3FFF479F"/>
    <w:rsid w:val="3FFF61E7"/>
    <w:rsid w:val="3FFF671E"/>
    <w:rsid w:val="3FFF83F0"/>
    <w:rsid w:val="3FFF914F"/>
    <w:rsid w:val="3FFF9A52"/>
    <w:rsid w:val="3FFF9C43"/>
    <w:rsid w:val="3FFFA3E4"/>
    <w:rsid w:val="3FFFA6FE"/>
    <w:rsid w:val="3FFFA712"/>
    <w:rsid w:val="3FFFB8F8"/>
    <w:rsid w:val="3FFFC00C"/>
    <w:rsid w:val="3FFFD05A"/>
    <w:rsid w:val="3FFFF201"/>
    <w:rsid w:val="3FFFF5A9"/>
    <w:rsid w:val="40FB81F0"/>
    <w:rsid w:val="417F11A0"/>
    <w:rsid w:val="42FFE05B"/>
    <w:rsid w:val="43CBF51F"/>
    <w:rsid w:val="43CC70A5"/>
    <w:rsid w:val="43FF12E4"/>
    <w:rsid w:val="457B4A3E"/>
    <w:rsid w:val="45CD0298"/>
    <w:rsid w:val="45DE3A22"/>
    <w:rsid w:val="46BD68AB"/>
    <w:rsid w:val="46DB1BF6"/>
    <w:rsid w:val="46F73AC1"/>
    <w:rsid w:val="46FA04B8"/>
    <w:rsid w:val="477D4B38"/>
    <w:rsid w:val="477FAD97"/>
    <w:rsid w:val="477FBA41"/>
    <w:rsid w:val="4793A4CA"/>
    <w:rsid w:val="47AF40F2"/>
    <w:rsid w:val="47BBE4AA"/>
    <w:rsid w:val="47DDA23F"/>
    <w:rsid w:val="47DE784F"/>
    <w:rsid w:val="47DF818F"/>
    <w:rsid w:val="47EE8026"/>
    <w:rsid w:val="47EFF746"/>
    <w:rsid w:val="47F2A2B2"/>
    <w:rsid w:val="47F9AE25"/>
    <w:rsid w:val="47FB0D0E"/>
    <w:rsid w:val="489DCBF6"/>
    <w:rsid w:val="491FF225"/>
    <w:rsid w:val="497EF2D6"/>
    <w:rsid w:val="49F6FB51"/>
    <w:rsid w:val="4A27E46F"/>
    <w:rsid w:val="4ADEE513"/>
    <w:rsid w:val="4AF78265"/>
    <w:rsid w:val="4AFDBABC"/>
    <w:rsid w:val="4B4F322F"/>
    <w:rsid w:val="4B7E5C8B"/>
    <w:rsid w:val="4B8F9981"/>
    <w:rsid w:val="4B9FD184"/>
    <w:rsid w:val="4BEF05B3"/>
    <w:rsid w:val="4BF71825"/>
    <w:rsid w:val="4BFD30B3"/>
    <w:rsid w:val="4C3F0BE1"/>
    <w:rsid w:val="4CFE91E4"/>
    <w:rsid w:val="4D1D33E7"/>
    <w:rsid w:val="4D2FD4DC"/>
    <w:rsid w:val="4D75089E"/>
    <w:rsid w:val="4D7FC355"/>
    <w:rsid w:val="4D918563"/>
    <w:rsid w:val="4DA16E5E"/>
    <w:rsid w:val="4DBA0474"/>
    <w:rsid w:val="4DF621C3"/>
    <w:rsid w:val="4DFB1B61"/>
    <w:rsid w:val="4DFFE2CF"/>
    <w:rsid w:val="4E0B628D"/>
    <w:rsid w:val="4E7F62CA"/>
    <w:rsid w:val="4E9FF7FF"/>
    <w:rsid w:val="4ED75ED0"/>
    <w:rsid w:val="4EE9B767"/>
    <w:rsid w:val="4EF6137B"/>
    <w:rsid w:val="4EF6BEEF"/>
    <w:rsid w:val="4EF9CAB6"/>
    <w:rsid w:val="4EFE16F4"/>
    <w:rsid w:val="4EFE5F50"/>
    <w:rsid w:val="4F3B72E1"/>
    <w:rsid w:val="4F4E5649"/>
    <w:rsid w:val="4F5BECB7"/>
    <w:rsid w:val="4F6F719C"/>
    <w:rsid w:val="4F7B0642"/>
    <w:rsid w:val="4F7D6381"/>
    <w:rsid w:val="4F7FD505"/>
    <w:rsid w:val="4F7FE9C4"/>
    <w:rsid w:val="4F95FE5F"/>
    <w:rsid w:val="4F9FAEBF"/>
    <w:rsid w:val="4FA7164F"/>
    <w:rsid w:val="4FABD939"/>
    <w:rsid w:val="4FBB6FC1"/>
    <w:rsid w:val="4FD2BEBE"/>
    <w:rsid w:val="4FDE3A43"/>
    <w:rsid w:val="4FE68CE9"/>
    <w:rsid w:val="4FE9CDE5"/>
    <w:rsid w:val="4FEF75D1"/>
    <w:rsid w:val="4FEFAE77"/>
    <w:rsid w:val="4FF2C527"/>
    <w:rsid w:val="4FF3807C"/>
    <w:rsid w:val="4FF52798"/>
    <w:rsid w:val="4FFBDF1A"/>
    <w:rsid w:val="4FFD205D"/>
    <w:rsid w:val="4FFD214C"/>
    <w:rsid w:val="4FFF01D6"/>
    <w:rsid w:val="4FFF412D"/>
    <w:rsid w:val="4FFFA272"/>
    <w:rsid w:val="513B65C4"/>
    <w:rsid w:val="51EEB97B"/>
    <w:rsid w:val="51F7FC27"/>
    <w:rsid w:val="51FD0DD4"/>
    <w:rsid w:val="523E5B0D"/>
    <w:rsid w:val="5276AEBC"/>
    <w:rsid w:val="52D73565"/>
    <w:rsid w:val="53738BF8"/>
    <w:rsid w:val="537F4CD0"/>
    <w:rsid w:val="537F8F99"/>
    <w:rsid w:val="537F965C"/>
    <w:rsid w:val="53BE2D84"/>
    <w:rsid w:val="53BEF57C"/>
    <w:rsid w:val="53CCC825"/>
    <w:rsid w:val="53CFE773"/>
    <w:rsid w:val="53D32530"/>
    <w:rsid w:val="53DF37E0"/>
    <w:rsid w:val="53EE0ED9"/>
    <w:rsid w:val="53EF660F"/>
    <w:rsid w:val="53FB82AE"/>
    <w:rsid w:val="53FF597E"/>
    <w:rsid w:val="54527D3C"/>
    <w:rsid w:val="54581D93"/>
    <w:rsid w:val="547AA9EB"/>
    <w:rsid w:val="54AE3E4E"/>
    <w:rsid w:val="54D7361C"/>
    <w:rsid w:val="54E45067"/>
    <w:rsid w:val="54FF111F"/>
    <w:rsid w:val="54FF41E3"/>
    <w:rsid w:val="554D4551"/>
    <w:rsid w:val="555F81F9"/>
    <w:rsid w:val="558F05B2"/>
    <w:rsid w:val="5597B8CD"/>
    <w:rsid w:val="559FC399"/>
    <w:rsid w:val="55DAF198"/>
    <w:rsid w:val="55EDE7D3"/>
    <w:rsid w:val="55F93C61"/>
    <w:rsid w:val="55FC1417"/>
    <w:rsid w:val="561E32D9"/>
    <w:rsid w:val="5677D1B0"/>
    <w:rsid w:val="567E1DC3"/>
    <w:rsid w:val="567F1897"/>
    <w:rsid w:val="56BEF4CA"/>
    <w:rsid w:val="56D8069C"/>
    <w:rsid w:val="56D84BC8"/>
    <w:rsid w:val="56DA6811"/>
    <w:rsid w:val="56FD1E14"/>
    <w:rsid w:val="570E4F1A"/>
    <w:rsid w:val="576FEED6"/>
    <w:rsid w:val="5777D4F5"/>
    <w:rsid w:val="577BE6E8"/>
    <w:rsid w:val="577F535B"/>
    <w:rsid w:val="577F9E08"/>
    <w:rsid w:val="577FB9AA"/>
    <w:rsid w:val="579EAA04"/>
    <w:rsid w:val="579F773B"/>
    <w:rsid w:val="579FF814"/>
    <w:rsid w:val="57B5B0CD"/>
    <w:rsid w:val="57BBCAD4"/>
    <w:rsid w:val="57CFAF71"/>
    <w:rsid w:val="57CFBAF3"/>
    <w:rsid w:val="57D77E12"/>
    <w:rsid w:val="57D78D00"/>
    <w:rsid w:val="57DE0533"/>
    <w:rsid w:val="57DEB179"/>
    <w:rsid w:val="57EF0F8E"/>
    <w:rsid w:val="57EF8DAB"/>
    <w:rsid w:val="57F71F6D"/>
    <w:rsid w:val="57F791E9"/>
    <w:rsid w:val="57F7DFBE"/>
    <w:rsid w:val="57F9EF21"/>
    <w:rsid w:val="57FA56C6"/>
    <w:rsid w:val="57FB9B50"/>
    <w:rsid w:val="57FBB6F2"/>
    <w:rsid w:val="57FBFF2E"/>
    <w:rsid w:val="57FDEC62"/>
    <w:rsid w:val="57FF41EE"/>
    <w:rsid w:val="585E7726"/>
    <w:rsid w:val="587F8D82"/>
    <w:rsid w:val="58B52AF9"/>
    <w:rsid w:val="58CB227E"/>
    <w:rsid w:val="58DE934E"/>
    <w:rsid w:val="58E6D541"/>
    <w:rsid w:val="58FF95EE"/>
    <w:rsid w:val="591AC3CA"/>
    <w:rsid w:val="592DA452"/>
    <w:rsid w:val="596F819F"/>
    <w:rsid w:val="597A573B"/>
    <w:rsid w:val="597FEDA6"/>
    <w:rsid w:val="59BB428E"/>
    <w:rsid w:val="59DD8326"/>
    <w:rsid w:val="59FBE425"/>
    <w:rsid w:val="59FF36D2"/>
    <w:rsid w:val="59FF3C7F"/>
    <w:rsid w:val="59FF6000"/>
    <w:rsid w:val="59FF8A65"/>
    <w:rsid w:val="5A7B22CB"/>
    <w:rsid w:val="5A7DE496"/>
    <w:rsid w:val="5ABDDF61"/>
    <w:rsid w:val="5AED778F"/>
    <w:rsid w:val="5AEDC8BD"/>
    <w:rsid w:val="5AEFF622"/>
    <w:rsid w:val="5AFB92B0"/>
    <w:rsid w:val="5AFC3B19"/>
    <w:rsid w:val="5AFFA6EC"/>
    <w:rsid w:val="5B170906"/>
    <w:rsid w:val="5B35FEDC"/>
    <w:rsid w:val="5B3A5069"/>
    <w:rsid w:val="5B3B26EE"/>
    <w:rsid w:val="5B5FCDD2"/>
    <w:rsid w:val="5B6CC65A"/>
    <w:rsid w:val="5B75DA67"/>
    <w:rsid w:val="5B7B85CA"/>
    <w:rsid w:val="5B7CED03"/>
    <w:rsid w:val="5B7F8C68"/>
    <w:rsid w:val="5B7FD2E1"/>
    <w:rsid w:val="5B975CBD"/>
    <w:rsid w:val="5BA74535"/>
    <w:rsid w:val="5BAB6CBE"/>
    <w:rsid w:val="5BB70B9D"/>
    <w:rsid w:val="5BBB98D4"/>
    <w:rsid w:val="5BBD5923"/>
    <w:rsid w:val="5BBF9988"/>
    <w:rsid w:val="5BD5F9BB"/>
    <w:rsid w:val="5BDB32FF"/>
    <w:rsid w:val="5BDD1911"/>
    <w:rsid w:val="5BDE8B6F"/>
    <w:rsid w:val="5BDF0D5F"/>
    <w:rsid w:val="5BE14D14"/>
    <w:rsid w:val="5BE5526E"/>
    <w:rsid w:val="5BEBD651"/>
    <w:rsid w:val="5BEFA678"/>
    <w:rsid w:val="5BEFD05A"/>
    <w:rsid w:val="5BF2A69D"/>
    <w:rsid w:val="5BF62F94"/>
    <w:rsid w:val="5BFA4F59"/>
    <w:rsid w:val="5BFC03EF"/>
    <w:rsid w:val="5BFE8942"/>
    <w:rsid w:val="5BFFC3FB"/>
    <w:rsid w:val="5BFFC432"/>
    <w:rsid w:val="5C1E8816"/>
    <w:rsid w:val="5CC74A16"/>
    <w:rsid w:val="5CDF8671"/>
    <w:rsid w:val="5CDFD4CD"/>
    <w:rsid w:val="5CE3E737"/>
    <w:rsid w:val="5CF5CC69"/>
    <w:rsid w:val="5CFEF8A1"/>
    <w:rsid w:val="5CFFADCF"/>
    <w:rsid w:val="5D1FE1F4"/>
    <w:rsid w:val="5D3FAC74"/>
    <w:rsid w:val="5D6C85F5"/>
    <w:rsid w:val="5D6F6B93"/>
    <w:rsid w:val="5D7DB767"/>
    <w:rsid w:val="5D7FB32F"/>
    <w:rsid w:val="5DB3EFA4"/>
    <w:rsid w:val="5DBA94F4"/>
    <w:rsid w:val="5DBBC1D4"/>
    <w:rsid w:val="5DBF8409"/>
    <w:rsid w:val="5DC5932E"/>
    <w:rsid w:val="5DD22D01"/>
    <w:rsid w:val="5DDDB979"/>
    <w:rsid w:val="5DE76C83"/>
    <w:rsid w:val="5DE7C1B4"/>
    <w:rsid w:val="5DEB144A"/>
    <w:rsid w:val="5DEB2D2D"/>
    <w:rsid w:val="5DEDAD1B"/>
    <w:rsid w:val="5DEE0F94"/>
    <w:rsid w:val="5DEF592A"/>
    <w:rsid w:val="5DEFCF1B"/>
    <w:rsid w:val="5DF3227A"/>
    <w:rsid w:val="5DF75B33"/>
    <w:rsid w:val="5DF7B88A"/>
    <w:rsid w:val="5DFAAABC"/>
    <w:rsid w:val="5DFCA52F"/>
    <w:rsid w:val="5DFD4DE9"/>
    <w:rsid w:val="5DFE1146"/>
    <w:rsid w:val="5DFE2042"/>
    <w:rsid w:val="5DFEA356"/>
    <w:rsid w:val="5DFFE045"/>
    <w:rsid w:val="5DFFFE6F"/>
    <w:rsid w:val="5E5E90C9"/>
    <w:rsid w:val="5E65DAC5"/>
    <w:rsid w:val="5E6EC414"/>
    <w:rsid w:val="5E7BE787"/>
    <w:rsid w:val="5E7CEABC"/>
    <w:rsid w:val="5EB3D59A"/>
    <w:rsid w:val="5EB702E9"/>
    <w:rsid w:val="5EB79F52"/>
    <w:rsid w:val="5EBB24C1"/>
    <w:rsid w:val="5EBC72E2"/>
    <w:rsid w:val="5EDA83F5"/>
    <w:rsid w:val="5EDA9376"/>
    <w:rsid w:val="5EDF0E31"/>
    <w:rsid w:val="5EEBD525"/>
    <w:rsid w:val="5EEE9A56"/>
    <w:rsid w:val="5EEF7186"/>
    <w:rsid w:val="5EF50A82"/>
    <w:rsid w:val="5EF60E44"/>
    <w:rsid w:val="5EF753BC"/>
    <w:rsid w:val="5EFA1B31"/>
    <w:rsid w:val="5EFA41C9"/>
    <w:rsid w:val="5EFB1C2C"/>
    <w:rsid w:val="5EFBA5F4"/>
    <w:rsid w:val="5EFDCE0E"/>
    <w:rsid w:val="5EFEEB75"/>
    <w:rsid w:val="5EFF6924"/>
    <w:rsid w:val="5EFFA483"/>
    <w:rsid w:val="5F0D2B9D"/>
    <w:rsid w:val="5F1E6497"/>
    <w:rsid w:val="5F1E78B5"/>
    <w:rsid w:val="5F2DEBAC"/>
    <w:rsid w:val="5F2F0FD0"/>
    <w:rsid w:val="5F3F7F9E"/>
    <w:rsid w:val="5F3FB7D4"/>
    <w:rsid w:val="5F3FBAB5"/>
    <w:rsid w:val="5F4275F4"/>
    <w:rsid w:val="5F4F6705"/>
    <w:rsid w:val="5F5533C8"/>
    <w:rsid w:val="5F5DC043"/>
    <w:rsid w:val="5F5DCB8C"/>
    <w:rsid w:val="5F5F3D8E"/>
    <w:rsid w:val="5F5FB906"/>
    <w:rsid w:val="5F6B9EE5"/>
    <w:rsid w:val="5F6C4595"/>
    <w:rsid w:val="5F6DCAEB"/>
    <w:rsid w:val="5F6E046F"/>
    <w:rsid w:val="5F77C653"/>
    <w:rsid w:val="5F7AC7BC"/>
    <w:rsid w:val="5F7C9A01"/>
    <w:rsid w:val="5F7D12F7"/>
    <w:rsid w:val="5F7ECA40"/>
    <w:rsid w:val="5F7FBCAB"/>
    <w:rsid w:val="5F7FD0F3"/>
    <w:rsid w:val="5F8B263A"/>
    <w:rsid w:val="5F8FAF17"/>
    <w:rsid w:val="5F8FD495"/>
    <w:rsid w:val="5F8FF04A"/>
    <w:rsid w:val="5F9C9DDB"/>
    <w:rsid w:val="5F9D19C6"/>
    <w:rsid w:val="5F9D874D"/>
    <w:rsid w:val="5FA35DB9"/>
    <w:rsid w:val="5FA38184"/>
    <w:rsid w:val="5FA70E12"/>
    <w:rsid w:val="5FAD732C"/>
    <w:rsid w:val="5FAE16D5"/>
    <w:rsid w:val="5FB70CAE"/>
    <w:rsid w:val="5FB93A64"/>
    <w:rsid w:val="5FBEA2DC"/>
    <w:rsid w:val="5FBFEE6F"/>
    <w:rsid w:val="5FBFF513"/>
    <w:rsid w:val="5FC303D2"/>
    <w:rsid w:val="5FC30CF5"/>
    <w:rsid w:val="5FC6BB1E"/>
    <w:rsid w:val="5FCF3D42"/>
    <w:rsid w:val="5FCF698D"/>
    <w:rsid w:val="5FD75460"/>
    <w:rsid w:val="5FD7E36C"/>
    <w:rsid w:val="5FDA1719"/>
    <w:rsid w:val="5FDA297C"/>
    <w:rsid w:val="5FDBD661"/>
    <w:rsid w:val="5FDD6B1D"/>
    <w:rsid w:val="5FDDE631"/>
    <w:rsid w:val="5FDF549C"/>
    <w:rsid w:val="5FDFBB92"/>
    <w:rsid w:val="5FE2F097"/>
    <w:rsid w:val="5FE94A97"/>
    <w:rsid w:val="5FE95C56"/>
    <w:rsid w:val="5FEBBE36"/>
    <w:rsid w:val="5FEC2CCE"/>
    <w:rsid w:val="5FEC5AFD"/>
    <w:rsid w:val="5FEE57E4"/>
    <w:rsid w:val="5FEE5FC8"/>
    <w:rsid w:val="5FEE9F23"/>
    <w:rsid w:val="5FEF33EF"/>
    <w:rsid w:val="5FEF509E"/>
    <w:rsid w:val="5FEF9FE5"/>
    <w:rsid w:val="5FF35BF6"/>
    <w:rsid w:val="5FF52C9F"/>
    <w:rsid w:val="5FF720F1"/>
    <w:rsid w:val="5FF7211D"/>
    <w:rsid w:val="5FF746F4"/>
    <w:rsid w:val="5FF78516"/>
    <w:rsid w:val="5FF952BA"/>
    <w:rsid w:val="5FFA4404"/>
    <w:rsid w:val="5FFA5DB7"/>
    <w:rsid w:val="5FFBEBA8"/>
    <w:rsid w:val="5FFD4745"/>
    <w:rsid w:val="5FFD686F"/>
    <w:rsid w:val="5FFDA1F5"/>
    <w:rsid w:val="5FFDC03D"/>
    <w:rsid w:val="5FFE10FC"/>
    <w:rsid w:val="5FFED210"/>
    <w:rsid w:val="5FFF0332"/>
    <w:rsid w:val="5FFF0652"/>
    <w:rsid w:val="5FFF1634"/>
    <w:rsid w:val="5FFF4AE7"/>
    <w:rsid w:val="5FFF5E78"/>
    <w:rsid w:val="5FFF837C"/>
    <w:rsid w:val="5FFF899E"/>
    <w:rsid w:val="5FFFA121"/>
    <w:rsid w:val="60F79276"/>
    <w:rsid w:val="617E58E5"/>
    <w:rsid w:val="619E9523"/>
    <w:rsid w:val="61D34EA0"/>
    <w:rsid w:val="61F5E243"/>
    <w:rsid w:val="61FF5E60"/>
    <w:rsid w:val="6273B262"/>
    <w:rsid w:val="62EBBBCA"/>
    <w:rsid w:val="62EF082C"/>
    <w:rsid w:val="62FFDA10"/>
    <w:rsid w:val="633C604D"/>
    <w:rsid w:val="635BD840"/>
    <w:rsid w:val="6366D4E8"/>
    <w:rsid w:val="637FEE37"/>
    <w:rsid w:val="638F1C02"/>
    <w:rsid w:val="63A70792"/>
    <w:rsid w:val="63B71781"/>
    <w:rsid w:val="63BF3F86"/>
    <w:rsid w:val="63EFDAC0"/>
    <w:rsid w:val="63F6C067"/>
    <w:rsid w:val="63FB5556"/>
    <w:rsid w:val="63FF6B07"/>
    <w:rsid w:val="64D6E1E2"/>
    <w:rsid w:val="64ECFCC6"/>
    <w:rsid w:val="64FCFA70"/>
    <w:rsid w:val="64FFEC5B"/>
    <w:rsid w:val="656F7271"/>
    <w:rsid w:val="657689FA"/>
    <w:rsid w:val="657DBDEC"/>
    <w:rsid w:val="65B56677"/>
    <w:rsid w:val="65BA112F"/>
    <w:rsid w:val="65DB45B8"/>
    <w:rsid w:val="65F72372"/>
    <w:rsid w:val="65FFC0B9"/>
    <w:rsid w:val="65FFFF60"/>
    <w:rsid w:val="65FFFFB4"/>
    <w:rsid w:val="665ED0E4"/>
    <w:rsid w:val="665FA71A"/>
    <w:rsid w:val="666F1214"/>
    <w:rsid w:val="667D6D28"/>
    <w:rsid w:val="667E1FF3"/>
    <w:rsid w:val="669FE73B"/>
    <w:rsid w:val="66BAF1CA"/>
    <w:rsid w:val="66D5A58D"/>
    <w:rsid w:val="66E71358"/>
    <w:rsid w:val="66EF5CF5"/>
    <w:rsid w:val="66F7AEB5"/>
    <w:rsid w:val="66FF6685"/>
    <w:rsid w:val="67373092"/>
    <w:rsid w:val="673DE429"/>
    <w:rsid w:val="674F1E48"/>
    <w:rsid w:val="677666EE"/>
    <w:rsid w:val="677D0A54"/>
    <w:rsid w:val="677D30C6"/>
    <w:rsid w:val="677DD171"/>
    <w:rsid w:val="67AEBACE"/>
    <w:rsid w:val="67AFE1A3"/>
    <w:rsid w:val="67BDD6C5"/>
    <w:rsid w:val="67BF3D1B"/>
    <w:rsid w:val="67BF732F"/>
    <w:rsid w:val="67DA293F"/>
    <w:rsid w:val="67DA5F8A"/>
    <w:rsid w:val="67DE0CB2"/>
    <w:rsid w:val="67DE1C28"/>
    <w:rsid w:val="67DF436D"/>
    <w:rsid w:val="67DF5AC0"/>
    <w:rsid w:val="67DF8509"/>
    <w:rsid w:val="67DFD520"/>
    <w:rsid w:val="67EF498A"/>
    <w:rsid w:val="67EF9531"/>
    <w:rsid w:val="67EFBC7E"/>
    <w:rsid w:val="67F1D518"/>
    <w:rsid w:val="67F6DEED"/>
    <w:rsid w:val="67F77A69"/>
    <w:rsid w:val="67F991A8"/>
    <w:rsid w:val="67FA892A"/>
    <w:rsid w:val="67FD2010"/>
    <w:rsid w:val="67FD6223"/>
    <w:rsid w:val="67FF5184"/>
    <w:rsid w:val="67FF5C0B"/>
    <w:rsid w:val="67FF96D5"/>
    <w:rsid w:val="67FFAA93"/>
    <w:rsid w:val="67FFAC51"/>
    <w:rsid w:val="67FFDC24"/>
    <w:rsid w:val="69579052"/>
    <w:rsid w:val="69BF154B"/>
    <w:rsid w:val="69DC8C90"/>
    <w:rsid w:val="69F5142D"/>
    <w:rsid w:val="69F58651"/>
    <w:rsid w:val="69F71C64"/>
    <w:rsid w:val="69FF31DA"/>
    <w:rsid w:val="69FFA032"/>
    <w:rsid w:val="69FFC04F"/>
    <w:rsid w:val="6A468A00"/>
    <w:rsid w:val="6A7119F0"/>
    <w:rsid w:val="6A8E28BF"/>
    <w:rsid w:val="6AB7113E"/>
    <w:rsid w:val="6ABEA12C"/>
    <w:rsid w:val="6AE26C3F"/>
    <w:rsid w:val="6AEA144B"/>
    <w:rsid w:val="6AEDA371"/>
    <w:rsid w:val="6AEF90F6"/>
    <w:rsid w:val="6AF38EB3"/>
    <w:rsid w:val="6AF5D8F7"/>
    <w:rsid w:val="6AFB223C"/>
    <w:rsid w:val="6AFF9E71"/>
    <w:rsid w:val="6B3B3507"/>
    <w:rsid w:val="6B5FE512"/>
    <w:rsid w:val="6B6FF24C"/>
    <w:rsid w:val="6B6FF3ED"/>
    <w:rsid w:val="6B7F78E5"/>
    <w:rsid w:val="6B7F943B"/>
    <w:rsid w:val="6B7FA129"/>
    <w:rsid w:val="6B9D9A32"/>
    <w:rsid w:val="6BBF4FB5"/>
    <w:rsid w:val="6BC5C084"/>
    <w:rsid w:val="6BC92977"/>
    <w:rsid w:val="6BDB95AC"/>
    <w:rsid w:val="6BDC5A0B"/>
    <w:rsid w:val="6BEF2D78"/>
    <w:rsid w:val="6BEF6B84"/>
    <w:rsid w:val="6BF335C8"/>
    <w:rsid w:val="6BFB2ADC"/>
    <w:rsid w:val="6BFC9C0B"/>
    <w:rsid w:val="6BFD039F"/>
    <w:rsid w:val="6BFD5AAC"/>
    <w:rsid w:val="6BFF816A"/>
    <w:rsid w:val="6BFF88DE"/>
    <w:rsid w:val="6BFFA771"/>
    <w:rsid w:val="6C6FC162"/>
    <w:rsid w:val="6C7F2D1A"/>
    <w:rsid w:val="6CB315EA"/>
    <w:rsid w:val="6CBD5AD2"/>
    <w:rsid w:val="6CCE389E"/>
    <w:rsid w:val="6CCF1CD7"/>
    <w:rsid w:val="6CD64170"/>
    <w:rsid w:val="6CDA9488"/>
    <w:rsid w:val="6CDB46DF"/>
    <w:rsid w:val="6CDB6B44"/>
    <w:rsid w:val="6CE57717"/>
    <w:rsid w:val="6CF74345"/>
    <w:rsid w:val="6CF74BD1"/>
    <w:rsid w:val="6CF75CD9"/>
    <w:rsid w:val="6D1DA335"/>
    <w:rsid w:val="6D37713E"/>
    <w:rsid w:val="6D3DCFB0"/>
    <w:rsid w:val="6D3F9E1E"/>
    <w:rsid w:val="6D5BE5DC"/>
    <w:rsid w:val="6D5DDA84"/>
    <w:rsid w:val="6D730C8B"/>
    <w:rsid w:val="6D9D72EB"/>
    <w:rsid w:val="6DB3528C"/>
    <w:rsid w:val="6DB73D81"/>
    <w:rsid w:val="6DB7B81A"/>
    <w:rsid w:val="6DCA5650"/>
    <w:rsid w:val="6DCB46D7"/>
    <w:rsid w:val="6DCD6BE6"/>
    <w:rsid w:val="6DE754F1"/>
    <w:rsid w:val="6DEA44DD"/>
    <w:rsid w:val="6DEBAE2A"/>
    <w:rsid w:val="6DEF9EDC"/>
    <w:rsid w:val="6DF3697A"/>
    <w:rsid w:val="6DF6EF4E"/>
    <w:rsid w:val="6DFA467F"/>
    <w:rsid w:val="6DFB9E6A"/>
    <w:rsid w:val="6DFC910A"/>
    <w:rsid w:val="6DFD002E"/>
    <w:rsid w:val="6DFED30B"/>
    <w:rsid w:val="6DFF1F4F"/>
    <w:rsid w:val="6DFF8CA3"/>
    <w:rsid w:val="6DFFDE16"/>
    <w:rsid w:val="6E2B48D9"/>
    <w:rsid w:val="6E3F20D5"/>
    <w:rsid w:val="6E47E1C4"/>
    <w:rsid w:val="6E5C8545"/>
    <w:rsid w:val="6E65A491"/>
    <w:rsid w:val="6E7FA240"/>
    <w:rsid w:val="6E7FAD41"/>
    <w:rsid w:val="6E7FB90C"/>
    <w:rsid w:val="6E8FC39F"/>
    <w:rsid w:val="6E9714D9"/>
    <w:rsid w:val="6E973948"/>
    <w:rsid w:val="6E9BDE41"/>
    <w:rsid w:val="6EB7BA5C"/>
    <w:rsid w:val="6EDBDE1E"/>
    <w:rsid w:val="6EDF46E2"/>
    <w:rsid w:val="6EDF5226"/>
    <w:rsid w:val="6EDF6D63"/>
    <w:rsid w:val="6EDFC9CD"/>
    <w:rsid w:val="6EE27DE8"/>
    <w:rsid w:val="6EE57F2D"/>
    <w:rsid w:val="6EEF35F7"/>
    <w:rsid w:val="6EF75A69"/>
    <w:rsid w:val="6EF95021"/>
    <w:rsid w:val="6EFA9802"/>
    <w:rsid w:val="6EFBB0D8"/>
    <w:rsid w:val="6EFC0924"/>
    <w:rsid w:val="6EFD369C"/>
    <w:rsid w:val="6EFD48EC"/>
    <w:rsid w:val="6EFE97AE"/>
    <w:rsid w:val="6EFF07C2"/>
    <w:rsid w:val="6EFF46B9"/>
    <w:rsid w:val="6EFF53B6"/>
    <w:rsid w:val="6EFF6EAA"/>
    <w:rsid w:val="6EFF9417"/>
    <w:rsid w:val="6EFFD301"/>
    <w:rsid w:val="6F1747A9"/>
    <w:rsid w:val="6F370E49"/>
    <w:rsid w:val="6F37F1B4"/>
    <w:rsid w:val="6F3E9037"/>
    <w:rsid w:val="6F4EA25D"/>
    <w:rsid w:val="6F57F0A4"/>
    <w:rsid w:val="6F5EAB91"/>
    <w:rsid w:val="6F5FA796"/>
    <w:rsid w:val="6F605B03"/>
    <w:rsid w:val="6F618A25"/>
    <w:rsid w:val="6F6FC31F"/>
    <w:rsid w:val="6F76A656"/>
    <w:rsid w:val="6F770767"/>
    <w:rsid w:val="6F7719A8"/>
    <w:rsid w:val="6F7786AB"/>
    <w:rsid w:val="6F77F517"/>
    <w:rsid w:val="6F798B3C"/>
    <w:rsid w:val="6F7E2F92"/>
    <w:rsid w:val="6F7F0F69"/>
    <w:rsid w:val="6F7F6E37"/>
    <w:rsid w:val="6F97B69A"/>
    <w:rsid w:val="6F9945F1"/>
    <w:rsid w:val="6F9F1366"/>
    <w:rsid w:val="6F9F83E8"/>
    <w:rsid w:val="6FA543AC"/>
    <w:rsid w:val="6FA6F6AF"/>
    <w:rsid w:val="6FACE213"/>
    <w:rsid w:val="6FAD30D1"/>
    <w:rsid w:val="6FAFD77F"/>
    <w:rsid w:val="6FB23F96"/>
    <w:rsid w:val="6FB74722"/>
    <w:rsid w:val="6FB8CC55"/>
    <w:rsid w:val="6FB90A44"/>
    <w:rsid w:val="6FB9F5AA"/>
    <w:rsid w:val="6FBB432A"/>
    <w:rsid w:val="6FBDAEA8"/>
    <w:rsid w:val="6FBF050D"/>
    <w:rsid w:val="6FBF1C09"/>
    <w:rsid w:val="6FBF1C20"/>
    <w:rsid w:val="6FBF4D80"/>
    <w:rsid w:val="6FBFDE96"/>
    <w:rsid w:val="6FBFE639"/>
    <w:rsid w:val="6FCB6054"/>
    <w:rsid w:val="6FCD59BB"/>
    <w:rsid w:val="6FCD6892"/>
    <w:rsid w:val="6FCDDDA0"/>
    <w:rsid w:val="6FCE0AEA"/>
    <w:rsid w:val="6FCEB31C"/>
    <w:rsid w:val="6FCF3467"/>
    <w:rsid w:val="6FCF92C0"/>
    <w:rsid w:val="6FD3842A"/>
    <w:rsid w:val="6FD616BA"/>
    <w:rsid w:val="6FDD8B6E"/>
    <w:rsid w:val="6FDD9D52"/>
    <w:rsid w:val="6FDF9173"/>
    <w:rsid w:val="6FDFA70A"/>
    <w:rsid w:val="6FDFCD4C"/>
    <w:rsid w:val="6FE6808C"/>
    <w:rsid w:val="6FE7B811"/>
    <w:rsid w:val="6FEB3A94"/>
    <w:rsid w:val="6FED322C"/>
    <w:rsid w:val="6FED81D8"/>
    <w:rsid w:val="6FEEAE1F"/>
    <w:rsid w:val="6FEF705F"/>
    <w:rsid w:val="6FEF8B7E"/>
    <w:rsid w:val="6FEFB92B"/>
    <w:rsid w:val="6FEFC6A8"/>
    <w:rsid w:val="6FEFD733"/>
    <w:rsid w:val="6FEFDE09"/>
    <w:rsid w:val="6FF6D31A"/>
    <w:rsid w:val="6FF76631"/>
    <w:rsid w:val="6FFA55D1"/>
    <w:rsid w:val="6FFAC602"/>
    <w:rsid w:val="6FFBB68D"/>
    <w:rsid w:val="6FFBE751"/>
    <w:rsid w:val="6FFD2DF6"/>
    <w:rsid w:val="6FFD3F97"/>
    <w:rsid w:val="6FFD8924"/>
    <w:rsid w:val="6FFDF7F2"/>
    <w:rsid w:val="6FFE2432"/>
    <w:rsid w:val="6FFE3410"/>
    <w:rsid w:val="6FFE8AAE"/>
    <w:rsid w:val="6FFEEA21"/>
    <w:rsid w:val="6FFEFEB5"/>
    <w:rsid w:val="6FFF0835"/>
    <w:rsid w:val="6FFF2B79"/>
    <w:rsid w:val="6FFF2C8C"/>
    <w:rsid w:val="6FFF3A02"/>
    <w:rsid w:val="6FFF519E"/>
    <w:rsid w:val="6FFF68A6"/>
    <w:rsid w:val="6FFF793A"/>
    <w:rsid w:val="6FFF9669"/>
    <w:rsid w:val="6FFFE6C4"/>
    <w:rsid w:val="705CA275"/>
    <w:rsid w:val="707E43C8"/>
    <w:rsid w:val="70C74FDC"/>
    <w:rsid w:val="717E950D"/>
    <w:rsid w:val="71A6591B"/>
    <w:rsid w:val="71AE0E48"/>
    <w:rsid w:val="71BFE535"/>
    <w:rsid w:val="71DF2195"/>
    <w:rsid w:val="71E7ADA8"/>
    <w:rsid w:val="71F61189"/>
    <w:rsid w:val="71FDB45F"/>
    <w:rsid w:val="71FFF38A"/>
    <w:rsid w:val="723EEE4D"/>
    <w:rsid w:val="726F3373"/>
    <w:rsid w:val="727E52F7"/>
    <w:rsid w:val="72BA3D00"/>
    <w:rsid w:val="72CF0C63"/>
    <w:rsid w:val="72CF2201"/>
    <w:rsid w:val="72DF89A0"/>
    <w:rsid w:val="72E301AA"/>
    <w:rsid w:val="72E5EECF"/>
    <w:rsid w:val="72FF92BD"/>
    <w:rsid w:val="732779E8"/>
    <w:rsid w:val="733E989D"/>
    <w:rsid w:val="736F686F"/>
    <w:rsid w:val="73764F5C"/>
    <w:rsid w:val="737D59BA"/>
    <w:rsid w:val="737F15EA"/>
    <w:rsid w:val="737F64B5"/>
    <w:rsid w:val="737F6CE0"/>
    <w:rsid w:val="73B3E6C7"/>
    <w:rsid w:val="73B5A521"/>
    <w:rsid w:val="73BDF759"/>
    <w:rsid w:val="73BF25AC"/>
    <w:rsid w:val="73CDA1A0"/>
    <w:rsid w:val="73D932D8"/>
    <w:rsid w:val="73D9EC0F"/>
    <w:rsid w:val="73DEA763"/>
    <w:rsid w:val="73EF89E7"/>
    <w:rsid w:val="73F30C6E"/>
    <w:rsid w:val="73F71F9F"/>
    <w:rsid w:val="73FBB3D0"/>
    <w:rsid w:val="73FBC3D0"/>
    <w:rsid w:val="73FD41A8"/>
    <w:rsid w:val="73FD72AB"/>
    <w:rsid w:val="73FEF7A3"/>
    <w:rsid w:val="73FF4EB5"/>
    <w:rsid w:val="73FF8C69"/>
    <w:rsid w:val="73FF915E"/>
    <w:rsid w:val="749E82C5"/>
    <w:rsid w:val="74A9EAED"/>
    <w:rsid w:val="74B25C1C"/>
    <w:rsid w:val="74B5A29E"/>
    <w:rsid w:val="74BF470D"/>
    <w:rsid w:val="74CF78C3"/>
    <w:rsid w:val="74F945A1"/>
    <w:rsid w:val="74FEBB7D"/>
    <w:rsid w:val="74FF9265"/>
    <w:rsid w:val="74FFA1CA"/>
    <w:rsid w:val="753D681E"/>
    <w:rsid w:val="753ED1F7"/>
    <w:rsid w:val="753F4AFE"/>
    <w:rsid w:val="755E379E"/>
    <w:rsid w:val="756DC665"/>
    <w:rsid w:val="759F6ECE"/>
    <w:rsid w:val="75A7A2F1"/>
    <w:rsid w:val="75BE204C"/>
    <w:rsid w:val="75C7312D"/>
    <w:rsid w:val="75DB24D0"/>
    <w:rsid w:val="75DDA725"/>
    <w:rsid w:val="75DDAA3F"/>
    <w:rsid w:val="75E587EE"/>
    <w:rsid w:val="75EBDDE6"/>
    <w:rsid w:val="75EDC1A5"/>
    <w:rsid w:val="75EFDF2E"/>
    <w:rsid w:val="75F5268C"/>
    <w:rsid w:val="75F708FD"/>
    <w:rsid w:val="75FB0BCF"/>
    <w:rsid w:val="75FB95E7"/>
    <w:rsid w:val="75FD96A6"/>
    <w:rsid w:val="75FEB7FF"/>
    <w:rsid w:val="75FEE4AF"/>
    <w:rsid w:val="75FF4557"/>
    <w:rsid w:val="75FF834D"/>
    <w:rsid w:val="75FFC6EE"/>
    <w:rsid w:val="762D365E"/>
    <w:rsid w:val="762DDEFE"/>
    <w:rsid w:val="763B676A"/>
    <w:rsid w:val="765C479D"/>
    <w:rsid w:val="766FDFA1"/>
    <w:rsid w:val="76710CE2"/>
    <w:rsid w:val="7677B9AE"/>
    <w:rsid w:val="767D2CC7"/>
    <w:rsid w:val="767F24B7"/>
    <w:rsid w:val="7687062C"/>
    <w:rsid w:val="769CA923"/>
    <w:rsid w:val="76B55533"/>
    <w:rsid w:val="76D52A17"/>
    <w:rsid w:val="76D7D0FA"/>
    <w:rsid w:val="76E18332"/>
    <w:rsid w:val="76EB2EE6"/>
    <w:rsid w:val="76EFB212"/>
    <w:rsid w:val="76F16761"/>
    <w:rsid w:val="76F7B8B5"/>
    <w:rsid w:val="76FCC298"/>
    <w:rsid w:val="76FF60BA"/>
    <w:rsid w:val="76FF7E6D"/>
    <w:rsid w:val="76FF9067"/>
    <w:rsid w:val="76FF9875"/>
    <w:rsid w:val="76FFA2A2"/>
    <w:rsid w:val="76FFDAC6"/>
    <w:rsid w:val="76FFFFDC"/>
    <w:rsid w:val="77391526"/>
    <w:rsid w:val="773FB833"/>
    <w:rsid w:val="774F3D67"/>
    <w:rsid w:val="774F3E2B"/>
    <w:rsid w:val="7759693B"/>
    <w:rsid w:val="776D48FE"/>
    <w:rsid w:val="776D971F"/>
    <w:rsid w:val="776F3CDB"/>
    <w:rsid w:val="776FB2D1"/>
    <w:rsid w:val="77778705"/>
    <w:rsid w:val="777BA9BB"/>
    <w:rsid w:val="777D2FB9"/>
    <w:rsid w:val="777DF1B9"/>
    <w:rsid w:val="777F1AEB"/>
    <w:rsid w:val="777F4057"/>
    <w:rsid w:val="779468ED"/>
    <w:rsid w:val="779E803D"/>
    <w:rsid w:val="779F6A19"/>
    <w:rsid w:val="779FACF0"/>
    <w:rsid w:val="779FB794"/>
    <w:rsid w:val="77AF07A8"/>
    <w:rsid w:val="77AFE1B0"/>
    <w:rsid w:val="77AFE6C1"/>
    <w:rsid w:val="77B31432"/>
    <w:rsid w:val="77B7D9CD"/>
    <w:rsid w:val="77BD4E9A"/>
    <w:rsid w:val="77BE5AB5"/>
    <w:rsid w:val="77BF0F1C"/>
    <w:rsid w:val="77BFCAA0"/>
    <w:rsid w:val="77BFFE20"/>
    <w:rsid w:val="77C37683"/>
    <w:rsid w:val="77C818B8"/>
    <w:rsid w:val="77C83844"/>
    <w:rsid w:val="77CF55A6"/>
    <w:rsid w:val="77CFACBF"/>
    <w:rsid w:val="77CFBB56"/>
    <w:rsid w:val="77CFC727"/>
    <w:rsid w:val="77D71B63"/>
    <w:rsid w:val="77DB247B"/>
    <w:rsid w:val="77DCCDDA"/>
    <w:rsid w:val="77DDA66D"/>
    <w:rsid w:val="77DF0DDC"/>
    <w:rsid w:val="77DFC6A6"/>
    <w:rsid w:val="77DFDE1F"/>
    <w:rsid w:val="77DFFEAA"/>
    <w:rsid w:val="77E00286"/>
    <w:rsid w:val="77E69A87"/>
    <w:rsid w:val="77E7A974"/>
    <w:rsid w:val="77EA3891"/>
    <w:rsid w:val="77EAB73D"/>
    <w:rsid w:val="77ED91EE"/>
    <w:rsid w:val="77EDCBDC"/>
    <w:rsid w:val="77EEBC58"/>
    <w:rsid w:val="77EED889"/>
    <w:rsid w:val="77EF8E98"/>
    <w:rsid w:val="77EFA96E"/>
    <w:rsid w:val="77F3B273"/>
    <w:rsid w:val="77F3DB66"/>
    <w:rsid w:val="77F64C80"/>
    <w:rsid w:val="77F6633D"/>
    <w:rsid w:val="77F725B4"/>
    <w:rsid w:val="77F7797F"/>
    <w:rsid w:val="77F792F7"/>
    <w:rsid w:val="77F794CF"/>
    <w:rsid w:val="77F7B333"/>
    <w:rsid w:val="77F7CA83"/>
    <w:rsid w:val="77F8651B"/>
    <w:rsid w:val="77FA868F"/>
    <w:rsid w:val="77FAE43D"/>
    <w:rsid w:val="77FBD3E4"/>
    <w:rsid w:val="77FC8628"/>
    <w:rsid w:val="77FD48B0"/>
    <w:rsid w:val="77FEE0F5"/>
    <w:rsid w:val="77FEFCD6"/>
    <w:rsid w:val="77FF083C"/>
    <w:rsid w:val="77FF50C4"/>
    <w:rsid w:val="77FF52DC"/>
    <w:rsid w:val="77FF5470"/>
    <w:rsid w:val="77FF579F"/>
    <w:rsid w:val="77FF8657"/>
    <w:rsid w:val="77FF8C00"/>
    <w:rsid w:val="77FFB5A7"/>
    <w:rsid w:val="77FFBCC6"/>
    <w:rsid w:val="77FFBD8D"/>
    <w:rsid w:val="77FFC20F"/>
    <w:rsid w:val="77FFE0ED"/>
    <w:rsid w:val="77FFFE07"/>
    <w:rsid w:val="785F6D6B"/>
    <w:rsid w:val="78B96A32"/>
    <w:rsid w:val="78DE2593"/>
    <w:rsid w:val="78EF99A7"/>
    <w:rsid w:val="78FB9942"/>
    <w:rsid w:val="78FD2E00"/>
    <w:rsid w:val="793DBB55"/>
    <w:rsid w:val="79490CA0"/>
    <w:rsid w:val="795B1ADE"/>
    <w:rsid w:val="79673A37"/>
    <w:rsid w:val="797D34CE"/>
    <w:rsid w:val="797EA984"/>
    <w:rsid w:val="79AF2E9D"/>
    <w:rsid w:val="79BF147D"/>
    <w:rsid w:val="79BF6A4A"/>
    <w:rsid w:val="79DDE05D"/>
    <w:rsid w:val="79DFA848"/>
    <w:rsid w:val="79DFABCD"/>
    <w:rsid w:val="79EF4212"/>
    <w:rsid w:val="79F66232"/>
    <w:rsid w:val="79FB2529"/>
    <w:rsid w:val="79FB5468"/>
    <w:rsid w:val="79FDAE56"/>
    <w:rsid w:val="79FE6B20"/>
    <w:rsid w:val="79FF29AD"/>
    <w:rsid w:val="79FF515B"/>
    <w:rsid w:val="79FFCDA5"/>
    <w:rsid w:val="7A13F45D"/>
    <w:rsid w:val="7A19F651"/>
    <w:rsid w:val="7A355CF6"/>
    <w:rsid w:val="7A3B3227"/>
    <w:rsid w:val="7A3E88A1"/>
    <w:rsid w:val="7A5732C4"/>
    <w:rsid w:val="7A5A8178"/>
    <w:rsid w:val="7A639F97"/>
    <w:rsid w:val="7A7929C0"/>
    <w:rsid w:val="7A7EA42C"/>
    <w:rsid w:val="7AAB11C3"/>
    <w:rsid w:val="7ABAA2CD"/>
    <w:rsid w:val="7ABB82C1"/>
    <w:rsid w:val="7ACC215F"/>
    <w:rsid w:val="7AE5D4C4"/>
    <w:rsid w:val="7AE60112"/>
    <w:rsid w:val="7AEAE3A7"/>
    <w:rsid w:val="7AEF951C"/>
    <w:rsid w:val="7AF36A0B"/>
    <w:rsid w:val="7AF54730"/>
    <w:rsid w:val="7AF573A2"/>
    <w:rsid w:val="7AF7E2F9"/>
    <w:rsid w:val="7AFA6307"/>
    <w:rsid w:val="7AFBE09A"/>
    <w:rsid w:val="7AFCAC02"/>
    <w:rsid w:val="7AFDBA58"/>
    <w:rsid w:val="7AFF0EC6"/>
    <w:rsid w:val="7AFF81EC"/>
    <w:rsid w:val="7AFFF8A9"/>
    <w:rsid w:val="7B0EB782"/>
    <w:rsid w:val="7B3739EA"/>
    <w:rsid w:val="7B5F25F3"/>
    <w:rsid w:val="7B5F2789"/>
    <w:rsid w:val="7B614604"/>
    <w:rsid w:val="7B625366"/>
    <w:rsid w:val="7B6B6813"/>
    <w:rsid w:val="7B6EBDEE"/>
    <w:rsid w:val="7B738B61"/>
    <w:rsid w:val="7B73BC6D"/>
    <w:rsid w:val="7B748D3D"/>
    <w:rsid w:val="7B75FD55"/>
    <w:rsid w:val="7B77EADD"/>
    <w:rsid w:val="7B7ACC02"/>
    <w:rsid w:val="7B7B603D"/>
    <w:rsid w:val="7B7B7327"/>
    <w:rsid w:val="7B7C62DC"/>
    <w:rsid w:val="7B7D0F79"/>
    <w:rsid w:val="7B7E28CA"/>
    <w:rsid w:val="7B7EEEAC"/>
    <w:rsid w:val="7B7F0825"/>
    <w:rsid w:val="7B7F083D"/>
    <w:rsid w:val="7B8EDFC2"/>
    <w:rsid w:val="7B9A6A92"/>
    <w:rsid w:val="7B9C6A09"/>
    <w:rsid w:val="7B9F7AF5"/>
    <w:rsid w:val="7B9FAC3D"/>
    <w:rsid w:val="7BA3BDD2"/>
    <w:rsid w:val="7BAAED7B"/>
    <w:rsid w:val="7BAD2D4E"/>
    <w:rsid w:val="7BAD83ED"/>
    <w:rsid w:val="7BB687E2"/>
    <w:rsid w:val="7BBB9CE2"/>
    <w:rsid w:val="7BBD0AA7"/>
    <w:rsid w:val="7BBD43BF"/>
    <w:rsid w:val="7BBD649E"/>
    <w:rsid w:val="7BBDA99D"/>
    <w:rsid w:val="7BBF1132"/>
    <w:rsid w:val="7BBF2EB6"/>
    <w:rsid w:val="7BBF4922"/>
    <w:rsid w:val="7BBF4CAA"/>
    <w:rsid w:val="7BBF5223"/>
    <w:rsid w:val="7BBFC3B2"/>
    <w:rsid w:val="7BC550DC"/>
    <w:rsid w:val="7BC7874A"/>
    <w:rsid w:val="7BC790A8"/>
    <w:rsid w:val="7BC83A1D"/>
    <w:rsid w:val="7BC8B69E"/>
    <w:rsid w:val="7BCF53E9"/>
    <w:rsid w:val="7BD60546"/>
    <w:rsid w:val="7BD75134"/>
    <w:rsid w:val="7BDC7E85"/>
    <w:rsid w:val="7BDD8620"/>
    <w:rsid w:val="7BDE3DE3"/>
    <w:rsid w:val="7BDF5F6B"/>
    <w:rsid w:val="7BE4DEEF"/>
    <w:rsid w:val="7BE71966"/>
    <w:rsid w:val="7BE7399E"/>
    <w:rsid w:val="7BEC63EB"/>
    <w:rsid w:val="7BEE77CC"/>
    <w:rsid w:val="7BEFBC42"/>
    <w:rsid w:val="7BEFC2D8"/>
    <w:rsid w:val="7BF2BF0E"/>
    <w:rsid w:val="7BF52FED"/>
    <w:rsid w:val="7BF71F9D"/>
    <w:rsid w:val="7BF790A2"/>
    <w:rsid w:val="7BF7B91F"/>
    <w:rsid w:val="7BF7C6CC"/>
    <w:rsid w:val="7BF81EB7"/>
    <w:rsid w:val="7BFB7410"/>
    <w:rsid w:val="7BFCFE5D"/>
    <w:rsid w:val="7BFD1C05"/>
    <w:rsid w:val="7BFE279E"/>
    <w:rsid w:val="7BFE6B7E"/>
    <w:rsid w:val="7BFE808B"/>
    <w:rsid w:val="7BFEBBF5"/>
    <w:rsid w:val="7BFF5160"/>
    <w:rsid w:val="7BFF57BE"/>
    <w:rsid w:val="7BFF78EC"/>
    <w:rsid w:val="7BFF9B53"/>
    <w:rsid w:val="7BFFA4A3"/>
    <w:rsid w:val="7BFFC87F"/>
    <w:rsid w:val="7BFFE1A6"/>
    <w:rsid w:val="7BFFFA84"/>
    <w:rsid w:val="7C59C39A"/>
    <w:rsid w:val="7C765DAF"/>
    <w:rsid w:val="7C7701F9"/>
    <w:rsid w:val="7C7A89EC"/>
    <w:rsid w:val="7C7EB94E"/>
    <w:rsid w:val="7C8D51E9"/>
    <w:rsid w:val="7C934362"/>
    <w:rsid w:val="7C9C0525"/>
    <w:rsid w:val="7CADE594"/>
    <w:rsid w:val="7CBD0BC6"/>
    <w:rsid w:val="7CBF9D6A"/>
    <w:rsid w:val="7CC6D81A"/>
    <w:rsid w:val="7CD77318"/>
    <w:rsid w:val="7CD82856"/>
    <w:rsid w:val="7CDD18FC"/>
    <w:rsid w:val="7CDF2B1A"/>
    <w:rsid w:val="7CDF66DE"/>
    <w:rsid w:val="7CE165B4"/>
    <w:rsid w:val="7CE972A6"/>
    <w:rsid w:val="7CECB82B"/>
    <w:rsid w:val="7CED00C7"/>
    <w:rsid w:val="7CED0CE2"/>
    <w:rsid w:val="7CF7E9AA"/>
    <w:rsid w:val="7CFB625A"/>
    <w:rsid w:val="7CFC03FD"/>
    <w:rsid w:val="7CFC11EE"/>
    <w:rsid w:val="7CFC55BE"/>
    <w:rsid w:val="7CFD9143"/>
    <w:rsid w:val="7CFF2A94"/>
    <w:rsid w:val="7CFF51CA"/>
    <w:rsid w:val="7CFFED0C"/>
    <w:rsid w:val="7D1F466D"/>
    <w:rsid w:val="7D247231"/>
    <w:rsid w:val="7D2F648A"/>
    <w:rsid w:val="7D4F76C6"/>
    <w:rsid w:val="7D5D4A6B"/>
    <w:rsid w:val="7D67E1E3"/>
    <w:rsid w:val="7D6D700F"/>
    <w:rsid w:val="7D73F188"/>
    <w:rsid w:val="7D77C830"/>
    <w:rsid w:val="7D77E519"/>
    <w:rsid w:val="7D77EB62"/>
    <w:rsid w:val="7D7ADF18"/>
    <w:rsid w:val="7D7D5088"/>
    <w:rsid w:val="7D7F0740"/>
    <w:rsid w:val="7D7F1013"/>
    <w:rsid w:val="7D7F9113"/>
    <w:rsid w:val="7D84C011"/>
    <w:rsid w:val="7D8E61C2"/>
    <w:rsid w:val="7D8F234F"/>
    <w:rsid w:val="7D9307DE"/>
    <w:rsid w:val="7D96CC35"/>
    <w:rsid w:val="7D9B987B"/>
    <w:rsid w:val="7DA6B98F"/>
    <w:rsid w:val="7DABD79E"/>
    <w:rsid w:val="7DAE81D9"/>
    <w:rsid w:val="7DB57273"/>
    <w:rsid w:val="7DB74049"/>
    <w:rsid w:val="7DB822CB"/>
    <w:rsid w:val="7DB8CFB6"/>
    <w:rsid w:val="7DBA31FA"/>
    <w:rsid w:val="7DBBAEC2"/>
    <w:rsid w:val="7DBBBCF1"/>
    <w:rsid w:val="7DBF08C8"/>
    <w:rsid w:val="7DBF0B8C"/>
    <w:rsid w:val="7DBF9D25"/>
    <w:rsid w:val="7DBFBB14"/>
    <w:rsid w:val="7DBFD4EB"/>
    <w:rsid w:val="7DC3E1C9"/>
    <w:rsid w:val="7DCDB8B1"/>
    <w:rsid w:val="7DDD0B8E"/>
    <w:rsid w:val="7DDD97F7"/>
    <w:rsid w:val="7DDF9A4D"/>
    <w:rsid w:val="7DE5C31B"/>
    <w:rsid w:val="7DE7010D"/>
    <w:rsid w:val="7DE7204B"/>
    <w:rsid w:val="7DE74AC2"/>
    <w:rsid w:val="7DEA3B73"/>
    <w:rsid w:val="7DEAD853"/>
    <w:rsid w:val="7DECC203"/>
    <w:rsid w:val="7DED9E27"/>
    <w:rsid w:val="7DEE2904"/>
    <w:rsid w:val="7DEE3682"/>
    <w:rsid w:val="7DEF9659"/>
    <w:rsid w:val="7DEFC97A"/>
    <w:rsid w:val="7DEFE293"/>
    <w:rsid w:val="7DEFE8B6"/>
    <w:rsid w:val="7DEFE90D"/>
    <w:rsid w:val="7DEFFDC6"/>
    <w:rsid w:val="7DF1048A"/>
    <w:rsid w:val="7DF10DB4"/>
    <w:rsid w:val="7DF3E062"/>
    <w:rsid w:val="7DF70B9A"/>
    <w:rsid w:val="7DF715CD"/>
    <w:rsid w:val="7DF7A49D"/>
    <w:rsid w:val="7DF7D244"/>
    <w:rsid w:val="7DF7F3E6"/>
    <w:rsid w:val="7DF7F4EF"/>
    <w:rsid w:val="7DF8DDD3"/>
    <w:rsid w:val="7DF9E64B"/>
    <w:rsid w:val="7DFAD3BE"/>
    <w:rsid w:val="7DFB38A7"/>
    <w:rsid w:val="7DFB917F"/>
    <w:rsid w:val="7DFBB990"/>
    <w:rsid w:val="7DFBDEF0"/>
    <w:rsid w:val="7DFC2A69"/>
    <w:rsid w:val="7DFC90E7"/>
    <w:rsid w:val="7DFCB994"/>
    <w:rsid w:val="7DFD01D2"/>
    <w:rsid w:val="7DFD0BBB"/>
    <w:rsid w:val="7DFD5461"/>
    <w:rsid w:val="7DFD6061"/>
    <w:rsid w:val="7DFDBE4F"/>
    <w:rsid w:val="7DFE4B13"/>
    <w:rsid w:val="7DFEFBD2"/>
    <w:rsid w:val="7DFF1BBC"/>
    <w:rsid w:val="7DFF9B47"/>
    <w:rsid w:val="7DFFA64D"/>
    <w:rsid w:val="7DFFAA01"/>
    <w:rsid w:val="7DFFACEB"/>
    <w:rsid w:val="7DFFD55D"/>
    <w:rsid w:val="7DFFF8C9"/>
    <w:rsid w:val="7E34B16F"/>
    <w:rsid w:val="7E3CBF5B"/>
    <w:rsid w:val="7E3D1284"/>
    <w:rsid w:val="7E3EEA1F"/>
    <w:rsid w:val="7E3F6672"/>
    <w:rsid w:val="7E6D5DA6"/>
    <w:rsid w:val="7E6E58E6"/>
    <w:rsid w:val="7E6EC5C6"/>
    <w:rsid w:val="7E7192C2"/>
    <w:rsid w:val="7E768A0F"/>
    <w:rsid w:val="7E77F2ED"/>
    <w:rsid w:val="7E77FD4F"/>
    <w:rsid w:val="7E7BCB98"/>
    <w:rsid w:val="7E7DF306"/>
    <w:rsid w:val="7E7E2ECB"/>
    <w:rsid w:val="7E7EE073"/>
    <w:rsid w:val="7E7F4714"/>
    <w:rsid w:val="7E7F5D2A"/>
    <w:rsid w:val="7E7F6208"/>
    <w:rsid w:val="7E7F9E15"/>
    <w:rsid w:val="7E8F64ED"/>
    <w:rsid w:val="7E9BD328"/>
    <w:rsid w:val="7E9E1962"/>
    <w:rsid w:val="7E9F11B4"/>
    <w:rsid w:val="7EA8ECA8"/>
    <w:rsid w:val="7EADE1C3"/>
    <w:rsid w:val="7EAE3579"/>
    <w:rsid w:val="7EAE381A"/>
    <w:rsid w:val="7EAF1C77"/>
    <w:rsid w:val="7EAF85C5"/>
    <w:rsid w:val="7EAFE2BF"/>
    <w:rsid w:val="7EB3E0C7"/>
    <w:rsid w:val="7EB6784D"/>
    <w:rsid w:val="7EB9101F"/>
    <w:rsid w:val="7EBB0536"/>
    <w:rsid w:val="7EBC3D79"/>
    <w:rsid w:val="7EBC55CF"/>
    <w:rsid w:val="7EBD99D9"/>
    <w:rsid w:val="7EBE3A98"/>
    <w:rsid w:val="7EBF2A79"/>
    <w:rsid w:val="7EBF3176"/>
    <w:rsid w:val="7ECF6192"/>
    <w:rsid w:val="7ECFDBFF"/>
    <w:rsid w:val="7ECFE71B"/>
    <w:rsid w:val="7ED588A7"/>
    <w:rsid w:val="7ED78F3C"/>
    <w:rsid w:val="7ED98D7D"/>
    <w:rsid w:val="7EDBDE1E"/>
    <w:rsid w:val="7EDD29EC"/>
    <w:rsid w:val="7EDE97F1"/>
    <w:rsid w:val="7EDFBB8E"/>
    <w:rsid w:val="7EE51C13"/>
    <w:rsid w:val="7EEA94D9"/>
    <w:rsid w:val="7EEB2162"/>
    <w:rsid w:val="7EEB5A49"/>
    <w:rsid w:val="7EEB6CBC"/>
    <w:rsid w:val="7EEBA5C9"/>
    <w:rsid w:val="7EEC3C66"/>
    <w:rsid w:val="7EED58B7"/>
    <w:rsid w:val="7EEDC42F"/>
    <w:rsid w:val="7EEDF54C"/>
    <w:rsid w:val="7EEE050D"/>
    <w:rsid w:val="7EEE9858"/>
    <w:rsid w:val="7EEF31B8"/>
    <w:rsid w:val="7EEF6B9C"/>
    <w:rsid w:val="7EEFB65C"/>
    <w:rsid w:val="7EF33B5C"/>
    <w:rsid w:val="7EF3C5AE"/>
    <w:rsid w:val="7EF3F5F6"/>
    <w:rsid w:val="7EF5AD47"/>
    <w:rsid w:val="7EF74BF5"/>
    <w:rsid w:val="7EF78DA7"/>
    <w:rsid w:val="7EF7D75B"/>
    <w:rsid w:val="7EF8E5B1"/>
    <w:rsid w:val="7EF9B9D9"/>
    <w:rsid w:val="7EFA7663"/>
    <w:rsid w:val="7EFB6D43"/>
    <w:rsid w:val="7EFCFF54"/>
    <w:rsid w:val="7EFD6BDD"/>
    <w:rsid w:val="7EFDC981"/>
    <w:rsid w:val="7EFDE97B"/>
    <w:rsid w:val="7EFEC4E8"/>
    <w:rsid w:val="7EFF1D76"/>
    <w:rsid w:val="7EFF36AE"/>
    <w:rsid w:val="7EFF95C5"/>
    <w:rsid w:val="7EFFC757"/>
    <w:rsid w:val="7EFFCAB8"/>
    <w:rsid w:val="7EFFDEEA"/>
    <w:rsid w:val="7F0E53A2"/>
    <w:rsid w:val="7F1658E7"/>
    <w:rsid w:val="7F196E1E"/>
    <w:rsid w:val="7F1FC8A3"/>
    <w:rsid w:val="7F1FEB50"/>
    <w:rsid w:val="7F225996"/>
    <w:rsid w:val="7F2DE4DE"/>
    <w:rsid w:val="7F2F4C7D"/>
    <w:rsid w:val="7F2FA29C"/>
    <w:rsid w:val="7F358CA2"/>
    <w:rsid w:val="7F359AF0"/>
    <w:rsid w:val="7F37EC1E"/>
    <w:rsid w:val="7F394B50"/>
    <w:rsid w:val="7F3A80B5"/>
    <w:rsid w:val="7F3DD173"/>
    <w:rsid w:val="7F3FE44D"/>
    <w:rsid w:val="7F437048"/>
    <w:rsid w:val="7F47E1F9"/>
    <w:rsid w:val="7F499354"/>
    <w:rsid w:val="7F4C2934"/>
    <w:rsid w:val="7F4C4393"/>
    <w:rsid w:val="7F572D46"/>
    <w:rsid w:val="7F57F01A"/>
    <w:rsid w:val="7F5A2974"/>
    <w:rsid w:val="7F5AC6F4"/>
    <w:rsid w:val="7F5BA37A"/>
    <w:rsid w:val="7F5BAE17"/>
    <w:rsid w:val="7F5BDB57"/>
    <w:rsid w:val="7F5C017F"/>
    <w:rsid w:val="7F5E956C"/>
    <w:rsid w:val="7F5EC75B"/>
    <w:rsid w:val="7F5FDCA0"/>
    <w:rsid w:val="7F669356"/>
    <w:rsid w:val="7F69A4F7"/>
    <w:rsid w:val="7F6B2797"/>
    <w:rsid w:val="7F6CAE83"/>
    <w:rsid w:val="7F6D57F7"/>
    <w:rsid w:val="7F6FD59E"/>
    <w:rsid w:val="7F748B75"/>
    <w:rsid w:val="7F7654CE"/>
    <w:rsid w:val="7F78F9C5"/>
    <w:rsid w:val="7F7A5393"/>
    <w:rsid w:val="7F7BC129"/>
    <w:rsid w:val="7F7BFC81"/>
    <w:rsid w:val="7F7D3E1A"/>
    <w:rsid w:val="7F7DB4A1"/>
    <w:rsid w:val="7F7DC501"/>
    <w:rsid w:val="7F7DCD9D"/>
    <w:rsid w:val="7F7E3544"/>
    <w:rsid w:val="7F7EBC33"/>
    <w:rsid w:val="7F7ED8A5"/>
    <w:rsid w:val="7F7F2FBF"/>
    <w:rsid w:val="7F7F47EF"/>
    <w:rsid w:val="7F7F9207"/>
    <w:rsid w:val="7F7FBB96"/>
    <w:rsid w:val="7F7FE539"/>
    <w:rsid w:val="7F7FFBEF"/>
    <w:rsid w:val="7F7FFD37"/>
    <w:rsid w:val="7F7FFE1B"/>
    <w:rsid w:val="7F83FC6C"/>
    <w:rsid w:val="7F86B8C4"/>
    <w:rsid w:val="7F870D47"/>
    <w:rsid w:val="7F877B1D"/>
    <w:rsid w:val="7F8DB277"/>
    <w:rsid w:val="7F93E971"/>
    <w:rsid w:val="7F955086"/>
    <w:rsid w:val="7F970A6F"/>
    <w:rsid w:val="7F99A4F2"/>
    <w:rsid w:val="7F9E3EC5"/>
    <w:rsid w:val="7F9ED622"/>
    <w:rsid w:val="7F9F3350"/>
    <w:rsid w:val="7F9F8422"/>
    <w:rsid w:val="7F9F85DA"/>
    <w:rsid w:val="7F9F96B4"/>
    <w:rsid w:val="7F9FDAB3"/>
    <w:rsid w:val="7F9FEB95"/>
    <w:rsid w:val="7FA38EF7"/>
    <w:rsid w:val="7FA7D1C2"/>
    <w:rsid w:val="7FAB0FDE"/>
    <w:rsid w:val="7FAB87C8"/>
    <w:rsid w:val="7FAD2134"/>
    <w:rsid w:val="7FAD7B3B"/>
    <w:rsid w:val="7FAD96B8"/>
    <w:rsid w:val="7FAF03F3"/>
    <w:rsid w:val="7FAFC050"/>
    <w:rsid w:val="7FB53C00"/>
    <w:rsid w:val="7FB57891"/>
    <w:rsid w:val="7FB6B9FE"/>
    <w:rsid w:val="7FB79691"/>
    <w:rsid w:val="7FBA0B08"/>
    <w:rsid w:val="7FBBC9B1"/>
    <w:rsid w:val="7FBBFE1B"/>
    <w:rsid w:val="7FBCD17E"/>
    <w:rsid w:val="7FBD65AC"/>
    <w:rsid w:val="7FBE4DD8"/>
    <w:rsid w:val="7FBE7A9C"/>
    <w:rsid w:val="7FBED5C6"/>
    <w:rsid w:val="7FBEDD9E"/>
    <w:rsid w:val="7FBF1DC5"/>
    <w:rsid w:val="7FBFA13B"/>
    <w:rsid w:val="7FBFA3E4"/>
    <w:rsid w:val="7FBFBF62"/>
    <w:rsid w:val="7FC1FFF3"/>
    <w:rsid w:val="7FC631CD"/>
    <w:rsid w:val="7FC69637"/>
    <w:rsid w:val="7FCDF29E"/>
    <w:rsid w:val="7FCE1613"/>
    <w:rsid w:val="7FCF90EC"/>
    <w:rsid w:val="7FCFB6B2"/>
    <w:rsid w:val="7FD7470C"/>
    <w:rsid w:val="7FD7B805"/>
    <w:rsid w:val="7FD938F5"/>
    <w:rsid w:val="7FD9FEE0"/>
    <w:rsid w:val="7FDA5FF6"/>
    <w:rsid w:val="7FDAAD73"/>
    <w:rsid w:val="7FDB489E"/>
    <w:rsid w:val="7FDB85AE"/>
    <w:rsid w:val="7FDBE611"/>
    <w:rsid w:val="7FDD015D"/>
    <w:rsid w:val="7FDD3274"/>
    <w:rsid w:val="7FDD4FB1"/>
    <w:rsid w:val="7FDD5066"/>
    <w:rsid w:val="7FDD6C14"/>
    <w:rsid w:val="7FDD9363"/>
    <w:rsid w:val="7FDDF334"/>
    <w:rsid w:val="7FDDF78D"/>
    <w:rsid w:val="7FDE0D97"/>
    <w:rsid w:val="7FDE2780"/>
    <w:rsid w:val="7FDE34E9"/>
    <w:rsid w:val="7FDE3FC9"/>
    <w:rsid w:val="7FDEC127"/>
    <w:rsid w:val="7FDEC523"/>
    <w:rsid w:val="7FDEF554"/>
    <w:rsid w:val="7FDF2D6F"/>
    <w:rsid w:val="7FDF8620"/>
    <w:rsid w:val="7FDF9F93"/>
    <w:rsid w:val="7FDFA0D7"/>
    <w:rsid w:val="7FDFC617"/>
    <w:rsid w:val="7FDFC9D9"/>
    <w:rsid w:val="7FDFD71B"/>
    <w:rsid w:val="7FDFEC32"/>
    <w:rsid w:val="7FE2DBC2"/>
    <w:rsid w:val="7FE39639"/>
    <w:rsid w:val="7FE5874B"/>
    <w:rsid w:val="7FE5C9B4"/>
    <w:rsid w:val="7FE6E789"/>
    <w:rsid w:val="7FE709EE"/>
    <w:rsid w:val="7FE73E1B"/>
    <w:rsid w:val="7FE769D7"/>
    <w:rsid w:val="7FE795D5"/>
    <w:rsid w:val="7FE7A429"/>
    <w:rsid w:val="7FE7C9E7"/>
    <w:rsid w:val="7FE91B44"/>
    <w:rsid w:val="7FEB2CCA"/>
    <w:rsid w:val="7FEBC1C9"/>
    <w:rsid w:val="7FEBDA3D"/>
    <w:rsid w:val="7FED46E4"/>
    <w:rsid w:val="7FED716E"/>
    <w:rsid w:val="7FEDB8B9"/>
    <w:rsid w:val="7FEECCD8"/>
    <w:rsid w:val="7FEEF92B"/>
    <w:rsid w:val="7FEF1224"/>
    <w:rsid w:val="7FEF3146"/>
    <w:rsid w:val="7FEF3284"/>
    <w:rsid w:val="7FEF57C1"/>
    <w:rsid w:val="7FEF5F74"/>
    <w:rsid w:val="7FEF6FF8"/>
    <w:rsid w:val="7FEF7F6F"/>
    <w:rsid w:val="7FEF9FE9"/>
    <w:rsid w:val="7FEFB33F"/>
    <w:rsid w:val="7FEFC2F2"/>
    <w:rsid w:val="7FF04837"/>
    <w:rsid w:val="7FF15802"/>
    <w:rsid w:val="7FF17CC6"/>
    <w:rsid w:val="7FF20D0D"/>
    <w:rsid w:val="7FF22B3B"/>
    <w:rsid w:val="7FF29B9C"/>
    <w:rsid w:val="7FF31FFE"/>
    <w:rsid w:val="7FF380A5"/>
    <w:rsid w:val="7FF4A8FB"/>
    <w:rsid w:val="7FF51CAF"/>
    <w:rsid w:val="7FF528D8"/>
    <w:rsid w:val="7FF57EAC"/>
    <w:rsid w:val="7FF58A5E"/>
    <w:rsid w:val="7FF59596"/>
    <w:rsid w:val="7FF5DBB3"/>
    <w:rsid w:val="7FF65C67"/>
    <w:rsid w:val="7FF65F18"/>
    <w:rsid w:val="7FF6BB56"/>
    <w:rsid w:val="7FF6D180"/>
    <w:rsid w:val="7FF7169F"/>
    <w:rsid w:val="7FF737B7"/>
    <w:rsid w:val="7FF7595A"/>
    <w:rsid w:val="7FF7AFFE"/>
    <w:rsid w:val="7FF7E298"/>
    <w:rsid w:val="7FF7F5C0"/>
    <w:rsid w:val="7FF7F9FE"/>
    <w:rsid w:val="7FF8E7FA"/>
    <w:rsid w:val="7FF9176F"/>
    <w:rsid w:val="7FF95932"/>
    <w:rsid w:val="7FF98E61"/>
    <w:rsid w:val="7FF9A379"/>
    <w:rsid w:val="7FF9B6D9"/>
    <w:rsid w:val="7FF9F24A"/>
    <w:rsid w:val="7FFAA205"/>
    <w:rsid w:val="7FFB242F"/>
    <w:rsid w:val="7FFB39D9"/>
    <w:rsid w:val="7FFB40C9"/>
    <w:rsid w:val="7FFB64C2"/>
    <w:rsid w:val="7FFB70CD"/>
    <w:rsid w:val="7FFB8260"/>
    <w:rsid w:val="7FFBA2E1"/>
    <w:rsid w:val="7FFBA6AB"/>
    <w:rsid w:val="7FFBAAF5"/>
    <w:rsid w:val="7FFC00BA"/>
    <w:rsid w:val="7FFC51F7"/>
    <w:rsid w:val="7FFD07BB"/>
    <w:rsid w:val="7FFD1704"/>
    <w:rsid w:val="7FFD52CF"/>
    <w:rsid w:val="7FFD58A4"/>
    <w:rsid w:val="7FFDA4E9"/>
    <w:rsid w:val="7FFDB408"/>
    <w:rsid w:val="7FFDCDC2"/>
    <w:rsid w:val="7FFDD77A"/>
    <w:rsid w:val="7FFDF90F"/>
    <w:rsid w:val="7FFDF9CD"/>
    <w:rsid w:val="7FFE4254"/>
    <w:rsid w:val="7FFE4EEB"/>
    <w:rsid w:val="7FFE6F23"/>
    <w:rsid w:val="7FFE8FE4"/>
    <w:rsid w:val="7FFEBF56"/>
    <w:rsid w:val="7FFEC15A"/>
    <w:rsid w:val="7FFEC384"/>
    <w:rsid w:val="7FFED0AA"/>
    <w:rsid w:val="7FFF1DF9"/>
    <w:rsid w:val="7FFF214B"/>
    <w:rsid w:val="7FFF21B0"/>
    <w:rsid w:val="7FFF2818"/>
    <w:rsid w:val="7FFF304D"/>
    <w:rsid w:val="7FFF3D76"/>
    <w:rsid w:val="7FFF3F15"/>
    <w:rsid w:val="7FFF4E97"/>
    <w:rsid w:val="7FFF5955"/>
    <w:rsid w:val="7FFF6137"/>
    <w:rsid w:val="7FFF6AAD"/>
    <w:rsid w:val="7FFF7440"/>
    <w:rsid w:val="7FFF75ED"/>
    <w:rsid w:val="7FFFA6BD"/>
    <w:rsid w:val="7FFFB42A"/>
    <w:rsid w:val="7FFFC029"/>
    <w:rsid w:val="7FFFDEB3"/>
    <w:rsid w:val="7FFFEA99"/>
    <w:rsid w:val="7FFFEDEA"/>
    <w:rsid w:val="7FFFF819"/>
    <w:rsid w:val="7FFFFDD4"/>
    <w:rsid w:val="80FB5C3A"/>
    <w:rsid w:val="83AF8F27"/>
    <w:rsid w:val="85FB016C"/>
    <w:rsid w:val="85FE26E4"/>
    <w:rsid w:val="86EB3E30"/>
    <w:rsid w:val="86FFA55B"/>
    <w:rsid w:val="87DFBA05"/>
    <w:rsid w:val="87F7B7B1"/>
    <w:rsid w:val="88C67F61"/>
    <w:rsid w:val="89F777A5"/>
    <w:rsid w:val="8A69C3EF"/>
    <w:rsid w:val="8AE3D0BD"/>
    <w:rsid w:val="8B7FD7E2"/>
    <w:rsid w:val="8BD226A9"/>
    <w:rsid w:val="8BFB7A5E"/>
    <w:rsid w:val="8BFC8C36"/>
    <w:rsid w:val="8BFE56FC"/>
    <w:rsid w:val="8BFF2ADA"/>
    <w:rsid w:val="8CAF38C5"/>
    <w:rsid w:val="8D576896"/>
    <w:rsid w:val="8D790DBD"/>
    <w:rsid w:val="8D9FDDA3"/>
    <w:rsid w:val="8DAD63A8"/>
    <w:rsid w:val="8DAF9C1D"/>
    <w:rsid w:val="8EAF7C29"/>
    <w:rsid w:val="8EFFC042"/>
    <w:rsid w:val="8F762CB9"/>
    <w:rsid w:val="8FAF1AAC"/>
    <w:rsid w:val="8FDA2776"/>
    <w:rsid w:val="8FE8C384"/>
    <w:rsid w:val="8FEA2DDB"/>
    <w:rsid w:val="8FFF3EC5"/>
    <w:rsid w:val="8FFF664F"/>
    <w:rsid w:val="8FFFD747"/>
    <w:rsid w:val="90FA504A"/>
    <w:rsid w:val="917B2484"/>
    <w:rsid w:val="91ADE0BD"/>
    <w:rsid w:val="94DF40D1"/>
    <w:rsid w:val="951F1666"/>
    <w:rsid w:val="95B59889"/>
    <w:rsid w:val="95FB2B98"/>
    <w:rsid w:val="967F45A9"/>
    <w:rsid w:val="96B70000"/>
    <w:rsid w:val="96BF0FB9"/>
    <w:rsid w:val="96FCECA1"/>
    <w:rsid w:val="96FEA6D3"/>
    <w:rsid w:val="976DA45F"/>
    <w:rsid w:val="97A77194"/>
    <w:rsid w:val="97B7FBF9"/>
    <w:rsid w:val="97BB8110"/>
    <w:rsid w:val="97BC23A2"/>
    <w:rsid w:val="97BDD2DD"/>
    <w:rsid w:val="97EF2123"/>
    <w:rsid w:val="97FD6652"/>
    <w:rsid w:val="98FB29E9"/>
    <w:rsid w:val="99753269"/>
    <w:rsid w:val="99FDA2DA"/>
    <w:rsid w:val="99FF2156"/>
    <w:rsid w:val="9A639BC2"/>
    <w:rsid w:val="9A6F8B1E"/>
    <w:rsid w:val="9AEE3818"/>
    <w:rsid w:val="9AFFB713"/>
    <w:rsid w:val="9B65F7D1"/>
    <w:rsid w:val="9B8A565F"/>
    <w:rsid w:val="9BF0BCF7"/>
    <w:rsid w:val="9BFC51D9"/>
    <w:rsid w:val="9BFD51F1"/>
    <w:rsid w:val="9BFDBF43"/>
    <w:rsid w:val="9BFE0146"/>
    <w:rsid w:val="9C3D9339"/>
    <w:rsid w:val="9CDF8359"/>
    <w:rsid w:val="9CEAE376"/>
    <w:rsid w:val="9CFF98D0"/>
    <w:rsid w:val="9D6B35F2"/>
    <w:rsid w:val="9D76E178"/>
    <w:rsid w:val="9D7F07C6"/>
    <w:rsid w:val="9DA7E089"/>
    <w:rsid w:val="9DBD5F27"/>
    <w:rsid w:val="9DBDDF26"/>
    <w:rsid w:val="9DD7068F"/>
    <w:rsid w:val="9DDBB6D9"/>
    <w:rsid w:val="9DF7A449"/>
    <w:rsid w:val="9DFCF73D"/>
    <w:rsid w:val="9DFD83BE"/>
    <w:rsid w:val="9E3CF1AC"/>
    <w:rsid w:val="9E7ED3FA"/>
    <w:rsid w:val="9E9C3F9B"/>
    <w:rsid w:val="9ED76FE2"/>
    <w:rsid w:val="9EDC744C"/>
    <w:rsid w:val="9EE715C8"/>
    <w:rsid w:val="9EE73CD4"/>
    <w:rsid w:val="9EFBAFD2"/>
    <w:rsid w:val="9EFCA6CA"/>
    <w:rsid w:val="9F0FD45D"/>
    <w:rsid w:val="9F3647EB"/>
    <w:rsid w:val="9F3FFA88"/>
    <w:rsid w:val="9F514928"/>
    <w:rsid w:val="9F55B0D8"/>
    <w:rsid w:val="9F5E66CD"/>
    <w:rsid w:val="9F67F643"/>
    <w:rsid w:val="9F6FC46E"/>
    <w:rsid w:val="9F7934C7"/>
    <w:rsid w:val="9F7DE48A"/>
    <w:rsid w:val="9F7FE7A7"/>
    <w:rsid w:val="9F9B8295"/>
    <w:rsid w:val="9F9F8F71"/>
    <w:rsid w:val="9FAFF646"/>
    <w:rsid w:val="9FBB3BCE"/>
    <w:rsid w:val="9FD7B281"/>
    <w:rsid w:val="9FDDBA77"/>
    <w:rsid w:val="9FDE1B73"/>
    <w:rsid w:val="9FE7D7CB"/>
    <w:rsid w:val="9FEA2969"/>
    <w:rsid w:val="9FEE5A58"/>
    <w:rsid w:val="9FEEFA80"/>
    <w:rsid w:val="9FF58DF0"/>
    <w:rsid w:val="9FF7A21C"/>
    <w:rsid w:val="9FF7D786"/>
    <w:rsid w:val="9FF8CAAF"/>
    <w:rsid w:val="9FF97D42"/>
    <w:rsid w:val="9FFB302A"/>
    <w:rsid w:val="9FFC7541"/>
    <w:rsid w:val="9FFD5641"/>
    <w:rsid w:val="9FFDE786"/>
    <w:rsid w:val="9FFE2514"/>
    <w:rsid w:val="9FFE7539"/>
    <w:rsid w:val="9FFEAC14"/>
    <w:rsid w:val="9FFF4406"/>
    <w:rsid w:val="9FFF6A35"/>
    <w:rsid w:val="9FFFA2E1"/>
    <w:rsid w:val="A1DD7EC5"/>
    <w:rsid w:val="A27776D7"/>
    <w:rsid w:val="A2D7446F"/>
    <w:rsid w:val="A2FE7822"/>
    <w:rsid w:val="A374823E"/>
    <w:rsid w:val="A3CFE998"/>
    <w:rsid w:val="A3F1894E"/>
    <w:rsid w:val="A3FD85AA"/>
    <w:rsid w:val="A3FDCD52"/>
    <w:rsid w:val="A3FFBA3F"/>
    <w:rsid w:val="A53FF8DB"/>
    <w:rsid w:val="A5B753D1"/>
    <w:rsid w:val="A5EEBB9B"/>
    <w:rsid w:val="A5EF9A9F"/>
    <w:rsid w:val="A69650C5"/>
    <w:rsid w:val="A6999BC8"/>
    <w:rsid w:val="A6F34772"/>
    <w:rsid w:val="A76F7EAB"/>
    <w:rsid w:val="A77DA5D8"/>
    <w:rsid w:val="A7A1092E"/>
    <w:rsid w:val="A7AD28BE"/>
    <w:rsid w:val="A7B71095"/>
    <w:rsid w:val="A7BF5E2B"/>
    <w:rsid w:val="A7D244E2"/>
    <w:rsid w:val="A7D9F03C"/>
    <w:rsid w:val="A7DF37AC"/>
    <w:rsid w:val="A7F4132C"/>
    <w:rsid w:val="A7F5AE23"/>
    <w:rsid w:val="A7FFB692"/>
    <w:rsid w:val="A7FFC098"/>
    <w:rsid w:val="A9BCA492"/>
    <w:rsid w:val="A9BE8BBD"/>
    <w:rsid w:val="A9E57FAE"/>
    <w:rsid w:val="AA77AA58"/>
    <w:rsid w:val="AA77DAB0"/>
    <w:rsid w:val="AA9E0377"/>
    <w:rsid w:val="AAB9F685"/>
    <w:rsid w:val="AAFE5341"/>
    <w:rsid w:val="AB6F510F"/>
    <w:rsid w:val="AB7F5DB9"/>
    <w:rsid w:val="AB7F987F"/>
    <w:rsid w:val="AB9FB971"/>
    <w:rsid w:val="ABBFB23D"/>
    <w:rsid w:val="ABCF1349"/>
    <w:rsid w:val="ABDD99BB"/>
    <w:rsid w:val="ABEF172E"/>
    <w:rsid w:val="ABFCCE2E"/>
    <w:rsid w:val="ABFFA98A"/>
    <w:rsid w:val="AC1356B6"/>
    <w:rsid w:val="AC578585"/>
    <w:rsid w:val="AC73E8CC"/>
    <w:rsid w:val="AC9E7D15"/>
    <w:rsid w:val="ACA28FA1"/>
    <w:rsid w:val="ACFC252F"/>
    <w:rsid w:val="AD6EBA48"/>
    <w:rsid w:val="AD79A127"/>
    <w:rsid w:val="AD9F8B68"/>
    <w:rsid w:val="ADCC80BB"/>
    <w:rsid w:val="ADCE03C5"/>
    <w:rsid w:val="ADDFC200"/>
    <w:rsid w:val="ADF512C3"/>
    <w:rsid w:val="ADF7322E"/>
    <w:rsid w:val="ADFC4080"/>
    <w:rsid w:val="ADFF0088"/>
    <w:rsid w:val="ADFFA723"/>
    <w:rsid w:val="AE1B190E"/>
    <w:rsid w:val="AE7F2021"/>
    <w:rsid w:val="AED37039"/>
    <w:rsid w:val="AEDDA8CB"/>
    <w:rsid w:val="AEDF78A1"/>
    <w:rsid w:val="AEF3DE75"/>
    <w:rsid w:val="AEF7CD81"/>
    <w:rsid w:val="AEFA9768"/>
    <w:rsid w:val="AEFD6C67"/>
    <w:rsid w:val="AEFE4BBF"/>
    <w:rsid w:val="AEFFC789"/>
    <w:rsid w:val="AF0E603B"/>
    <w:rsid w:val="AF2F5D73"/>
    <w:rsid w:val="AF3DEA02"/>
    <w:rsid w:val="AF3F4FC9"/>
    <w:rsid w:val="AF5F4081"/>
    <w:rsid w:val="AF672BE2"/>
    <w:rsid w:val="AF67FF2E"/>
    <w:rsid w:val="AF7E9F6A"/>
    <w:rsid w:val="AF8F8F27"/>
    <w:rsid w:val="AF9F600B"/>
    <w:rsid w:val="AFAB9FF1"/>
    <w:rsid w:val="AFB26017"/>
    <w:rsid w:val="AFB61660"/>
    <w:rsid w:val="AFB83EE3"/>
    <w:rsid w:val="AFBCAF24"/>
    <w:rsid w:val="AFBF3842"/>
    <w:rsid w:val="AFC29A60"/>
    <w:rsid w:val="AFCA27E1"/>
    <w:rsid w:val="AFCE39B5"/>
    <w:rsid w:val="AFCEB94D"/>
    <w:rsid w:val="AFCF6D45"/>
    <w:rsid w:val="AFD7D852"/>
    <w:rsid w:val="AFDA0689"/>
    <w:rsid w:val="AFDB6194"/>
    <w:rsid w:val="AFDB8711"/>
    <w:rsid w:val="AFDC35E7"/>
    <w:rsid w:val="AFDF02EB"/>
    <w:rsid w:val="AFE6CCE2"/>
    <w:rsid w:val="AFE7BC73"/>
    <w:rsid w:val="AFEB46C6"/>
    <w:rsid w:val="AFEC9D68"/>
    <w:rsid w:val="AFEDDB2B"/>
    <w:rsid w:val="AFEF91C7"/>
    <w:rsid w:val="AFF7CF42"/>
    <w:rsid w:val="AFF7E7CD"/>
    <w:rsid w:val="AFFCCA0A"/>
    <w:rsid w:val="AFFE17E1"/>
    <w:rsid w:val="AFFEB444"/>
    <w:rsid w:val="AFFF0B98"/>
    <w:rsid w:val="AFFFEB5F"/>
    <w:rsid w:val="AFFFFED5"/>
    <w:rsid w:val="B1732332"/>
    <w:rsid w:val="B1EE0AD4"/>
    <w:rsid w:val="B26DD920"/>
    <w:rsid w:val="B2775EB8"/>
    <w:rsid w:val="B2D3DDDC"/>
    <w:rsid w:val="B2EB6AE7"/>
    <w:rsid w:val="B2ED9F46"/>
    <w:rsid w:val="B2EFE2C5"/>
    <w:rsid w:val="B2F39B6F"/>
    <w:rsid w:val="B36F9C7B"/>
    <w:rsid w:val="B3734982"/>
    <w:rsid w:val="B37A7BD3"/>
    <w:rsid w:val="B37F4AD0"/>
    <w:rsid w:val="B38EB0D2"/>
    <w:rsid w:val="B3D8F035"/>
    <w:rsid w:val="B3DD27C4"/>
    <w:rsid w:val="B3E7C31E"/>
    <w:rsid w:val="B3FF3374"/>
    <w:rsid w:val="B3FF8253"/>
    <w:rsid w:val="B485FB22"/>
    <w:rsid w:val="B577B3A2"/>
    <w:rsid w:val="B57B3712"/>
    <w:rsid w:val="B57F7A3F"/>
    <w:rsid w:val="B59BC87B"/>
    <w:rsid w:val="B59F97FA"/>
    <w:rsid w:val="B5CD2CF1"/>
    <w:rsid w:val="B5DE170E"/>
    <w:rsid w:val="B5E7B4AA"/>
    <w:rsid w:val="B5FAC885"/>
    <w:rsid w:val="B5FBAE77"/>
    <w:rsid w:val="B5FF1EE2"/>
    <w:rsid w:val="B61F15CE"/>
    <w:rsid w:val="B67D357C"/>
    <w:rsid w:val="B67F9C4A"/>
    <w:rsid w:val="B6DF15B6"/>
    <w:rsid w:val="B6DF8552"/>
    <w:rsid w:val="B6EF5F67"/>
    <w:rsid w:val="B6EF9F14"/>
    <w:rsid w:val="B6F8F327"/>
    <w:rsid w:val="B6FDED58"/>
    <w:rsid w:val="B6FE22EF"/>
    <w:rsid w:val="B7558644"/>
    <w:rsid w:val="B76E8EC8"/>
    <w:rsid w:val="B7762EAC"/>
    <w:rsid w:val="B7766D38"/>
    <w:rsid w:val="B7782AAD"/>
    <w:rsid w:val="B778C921"/>
    <w:rsid w:val="B77989F5"/>
    <w:rsid w:val="B77A9A71"/>
    <w:rsid w:val="B77B6087"/>
    <w:rsid w:val="B77EEF59"/>
    <w:rsid w:val="B77FB951"/>
    <w:rsid w:val="B79F61F6"/>
    <w:rsid w:val="B7BE0F1C"/>
    <w:rsid w:val="B7BFF4EC"/>
    <w:rsid w:val="B7DB1D0A"/>
    <w:rsid w:val="B7DD08C5"/>
    <w:rsid w:val="B7DF8637"/>
    <w:rsid w:val="B7DF935E"/>
    <w:rsid w:val="B7E1961A"/>
    <w:rsid w:val="B7E38438"/>
    <w:rsid w:val="B7EBFA11"/>
    <w:rsid w:val="B7EC7788"/>
    <w:rsid w:val="B7EF9A99"/>
    <w:rsid w:val="B7EFD210"/>
    <w:rsid w:val="B7F50DF8"/>
    <w:rsid w:val="B7F61E59"/>
    <w:rsid w:val="B7FBA081"/>
    <w:rsid w:val="B7FBA412"/>
    <w:rsid w:val="B7FC766C"/>
    <w:rsid w:val="B7FE08BA"/>
    <w:rsid w:val="B7FE5A7E"/>
    <w:rsid w:val="B7FFC53B"/>
    <w:rsid w:val="B7FFE1C6"/>
    <w:rsid w:val="B8F9B66A"/>
    <w:rsid w:val="B8FAFBD4"/>
    <w:rsid w:val="B8FE99C8"/>
    <w:rsid w:val="B9631EA9"/>
    <w:rsid w:val="B9761D39"/>
    <w:rsid w:val="B97B8B34"/>
    <w:rsid w:val="B97E98C3"/>
    <w:rsid w:val="B99F3945"/>
    <w:rsid w:val="B99FA125"/>
    <w:rsid w:val="B9DE624A"/>
    <w:rsid w:val="B9F60776"/>
    <w:rsid w:val="B9F7EFE0"/>
    <w:rsid w:val="B9FBB5A3"/>
    <w:rsid w:val="B9FC2760"/>
    <w:rsid w:val="B9FF919F"/>
    <w:rsid w:val="BA3852AD"/>
    <w:rsid w:val="BA3BF014"/>
    <w:rsid w:val="BA4ECE42"/>
    <w:rsid w:val="BA570AF9"/>
    <w:rsid w:val="BA5F54C2"/>
    <w:rsid w:val="BA6D6F54"/>
    <w:rsid w:val="BA9E3BD2"/>
    <w:rsid w:val="BAB70657"/>
    <w:rsid w:val="BABEC0C1"/>
    <w:rsid w:val="BAC384E0"/>
    <w:rsid w:val="BAC50B14"/>
    <w:rsid w:val="BAEB2318"/>
    <w:rsid w:val="BAEC2AC2"/>
    <w:rsid w:val="BAF1D20C"/>
    <w:rsid w:val="BAFA2853"/>
    <w:rsid w:val="BAFCB7C8"/>
    <w:rsid w:val="BAFD2CFC"/>
    <w:rsid w:val="BAFE9EBC"/>
    <w:rsid w:val="BB0D44DD"/>
    <w:rsid w:val="BB2F2B9F"/>
    <w:rsid w:val="BB3BDE1C"/>
    <w:rsid w:val="BB3E4018"/>
    <w:rsid w:val="BB5943EC"/>
    <w:rsid w:val="BB61C2F5"/>
    <w:rsid w:val="BB7B5D54"/>
    <w:rsid w:val="BBA60548"/>
    <w:rsid w:val="BBAC35D0"/>
    <w:rsid w:val="BBB6023A"/>
    <w:rsid w:val="BBBB5EA2"/>
    <w:rsid w:val="BBBD36FA"/>
    <w:rsid w:val="BBDB2582"/>
    <w:rsid w:val="BBE7273E"/>
    <w:rsid w:val="BBED68B0"/>
    <w:rsid w:val="BBEE530E"/>
    <w:rsid w:val="BBEF7E02"/>
    <w:rsid w:val="BBEF8A9D"/>
    <w:rsid w:val="BBF5C335"/>
    <w:rsid w:val="BBF70423"/>
    <w:rsid w:val="BBF77921"/>
    <w:rsid w:val="BBFBB9E5"/>
    <w:rsid w:val="BBFD701D"/>
    <w:rsid w:val="BBFDAA0C"/>
    <w:rsid w:val="BBFE5753"/>
    <w:rsid w:val="BBFF0358"/>
    <w:rsid w:val="BBFF21B6"/>
    <w:rsid w:val="BBFFA2BC"/>
    <w:rsid w:val="BBFFACC3"/>
    <w:rsid w:val="BC2E4577"/>
    <w:rsid w:val="BC9FD9BA"/>
    <w:rsid w:val="BCAB485A"/>
    <w:rsid w:val="BCBEC6A6"/>
    <w:rsid w:val="BCDEE12C"/>
    <w:rsid w:val="BCFE067E"/>
    <w:rsid w:val="BCFF50F1"/>
    <w:rsid w:val="BCFFF0BF"/>
    <w:rsid w:val="BCFFF50D"/>
    <w:rsid w:val="BD3A284F"/>
    <w:rsid w:val="BD3E1FC2"/>
    <w:rsid w:val="BD4B3661"/>
    <w:rsid w:val="BD7E6AD2"/>
    <w:rsid w:val="BD7FA0BF"/>
    <w:rsid w:val="BD7FA5CD"/>
    <w:rsid w:val="BD8F2955"/>
    <w:rsid w:val="BD9B7ACF"/>
    <w:rsid w:val="BD9EDA76"/>
    <w:rsid w:val="BD9F36C4"/>
    <w:rsid w:val="BD9F39A5"/>
    <w:rsid w:val="BDAF8F49"/>
    <w:rsid w:val="BDD3B288"/>
    <w:rsid w:val="BDD7B5F7"/>
    <w:rsid w:val="BDDDD0A6"/>
    <w:rsid w:val="BDE1619C"/>
    <w:rsid w:val="BDE9059E"/>
    <w:rsid w:val="BDEB08F7"/>
    <w:rsid w:val="BDEF050C"/>
    <w:rsid w:val="BDEF3D9E"/>
    <w:rsid w:val="BDF3FF4A"/>
    <w:rsid w:val="BDF6E8F1"/>
    <w:rsid w:val="BDF7285A"/>
    <w:rsid w:val="BDF735FF"/>
    <w:rsid w:val="BDF760A4"/>
    <w:rsid w:val="BDF7E034"/>
    <w:rsid w:val="BDF7E531"/>
    <w:rsid w:val="BDFD4BFB"/>
    <w:rsid w:val="BE0CF132"/>
    <w:rsid w:val="BE3BE5D4"/>
    <w:rsid w:val="BE72D617"/>
    <w:rsid w:val="BE730025"/>
    <w:rsid w:val="BE754EFC"/>
    <w:rsid w:val="BE771951"/>
    <w:rsid w:val="BE7E8429"/>
    <w:rsid w:val="BE7EE580"/>
    <w:rsid w:val="BE9725AC"/>
    <w:rsid w:val="BE9B67C7"/>
    <w:rsid w:val="BEAE6046"/>
    <w:rsid w:val="BEBF19E1"/>
    <w:rsid w:val="BEBF5FD4"/>
    <w:rsid w:val="BEBFBDE7"/>
    <w:rsid w:val="BECA19D0"/>
    <w:rsid w:val="BECE4DF6"/>
    <w:rsid w:val="BEDF37D6"/>
    <w:rsid w:val="BEEA6074"/>
    <w:rsid w:val="BEEBC8E6"/>
    <w:rsid w:val="BEED2DB6"/>
    <w:rsid w:val="BEEF146F"/>
    <w:rsid w:val="BEEF394B"/>
    <w:rsid w:val="BEF6B00D"/>
    <w:rsid w:val="BEF85D2F"/>
    <w:rsid w:val="BEFBBE37"/>
    <w:rsid w:val="BEFDDEEC"/>
    <w:rsid w:val="BEFE7ED7"/>
    <w:rsid w:val="BEFF1EE5"/>
    <w:rsid w:val="BEFF39A0"/>
    <w:rsid w:val="BEFF56DE"/>
    <w:rsid w:val="BEFFB7C9"/>
    <w:rsid w:val="BEFFE635"/>
    <w:rsid w:val="BEFFEEED"/>
    <w:rsid w:val="BF0F1814"/>
    <w:rsid w:val="BF1D580F"/>
    <w:rsid w:val="BF3EC024"/>
    <w:rsid w:val="BF3EF2F0"/>
    <w:rsid w:val="BF4D5DB7"/>
    <w:rsid w:val="BF4FE204"/>
    <w:rsid w:val="BF5B9617"/>
    <w:rsid w:val="BF6C47FA"/>
    <w:rsid w:val="BF6F59F7"/>
    <w:rsid w:val="BF75BC8B"/>
    <w:rsid w:val="BF771AE1"/>
    <w:rsid w:val="BF77862C"/>
    <w:rsid w:val="BF7D250A"/>
    <w:rsid w:val="BF7E4A76"/>
    <w:rsid w:val="BF7E7376"/>
    <w:rsid w:val="BF7EA4AF"/>
    <w:rsid w:val="BF7F9C62"/>
    <w:rsid w:val="BF7FE64C"/>
    <w:rsid w:val="BF8F4841"/>
    <w:rsid w:val="BF95A990"/>
    <w:rsid w:val="BF9EF05D"/>
    <w:rsid w:val="BF9F4C2F"/>
    <w:rsid w:val="BFA72A2A"/>
    <w:rsid w:val="BFA9DDA3"/>
    <w:rsid w:val="BFAC2855"/>
    <w:rsid w:val="BFAF83B0"/>
    <w:rsid w:val="BFB11828"/>
    <w:rsid w:val="BFB1D584"/>
    <w:rsid w:val="BFB76DEF"/>
    <w:rsid w:val="BFB7A55E"/>
    <w:rsid w:val="BFBB837F"/>
    <w:rsid w:val="BFBDE8EE"/>
    <w:rsid w:val="BFBE8AE1"/>
    <w:rsid w:val="BFC39444"/>
    <w:rsid w:val="BFCAF71C"/>
    <w:rsid w:val="BFCB833E"/>
    <w:rsid w:val="BFCBAB1B"/>
    <w:rsid w:val="BFCD564D"/>
    <w:rsid w:val="BFCFB77F"/>
    <w:rsid w:val="BFD70222"/>
    <w:rsid w:val="BFD7059C"/>
    <w:rsid w:val="BFD74527"/>
    <w:rsid w:val="BFD9325C"/>
    <w:rsid w:val="BFDA69FA"/>
    <w:rsid w:val="BFDB8410"/>
    <w:rsid w:val="BFDBC4CB"/>
    <w:rsid w:val="BFDD61A0"/>
    <w:rsid w:val="BFDEAD91"/>
    <w:rsid w:val="BFDF2781"/>
    <w:rsid w:val="BFDF4B32"/>
    <w:rsid w:val="BFDF5A8F"/>
    <w:rsid w:val="BFDFA8F8"/>
    <w:rsid w:val="BFDFB0D9"/>
    <w:rsid w:val="BFDFD603"/>
    <w:rsid w:val="BFE70595"/>
    <w:rsid w:val="BFEE231E"/>
    <w:rsid w:val="BFEF28CE"/>
    <w:rsid w:val="BFEF6D3C"/>
    <w:rsid w:val="BFEF9198"/>
    <w:rsid w:val="BFF348EE"/>
    <w:rsid w:val="BFF37D9B"/>
    <w:rsid w:val="BFF5A1A1"/>
    <w:rsid w:val="BFF6CFBC"/>
    <w:rsid w:val="BFF6E5CD"/>
    <w:rsid w:val="BFF72F37"/>
    <w:rsid w:val="BFF73DD9"/>
    <w:rsid w:val="BFF75091"/>
    <w:rsid w:val="BFF9B006"/>
    <w:rsid w:val="BFFB073C"/>
    <w:rsid w:val="BFFBA429"/>
    <w:rsid w:val="BFFBDAD1"/>
    <w:rsid w:val="BFFBE720"/>
    <w:rsid w:val="BFFCF00B"/>
    <w:rsid w:val="BFFCF057"/>
    <w:rsid w:val="BFFE3BEC"/>
    <w:rsid w:val="BFFE5FDA"/>
    <w:rsid w:val="BFFEC64A"/>
    <w:rsid w:val="BFFED395"/>
    <w:rsid w:val="BFFF2639"/>
    <w:rsid w:val="BFFF7483"/>
    <w:rsid w:val="BFFFA219"/>
    <w:rsid w:val="BFFFB09F"/>
    <w:rsid w:val="BFFFC44A"/>
    <w:rsid w:val="C2B7BF87"/>
    <w:rsid w:val="C2C5151D"/>
    <w:rsid w:val="C2FFE4DC"/>
    <w:rsid w:val="C3AD0B1A"/>
    <w:rsid w:val="C3B4DA5A"/>
    <w:rsid w:val="C5BABC17"/>
    <w:rsid w:val="C5BD52AE"/>
    <w:rsid w:val="C5F9E409"/>
    <w:rsid w:val="C6FFBDF0"/>
    <w:rsid w:val="C70F0A10"/>
    <w:rsid w:val="C7AFD166"/>
    <w:rsid w:val="C7BED6FA"/>
    <w:rsid w:val="C7D3F603"/>
    <w:rsid w:val="C7DF99AF"/>
    <w:rsid w:val="C7DFAB7B"/>
    <w:rsid w:val="C8BFB837"/>
    <w:rsid w:val="C8EDDB02"/>
    <w:rsid w:val="C97B57F9"/>
    <w:rsid w:val="C9BFC62E"/>
    <w:rsid w:val="C9ED47F4"/>
    <w:rsid w:val="CAED5C9C"/>
    <w:rsid w:val="CB2B95E7"/>
    <w:rsid w:val="CB7B7F75"/>
    <w:rsid w:val="CB9FF486"/>
    <w:rsid w:val="CBAFEA88"/>
    <w:rsid w:val="CBBF1A6C"/>
    <w:rsid w:val="CBD101FB"/>
    <w:rsid w:val="CBD985F0"/>
    <w:rsid w:val="CBDDB184"/>
    <w:rsid w:val="CBDE8EBF"/>
    <w:rsid w:val="CBDEB203"/>
    <w:rsid w:val="CBED3DED"/>
    <w:rsid w:val="CBEF2BF6"/>
    <w:rsid w:val="CBEF9885"/>
    <w:rsid w:val="CBFB1B40"/>
    <w:rsid w:val="CBFD8D77"/>
    <w:rsid w:val="CBFE1960"/>
    <w:rsid w:val="CBFF70E0"/>
    <w:rsid w:val="CCDF64E6"/>
    <w:rsid w:val="CCF76A77"/>
    <w:rsid w:val="CD7B198D"/>
    <w:rsid w:val="CD7BC6ED"/>
    <w:rsid w:val="CD7FF0C5"/>
    <w:rsid w:val="CDCE5A58"/>
    <w:rsid w:val="CDFD9A44"/>
    <w:rsid w:val="CE17A4AB"/>
    <w:rsid w:val="CE6A8960"/>
    <w:rsid w:val="CEAFEA7F"/>
    <w:rsid w:val="CEEF7C39"/>
    <w:rsid w:val="CEFBAB2E"/>
    <w:rsid w:val="CEFF5BAA"/>
    <w:rsid w:val="CEFF8315"/>
    <w:rsid w:val="CEFF8582"/>
    <w:rsid w:val="CEFFECFE"/>
    <w:rsid w:val="CF1F0EBD"/>
    <w:rsid w:val="CF3B1FDD"/>
    <w:rsid w:val="CF51864E"/>
    <w:rsid w:val="CF69250F"/>
    <w:rsid w:val="CF7A2A84"/>
    <w:rsid w:val="CF873C70"/>
    <w:rsid w:val="CF97989A"/>
    <w:rsid w:val="CFB213C6"/>
    <w:rsid w:val="CFB38278"/>
    <w:rsid w:val="CFBAA1D0"/>
    <w:rsid w:val="CFBDD212"/>
    <w:rsid w:val="CFBE0459"/>
    <w:rsid w:val="CFCC3BF0"/>
    <w:rsid w:val="CFDDA458"/>
    <w:rsid w:val="CFDDD985"/>
    <w:rsid w:val="CFF50B82"/>
    <w:rsid w:val="CFF635F8"/>
    <w:rsid w:val="CFF77199"/>
    <w:rsid w:val="CFFB9815"/>
    <w:rsid w:val="CFFBF108"/>
    <w:rsid w:val="CFFBF3CD"/>
    <w:rsid w:val="CFFEBA48"/>
    <w:rsid w:val="CFFF3592"/>
    <w:rsid w:val="CFFF5665"/>
    <w:rsid w:val="CFFF5DC0"/>
    <w:rsid w:val="CFFFAD5E"/>
    <w:rsid w:val="CFFFAD89"/>
    <w:rsid w:val="D1EEB022"/>
    <w:rsid w:val="D1F7B87B"/>
    <w:rsid w:val="D25DDD6B"/>
    <w:rsid w:val="D26BB86D"/>
    <w:rsid w:val="D27D1CEE"/>
    <w:rsid w:val="D2FD7A52"/>
    <w:rsid w:val="D356568A"/>
    <w:rsid w:val="D37716B6"/>
    <w:rsid w:val="D37F3CE2"/>
    <w:rsid w:val="D3B343D9"/>
    <w:rsid w:val="D3B684F5"/>
    <w:rsid w:val="D3D5CE93"/>
    <w:rsid w:val="D3E720C7"/>
    <w:rsid w:val="D3EE04F7"/>
    <w:rsid w:val="D3F353B2"/>
    <w:rsid w:val="D3F4A72C"/>
    <w:rsid w:val="D3F7AE9C"/>
    <w:rsid w:val="D3FD32F2"/>
    <w:rsid w:val="D3FFB6F1"/>
    <w:rsid w:val="D43D4980"/>
    <w:rsid w:val="D48FAB45"/>
    <w:rsid w:val="D4ED2C92"/>
    <w:rsid w:val="D565EE91"/>
    <w:rsid w:val="D571C026"/>
    <w:rsid w:val="D597E18D"/>
    <w:rsid w:val="D5AFE9F6"/>
    <w:rsid w:val="D5B6EB70"/>
    <w:rsid w:val="D5CF648D"/>
    <w:rsid w:val="D5EB9B72"/>
    <w:rsid w:val="D5EF99C0"/>
    <w:rsid w:val="D5F77B3F"/>
    <w:rsid w:val="D5FDBB9F"/>
    <w:rsid w:val="D5FF067E"/>
    <w:rsid w:val="D66F462B"/>
    <w:rsid w:val="D67FA8FD"/>
    <w:rsid w:val="D69B6887"/>
    <w:rsid w:val="D6BA779B"/>
    <w:rsid w:val="D6BF1526"/>
    <w:rsid w:val="D6D9A335"/>
    <w:rsid w:val="D6DBC513"/>
    <w:rsid w:val="D6DBF0CD"/>
    <w:rsid w:val="D6F31A87"/>
    <w:rsid w:val="D6FA1B35"/>
    <w:rsid w:val="D73E465F"/>
    <w:rsid w:val="D73F1090"/>
    <w:rsid w:val="D74F2C29"/>
    <w:rsid w:val="D759EA71"/>
    <w:rsid w:val="D76FBC1B"/>
    <w:rsid w:val="D78F5582"/>
    <w:rsid w:val="D79F04A7"/>
    <w:rsid w:val="D79F3982"/>
    <w:rsid w:val="D7B49745"/>
    <w:rsid w:val="D7BDDB96"/>
    <w:rsid w:val="D7CDA9BC"/>
    <w:rsid w:val="D7DAB83B"/>
    <w:rsid w:val="D7DFAFE0"/>
    <w:rsid w:val="D7E7FD40"/>
    <w:rsid w:val="D7E8E395"/>
    <w:rsid w:val="D7E90C89"/>
    <w:rsid w:val="D7ED2054"/>
    <w:rsid w:val="D7F4085F"/>
    <w:rsid w:val="D7F843E9"/>
    <w:rsid w:val="D7FB02CA"/>
    <w:rsid w:val="D7FD096D"/>
    <w:rsid w:val="D7FD87D9"/>
    <w:rsid w:val="D7FE2F24"/>
    <w:rsid w:val="D7FEAB5D"/>
    <w:rsid w:val="D7FEF92B"/>
    <w:rsid w:val="D7FF4AD3"/>
    <w:rsid w:val="D7FF6A4D"/>
    <w:rsid w:val="D7FF82A1"/>
    <w:rsid w:val="D7FFCE6B"/>
    <w:rsid w:val="D8B63AF9"/>
    <w:rsid w:val="D8BFC5F5"/>
    <w:rsid w:val="D8F908CA"/>
    <w:rsid w:val="D99A4088"/>
    <w:rsid w:val="D9B27471"/>
    <w:rsid w:val="D9BD5C72"/>
    <w:rsid w:val="D9BFFD4F"/>
    <w:rsid w:val="D9F60856"/>
    <w:rsid w:val="D9F78978"/>
    <w:rsid w:val="D9FF2DC4"/>
    <w:rsid w:val="D9FF2F5C"/>
    <w:rsid w:val="D9FFDF6A"/>
    <w:rsid w:val="D9FFF2B7"/>
    <w:rsid w:val="DA6718EF"/>
    <w:rsid w:val="DA6FB09A"/>
    <w:rsid w:val="DA79D62A"/>
    <w:rsid w:val="DAADAFBF"/>
    <w:rsid w:val="DADFFB5F"/>
    <w:rsid w:val="DAFAFB2B"/>
    <w:rsid w:val="DAFFB5AC"/>
    <w:rsid w:val="DB5F4441"/>
    <w:rsid w:val="DB5F4C4C"/>
    <w:rsid w:val="DB632024"/>
    <w:rsid w:val="DB6FD523"/>
    <w:rsid w:val="DB75DA87"/>
    <w:rsid w:val="DBAD1CC8"/>
    <w:rsid w:val="DBB63328"/>
    <w:rsid w:val="DBBDCDDD"/>
    <w:rsid w:val="DBC74874"/>
    <w:rsid w:val="DBCFEEA2"/>
    <w:rsid w:val="DBDBB54D"/>
    <w:rsid w:val="DBDBC03D"/>
    <w:rsid w:val="DBDDA526"/>
    <w:rsid w:val="DBDFBD6B"/>
    <w:rsid w:val="DBE75BFF"/>
    <w:rsid w:val="DBEB8DED"/>
    <w:rsid w:val="DBED4ACB"/>
    <w:rsid w:val="DBF60E9D"/>
    <w:rsid w:val="DBF67E07"/>
    <w:rsid w:val="DBF9F844"/>
    <w:rsid w:val="DBFBA7F2"/>
    <w:rsid w:val="DBFE7964"/>
    <w:rsid w:val="DBFF09A9"/>
    <w:rsid w:val="DBFF5CB0"/>
    <w:rsid w:val="DBFFF91E"/>
    <w:rsid w:val="DC0FC0B3"/>
    <w:rsid w:val="DC2F9818"/>
    <w:rsid w:val="DC5FC666"/>
    <w:rsid w:val="DCAF0500"/>
    <w:rsid w:val="DCB43DC5"/>
    <w:rsid w:val="DCB7DC7F"/>
    <w:rsid w:val="DCBB5A7C"/>
    <w:rsid w:val="DCE77D3D"/>
    <w:rsid w:val="DCF9EA1A"/>
    <w:rsid w:val="DCFD83E0"/>
    <w:rsid w:val="DCFE5403"/>
    <w:rsid w:val="DCFF095F"/>
    <w:rsid w:val="DD06D6A5"/>
    <w:rsid w:val="DD272372"/>
    <w:rsid w:val="DD2F095C"/>
    <w:rsid w:val="DD2F148E"/>
    <w:rsid w:val="DD35EC55"/>
    <w:rsid w:val="DD37E5A6"/>
    <w:rsid w:val="DD3F01C5"/>
    <w:rsid w:val="DD5D79DB"/>
    <w:rsid w:val="DD68BBB8"/>
    <w:rsid w:val="DD6F621C"/>
    <w:rsid w:val="DD7733D6"/>
    <w:rsid w:val="DD7F6574"/>
    <w:rsid w:val="DD7FACA3"/>
    <w:rsid w:val="DD8BAEA5"/>
    <w:rsid w:val="DDA73F24"/>
    <w:rsid w:val="DDAECE5B"/>
    <w:rsid w:val="DDB8F2EA"/>
    <w:rsid w:val="DDBF097E"/>
    <w:rsid w:val="DDBFEBA6"/>
    <w:rsid w:val="DDD36809"/>
    <w:rsid w:val="DDD734A6"/>
    <w:rsid w:val="DDDB83A4"/>
    <w:rsid w:val="DDDDD5BF"/>
    <w:rsid w:val="DDDF10FD"/>
    <w:rsid w:val="DDDFC07C"/>
    <w:rsid w:val="DDE6BA08"/>
    <w:rsid w:val="DDE9318A"/>
    <w:rsid w:val="DDEF09F9"/>
    <w:rsid w:val="DDEF3100"/>
    <w:rsid w:val="DDF74D5C"/>
    <w:rsid w:val="DDF754E7"/>
    <w:rsid w:val="DDF78552"/>
    <w:rsid w:val="DDFA58A0"/>
    <w:rsid w:val="DDFA77B2"/>
    <w:rsid w:val="DDFBEC6F"/>
    <w:rsid w:val="DDFDCD91"/>
    <w:rsid w:val="DDFEA17F"/>
    <w:rsid w:val="DDFF8BAF"/>
    <w:rsid w:val="DE54D293"/>
    <w:rsid w:val="DE5B307B"/>
    <w:rsid w:val="DE6DC0E5"/>
    <w:rsid w:val="DE77016E"/>
    <w:rsid w:val="DE776F32"/>
    <w:rsid w:val="DE7B1469"/>
    <w:rsid w:val="DE7BFF5A"/>
    <w:rsid w:val="DEABF463"/>
    <w:rsid w:val="DED74A41"/>
    <w:rsid w:val="DEF194B0"/>
    <w:rsid w:val="DEF535B4"/>
    <w:rsid w:val="DEFA0FA1"/>
    <w:rsid w:val="DEFBC03F"/>
    <w:rsid w:val="DEFC1B51"/>
    <w:rsid w:val="DEFD2427"/>
    <w:rsid w:val="DEFF657A"/>
    <w:rsid w:val="DEFF90D5"/>
    <w:rsid w:val="DEFFB275"/>
    <w:rsid w:val="DEFFCD27"/>
    <w:rsid w:val="DEFFDEC0"/>
    <w:rsid w:val="DEFFF6AB"/>
    <w:rsid w:val="DF141BF3"/>
    <w:rsid w:val="DF2FFC07"/>
    <w:rsid w:val="DF33DDDF"/>
    <w:rsid w:val="DF3B59D1"/>
    <w:rsid w:val="DF3B8509"/>
    <w:rsid w:val="DF3D2635"/>
    <w:rsid w:val="DF3D3BDE"/>
    <w:rsid w:val="DF3FAA66"/>
    <w:rsid w:val="DF43127F"/>
    <w:rsid w:val="DF4E5BB8"/>
    <w:rsid w:val="DF590759"/>
    <w:rsid w:val="DF5A3794"/>
    <w:rsid w:val="DF5BFF79"/>
    <w:rsid w:val="DF5D3559"/>
    <w:rsid w:val="DF5F2A2C"/>
    <w:rsid w:val="DF5FFC0A"/>
    <w:rsid w:val="DF6562DE"/>
    <w:rsid w:val="DF6BA45D"/>
    <w:rsid w:val="DF73F6F4"/>
    <w:rsid w:val="DF754888"/>
    <w:rsid w:val="DF7BCABF"/>
    <w:rsid w:val="DF7EAEA5"/>
    <w:rsid w:val="DF7EBA7D"/>
    <w:rsid w:val="DF7F4553"/>
    <w:rsid w:val="DF7FAA5A"/>
    <w:rsid w:val="DF7FD16F"/>
    <w:rsid w:val="DF83FC13"/>
    <w:rsid w:val="DF8AEE63"/>
    <w:rsid w:val="DF8DD0F0"/>
    <w:rsid w:val="DF9577A4"/>
    <w:rsid w:val="DF9D1322"/>
    <w:rsid w:val="DF9E9AD9"/>
    <w:rsid w:val="DF9ECB6B"/>
    <w:rsid w:val="DF9F08D2"/>
    <w:rsid w:val="DF9F81AC"/>
    <w:rsid w:val="DF9F9BCE"/>
    <w:rsid w:val="DFAC157D"/>
    <w:rsid w:val="DFAEDA6A"/>
    <w:rsid w:val="DFB872D5"/>
    <w:rsid w:val="DFB986E1"/>
    <w:rsid w:val="DFBB908E"/>
    <w:rsid w:val="DFBC5C42"/>
    <w:rsid w:val="DFBD3B9A"/>
    <w:rsid w:val="DFBDE1AD"/>
    <w:rsid w:val="DFBEA659"/>
    <w:rsid w:val="DFBF11C1"/>
    <w:rsid w:val="DFBF615D"/>
    <w:rsid w:val="DFBFC529"/>
    <w:rsid w:val="DFBFDFF6"/>
    <w:rsid w:val="DFC92303"/>
    <w:rsid w:val="DFCFF4DD"/>
    <w:rsid w:val="DFD6E00A"/>
    <w:rsid w:val="DFD7201F"/>
    <w:rsid w:val="DFD731BE"/>
    <w:rsid w:val="DFD79CF7"/>
    <w:rsid w:val="DFDAD15C"/>
    <w:rsid w:val="DFDB940C"/>
    <w:rsid w:val="DFDBB60E"/>
    <w:rsid w:val="DFDC7E88"/>
    <w:rsid w:val="DFDE2FBE"/>
    <w:rsid w:val="DFDF31E1"/>
    <w:rsid w:val="DFE3ADF0"/>
    <w:rsid w:val="DFE52BC2"/>
    <w:rsid w:val="DFE659DE"/>
    <w:rsid w:val="DFE70D1E"/>
    <w:rsid w:val="DFE7A872"/>
    <w:rsid w:val="DFE7E182"/>
    <w:rsid w:val="DFEBD84B"/>
    <w:rsid w:val="DFED79F4"/>
    <w:rsid w:val="DFED9D75"/>
    <w:rsid w:val="DFEE83E8"/>
    <w:rsid w:val="DFEEAB53"/>
    <w:rsid w:val="DFEEAD48"/>
    <w:rsid w:val="DFEF04BE"/>
    <w:rsid w:val="DFEF3465"/>
    <w:rsid w:val="DFEFA01B"/>
    <w:rsid w:val="DFEFB1D6"/>
    <w:rsid w:val="DFEFBC39"/>
    <w:rsid w:val="DFEFFA57"/>
    <w:rsid w:val="DFF51CB0"/>
    <w:rsid w:val="DFF564A5"/>
    <w:rsid w:val="DFF7DBFB"/>
    <w:rsid w:val="DFF7F45C"/>
    <w:rsid w:val="DFF8CC67"/>
    <w:rsid w:val="DFF8E4DD"/>
    <w:rsid w:val="DFF95630"/>
    <w:rsid w:val="DFFA3FB8"/>
    <w:rsid w:val="DFFB19E0"/>
    <w:rsid w:val="DFFB5B06"/>
    <w:rsid w:val="DFFB68D7"/>
    <w:rsid w:val="DFFBBD93"/>
    <w:rsid w:val="DFFBCCAB"/>
    <w:rsid w:val="DFFD3871"/>
    <w:rsid w:val="DFFD9FA5"/>
    <w:rsid w:val="DFFDCEE3"/>
    <w:rsid w:val="DFFDCFCC"/>
    <w:rsid w:val="DFFE359E"/>
    <w:rsid w:val="DFFE4FFD"/>
    <w:rsid w:val="DFFF385C"/>
    <w:rsid w:val="DFFF6524"/>
    <w:rsid w:val="DFFF78FB"/>
    <w:rsid w:val="DFFF93EB"/>
    <w:rsid w:val="DFFFAAE5"/>
    <w:rsid w:val="DFFFC749"/>
    <w:rsid w:val="DFFFF8A8"/>
    <w:rsid w:val="DFFFFA96"/>
    <w:rsid w:val="E1EFF889"/>
    <w:rsid w:val="E1FE79F1"/>
    <w:rsid w:val="E267A277"/>
    <w:rsid w:val="E274A95B"/>
    <w:rsid w:val="E2FB2E65"/>
    <w:rsid w:val="E32FDD1E"/>
    <w:rsid w:val="E37C52D1"/>
    <w:rsid w:val="E37D0964"/>
    <w:rsid w:val="E39D9BBD"/>
    <w:rsid w:val="E3BF4592"/>
    <w:rsid w:val="E3DB050D"/>
    <w:rsid w:val="E3EF337D"/>
    <w:rsid w:val="E3F595E7"/>
    <w:rsid w:val="E3F7296D"/>
    <w:rsid w:val="E3FDCA08"/>
    <w:rsid w:val="E4F61BA1"/>
    <w:rsid w:val="E4FE2537"/>
    <w:rsid w:val="E4FEB166"/>
    <w:rsid w:val="E4FEE81A"/>
    <w:rsid w:val="E53FD0F1"/>
    <w:rsid w:val="E55F578A"/>
    <w:rsid w:val="E5734776"/>
    <w:rsid w:val="E57CEEC7"/>
    <w:rsid w:val="E5935841"/>
    <w:rsid w:val="E5AF04DE"/>
    <w:rsid w:val="E5BE2693"/>
    <w:rsid w:val="E5C9A5DC"/>
    <w:rsid w:val="E5CEDC61"/>
    <w:rsid w:val="E5FFED27"/>
    <w:rsid w:val="E61EA132"/>
    <w:rsid w:val="E667EDF0"/>
    <w:rsid w:val="E68F780A"/>
    <w:rsid w:val="E6BEEB2A"/>
    <w:rsid w:val="E6BF501D"/>
    <w:rsid w:val="E6F7F0C7"/>
    <w:rsid w:val="E6FFC1A8"/>
    <w:rsid w:val="E72BCC12"/>
    <w:rsid w:val="E73BD8A1"/>
    <w:rsid w:val="E74C0893"/>
    <w:rsid w:val="E75DD366"/>
    <w:rsid w:val="E776739C"/>
    <w:rsid w:val="E7778271"/>
    <w:rsid w:val="E777E35D"/>
    <w:rsid w:val="E77A84B2"/>
    <w:rsid w:val="E77D2322"/>
    <w:rsid w:val="E77FA016"/>
    <w:rsid w:val="E78EC523"/>
    <w:rsid w:val="E78FED3B"/>
    <w:rsid w:val="E7979BFC"/>
    <w:rsid w:val="E7AF0541"/>
    <w:rsid w:val="E7BAA630"/>
    <w:rsid w:val="E7BB7809"/>
    <w:rsid w:val="E7BD8D1C"/>
    <w:rsid w:val="E7BE134C"/>
    <w:rsid w:val="E7BF62C4"/>
    <w:rsid w:val="E7BFC6E1"/>
    <w:rsid w:val="E7CF9DCE"/>
    <w:rsid w:val="E7D72137"/>
    <w:rsid w:val="E7EB0B9D"/>
    <w:rsid w:val="E7EF7839"/>
    <w:rsid w:val="E7EFD5BA"/>
    <w:rsid w:val="E7F494D4"/>
    <w:rsid w:val="E7F73936"/>
    <w:rsid w:val="E7FDE264"/>
    <w:rsid w:val="E7FE1DF6"/>
    <w:rsid w:val="E7FF4A94"/>
    <w:rsid w:val="E7FF8C67"/>
    <w:rsid w:val="E7FFD6DA"/>
    <w:rsid w:val="E87D8171"/>
    <w:rsid w:val="E8A91A8C"/>
    <w:rsid w:val="E8DFE776"/>
    <w:rsid w:val="E8EF6D69"/>
    <w:rsid w:val="E8FFC413"/>
    <w:rsid w:val="E932DF65"/>
    <w:rsid w:val="E93EBDF0"/>
    <w:rsid w:val="E97B4CE4"/>
    <w:rsid w:val="E999577E"/>
    <w:rsid w:val="E9B7E3A3"/>
    <w:rsid w:val="E9CBC02D"/>
    <w:rsid w:val="E9DE5759"/>
    <w:rsid w:val="E9FF00D9"/>
    <w:rsid w:val="EA1D7ECB"/>
    <w:rsid w:val="EA5ED04D"/>
    <w:rsid w:val="EA677EC8"/>
    <w:rsid w:val="EA9D1585"/>
    <w:rsid w:val="EABF70B2"/>
    <w:rsid w:val="EABFFB1A"/>
    <w:rsid w:val="EADB299A"/>
    <w:rsid w:val="EAE9E5BA"/>
    <w:rsid w:val="EAFCF624"/>
    <w:rsid w:val="EAFE55A3"/>
    <w:rsid w:val="EAFF386A"/>
    <w:rsid w:val="EAFFA6CD"/>
    <w:rsid w:val="EB3EB0ED"/>
    <w:rsid w:val="EB3F67E3"/>
    <w:rsid w:val="EB3FD545"/>
    <w:rsid w:val="EB5BFD97"/>
    <w:rsid w:val="EB6BFE08"/>
    <w:rsid w:val="EB73CDE1"/>
    <w:rsid w:val="EB75DE0A"/>
    <w:rsid w:val="EB7759CC"/>
    <w:rsid w:val="EB7766AF"/>
    <w:rsid w:val="EBB4DC10"/>
    <w:rsid w:val="EBBBDD20"/>
    <w:rsid w:val="EBBEBCC8"/>
    <w:rsid w:val="EBBFA28E"/>
    <w:rsid w:val="EBD4BC02"/>
    <w:rsid w:val="EBDFA24B"/>
    <w:rsid w:val="EBE35C97"/>
    <w:rsid w:val="EBEB2777"/>
    <w:rsid w:val="EBED14AE"/>
    <w:rsid w:val="EBEFA31E"/>
    <w:rsid w:val="EBF359CE"/>
    <w:rsid w:val="EBF556A9"/>
    <w:rsid w:val="EBF7BB87"/>
    <w:rsid w:val="EBF7C877"/>
    <w:rsid w:val="EBF9586C"/>
    <w:rsid w:val="EBFB249A"/>
    <w:rsid w:val="EBFD55DC"/>
    <w:rsid w:val="EBFE0F31"/>
    <w:rsid w:val="EBFF8A99"/>
    <w:rsid w:val="EBFFA95E"/>
    <w:rsid w:val="EBFFF110"/>
    <w:rsid w:val="EC5BC27F"/>
    <w:rsid w:val="EC719CAE"/>
    <w:rsid w:val="EC7ECCE8"/>
    <w:rsid w:val="EC7FD54A"/>
    <w:rsid w:val="ECBF2488"/>
    <w:rsid w:val="ECD64789"/>
    <w:rsid w:val="ECDFDB9A"/>
    <w:rsid w:val="ECECC3EC"/>
    <w:rsid w:val="ECFB040B"/>
    <w:rsid w:val="ECFD7CB9"/>
    <w:rsid w:val="ECFF1B14"/>
    <w:rsid w:val="ED1CF52F"/>
    <w:rsid w:val="ED6F8843"/>
    <w:rsid w:val="ED6F99E6"/>
    <w:rsid w:val="ED6FD6EB"/>
    <w:rsid w:val="ED7477E6"/>
    <w:rsid w:val="ED750880"/>
    <w:rsid w:val="ED7B7A98"/>
    <w:rsid w:val="ED9B2E14"/>
    <w:rsid w:val="ED9E96C2"/>
    <w:rsid w:val="EDB6B942"/>
    <w:rsid w:val="EDBF3D89"/>
    <w:rsid w:val="EDCF3F3E"/>
    <w:rsid w:val="EDDBB00C"/>
    <w:rsid w:val="EDF7052C"/>
    <w:rsid w:val="EDF78C11"/>
    <w:rsid w:val="EDFB1CCF"/>
    <w:rsid w:val="EDFD0C2E"/>
    <w:rsid w:val="EDFD25B0"/>
    <w:rsid w:val="EDFD43D5"/>
    <w:rsid w:val="EDFD70F6"/>
    <w:rsid w:val="EDFF283B"/>
    <w:rsid w:val="EDFFC715"/>
    <w:rsid w:val="EDFFF20C"/>
    <w:rsid w:val="EE1E07EC"/>
    <w:rsid w:val="EE7EA7A1"/>
    <w:rsid w:val="EE9DA70D"/>
    <w:rsid w:val="EEABED75"/>
    <w:rsid w:val="EEAD2453"/>
    <w:rsid w:val="EEBDBB1E"/>
    <w:rsid w:val="EEBFA115"/>
    <w:rsid w:val="EECCD728"/>
    <w:rsid w:val="EECE1E55"/>
    <w:rsid w:val="EEE709CE"/>
    <w:rsid w:val="EEE7785C"/>
    <w:rsid w:val="EEEF240B"/>
    <w:rsid w:val="EEEF994F"/>
    <w:rsid w:val="EEF126CC"/>
    <w:rsid w:val="EEF710D0"/>
    <w:rsid w:val="EEFA854C"/>
    <w:rsid w:val="EEFAF02F"/>
    <w:rsid w:val="EEFB643E"/>
    <w:rsid w:val="EEFEDC77"/>
    <w:rsid w:val="EEFF16AF"/>
    <w:rsid w:val="EEFF42F1"/>
    <w:rsid w:val="EF17C714"/>
    <w:rsid w:val="EF1EE146"/>
    <w:rsid w:val="EF1F931C"/>
    <w:rsid w:val="EF2F76AC"/>
    <w:rsid w:val="EF2FE29B"/>
    <w:rsid w:val="EF37AD36"/>
    <w:rsid w:val="EF3E4050"/>
    <w:rsid w:val="EF3E849F"/>
    <w:rsid w:val="EF3EAC49"/>
    <w:rsid w:val="EF3F1912"/>
    <w:rsid w:val="EF577E96"/>
    <w:rsid w:val="EF5DAB8A"/>
    <w:rsid w:val="EF5F9318"/>
    <w:rsid w:val="EF7303CF"/>
    <w:rsid w:val="EF7348BC"/>
    <w:rsid w:val="EF738EDA"/>
    <w:rsid w:val="EF73CCA8"/>
    <w:rsid w:val="EF7C54A5"/>
    <w:rsid w:val="EF7D4C4B"/>
    <w:rsid w:val="EF7DA37F"/>
    <w:rsid w:val="EF7F0005"/>
    <w:rsid w:val="EF7F1144"/>
    <w:rsid w:val="EF7F7283"/>
    <w:rsid w:val="EF7FF24F"/>
    <w:rsid w:val="EF8A37D9"/>
    <w:rsid w:val="EF912D32"/>
    <w:rsid w:val="EF958F49"/>
    <w:rsid w:val="EF9BB244"/>
    <w:rsid w:val="EF9DD7C8"/>
    <w:rsid w:val="EF9F0F98"/>
    <w:rsid w:val="EF9FC36F"/>
    <w:rsid w:val="EFB171C0"/>
    <w:rsid w:val="EFB259AC"/>
    <w:rsid w:val="EFB52663"/>
    <w:rsid w:val="EFB65A5D"/>
    <w:rsid w:val="EFB77489"/>
    <w:rsid w:val="EFB7E911"/>
    <w:rsid w:val="EFBB19C3"/>
    <w:rsid w:val="EFBE1791"/>
    <w:rsid w:val="EFBE1D4B"/>
    <w:rsid w:val="EFBF4C9B"/>
    <w:rsid w:val="EFBF80A3"/>
    <w:rsid w:val="EFBFD5A1"/>
    <w:rsid w:val="EFBFE9DB"/>
    <w:rsid w:val="EFCB625C"/>
    <w:rsid w:val="EFCD4C00"/>
    <w:rsid w:val="EFCF7604"/>
    <w:rsid w:val="EFD365DC"/>
    <w:rsid w:val="EFD46981"/>
    <w:rsid w:val="EFD6A3F4"/>
    <w:rsid w:val="EFD7A27A"/>
    <w:rsid w:val="EFDB6FAB"/>
    <w:rsid w:val="EFDBE9BF"/>
    <w:rsid w:val="EFDCDA35"/>
    <w:rsid w:val="EFDD507B"/>
    <w:rsid w:val="EFDD814C"/>
    <w:rsid w:val="EFDF0AA4"/>
    <w:rsid w:val="EFDFD49D"/>
    <w:rsid w:val="EFE1AE16"/>
    <w:rsid w:val="EFE7A6E2"/>
    <w:rsid w:val="EFEA9AF1"/>
    <w:rsid w:val="EFEC0457"/>
    <w:rsid w:val="EFEF6506"/>
    <w:rsid w:val="EFF1E056"/>
    <w:rsid w:val="EFF31261"/>
    <w:rsid w:val="EFF3BD3A"/>
    <w:rsid w:val="EFF3FCD5"/>
    <w:rsid w:val="EFF6F4F0"/>
    <w:rsid w:val="EFF7400D"/>
    <w:rsid w:val="EFF75CDD"/>
    <w:rsid w:val="EFF79DD8"/>
    <w:rsid w:val="EFF92B40"/>
    <w:rsid w:val="EFFBAC98"/>
    <w:rsid w:val="EFFBB317"/>
    <w:rsid w:val="EFFBC4BB"/>
    <w:rsid w:val="EFFCFC4A"/>
    <w:rsid w:val="EFFD2B91"/>
    <w:rsid w:val="EFFD414A"/>
    <w:rsid w:val="EFFDB53E"/>
    <w:rsid w:val="EFFDFEB6"/>
    <w:rsid w:val="EFFE4A2C"/>
    <w:rsid w:val="EFFE7F15"/>
    <w:rsid w:val="EFFED336"/>
    <w:rsid w:val="EFFEEC4B"/>
    <w:rsid w:val="EFFF158D"/>
    <w:rsid w:val="EFFF4AFD"/>
    <w:rsid w:val="EFFF64FA"/>
    <w:rsid w:val="EFFF8F14"/>
    <w:rsid w:val="EFFF9660"/>
    <w:rsid w:val="EFFF9910"/>
    <w:rsid w:val="EFFFABD9"/>
    <w:rsid w:val="EFFFE03C"/>
    <w:rsid w:val="EFFFF809"/>
    <w:rsid w:val="F00E7D21"/>
    <w:rsid w:val="F0573312"/>
    <w:rsid w:val="F0A7717E"/>
    <w:rsid w:val="F0BDDA7D"/>
    <w:rsid w:val="F1780A31"/>
    <w:rsid w:val="F17C96A9"/>
    <w:rsid w:val="F1AA9A86"/>
    <w:rsid w:val="F1AF8DE3"/>
    <w:rsid w:val="F1DB7778"/>
    <w:rsid w:val="F1DF4D86"/>
    <w:rsid w:val="F1F30F59"/>
    <w:rsid w:val="F1F63C09"/>
    <w:rsid w:val="F1F777A8"/>
    <w:rsid w:val="F25E30B0"/>
    <w:rsid w:val="F29736F7"/>
    <w:rsid w:val="F2BDDE18"/>
    <w:rsid w:val="F2D48629"/>
    <w:rsid w:val="F2E39BDA"/>
    <w:rsid w:val="F2F7B77B"/>
    <w:rsid w:val="F2FF77CF"/>
    <w:rsid w:val="F30DB971"/>
    <w:rsid w:val="F32D75BC"/>
    <w:rsid w:val="F33130E2"/>
    <w:rsid w:val="F36D0159"/>
    <w:rsid w:val="F36FC04A"/>
    <w:rsid w:val="F36FD18A"/>
    <w:rsid w:val="F37F6370"/>
    <w:rsid w:val="F387E6CF"/>
    <w:rsid w:val="F3895A9B"/>
    <w:rsid w:val="F395C54B"/>
    <w:rsid w:val="F3963E9A"/>
    <w:rsid w:val="F3999EF3"/>
    <w:rsid w:val="F39EE0D9"/>
    <w:rsid w:val="F3AF02F2"/>
    <w:rsid w:val="F3BF8C11"/>
    <w:rsid w:val="F3BFA253"/>
    <w:rsid w:val="F3CF98DE"/>
    <w:rsid w:val="F3D21A11"/>
    <w:rsid w:val="F3DF63FB"/>
    <w:rsid w:val="F3EBD4A0"/>
    <w:rsid w:val="F3ED01B0"/>
    <w:rsid w:val="F3EF3A91"/>
    <w:rsid w:val="F3F27D27"/>
    <w:rsid w:val="F3F3E51F"/>
    <w:rsid w:val="F3FF1015"/>
    <w:rsid w:val="F3FF1CBE"/>
    <w:rsid w:val="F3FF3F25"/>
    <w:rsid w:val="F3FF98D8"/>
    <w:rsid w:val="F3FFD687"/>
    <w:rsid w:val="F46462AB"/>
    <w:rsid w:val="F47CA209"/>
    <w:rsid w:val="F4A6D09F"/>
    <w:rsid w:val="F4DB8C8E"/>
    <w:rsid w:val="F4F3E56F"/>
    <w:rsid w:val="F4F91A8A"/>
    <w:rsid w:val="F4FF4C7C"/>
    <w:rsid w:val="F54F2DDB"/>
    <w:rsid w:val="F5556329"/>
    <w:rsid w:val="F56D0DAB"/>
    <w:rsid w:val="F56FDF51"/>
    <w:rsid w:val="F574B596"/>
    <w:rsid w:val="F579013A"/>
    <w:rsid w:val="F5A7251E"/>
    <w:rsid w:val="F5AA9864"/>
    <w:rsid w:val="F5AF0553"/>
    <w:rsid w:val="F5B3903F"/>
    <w:rsid w:val="F5BB02E9"/>
    <w:rsid w:val="F5BD4F68"/>
    <w:rsid w:val="F5BFD020"/>
    <w:rsid w:val="F5CFA8F1"/>
    <w:rsid w:val="F5D6440E"/>
    <w:rsid w:val="F5DAB2F8"/>
    <w:rsid w:val="F5DB80F9"/>
    <w:rsid w:val="F5DBABF9"/>
    <w:rsid w:val="F5EBFE5A"/>
    <w:rsid w:val="F5EFCEEF"/>
    <w:rsid w:val="F5F3CB2B"/>
    <w:rsid w:val="F5F68407"/>
    <w:rsid w:val="F5F74C0F"/>
    <w:rsid w:val="F5F788B8"/>
    <w:rsid w:val="F5FABBAC"/>
    <w:rsid w:val="F5FCD2EE"/>
    <w:rsid w:val="F5FEB097"/>
    <w:rsid w:val="F5FFE8F5"/>
    <w:rsid w:val="F62B49B6"/>
    <w:rsid w:val="F62E24F6"/>
    <w:rsid w:val="F66D8542"/>
    <w:rsid w:val="F66E3030"/>
    <w:rsid w:val="F6769357"/>
    <w:rsid w:val="F67F3173"/>
    <w:rsid w:val="F67F56BA"/>
    <w:rsid w:val="F68F247F"/>
    <w:rsid w:val="F6B59E63"/>
    <w:rsid w:val="F6B69F17"/>
    <w:rsid w:val="F6BD27EA"/>
    <w:rsid w:val="F6BE6DBB"/>
    <w:rsid w:val="F6BED4E2"/>
    <w:rsid w:val="F6BFF338"/>
    <w:rsid w:val="F6CF5169"/>
    <w:rsid w:val="F6DBB0CD"/>
    <w:rsid w:val="F6DBC8A0"/>
    <w:rsid w:val="F6DFC59A"/>
    <w:rsid w:val="F6DFE655"/>
    <w:rsid w:val="F6E47DC7"/>
    <w:rsid w:val="F6E724D2"/>
    <w:rsid w:val="F6EF7296"/>
    <w:rsid w:val="F6EFB0F8"/>
    <w:rsid w:val="F6FE1F61"/>
    <w:rsid w:val="F6FE337C"/>
    <w:rsid w:val="F6FEAD0F"/>
    <w:rsid w:val="F6FF1E81"/>
    <w:rsid w:val="F72F9C47"/>
    <w:rsid w:val="F7371427"/>
    <w:rsid w:val="F73B20D1"/>
    <w:rsid w:val="F73B7AAE"/>
    <w:rsid w:val="F73C2113"/>
    <w:rsid w:val="F73D23CB"/>
    <w:rsid w:val="F73FBA1E"/>
    <w:rsid w:val="F73FC731"/>
    <w:rsid w:val="F742C5FB"/>
    <w:rsid w:val="F75E2D65"/>
    <w:rsid w:val="F75F6E2B"/>
    <w:rsid w:val="F76BA42E"/>
    <w:rsid w:val="F76BDD29"/>
    <w:rsid w:val="F76FCECB"/>
    <w:rsid w:val="F777FA7C"/>
    <w:rsid w:val="F77D501A"/>
    <w:rsid w:val="F77F1D61"/>
    <w:rsid w:val="F77F9A43"/>
    <w:rsid w:val="F77FCF63"/>
    <w:rsid w:val="F77FF072"/>
    <w:rsid w:val="F78CB892"/>
    <w:rsid w:val="F79B822D"/>
    <w:rsid w:val="F7ADDA00"/>
    <w:rsid w:val="F7AE601C"/>
    <w:rsid w:val="F7B704AF"/>
    <w:rsid w:val="F7B7F63E"/>
    <w:rsid w:val="F7BB31A4"/>
    <w:rsid w:val="F7BF0738"/>
    <w:rsid w:val="F7BF09C6"/>
    <w:rsid w:val="F7BF349F"/>
    <w:rsid w:val="F7BF9711"/>
    <w:rsid w:val="F7BFAE87"/>
    <w:rsid w:val="F7BFC921"/>
    <w:rsid w:val="F7BFD309"/>
    <w:rsid w:val="F7BFDED2"/>
    <w:rsid w:val="F7D33A07"/>
    <w:rsid w:val="F7D35CFC"/>
    <w:rsid w:val="F7D5149D"/>
    <w:rsid w:val="F7D658CE"/>
    <w:rsid w:val="F7D6A0FE"/>
    <w:rsid w:val="F7D76B33"/>
    <w:rsid w:val="F7D8A15E"/>
    <w:rsid w:val="F7DB3C9C"/>
    <w:rsid w:val="F7DBDE75"/>
    <w:rsid w:val="F7DC425D"/>
    <w:rsid w:val="F7DE0BCC"/>
    <w:rsid w:val="F7DEB80B"/>
    <w:rsid w:val="F7DF24B9"/>
    <w:rsid w:val="F7DFD9EA"/>
    <w:rsid w:val="F7E20FB4"/>
    <w:rsid w:val="F7E2B5A0"/>
    <w:rsid w:val="F7E7B0B9"/>
    <w:rsid w:val="F7E7E3AD"/>
    <w:rsid w:val="F7EBE7A7"/>
    <w:rsid w:val="F7EC9577"/>
    <w:rsid w:val="F7EF1628"/>
    <w:rsid w:val="F7EF2AB7"/>
    <w:rsid w:val="F7EFA5F1"/>
    <w:rsid w:val="F7EFA7C4"/>
    <w:rsid w:val="F7EFB806"/>
    <w:rsid w:val="F7EFBF20"/>
    <w:rsid w:val="F7EFD51E"/>
    <w:rsid w:val="F7F42358"/>
    <w:rsid w:val="F7F71DDB"/>
    <w:rsid w:val="F7F767BF"/>
    <w:rsid w:val="F7F7C151"/>
    <w:rsid w:val="F7F7D440"/>
    <w:rsid w:val="F7F7D9C0"/>
    <w:rsid w:val="F7F88AC3"/>
    <w:rsid w:val="F7F96EE7"/>
    <w:rsid w:val="F7FAA7C1"/>
    <w:rsid w:val="F7FB1A81"/>
    <w:rsid w:val="F7FB4803"/>
    <w:rsid w:val="F7FB815A"/>
    <w:rsid w:val="F7FDB09E"/>
    <w:rsid w:val="F7FE19E8"/>
    <w:rsid w:val="F7FE1A27"/>
    <w:rsid w:val="F7FE8FC5"/>
    <w:rsid w:val="F7FED3A9"/>
    <w:rsid w:val="F7FF1226"/>
    <w:rsid w:val="F7FF41E8"/>
    <w:rsid w:val="F7FF7964"/>
    <w:rsid w:val="F7FF81C6"/>
    <w:rsid w:val="F7FF95F9"/>
    <w:rsid w:val="F7FFA310"/>
    <w:rsid w:val="F7FFAE1C"/>
    <w:rsid w:val="F7FFDFF5"/>
    <w:rsid w:val="F7FFF330"/>
    <w:rsid w:val="F87D5EFB"/>
    <w:rsid w:val="F8B79247"/>
    <w:rsid w:val="F8BFF2AB"/>
    <w:rsid w:val="F8C9DB26"/>
    <w:rsid w:val="F8CBC915"/>
    <w:rsid w:val="F8DDDA9D"/>
    <w:rsid w:val="F8DF2FD4"/>
    <w:rsid w:val="F8E5594D"/>
    <w:rsid w:val="F8ED8A04"/>
    <w:rsid w:val="F8EFA660"/>
    <w:rsid w:val="F8F3D3CB"/>
    <w:rsid w:val="F8F62C62"/>
    <w:rsid w:val="F8FACF63"/>
    <w:rsid w:val="F8FF5031"/>
    <w:rsid w:val="F91D2690"/>
    <w:rsid w:val="F921F191"/>
    <w:rsid w:val="F92DAEC7"/>
    <w:rsid w:val="F94F31AA"/>
    <w:rsid w:val="F9757421"/>
    <w:rsid w:val="F97E8EAE"/>
    <w:rsid w:val="F99B7BD8"/>
    <w:rsid w:val="F99CBCF6"/>
    <w:rsid w:val="F99F89E0"/>
    <w:rsid w:val="F9ABC22C"/>
    <w:rsid w:val="F9B66DBB"/>
    <w:rsid w:val="F9BA2AB1"/>
    <w:rsid w:val="F9BDEB1C"/>
    <w:rsid w:val="F9C5C1DC"/>
    <w:rsid w:val="F9CBE32A"/>
    <w:rsid w:val="F9CBEA04"/>
    <w:rsid w:val="F9D728F7"/>
    <w:rsid w:val="F9D7E048"/>
    <w:rsid w:val="F9DCFB5F"/>
    <w:rsid w:val="F9DE4A63"/>
    <w:rsid w:val="F9ED7139"/>
    <w:rsid w:val="F9EDA4C4"/>
    <w:rsid w:val="F9F6D45E"/>
    <w:rsid w:val="F9F712F6"/>
    <w:rsid w:val="F9F7A4A1"/>
    <w:rsid w:val="F9FAEB3F"/>
    <w:rsid w:val="F9FCC011"/>
    <w:rsid w:val="F9FD5D56"/>
    <w:rsid w:val="F9FD97A4"/>
    <w:rsid w:val="F9FDFA24"/>
    <w:rsid w:val="F9FE07C0"/>
    <w:rsid w:val="F9FEC863"/>
    <w:rsid w:val="F9FF1B58"/>
    <w:rsid w:val="F9FF1DB8"/>
    <w:rsid w:val="F9FF1FA8"/>
    <w:rsid w:val="F9FF4B66"/>
    <w:rsid w:val="F9FF781A"/>
    <w:rsid w:val="F9FFEF7F"/>
    <w:rsid w:val="FA3D5292"/>
    <w:rsid w:val="FA4D3D62"/>
    <w:rsid w:val="FA5F7A47"/>
    <w:rsid w:val="FA6E3E4B"/>
    <w:rsid w:val="FA75CF21"/>
    <w:rsid w:val="FAA5B826"/>
    <w:rsid w:val="FAA7F81E"/>
    <w:rsid w:val="FABA3C61"/>
    <w:rsid w:val="FABF58ED"/>
    <w:rsid w:val="FAD7BCA0"/>
    <w:rsid w:val="FADEF379"/>
    <w:rsid w:val="FAE31644"/>
    <w:rsid w:val="FAF114BD"/>
    <w:rsid w:val="FAF39CD8"/>
    <w:rsid w:val="FAFB57C0"/>
    <w:rsid w:val="FAFB67F2"/>
    <w:rsid w:val="FAFBA12A"/>
    <w:rsid w:val="FAFDA608"/>
    <w:rsid w:val="FAFDB977"/>
    <w:rsid w:val="FAFEF8AB"/>
    <w:rsid w:val="FAFF771F"/>
    <w:rsid w:val="FAFF925D"/>
    <w:rsid w:val="FB104038"/>
    <w:rsid w:val="FB1701D9"/>
    <w:rsid w:val="FB179218"/>
    <w:rsid w:val="FB235EAF"/>
    <w:rsid w:val="FB36E1A6"/>
    <w:rsid w:val="FB37C065"/>
    <w:rsid w:val="FB3BE134"/>
    <w:rsid w:val="FB3F21E0"/>
    <w:rsid w:val="FB3F677D"/>
    <w:rsid w:val="FB3FEE76"/>
    <w:rsid w:val="FB3FF1AA"/>
    <w:rsid w:val="FB4F7555"/>
    <w:rsid w:val="FB52EE46"/>
    <w:rsid w:val="FB5F77A0"/>
    <w:rsid w:val="FB5FBBFC"/>
    <w:rsid w:val="FB6F6E6F"/>
    <w:rsid w:val="FB6FA04E"/>
    <w:rsid w:val="FB73873E"/>
    <w:rsid w:val="FB773699"/>
    <w:rsid w:val="FB7BAB25"/>
    <w:rsid w:val="FB7C8DB5"/>
    <w:rsid w:val="FB7D8E0E"/>
    <w:rsid w:val="FB7E3F6D"/>
    <w:rsid w:val="FB7F138C"/>
    <w:rsid w:val="FB7F635B"/>
    <w:rsid w:val="FB7FD5AB"/>
    <w:rsid w:val="FB970D38"/>
    <w:rsid w:val="FB9B98A6"/>
    <w:rsid w:val="FB9D779E"/>
    <w:rsid w:val="FB9EC510"/>
    <w:rsid w:val="FBB324F9"/>
    <w:rsid w:val="FBBD7D1D"/>
    <w:rsid w:val="FBBD8501"/>
    <w:rsid w:val="FBBE0D4C"/>
    <w:rsid w:val="FBBE5FA7"/>
    <w:rsid w:val="FBBF4795"/>
    <w:rsid w:val="FBCF57E2"/>
    <w:rsid w:val="FBCFB194"/>
    <w:rsid w:val="FBD72411"/>
    <w:rsid w:val="FBD73E30"/>
    <w:rsid w:val="FBDB2F03"/>
    <w:rsid w:val="FBDDB983"/>
    <w:rsid w:val="FBDDBD8E"/>
    <w:rsid w:val="FBDDC0D0"/>
    <w:rsid w:val="FBDDEB5A"/>
    <w:rsid w:val="FBDE4BBC"/>
    <w:rsid w:val="FBDE6B10"/>
    <w:rsid w:val="FBE1C5D4"/>
    <w:rsid w:val="FBE76E72"/>
    <w:rsid w:val="FBE99305"/>
    <w:rsid w:val="FBEB3B36"/>
    <w:rsid w:val="FBED5CB8"/>
    <w:rsid w:val="FBEDBD2F"/>
    <w:rsid w:val="FBEE819D"/>
    <w:rsid w:val="FBEE871A"/>
    <w:rsid w:val="FBEF12FA"/>
    <w:rsid w:val="FBEF5688"/>
    <w:rsid w:val="FBEFEF6C"/>
    <w:rsid w:val="FBF32C86"/>
    <w:rsid w:val="FBF4DFF7"/>
    <w:rsid w:val="FBF5D669"/>
    <w:rsid w:val="FBF67B1D"/>
    <w:rsid w:val="FBF726D0"/>
    <w:rsid w:val="FBF77D0D"/>
    <w:rsid w:val="FBF7B33B"/>
    <w:rsid w:val="FBFB915D"/>
    <w:rsid w:val="FBFBAA19"/>
    <w:rsid w:val="FBFBFC58"/>
    <w:rsid w:val="FBFD0A68"/>
    <w:rsid w:val="FBFD16ED"/>
    <w:rsid w:val="FBFD6F1D"/>
    <w:rsid w:val="FBFD87DA"/>
    <w:rsid w:val="FBFD9AF4"/>
    <w:rsid w:val="FBFDD1E6"/>
    <w:rsid w:val="FBFDEDA1"/>
    <w:rsid w:val="FBFE4E40"/>
    <w:rsid w:val="FBFE74BF"/>
    <w:rsid w:val="FBFF2666"/>
    <w:rsid w:val="FBFF2A7B"/>
    <w:rsid w:val="FBFF551F"/>
    <w:rsid w:val="FBFF6E29"/>
    <w:rsid w:val="FBFFD728"/>
    <w:rsid w:val="FBFFF481"/>
    <w:rsid w:val="FBFFFB3A"/>
    <w:rsid w:val="FC0F643C"/>
    <w:rsid w:val="FC669A8A"/>
    <w:rsid w:val="FC6B42F7"/>
    <w:rsid w:val="FC6D0818"/>
    <w:rsid w:val="FC6D6AD5"/>
    <w:rsid w:val="FC6F13AA"/>
    <w:rsid w:val="FC6F7400"/>
    <w:rsid w:val="FC7BB1BE"/>
    <w:rsid w:val="FC7F4A29"/>
    <w:rsid w:val="FC7FA02F"/>
    <w:rsid w:val="FCA50313"/>
    <w:rsid w:val="FCAF96C6"/>
    <w:rsid w:val="FCBDA340"/>
    <w:rsid w:val="FCBDCC51"/>
    <w:rsid w:val="FCBDEDA7"/>
    <w:rsid w:val="FCBFD145"/>
    <w:rsid w:val="FCCFDAD7"/>
    <w:rsid w:val="FCDE0F32"/>
    <w:rsid w:val="FCDEADE3"/>
    <w:rsid w:val="FCDF9977"/>
    <w:rsid w:val="FCE12AF3"/>
    <w:rsid w:val="FCE335A1"/>
    <w:rsid w:val="FCE36B1C"/>
    <w:rsid w:val="FCEA6AA0"/>
    <w:rsid w:val="FCEE303E"/>
    <w:rsid w:val="FCEF4AB9"/>
    <w:rsid w:val="FCEF6A00"/>
    <w:rsid w:val="FCFBED81"/>
    <w:rsid w:val="FCFCEDAF"/>
    <w:rsid w:val="FCFE56BF"/>
    <w:rsid w:val="FCFF4275"/>
    <w:rsid w:val="FD0A30B9"/>
    <w:rsid w:val="FD3B367A"/>
    <w:rsid w:val="FD3B3B48"/>
    <w:rsid w:val="FD3E53B2"/>
    <w:rsid w:val="FD4FB1B1"/>
    <w:rsid w:val="FD53215B"/>
    <w:rsid w:val="FD5A3A8C"/>
    <w:rsid w:val="FD5B7D6C"/>
    <w:rsid w:val="FD5D4DC2"/>
    <w:rsid w:val="FD5F3D24"/>
    <w:rsid w:val="FD6B8444"/>
    <w:rsid w:val="FD6EB1C6"/>
    <w:rsid w:val="FD6FC7DA"/>
    <w:rsid w:val="FD6FE059"/>
    <w:rsid w:val="FD740647"/>
    <w:rsid w:val="FD7591BA"/>
    <w:rsid w:val="FD791765"/>
    <w:rsid w:val="FD7B2B50"/>
    <w:rsid w:val="FD7B460C"/>
    <w:rsid w:val="FD7B6B89"/>
    <w:rsid w:val="FD7BC6C6"/>
    <w:rsid w:val="FD7D016D"/>
    <w:rsid w:val="FD7D4C63"/>
    <w:rsid w:val="FD7DEB87"/>
    <w:rsid w:val="FD7F9649"/>
    <w:rsid w:val="FD7FEEEA"/>
    <w:rsid w:val="FD7FF9EF"/>
    <w:rsid w:val="FD85A91D"/>
    <w:rsid w:val="FD8E560D"/>
    <w:rsid w:val="FD977A92"/>
    <w:rsid w:val="FD99E646"/>
    <w:rsid w:val="FD9F5A91"/>
    <w:rsid w:val="FDAF49DE"/>
    <w:rsid w:val="FDAFA3C4"/>
    <w:rsid w:val="FDB7C249"/>
    <w:rsid w:val="FDB7F80F"/>
    <w:rsid w:val="FDB9F862"/>
    <w:rsid w:val="FDBA76EF"/>
    <w:rsid w:val="FDBB375A"/>
    <w:rsid w:val="FDBBCF00"/>
    <w:rsid w:val="FDBD452F"/>
    <w:rsid w:val="FDBF2614"/>
    <w:rsid w:val="FDBFB23B"/>
    <w:rsid w:val="FDBFD41F"/>
    <w:rsid w:val="FDBFFA87"/>
    <w:rsid w:val="FDC75C9B"/>
    <w:rsid w:val="FDC78AEF"/>
    <w:rsid w:val="FDCE69AC"/>
    <w:rsid w:val="FDD28800"/>
    <w:rsid w:val="FDD30365"/>
    <w:rsid w:val="FDD61480"/>
    <w:rsid w:val="FDD88E80"/>
    <w:rsid w:val="FDD9B415"/>
    <w:rsid w:val="FDDB04E8"/>
    <w:rsid w:val="FDDB11FD"/>
    <w:rsid w:val="FDDB1B7E"/>
    <w:rsid w:val="FDDD72CC"/>
    <w:rsid w:val="FDDF266A"/>
    <w:rsid w:val="FDDF35F3"/>
    <w:rsid w:val="FDDF58DC"/>
    <w:rsid w:val="FDE8CB7A"/>
    <w:rsid w:val="FDEB2B31"/>
    <w:rsid w:val="FDEBC0C0"/>
    <w:rsid w:val="FDEF8BE6"/>
    <w:rsid w:val="FDEFADE8"/>
    <w:rsid w:val="FDF12F0E"/>
    <w:rsid w:val="FDF32006"/>
    <w:rsid w:val="FDF64FAD"/>
    <w:rsid w:val="FDF6ED62"/>
    <w:rsid w:val="FDF7DC0B"/>
    <w:rsid w:val="FDF95152"/>
    <w:rsid w:val="FDFB4E18"/>
    <w:rsid w:val="FDFB8486"/>
    <w:rsid w:val="FDFD019A"/>
    <w:rsid w:val="FDFD32F1"/>
    <w:rsid w:val="FDFD8880"/>
    <w:rsid w:val="FDFECF3C"/>
    <w:rsid w:val="FDFEE2D5"/>
    <w:rsid w:val="FDFF49C3"/>
    <w:rsid w:val="FDFF7F3A"/>
    <w:rsid w:val="FDFF9518"/>
    <w:rsid w:val="FDFF96CC"/>
    <w:rsid w:val="FDFFA013"/>
    <w:rsid w:val="FDFFB577"/>
    <w:rsid w:val="FDFFB892"/>
    <w:rsid w:val="FDFFC142"/>
    <w:rsid w:val="FDFFCAAB"/>
    <w:rsid w:val="FDFFDA12"/>
    <w:rsid w:val="FDFFDBBF"/>
    <w:rsid w:val="FDFFDEB0"/>
    <w:rsid w:val="FDFFFC6A"/>
    <w:rsid w:val="FE3E6598"/>
    <w:rsid w:val="FE3F1D7A"/>
    <w:rsid w:val="FE4BD925"/>
    <w:rsid w:val="FE5B01F4"/>
    <w:rsid w:val="FE5E2F4D"/>
    <w:rsid w:val="FE6727A1"/>
    <w:rsid w:val="FE6B6D9D"/>
    <w:rsid w:val="FE6F1F2A"/>
    <w:rsid w:val="FE6F39A1"/>
    <w:rsid w:val="FE72D6B4"/>
    <w:rsid w:val="FE7C7B2C"/>
    <w:rsid w:val="FE7C8A9C"/>
    <w:rsid w:val="FE7E92C2"/>
    <w:rsid w:val="FE7F10D1"/>
    <w:rsid w:val="FE7F7050"/>
    <w:rsid w:val="FE7FEC79"/>
    <w:rsid w:val="FE828A2A"/>
    <w:rsid w:val="FE8385D2"/>
    <w:rsid w:val="FE8FB869"/>
    <w:rsid w:val="FE8FE4B9"/>
    <w:rsid w:val="FE9743D3"/>
    <w:rsid w:val="FE98D804"/>
    <w:rsid w:val="FE99DB4A"/>
    <w:rsid w:val="FEA564E6"/>
    <w:rsid w:val="FEA7130C"/>
    <w:rsid w:val="FEA73DC1"/>
    <w:rsid w:val="FEAB751C"/>
    <w:rsid w:val="FEAB784D"/>
    <w:rsid w:val="FEABE58F"/>
    <w:rsid w:val="FEACC41A"/>
    <w:rsid w:val="FEB363D2"/>
    <w:rsid w:val="FEB8B516"/>
    <w:rsid w:val="FEBB025F"/>
    <w:rsid w:val="FEBB5828"/>
    <w:rsid w:val="FEBD6D8A"/>
    <w:rsid w:val="FEBDE5D9"/>
    <w:rsid w:val="FEBEFF0E"/>
    <w:rsid w:val="FEBFC3B3"/>
    <w:rsid w:val="FEC721FA"/>
    <w:rsid w:val="FEC75E5D"/>
    <w:rsid w:val="FECB1726"/>
    <w:rsid w:val="FECFF1CC"/>
    <w:rsid w:val="FED2F2A2"/>
    <w:rsid w:val="FED4372E"/>
    <w:rsid w:val="FED7F34A"/>
    <w:rsid w:val="FEDD048E"/>
    <w:rsid w:val="FEDF7522"/>
    <w:rsid w:val="FEDF80E5"/>
    <w:rsid w:val="FEE38AD4"/>
    <w:rsid w:val="FEE57A11"/>
    <w:rsid w:val="FEE70CFB"/>
    <w:rsid w:val="FEE71B62"/>
    <w:rsid w:val="FEE74F28"/>
    <w:rsid w:val="FEE7D4DB"/>
    <w:rsid w:val="FEEA1FE6"/>
    <w:rsid w:val="FEEA50FE"/>
    <w:rsid w:val="FEEB31A7"/>
    <w:rsid w:val="FEEB68A4"/>
    <w:rsid w:val="FEEBB314"/>
    <w:rsid w:val="FEED8AE1"/>
    <w:rsid w:val="FEEE81B5"/>
    <w:rsid w:val="FEEEEC2E"/>
    <w:rsid w:val="FEEEFBDF"/>
    <w:rsid w:val="FEEF07FF"/>
    <w:rsid w:val="FEEF3BD6"/>
    <w:rsid w:val="FEEF3D38"/>
    <w:rsid w:val="FEEF91C8"/>
    <w:rsid w:val="FEEF9A54"/>
    <w:rsid w:val="FEEFC609"/>
    <w:rsid w:val="FEF25F5C"/>
    <w:rsid w:val="FEF35B5D"/>
    <w:rsid w:val="FEF50C29"/>
    <w:rsid w:val="FEF6083F"/>
    <w:rsid w:val="FEF67908"/>
    <w:rsid w:val="FEF7003B"/>
    <w:rsid w:val="FEF74551"/>
    <w:rsid w:val="FEF74894"/>
    <w:rsid w:val="FEF762AF"/>
    <w:rsid w:val="FEF7FC6C"/>
    <w:rsid w:val="FEF9F2C3"/>
    <w:rsid w:val="FEFA30E5"/>
    <w:rsid w:val="FEFA4E64"/>
    <w:rsid w:val="FEFB40EE"/>
    <w:rsid w:val="FEFB84AD"/>
    <w:rsid w:val="FEFB8F18"/>
    <w:rsid w:val="FEFBCD11"/>
    <w:rsid w:val="FEFDBD6A"/>
    <w:rsid w:val="FEFDDA5B"/>
    <w:rsid w:val="FEFE16D4"/>
    <w:rsid w:val="FEFE48CD"/>
    <w:rsid w:val="FEFE70CA"/>
    <w:rsid w:val="FEFEDC5F"/>
    <w:rsid w:val="FEFF48FA"/>
    <w:rsid w:val="FEFF556F"/>
    <w:rsid w:val="FEFF911B"/>
    <w:rsid w:val="FEFFAB26"/>
    <w:rsid w:val="FEFFAD17"/>
    <w:rsid w:val="FEFFB279"/>
    <w:rsid w:val="FEFFE1E1"/>
    <w:rsid w:val="FF167671"/>
    <w:rsid w:val="FF267978"/>
    <w:rsid w:val="FF2697DE"/>
    <w:rsid w:val="FF2FF491"/>
    <w:rsid w:val="FF336F57"/>
    <w:rsid w:val="FF33C6D5"/>
    <w:rsid w:val="FF34626D"/>
    <w:rsid w:val="FF34CE28"/>
    <w:rsid w:val="FF36E890"/>
    <w:rsid w:val="FF37EDA5"/>
    <w:rsid w:val="FF3BDA9A"/>
    <w:rsid w:val="FF3CE107"/>
    <w:rsid w:val="FF3D543A"/>
    <w:rsid w:val="FF3D9CF0"/>
    <w:rsid w:val="FF3E82E0"/>
    <w:rsid w:val="FF3F22F2"/>
    <w:rsid w:val="FF3FE0B1"/>
    <w:rsid w:val="FF3FFBEC"/>
    <w:rsid w:val="FF41B734"/>
    <w:rsid w:val="FF498810"/>
    <w:rsid w:val="FF4C6A45"/>
    <w:rsid w:val="FF4D2E9E"/>
    <w:rsid w:val="FF4F4590"/>
    <w:rsid w:val="FF4F7834"/>
    <w:rsid w:val="FF567F91"/>
    <w:rsid w:val="FF57BEF5"/>
    <w:rsid w:val="FF57CB35"/>
    <w:rsid w:val="FF5B4D9A"/>
    <w:rsid w:val="FF5B8F72"/>
    <w:rsid w:val="FF5D12ED"/>
    <w:rsid w:val="FF5DD463"/>
    <w:rsid w:val="FF5DE906"/>
    <w:rsid w:val="FF5E7EC9"/>
    <w:rsid w:val="FF5FEF1B"/>
    <w:rsid w:val="FF61EC63"/>
    <w:rsid w:val="FF656FA4"/>
    <w:rsid w:val="FF65D878"/>
    <w:rsid w:val="FF6BF751"/>
    <w:rsid w:val="FF6CAF60"/>
    <w:rsid w:val="FF6DF2FB"/>
    <w:rsid w:val="FF6E8ECE"/>
    <w:rsid w:val="FF6F0C5B"/>
    <w:rsid w:val="FF6F1765"/>
    <w:rsid w:val="FF6F57A6"/>
    <w:rsid w:val="FF6F6F7A"/>
    <w:rsid w:val="FF6F8985"/>
    <w:rsid w:val="FF720C6D"/>
    <w:rsid w:val="FF7218C4"/>
    <w:rsid w:val="FF73A88C"/>
    <w:rsid w:val="FF746CB0"/>
    <w:rsid w:val="FF752AB2"/>
    <w:rsid w:val="FF7534F8"/>
    <w:rsid w:val="FF756C5A"/>
    <w:rsid w:val="FF75E89B"/>
    <w:rsid w:val="FF761B01"/>
    <w:rsid w:val="FF76A178"/>
    <w:rsid w:val="FF77AB55"/>
    <w:rsid w:val="FF79B649"/>
    <w:rsid w:val="FF79C476"/>
    <w:rsid w:val="FF7B4318"/>
    <w:rsid w:val="FF7B81B5"/>
    <w:rsid w:val="FF7B8E55"/>
    <w:rsid w:val="FF7BC418"/>
    <w:rsid w:val="FF7C9411"/>
    <w:rsid w:val="FF7CB7D1"/>
    <w:rsid w:val="FF7D13D3"/>
    <w:rsid w:val="FF7D47A9"/>
    <w:rsid w:val="FF7D5E21"/>
    <w:rsid w:val="FF7D8C6E"/>
    <w:rsid w:val="FF7DEF98"/>
    <w:rsid w:val="FF7DEFF0"/>
    <w:rsid w:val="FF7EE310"/>
    <w:rsid w:val="FF7F0EB0"/>
    <w:rsid w:val="FF7F2061"/>
    <w:rsid w:val="FF7F4326"/>
    <w:rsid w:val="FF7F53AB"/>
    <w:rsid w:val="FF7F9337"/>
    <w:rsid w:val="FF7F9CD8"/>
    <w:rsid w:val="FF7FC687"/>
    <w:rsid w:val="FF7FD936"/>
    <w:rsid w:val="FF7FDDA3"/>
    <w:rsid w:val="FF8F13C6"/>
    <w:rsid w:val="FF9B9543"/>
    <w:rsid w:val="FF9C5477"/>
    <w:rsid w:val="FF9F34D9"/>
    <w:rsid w:val="FF9F580F"/>
    <w:rsid w:val="FF9F7F3C"/>
    <w:rsid w:val="FF9FE497"/>
    <w:rsid w:val="FFA5558C"/>
    <w:rsid w:val="FFA9172D"/>
    <w:rsid w:val="FFA9B10B"/>
    <w:rsid w:val="FFAA5CBD"/>
    <w:rsid w:val="FFAAE874"/>
    <w:rsid w:val="FFAD711E"/>
    <w:rsid w:val="FFAF6AA9"/>
    <w:rsid w:val="FFAF753D"/>
    <w:rsid w:val="FFAFCD95"/>
    <w:rsid w:val="FFAFF523"/>
    <w:rsid w:val="FFB10D48"/>
    <w:rsid w:val="FFB128EB"/>
    <w:rsid w:val="FFB14691"/>
    <w:rsid w:val="FFB57315"/>
    <w:rsid w:val="FFB59390"/>
    <w:rsid w:val="FFB5C1F9"/>
    <w:rsid w:val="FFB72EB4"/>
    <w:rsid w:val="FFB831B5"/>
    <w:rsid w:val="FFBA58E5"/>
    <w:rsid w:val="FFBA96DC"/>
    <w:rsid w:val="FFBBCAED"/>
    <w:rsid w:val="FFBC5B2D"/>
    <w:rsid w:val="FFBC7C1F"/>
    <w:rsid w:val="FFBD0970"/>
    <w:rsid w:val="FFBD0B4F"/>
    <w:rsid w:val="FFBD471E"/>
    <w:rsid w:val="FFBE4DF7"/>
    <w:rsid w:val="FFBE5E0B"/>
    <w:rsid w:val="FFBF14B0"/>
    <w:rsid w:val="FFBF1B58"/>
    <w:rsid w:val="FFBF3589"/>
    <w:rsid w:val="FFBF7985"/>
    <w:rsid w:val="FFBFAC6E"/>
    <w:rsid w:val="FFBFB19E"/>
    <w:rsid w:val="FFBFD514"/>
    <w:rsid w:val="FFBFFB9B"/>
    <w:rsid w:val="FFC24203"/>
    <w:rsid w:val="FFC56BF5"/>
    <w:rsid w:val="FFC78A7C"/>
    <w:rsid w:val="FFC96A69"/>
    <w:rsid w:val="FFCB7EA5"/>
    <w:rsid w:val="FFCE4A33"/>
    <w:rsid w:val="FFCE9FE7"/>
    <w:rsid w:val="FFCEE65B"/>
    <w:rsid w:val="FFCF039D"/>
    <w:rsid w:val="FFCF1B9A"/>
    <w:rsid w:val="FFCF21CB"/>
    <w:rsid w:val="FFCF3ED7"/>
    <w:rsid w:val="FFCF41F6"/>
    <w:rsid w:val="FFCF7002"/>
    <w:rsid w:val="FFCF8684"/>
    <w:rsid w:val="FFCFA809"/>
    <w:rsid w:val="FFCFB278"/>
    <w:rsid w:val="FFD24411"/>
    <w:rsid w:val="FFD6EE62"/>
    <w:rsid w:val="FFDC7FCA"/>
    <w:rsid w:val="FFDD0410"/>
    <w:rsid w:val="FFDD73F4"/>
    <w:rsid w:val="FFDD99D9"/>
    <w:rsid w:val="FFDDC078"/>
    <w:rsid w:val="FFDDD198"/>
    <w:rsid w:val="FFDDEE52"/>
    <w:rsid w:val="FFDE2AB9"/>
    <w:rsid w:val="FFDE35A2"/>
    <w:rsid w:val="FFDE5583"/>
    <w:rsid w:val="FFDE5D9A"/>
    <w:rsid w:val="FFDE64ED"/>
    <w:rsid w:val="FFDEC640"/>
    <w:rsid w:val="FFDECF9A"/>
    <w:rsid w:val="FFDF0B3E"/>
    <w:rsid w:val="FFDF39DC"/>
    <w:rsid w:val="FFDF4020"/>
    <w:rsid w:val="FFDF49AD"/>
    <w:rsid w:val="FFDF5332"/>
    <w:rsid w:val="FFDF6115"/>
    <w:rsid w:val="FFDFA346"/>
    <w:rsid w:val="FFDFD0AB"/>
    <w:rsid w:val="FFDFEE7F"/>
    <w:rsid w:val="FFDFEF63"/>
    <w:rsid w:val="FFE00BA2"/>
    <w:rsid w:val="FFE1DD0A"/>
    <w:rsid w:val="FFE39829"/>
    <w:rsid w:val="FFE641AF"/>
    <w:rsid w:val="FFE7805D"/>
    <w:rsid w:val="FFE7AF3E"/>
    <w:rsid w:val="FFE7E12B"/>
    <w:rsid w:val="FFE7F1CB"/>
    <w:rsid w:val="FFE83C27"/>
    <w:rsid w:val="FFED54F7"/>
    <w:rsid w:val="FFEDC268"/>
    <w:rsid w:val="FFEE4924"/>
    <w:rsid w:val="FFEE6033"/>
    <w:rsid w:val="FFEF26BE"/>
    <w:rsid w:val="FFEF3A70"/>
    <w:rsid w:val="FFEF3A90"/>
    <w:rsid w:val="FFEF3AF5"/>
    <w:rsid w:val="FFEF4279"/>
    <w:rsid w:val="FFEF4BD2"/>
    <w:rsid w:val="FFEF4D93"/>
    <w:rsid w:val="FFEF8896"/>
    <w:rsid w:val="FFEFC000"/>
    <w:rsid w:val="FFEFDEB8"/>
    <w:rsid w:val="FFEFF3B3"/>
    <w:rsid w:val="FFF1A552"/>
    <w:rsid w:val="FFF2DE94"/>
    <w:rsid w:val="FFF2F147"/>
    <w:rsid w:val="FFF321F1"/>
    <w:rsid w:val="FFF3A84F"/>
    <w:rsid w:val="FFF4A2D6"/>
    <w:rsid w:val="FFF5443C"/>
    <w:rsid w:val="FFF55DB0"/>
    <w:rsid w:val="FFF58549"/>
    <w:rsid w:val="FFF5A6E2"/>
    <w:rsid w:val="FFF5E2B6"/>
    <w:rsid w:val="FFF5E859"/>
    <w:rsid w:val="FFF5F83B"/>
    <w:rsid w:val="FFF63CB9"/>
    <w:rsid w:val="FFF68ACF"/>
    <w:rsid w:val="FFF70CA8"/>
    <w:rsid w:val="FFF7206C"/>
    <w:rsid w:val="FFF72296"/>
    <w:rsid w:val="FFF72D96"/>
    <w:rsid w:val="FFF73020"/>
    <w:rsid w:val="FFF73D7E"/>
    <w:rsid w:val="FFF7460D"/>
    <w:rsid w:val="FFF77FDC"/>
    <w:rsid w:val="FFF7B81F"/>
    <w:rsid w:val="FFF7ED81"/>
    <w:rsid w:val="FFF80468"/>
    <w:rsid w:val="FFF9C0E5"/>
    <w:rsid w:val="FFFA2D45"/>
    <w:rsid w:val="FFFA47A0"/>
    <w:rsid w:val="FFFAD620"/>
    <w:rsid w:val="FFFAEA14"/>
    <w:rsid w:val="FFFB0D6E"/>
    <w:rsid w:val="FFFB1B38"/>
    <w:rsid w:val="FFFB2CAD"/>
    <w:rsid w:val="FFFB4763"/>
    <w:rsid w:val="FFFB815F"/>
    <w:rsid w:val="FFFBA5D1"/>
    <w:rsid w:val="FFFBAECF"/>
    <w:rsid w:val="FFFBC602"/>
    <w:rsid w:val="FFFBC6D0"/>
    <w:rsid w:val="FFFBEBEE"/>
    <w:rsid w:val="FFFC419D"/>
    <w:rsid w:val="FFFC743C"/>
    <w:rsid w:val="FFFCCF1B"/>
    <w:rsid w:val="FFFD35F2"/>
    <w:rsid w:val="FFFD397E"/>
    <w:rsid w:val="FFFD4933"/>
    <w:rsid w:val="FFFD6706"/>
    <w:rsid w:val="FFFD6841"/>
    <w:rsid w:val="FFFD7DD8"/>
    <w:rsid w:val="FFFDA870"/>
    <w:rsid w:val="FFFDA9D6"/>
    <w:rsid w:val="FFFDAAFC"/>
    <w:rsid w:val="FFFDAC13"/>
    <w:rsid w:val="FFFDB41A"/>
    <w:rsid w:val="FFFDB711"/>
    <w:rsid w:val="FFFE03E4"/>
    <w:rsid w:val="FFFE0C44"/>
    <w:rsid w:val="FFFE5912"/>
    <w:rsid w:val="FFFEB6AF"/>
    <w:rsid w:val="FFFEE4B8"/>
    <w:rsid w:val="FFFEEE69"/>
    <w:rsid w:val="FFFF0241"/>
    <w:rsid w:val="FFFF1ACD"/>
    <w:rsid w:val="FFFF1C8B"/>
    <w:rsid w:val="FFFF2ABE"/>
    <w:rsid w:val="FFFF405C"/>
    <w:rsid w:val="FFFF440B"/>
    <w:rsid w:val="FFFF4A45"/>
    <w:rsid w:val="FFFF4F7B"/>
    <w:rsid w:val="FFFF5965"/>
    <w:rsid w:val="FFFF677A"/>
    <w:rsid w:val="FFFF678A"/>
    <w:rsid w:val="FFFF7346"/>
    <w:rsid w:val="FFFF75AE"/>
    <w:rsid w:val="FFFF7ACF"/>
    <w:rsid w:val="FFFF8517"/>
    <w:rsid w:val="FFFF874D"/>
    <w:rsid w:val="FFFF8919"/>
    <w:rsid w:val="FFFF8B8F"/>
    <w:rsid w:val="FFFF9113"/>
    <w:rsid w:val="FFFFA128"/>
    <w:rsid w:val="FFFFA1CF"/>
    <w:rsid w:val="FFFFB925"/>
    <w:rsid w:val="FFFFB959"/>
    <w:rsid w:val="FFFFB9E4"/>
    <w:rsid w:val="FFFFBAF9"/>
    <w:rsid w:val="FFFFBEE5"/>
    <w:rsid w:val="FFFFDBAA"/>
    <w:rsid w:val="FFFFE87F"/>
    <w:rsid w:val="FFFFF25A"/>
    <w:rsid w:val="FFFFF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widowControl/>
      <w:spacing w:after="120"/>
      <w:ind w:left="420" w:leftChars="200"/>
      <w:jc w:val="left"/>
    </w:pPr>
    <w:rPr>
      <w:rFonts w:ascii="宋体" w:hAnsi="宋体" w:eastAsia="宋体" w:cs="宋体"/>
      <w:kern w:val="0"/>
      <w:sz w:val="24"/>
    </w:r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2"/>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0</TotalTime>
  <ScaleCrop>false</ScaleCrop>
  <LinksUpToDate>false</LinksUpToDate>
  <CharactersWithSpaces>9008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2020-07-10T02:32:00Z</dcterms:created>
  <dc:creator>李航 null</dc:creator>
  <cp:lastModifiedBy>lenovo</cp:lastModifiedBy>
  <cp:lastPrinted>2024-08-10T10:20:00Z</cp:lastPrinted>
  <dcterms:modified xsi:type="dcterms:W3CDTF">2024-09-06T07:08:43Z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